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15D0D" w14:textId="77777777" w:rsidR="00DD4850" w:rsidRPr="004C1796" w:rsidRDefault="00DA25D4">
      <w:pPr>
        <w:rPr>
          <w:rFonts w:ascii="Times New Roman" w:hAnsi="Times New Roman" w:cs="Times New Roman"/>
        </w:rPr>
      </w:pPr>
      <w:bookmarkStart w:id="0" w:name="_GoBack"/>
      <w:bookmarkEnd w:id="0"/>
      <w:r w:rsidRPr="004C1796">
        <w:rPr>
          <w:rFonts w:ascii="Times New Roman" w:hAnsi="Times New Roman" w:cs="Times New Roman"/>
          <w:b/>
        </w:rPr>
        <w:t>Title</w:t>
      </w:r>
      <w:r w:rsidRPr="004C1796">
        <w:rPr>
          <w:rFonts w:ascii="Times New Roman" w:hAnsi="Times New Roman" w:cs="Times New Roman"/>
        </w:rPr>
        <w:t xml:space="preserve">: </w:t>
      </w:r>
      <w:r w:rsidR="00707FFA" w:rsidRPr="004C1796">
        <w:rPr>
          <w:rFonts w:ascii="Times New Roman" w:hAnsi="Times New Roman" w:cs="Times New Roman"/>
        </w:rPr>
        <w:t>The Burgeoning Recognition and A</w:t>
      </w:r>
      <w:r w:rsidR="003C4852" w:rsidRPr="004C1796">
        <w:rPr>
          <w:rFonts w:ascii="Times New Roman" w:hAnsi="Times New Roman" w:cs="Times New Roman"/>
        </w:rPr>
        <w:t xml:space="preserve">ccommodation of </w:t>
      </w:r>
      <w:r w:rsidR="00FB6404" w:rsidRPr="004C1796">
        <w:rPr>
          <w:rFonts w:ascii="Times New Roman" w:hAnsi="Times New Roman" w:cs="Times New Roman"/>
        </w:rPr>
        <w:t xml:space="preserve">the </w:t>
      </w:r>
      <w:r w:rsidR="00707FFA" w:rsidRPr="004C1796">
        <w:rPr>
          <w:rFonts w:ascii="Times New Roman" w:hAnsi="Times New Roman" w:cs="Times New Roman"/>
        </w:rPr>
        <w:t>Social S</w:t>
      </w:r>
      <w:r w:rsidR="003C4852" w:rsidRPr="004C1796">
        <w:rPr>
          <w:rFonts w:ascii="Times New Roman" w:hAnsi="Times New Roman" w:cs="Times New Roman"/>
        </w:rPr>
        <w:t>upply</w:t>
      </w:r>
      <w:r w:rsidR="00707FFA" w:rsidRPr="004C1796">
        <w:rPr>
          <w:rFonts w:ascii="Times New Roman" w:hAnsi="Times New Roman" w:cs="Times New Roman"/>
        </w:rPr>
        <w:t xml:space="preserve"> of D</w:t>
      </w:r>
      <w:r w:rsidR="00FB6404" w:rsidRPr="004C1796">
        <w:rPr>
          <w:rFonts w:ascii="Times New Roman" w:hAnsi="Times New Roman" w:cs="Times New Roman"/>
        </w:rPr>
        <w:t>rugs</w:t>
      </w:r>
      <w:r w:rsidR="00707FFA" w:rsidRPr="004C1796">
        <w:rPr>
          <w:rFonts w:ascii="Times New Roman" w:hAnsi="Times New Roman" w:cs="Times New Roman"/>
        </w:rPr>
        <w:t xml:space="preserve"> in International C</w:t>
      </w:r>
      <w:r w:rsidR="000E1CC2" w:rsidRPr="004C1796">
        <w:rPr>
          <w:rFonts w:ascii="Times New Roman" w:hAnsi="Times New Roman" w:cs="Times New Roman"/>
        </w:rPr>
        <w:t xml:space="preserve">riminal </w:t>
      </w:r>
      <w:r w:rsidR="00707FFA" w:rsidRPr="004C1796">
        <w:rPr>
          <w:rFonts w:ascii="Times New Roman" w:hAnsi="Times New Roman" w:cs="Times New Roman"/>
        </w:rPr>
        <w:t>Justice Systems: A Ten-N</w:t>
      </w:r>
      <w:r w:rsidR="00B16792" w:rsidRPr="004C1796">
        <w:rPr>
          <w:rFonts w:ascii="Times New Roman" w:hAnsi="Times New Roman" w:cs="Times New Roman"/>
        </w:rPr>
        <w:t xml:space="preserve">ation </w:t>
      </w:r>
      <w:r w:rsidR="00707FFA" w:rsidRPr="004C1796">
        <w:rPr>
          <w:rFonts w:ascii="Times New Roman" w:hAnsi="Times New Roman" w:cs="Times New Roman"/>
        </w:rPr>
        <w:t>C</w:t>
      </w:r>
      <w:r w:rsidR="00B16792" w:rsidRPr="004C1796">
        <w:rPr>
          <w:rFonts w:ascii="Times New Roman" w:hAnsi="Times New Roman" w:cs="Times New Roman"/>
        </w:rPr>
        <w:t>o</w:t>
      </w:r>
      <w:r w:rsidR="00707FFA" w:rsidRPr="004C1796">
        <w:rPr>
          <w:rFonts w:ascii="Times New Roman" w:hAnsi="Times New Roman" w:cs="Times New Roman"/>
        </w:rPr>
        <w:t>mparative O</w:t>
      </w:r>
      <w:r w:rsidR="00B16792" w:rsidRPr="004C1796">
        <w:rPr>
          <w:rFonts w:ascii="Times New Roman" w:hAnsi="Times New Roman" w:cs="Times New Roman"/>
        </w:rPr>
        <w:t>verview.</w:t>
      </w:r>
    </w:p>
    <w:p w14:paraId="712B9F13" w14:textId="77777777" w:rsidR="00DA25D4" w:rsidRPr="004C1796" w:rsidRDefault="00DA25D4">
      <w:pPr>
        <w:rPr>
          <w:rFonts w:ascii="Times New Roman" w:hAnsi="Times New Roman" w:cs="Times New Roman"/>
        </w:rPr>
      </w:pPr>
    </w:p>
    <w:p w14:paraId="318296B6" w14:textId="77777777" w:rsidR="00DA25D4" w:rsidRPr="004C1796" w:rsidRDefault="00DA25D4">
      <w:pPr>
        <w:rPr>
          <w:rFonts w:ascii="Times New Roman" w:hAnsi="Times New Roman" w:cs="Times New Roman"/>
        </w:rPr>
      </w:pPr>
      <w:r w:rsidRPr="004C1796">
        <w:rPr>
          <w:rFonts w:ascii="Times New Roman" w:hAnsi="Times New Roman" w:cs="Times New Roman"/>
          <w:b/>
        </w:rPr>
        <w:t>Authors</w:t>
      </w:r>
      <w:r w:rsidRPr="004C1796">
        <w:rPr>
          <w:rFonts w:ascii="Times New Roman" w:hAnsi="Times New Roman" w:cs="Times New Roman"/>
        </w:rPr>
        <w:t>: Coomber, R., Moyle, L., Belackova, V.,</w:t>
      </w:r>
      <w:r w:rsidR="0082401A" w:rsidRPr="004C1796">
        <w:rPr>
          <w:rFonts w:ascii="Times New Roman" w:hAnsi="Times New Roman" w:cs="Times New Roman"/>
        </w:rPr>
        <w:t xml:space="preserve"> Decorte, T.,</w:t>
      </w:r>
      <w:r w:rsidRPr="004C1796">
        <w:rPr>
          <w:rFonts w:ascii="Times New Roman" w:hAnsi="Times New Roman" w:cs="Times New Roman"/>
        </w:rPr>
        <w:t xml:space="preserve"> Hakkarainen, P., Hathaway</w:t>
      </w:r>
      <w:r w:rsidR="00F22C8B" w:rsidRPr="004C1796">
        <w:rPr>
          <w:rFonts w:ascii="Times New Roman" w:hAnsi="Times New Roman" w:cs="Times New Roman"/>
        </w:rPr>
        <w:t xml:space="preserve">, A., </w:t>
      </w:r>
      <w:r w:rsidR="00610BDC" w:rsidRPr="004C1796">
        <w:rPr>
          <w:rFonts w:ascii="Times New Roman" w:hAnsi="Times New Roman" w:cs="Times New Roman"/>
        </w:rPr>
        <w:t xml:space="preserve">Joe </w:t>
      </w:r>
      <w:r w:rsidR="00EF6427" w:rsidRPr="004C1796">
        <w:rPr>
          <w:rFonts w:ascii="Times New Roman" w:hAnsi="Times New Roman" w:cs="Times New Roman"/>
        </w:rPr>
        <w:t>Laidler, K</w:t>
      </w:r>
      <w:r w:rsidR="00F22C8B" w:rsidRPr="004C1796">
        <w:rPr>
          <w:rFonts w:ascii="Times New Roman" w:hAnsi="Times New Roman" w:cs="Times New Roman"/>
        </w:rPr>
        <w:t>., Lenton, S., Murphy, S.,</w:t>
      </w:r>
      <w:r w:rsidR="008A1AB6" w:rsidRPr="004C1796">
        <w:rPr>
          <w:rFonts w:ascii="Times New Roman" w:hAnsi="Times New Roman" w:cs="Times New Roman"/>
        </w:rPr>
        <w:t xml:space="preserve"> Scott, J., Stefunkova, M., v</w:t>
      </w:r>
      <w:r w:rsidRPr="004C1796">
        <w:rPr>
          <w:rFonts w:ascii="Times New Roman" w:hAnsi="Times New Roman" w:cs="Times New Roman"/>
        </w:rPr>
        <w:t xml:space="preserve">an de Ven, K., Vlaemynck, M. and Werse, B., </w:t>
      </w:r>
    </w:p>
    <w:p w14:paraId="79DC92DD" w14:textId="77777777" w:rsidR="00CD48A9" w:rsidRPr="004C1796" w:rsidRDefault="00CD48A9">
      <w:pPr>
        <w:rPr>
          <w:rFonts w:ascii="Times New Roman" w:hAnsi="Times New Roman" w:cs="Times New Roman"/>
        </w:rPr>
      </w:pPr>
    </w:p>
    <w:p w14:paraId="1DFB24D2" w14:textId="77777777" w:rsidR="00DA25D4" w:rsidRPr="004C1796" w:rsidRDefault="00DD4850" w:rsidP="00E7752F">
      <w:pPr>
        <w:outlineLvl w:val="0"/>
        <w:rPr>
          <w:rFonts w:ascii="Times New Roman" w:hAnsi="Times New Roman" w:cs="Times New Roman"/>
          <w:b/>
        </w:rPr>
      </w:pPr>
      <w:r w:rsidRPr="004C1796">
        <w:rPr>
          <w:rFonts w:ascii="Times New Roman" w:hAnsi="Times New Roman" w:cs="Times New Roman"/>
          <w:b/>
        </w:rPr>
        <w:t>Abstract</w:t>
      </w:r>
    </w:p>
    <w:p w14:paraId="46C03B92" w14:textId="77777777" w:rsidR="002A0BF2" w:rsidRPr="004C1796" w:rsidRDefault="002A0BF2" w:rsidP="00ED075D">
      <w:pPr>
        <w:jc w:val="both"/>
        <w:rPr>
          <w:rFonts w:ascii="Times New Roman" w:hAnsi="Times New Roman" w:cs="Times New Roman"/>
          <w:b/>
        </w:rPr>
      </w:pPr>
    </w:p>
    <w:p w14:paraId="57BA1B1E" w14:textId="77777777" w:rsidR="004A6597" w:rsidRPr="004C1796" w:rsidRDefault="00F661BD" w:rsidP="00ED075D">
      <w:pPr>
        <w:jc w:val="both"/>
        <w:rPr>
          <w:rFonts w:ascii="Times New Roman" w:hAnsi="Times New Roman" w:cs="Times New Roman"/>
        </w:rPr>
      </w:pPr>
      <w:r w:rsidRPr="004C1796">
        <w:rPr>
          <w:rFonts w:ascii="Times New Roman" w:hAnsi="Times New Roman" w:cs="Times New Roman"/>
          <w:b/>
        </w:rPr>
        <w:t>Background:</w:t>
      </w:r>
      <w:r w:rsidRPr="004C1796">
        <w:rPr>
          <w:rFonts w:ascii="Times New Roman" w:hAnsi="Times New Roman" w:cs="Times New Roman"/>
        </w:rPr>
        <w:t xml:space="preserve"> </w:t>
      </w:r>
      <w:r w:rsidR="0056589D" w:rsidRPr="004C1796">
        <w:rPr>
          <w:rFonts w:ascii="Times New Roman" w:hAnsi="Times New Roman" w:cs="Times New Roman"/>
        </w:rPr>
        <w:t xml:space="preserve">It is now commonly accepted that </w:t>
      </w:r>
      <w:r w:rsidR="005E1FEF" w:rsidRPr="004C1796">
        <w:rPr>
          <w:rFonts w:ascii="Times New Roman" w:hAnsi="Times New Roman" w:cs="Times New Roman"/>
        </w:rPr>
        <w:t xml:space="preserve">there exists a form of drug supply </w:t>
      </w:r>
      <w:r w:rsidR="00D06A37" w:rsidRPr="004C1796">
        <w:rPr>
          <w:rFonts w:ascii="Times New Roman" w:hAnsi="Times New Roman" w:cs="Times New Roman"/>
        </w:rPr>
        <w:t>qualitatively different from profit motivated drug dealing</w:t>
      </w:r>
      <w:r w:rsidR="00990DA1" w:rsidRPr="004C1796">
        <w:rPr>
          <w:rFonts w:ascii="Times New Roman" w:hAnsi="Times New Roman" w:cs="Times New Roman"/>
        </w:rPr>
        <w:t xml:space="preserve"> (proper)</w:t>
      </w:r>
      <w:r w:rsidR="00501DDE" w:rsidRPr="004C1796">
        <w:rPr>
          <w:rFonts w:ascii="Times New Roman" w:hAnsi="Times New Roman" w:cs="Times New Roman"/>
        </w:rPr>
        <w:t>,</w:t>
      </w:r>
      <w:r w:rsidR="007C266C" w:rsidRPr="004C1796">
        <w:rPr>
          <w:rFonts w:ascii="Times New Roman" w:hAnsi="Times New Roman" w:cs="Times New Roman"/>
        </w:rPr>
        <w:t xml:space="preserve"> which</w:t>
      </w:r>
      <w:r w:rsidR="00D06A37" w:rsidRPr="004C1796">
        <w:rPr>
          <w:rFonts w:ascii="Times New Roman" w:hAnsi="Times New Roman" w:cs="Times New Roman"/>
        </w:rPr>
        <w:t xml:space="preserve"> involves </w:t>
      </w:r>
      <w:r w:rsidR="00990DA1" w:rsidRPr="004C1796">
        <w:rPr>
          <w:rFonts w:ascii="Times New Roman" w:hAnsi="Times New Roman" w:cs="Times New Roman"/>
        </w:rPr>
        <w:t xml:space="preserve">the non-commercial supply of drugs to friends and </w:t>
      </w:r>
      <w:r w:rsidR="00D61B95" w:rsidRPr="004C1796">
        <w:rPr>
          <w:rFonts w:ascii="Times New Roman" w:hAnsi="Times New Roman" w:cs="Times New Roman"/>
        </w:rPr>
        <w:t>acquaintances</w:t>
      </w:r>
      <w:r w:rsidR="00DF2838" w:rsidRPr="004C1796">
        <w:rPr>
          <w:rFonts w:ascii="Times New Roman" w:hAnsi="Times New Roman" w:cs="Times New Roman"/>
        </w:rPr>
        <w:t xml:space="preserve"> for little or no profit</w:t>
      </w:r>
      <w:r w:rsidR="00990DA1" w:rsidRPr="004C1796">
        <w:rPr>
          <w:rFonts w:ascii="Times New Roman" w:hAnsi="Times New Roman" w:cs="Times New Roman"/>
        </w:rPr>
        <w:t>. ‘Social supply’</w:t>
      </w:r>
      <w:r w:rsidR="000E6EC0" w:rsidRPr="004C1796">
        <w:rPr>
          <w:rFonts w:ascii="Times New Roman" w:hAnsi="Times New Roman" w:cs="Times New Roman"/>
        </w:rPr>
        <w:t>,</w:t>
      </w:r>
      <w:r w:rsidR="00990DA1" w:rsidRPr="004C1796">
        <w:rPr>
          <w:rFonts w:ascii="Times New Roman" w:hAnsi="Times New Roman" w:cs="Times New Roman"/>
        </w:rPr>
        <w:t xml:space="preserve"> as it has become known, </w:t>
      </w:r>
      <w:r w:rsidR="007B7328" w:rsidRPr="004C1796">
        <w:rPr>
          <w:rFonts w:ascii="Times New Roman" w:hAnsi="Times New Roman" w:cs="Times New Roman"/>
        </w:rPr>
        <w:t xml:space="preserve">has a strong conceptual footprint in </w:t>
      </w:r>
      <w:r w:rsidR="000C256A" w:rsidRPr="004C1796">
        <w:rPr>
          <w:rFonts w:ascii="Times New Roman" w:hAnsi="Times New Roman" w:cs="Times New Roman"/>
        </w:rPr>
        <w:t>the United Kingdom</w:t>
      </w:r>
      <w:r w:rsidR="00501DDE" w:rsidRPr="004C1796">
        <w:rPr>
          <w:rFonts w:ascii="Times New Roman" w:hAnsi="Times New Roman" w:cs="Times New Roman"/>
        </w:rPr>
        <w:t>,</w:t>
      </w:r>
      <w:r w:rsidR="000C256A" w:rsidRPr="004C1796">
        <w:rPr>
          <w:rFonts w:ascii="Times New Roman" w:hAnsi="Times New Roman" w:cs="Times New Roman"/>
        </w:rPr>
        <w:t xml:space="preserve"> </w:t>
      </w:r>
      <w:r w:rsidR="00DF2838" w:rsidRPr="004C1796">
        <w:rPr>
          <w:rFonts w:ascii="Times New Roman" w:hAnsi="Times New Roman" w:cs="Times New Roman"/>
        </w:rPr>
        <w:t xml:space="preserve">shaped by empirical research, policy discussion and </w:t>
      </w:r>
      <w:r w:rsidR="007D4C7C" w:rsidRPr="004C1796">
        <w:rPr>
          <w:rFonts w:ascii="Times New Roman" w:hAnsi="Times New Roman" w:cs="Times New Roman"/>
        </w:rPr>
        <w:t xml:space="preserve">its </w:t>
      </w:r>
      <w:r w:rsidR="00DF2838" w:rsidRPr="004C1796">
        <w:rPr>
          <w:rFonts w:ascii="Times New Roman" w:hAnsi="Times New Roman" w:cs="Times New Roman"/>
        </w:rPr>
        <w:t>accommodation</w:t>
      </w:r>
      <w:r w:rsidR="000C256A" w:rsidRPr="004C1796">
        <w:rPr>
          <w:rFonts w:ascii="Times New Roman" w:hAnsi="Times New Roman" w:cs="Times New Roman"/>
        </w:rPr>
        <w:t xml:space="preserve"> in legal frameworks</w:t>
      </w:r>
      <w:r w:rsidR="00DF2838" w:rsidRPr="004C1796">
        <w:rPr>
          <w:rFonts w:ascii="Times New Roman" w:hAnsi="Times New Roman" w:cs="Times New Roman"/>
        </w:rPr>
        <w:t>. Though scholarship</w:t>
      </w:r>
      <w:r w:rsidR="000C256A" w:rsidRPr="004C1796">
        <w:rPr>
          <w:rFonts w:ascii="Times New Roman" w:hAnsi="Times New Roman" w:cs="Times New Roman"/>
        </w:rPr>
        <w:t xml:space="preserve"> has emerged in a number of contexts outside the UK, the extent to which social supply has developed </w:t>
      </w:r>
      <w:r w:rsidR="00E452AC" w:rsidRPr="004C1796">
        <w:rPr>
          <w:rFonts w:ascii="Times New Roman" w:hAnsi="Times New Roman" w:cs="Times New Roman"/>
        </w:rPr>
        <w:t>as an internationally</w:t>
      </w:r>
      <w:r w:rsidR="00172582" w:rsidRPr="004C1796">
        <w:rPr>
          <w:rFonts w:ascii="Times New Roman" w:hAnsi="Times New Roman" w:cs="Times New Roman"/>
        </w:rPr>
        <w:t xml:space="preserve"> recognised</w:t>
      </w:r>
      <w:r w:rsidR="00E452AC" w:rsidRPr="004C1796">
        <w:rPr>
          <w:rFonts w:ascii="Times New Roman" w:hAnsi="Times New Roman" w:cs="Times New Roman"/>
        </w:rPr>
        <w:t xml:space="preserve"> concept</w:t>
      </w:r>
      <w:r w:rsidR="000C256A" w:rsidRPr="004C1796">
        <w:rPr>
          <w:rFonts w:ascii="Times New Roman" w:hAnsi="Times New Roman" w:cs="Times New Roman"/>
        </w:rPr>
        <w:t xml:space="preserve"> </w:t>
      </w:r>
      <w:r w:rsidR="00F62B2D" w:rsidRPr="004C1796">
        <w:rPr>
          <w:rFonts w:ascii="Times New Roman" w:hAnsi="Times New Roman" w:cs="Times New Roman"/>
        </w:rPr>
        <w:t>in criminal justice contexts</w:t>
      </w:r>
      <w:r w:rsidR="0082401A" w:rsidRPr="004C1796">
        <w:rPr>
          <w:rFonts w:ascii="Times New Roman" w:hAnsi="Times New Roman" w:cs="Times New Roman"/>
        </w:rPr>
        <w:t xml:space="preserve"> </w:t>
      </w:r>
      <w:r w:rsidR="00606411" w:rsidRPr="004C1796">
        <w:rPr>
          <w:rFonts w:ascii="Times New Roman" w:hAnsi="Times New Roman" w:cs="Times New Roman"/>
        </w:rPr>
        <w:t xml:space="preserve">is still unclear. </w:t>
      </w:r>
      <w:r w:rsidR="00ED075D" w:rsidRPr="004C1796">
        <w:rPr>
          <w:rFonts w:ascii="Times New Roman" w:hAnsi="Times New Roman" w:cs="Times New Roman"/>
        </w:rPr>
        <w:t xml:space="preserve"> </w:t>
      </w:r>
    </w:p>
    <w:p w14:paraId="19AF27E4" w14:textId="77777777" w:rsidR="00A20538" w:rsidRPr="004C1796" w:rsidRDefault="00A20538" w:rsidP="000B3426">
      <w:pPr>
        <w:jc w:val="both"/>
        <w:rPr>
          <w:rFonts w:ascii="Times New Roman" w:hAnsi="Times New Roman" w:cs="Times New Roman"/>
          <w:b/>
        </w:rPr>
      </w:pPr>
    </w:p>
    <w:p w14:paraId="6F9A0F12" w14:textId="77777777" w:rsidR="004A6597" w:rsidRPr="004C1796" w:rsidRDefault="00F661BD" w:rsidP="000B3426">
      <w:pPr>
        <w:jc w:val="both"/>
        <w:rPr>
          <w:rFonts w:ascii="Times New Roman" w:hAnsi="Times New Roman" w:cs="Times New Roman"/>
        </w:rPr>
      </w:pPr>
      <w:r w:rsidRPr="004C1796">
        <w:rPr>
          <w:rFonts w:ascii="Times New Roman" w:hAnsi="Times New Roman" w:cs="Times New Roman"/>
          <w:b/>
        </w:rPr>
        <w:t>Methods</w:t>
      </w:r>
      <w:r w:rsidRPr="004C1796">
        <w:rPr>
          <w:rFonts w:ascii="Times New Roman" w:hAnsi="Times New Roman" w:cs="Times New Roman"/>
        </w:rPr>
        <w:t xml:space="preserve">: </w:t>
      </w:r>
      <w:r w:rsidR="00606411" w:rsidRPr="004C1796">
        <w:rPr>
          <w:rFonts w:ascii="Times New Roman" w:hAnsi="Times New Roman" w:cs="Times New Roman"/>
        </w:rPr>
        <w:t xml:space="preserve">Drawing on </w:t>
      </w:r>
      <w:r w:rsidR="00607611" w:rsidRPr="004C1796">
        <w:rPr>
          <w:rFonts w:ascii="Times New Roman" w:hAnsi="Times New Roman" w:cs="Times New Roman"/>
        </w:rPr>
        <w:t>an established international social s</w:t>
      </w:r>
      <w:r w:rsidR="001763AE" w:rsidRPr="004C1796">
        <w:rPr>
          <w:rFonts w:ascii="Times New Roman" w:hAnsi="Times New Roman" w:cs="Times New Roman"/>
        </w:rPr>
        <w:t>upply research network across ten nations</w:t>
      </w:r>
      <w:r w:rsidR="001516D6" w:rsidRPr="004C1796">
        <w:rPr>
          <w:rFonts w:ascii="Times New Roman" w:hAnsi="Times New Roman" w:cs="Times New Roman"/>
        </w:rPr>
        <w:t>,</w:t>
      </w:r>
      <w:r w:rsidR="00607611" w:rsidRPr="004C1796">
        <w:rPr>
          <w:rFonts w:ascii="Times New Roman" w:hAnsi="Times New Roman" w:cs="Times New Roman"/>
        </w:rPr>
        <w:t xml:space="preserve"> this paper provides the first</w:t>
      </w:r>
      <w:r w:rsidR="008E1DDD" w:rsidRPr="004C1796">
        <w:rPr>
          <w:rFonts w:ascii="Times New Roman" w:hAnsi="Times New Roman" w:cs="Times New Roman"/>
        </w:rPr>
        <w:t xml:space="preserve"> assessment </w:t>
      </w:r>
      <w:r w:rsidR="00ED075D" w:rsidRPr="004C1796">
        <w:rPr>
          <w:rFonts w:ascii="Times New Roman" w:hAnsi="Times New Roman" w:cs="Times New Roman"/>
        </w:rPr>
        <w:t>of social supply as an internationally relevant concept</w:t>
      </w:r>
      <w:r w:rsidR="00D71303" w:rsidRPr="004C1796">
        <w:rPr>
          <w:rFonts w:ascii="Times New Roman" w:hAnsi="Times New Roman" w:cs="Times New Roman"/>
        </w:rPr>
        <w:t xml:space="preserve">. </w:t>
      </w:r>
      <w:r w:rsidR="00082F64" w:rsidRPr="004C1796">
        <w:rPr>
          <w:rFonts w:ascii="Times New Roman" w:hAnsi="Times New Roman" w:cs="Times New Roman"/>
        </w:rPr>
        <w:t xml:space="preserve">Data derives from individual and team research stemming from </w:t>
      </w:r>
      <w:r w:rsidR="00903D70" w:rsidRPr="004C1796">
        <w:rPr>
          <w:rFonts w:ascii="Times New Roman" w:hAnsi="Times New Roman" w:cs="Times New Roman"/>
        </w:rPr>
        <w:t xml:space="preserve">Australia, Belgium, Canada, Czech Republic, Finland, Germany, Hong Kong, the Netherlands, UK and </w:t>
      </w:r>
      <w:r w:rsidR="00085C5B" w:rsidRPr="004C1796">
        <w:rPr>
          <w:rFonts w:ascii="Times New Roman" w:hAnsi="Times New Roman" w:cs="Times New Roman"/>
        </w:rPr>
        <w:t>US,</w:t>
      </w:r>
      <w:r w:rsidR="00082F64" w:rsidRPr="004C1796">
        <w:rPr>
          <w:rFonts w:ascii="Times New Roman" w:hAnsi="Times New Roman" w:cs="Times New Roman"/>
        </w:rPr>
        <w:t xml:space="preserve"> supported by expert reflection on research evidence and analysis of sentencing and media reporting in that context.</w:t>
      </w:r>
      <w:r w:rsidR="000B1DA6" w:rsidRPr="004C1796">
        <w:rPr>
          <w:rFonts w:ascii="Times New Roman" w:hAnsi="Times New Roman" w:cs="Times New Roman"/>
        </w:rPr>
        <w:t xml:space="preserve"> </w:t>
      </w:r>
    </w:p>
    <w:p w14:paraId="04411D0E" w14:textId="77777777" w:rsidR="00A20538" w:rsidRPr="004C1796" w:rsidRDefault="00A20538" w:rsidP="000B3426">
      <w:pPr>
        <w:pStyle w:val="CommentText"/>
        <w:rPr>
          <w:rFonts w:ascii="Times New Roman" w:hAnsi="Times New Roman" w:cs="Times New Roman"/>
          <w:b/>
        </w:rPr>
      </w:pPr>
    </w:p>
    <w:p w14:paraId="51044AC5" w14:textId="77777777" w:rsidR="002A76BB" w:rsidRPr="004C1796" w:rsidRDefault="00F661BD" w:rsidP="000B3426">
      <w:pPr>
        <w:pStyle w:val="CommentText"/>
        <w:rPr>
          <w:rFonts w:ascii="Times New Roman" w:hAnsi="Times New Roman" w:cs="Times New Roman"/>
        </w:rPr>
      </w:pPr>
      <w:r w:rsidRPr="004C1796">
        <w:rPr>
          <w:rFonts w:ascii="Times New Roman" w:hAnsi="Times New Roman" w:cs="Times New Roman"/>
          <w:b/>
        </w:rPr>
        <w:t xml:space="preserve">Results: </w:t>
      </w:r>
      <w:r w:rsidR="00082F64" w:rsidRPr="004C1796">
        <w:rPr>
          <w:rFonts w:ascii="Times New Roman" w:hAnsi="Times New Roman" w:cs="Times New Roman"/>
        </w:rPr>
        <w:t xml:space="preserve">Findings suggest that </w:t>
      </w:r>
      <w:r w:rsidR="007F25CB" w:rsidRPr="004C1796">
        <w:rPr>
          <w:rFonts w:ascii="Times New Roman" w:hAnsi="Times New Roman" w:cs="Times New Roman"/>
        </w:rPr>
        <w:t xml:space="preserve">while social supply </w:t>
      </w:r>
      <w:r w:rsidR="00291147" w:rsidRPr="004C1796">
        <w:rPr>
          <w:rFonts w:ascii="Times New Roman" w:hAnsi="Times New Roman" w:cs="Times New Roman"/>
        </w:rPr>
        <w:t>has</w:t>
      </w:r>
      <w:r w:rsidR="004831D4" w:rsidRPr="004C1796">
        <w:rPr>
          <w:rFonts w:ascii="Times New Roman" w:hAnsi="Times New Roman" w:cs="Times New Roman"/>
        </w:rPr>
        <w:t xml:space="preserve"> been</w:t>
      </w:r>
      <w:r w:rsidR="002F479A" w:rsidRPr="004C1796">
        <w:rPr>
          <w:rFonts w:ascii="Times New Roman" w:hAnsi="Times New Roman" w:cs="Times New Roman"/>
        </w:rPr>
        <w:t xml:space="preserve"> found to exist as </w:t>
      </w:r>
      <w:r w:rsidR="00291147" w:rsidRPr="004C1796">
        <w:rPr>
          <w:rFonts w:ascii="Times New Roman" w:hAnsi="Times New Roman" w:cs="Times New Roman"/>
        </w:rPr>
        <w:t xml:space="preserve">a real and distinct behaviour, its </w:t>
      </w:r>
      <w:r w:rsidR="00791C36" w:rsidRPr="004C1796">
        <w:rPr>
          <w:rFonts w:ascii="Times New Roman" w:hAnsi="Times New Roman" w:cs="Times New Roman"/>
        </w:rPr>
        <w:t>acceptance and application</w:t>
      </w:r>
      <w:r w:rsidR="005841E2" w:rsidRPr="004C1796">
        <w:rPr>
          <w:rFonts w:ascii="Times New Roman" w:hAnsi="Times New Roman" w:cs="Times New Roman"/>
        </w:rPr>
        <w:t xml:space="preserve"> </w:t>
      </w:r>
      <w:r w:rsidR="00610BDC" w:rsidRPr="004C1796">
        <w:rPr>
          <w:rFonts w:ascii="Times New Roman" w:hAnsi="Times New Roman" w:cs="Times New Roman"/>
        </w:rPr>
        <w:t xml:space="preserve">in criminal justice </w:t>
      </w:r>
      <w:r w:rsidR="00F62B2D" w:rsidRPr="004C1796">
        <w:rPr>
          <w:rFonts w:ascii="Times New Roman" w:hAnsi="Times New Roman" w:cs="Times New Roman"/>
        </w:rPr>
        <w:t>systems</w:t>
      </w:r>
      <w:r w:rsidR="008A1AB6" w:rsidRPr="004C1796">
        <w:rPr>
          <w:rFonts w:ascii="Times New Roman" w:hAnsi="Times New Roman" w:cs="Times New Roman"/>
        </w:rPr>
        <w:t xml:space="preserve"> </w:t>
      </w:r>
      <w:r w:rsidR="00291147" w:rsidRPr="004C1796">
        <w:rPr>
          <w:rFonts w:ascii="Times New Roman" w:hAnsi="Times New Roman" w:cs="Times New Roman"/>
        </w:rPr>
        <w:t>ranges fr</w:t>
      </w:r>
      <w:r w:rsidR="00610BDC" w:rsidRPr="004C1796">
        <w:rPr>
          <w:rFonts w:ascii="Times New Roman" w:hAnsi="Times New Roman" w:cs="Times New Roman"/>
        </w:rPr>
        <w:t>om explicit through to implicit</w:t>
      </w:r>
      <w:r w:rsidR="002A0BF2" w:rsidRPr="004C1796">
        <w:rPr>
          <w:rFonts w:ascii="Times New Roman" w:hAnsi="Times New Roman" w:cs="Times New Roman"/>
        </w:rPr>
        <w:t xml:space="preserve">. </w:t>
      </w:r>
      <w:r w:rsidR="00721FF3" w:rsidRPr="004C1796">
        <w:rPr>
          <w:rFonts w:ascii="Times New Roman" w:hAnsi="Times New Roman" w:cs="Times New Roman"/>
        </w:rPr>
        <w:t xml:space="preserve">In the absence of guiding frameworks, </w:t>
      </w:r>
      <w:r w:rsidR="00291147" w:rsidRPr="004C1796">
        <w:rPr>
          <w:rFonts w:ascii="Times New Roman" w:hAnsi="Times New Roman" w:cs="Times New Roman"/>
        </w:rPr>
        <w:t xml:space="preserve">strong use </w:t>
      </w:r>
      <w:r w:rsidR="002A0BF2" w:rsidRPr="004C1796">
        <w:rPr>
          <w:rFonts w:ascii="Times New Roman" w:hAnsi="Times New Roman" w:cs="Times New Roman"/>
        </w:rPr>
        <w:t xml:space="preserve">is </w:t>
      </w:r>
      <w:r w:rsidR="00291147" w:rsidRPr="004C1796">
        <w:rPr>
          <w:rFonts w:ascii="Times New Roman" w:hAnsi="Times New Roman" w:cs="Times New Roman"/>
        </w:rPr>
        <w:t>made of discretion</w:t>
      </w:r>
      <w:r w:rsidR="00721FF3" w:rsidRPr="004C1796">
        <w:rPr>
          <w:rFonts w:ascii="Times New Roman" w:hAnsi="Times New Roman" w:cs="Times New Roman"/>
        </w:rPr>
        <w:t xml:space="preserve"> and </w:t>
      </w:r>
      <w:r w:rsidR="000E6EC0" w:rsidRPr="004C1796">
        <w:rPr>
          <w:rFonts w:ascii="Times New Roman" w:hAnsi="Times New Roman" w:cs="Times New Roman"/>
        </w:rPr>
        <w:t>mitigating circumstances</w:t>
      </w:r>
      <w:r w:rsidR="00721FF3" w:rsidRPr="004C1796">
        <w:rPr>
          <w:rFonts w:ascii="Times New Roman" w:hAnsi="Times New Roman" w:cs="Times New Roman"/>
        </w:rPr>
        <w:t xml:space="preserve"> in attempt</w:t>
      </w:r>
      <w:r w:rsidR="00FA5E89" w:rsidRPr="004C1796">
        <w:rPr>
          <w:rFonts w:ascii="Times New Roman" w:hAnsi="Times New Roman" w:cs="Times New Roman"/>
        </w:rPr>
        <w:t>s</w:t>
      </w:r>
      <w:r w:rsidR="00721FF3" w:rsidRPr="004C1796">
        <w:rPr>
          <w:rFonts w:ascii="Times New Roman" w:hAnsi="Times New Roman" w:cs="Times New Roman"/>
        </w:rPr>
        <w:t xml:space="preserve"> to acknowledge</w:t>
      </w:r>
      <w:r w:rsidR="00F62B2D" w:rsidRPr="004C1796">
        <w:rPr>
          <w:rFonts w:ascii="Times New Roman" w:hAnsi="Times New Roman" w:cs="Times New Roman"/>
        </w:rPr>
        <w:t xml:space="preserve"> supply</w:t>
      </w:r>
      <w:r w:rsidR="00721FF3" w:rsidRPr="004C1796">
        <w:rPr>
          <w:rFonts w:ascii="Times New Roman" w:hAnsi="Times New Roman" w:cs="Times New Roman"/>
        </w:rPr>
        <w:t xml:space="preserve"> </w:t>
      </w:r>
      <w:r w:rsidR="00E67B0E" w:rsidRPr="004C1796">
        <w:rPr>
          <w:rFonts w:ascii="Times New Roman" w:hAnsi="Times New Roman" w:cs="Times New Roman"/>
        </w:rPr>
        <w:t>differentiation</w:t>
      </w:r>
      <w:r w:rsidR="000E6EC0" w:rsidRPr="004C1796">
        <w:rPr>
          <w:rFonts w:ascii="Times New Roman" w:hAnsi="Times New Roman" w:cs="Times New Roman"/>
        </w:rPr>
        <w:t>.</w:t>
      </w:r>
      <w:r w:rsidR="004E7089" w:rsidRPr="004C1796">
        <w:rPr>
          <w:rFonts w:ascii="Times New Roman" w:hAnsi="Times New Roman" w:cs="Times New Roman"/>
        </w:rPr>
        <w:t xml:space="preserve"> In some </w:t>
      </w:r>
      <w:r w:rsidR="004A6597" w:rsidRPr="004C1796">
        <w:rPr>
          <w:rFonts w:ascii="Times New Roman" w:hAnsi="Times New Roman" w:cs="Times New Roman"/>
        </w:rPr>
        <w:t>jurisdictions,</w:t>
      </w:r>
      <w:r w:rsidR="007B5F69" w:rsidRPr="004C1796">
        <w:rPr>
          <w:rFonts w:ascii="Times New Roman" w:hAnsi="Times New Roman" w:cs="Times New Roman"/>
        </w:rPr>
        <w:t xml:space="preserve"> there is no accommodation of social supply</w:t>
      </w:r>
      <w:r w:rsidR="0045531E" w:rsidRPr="004C1796">
        <w:rPr>
          <w:rFonts w:ascii="Times New Roman" w:hAnsi="Times New Roman" w:cs="Times New Roman"/>
        </w:rPr>
        <w:t>,</w:t>
      </w:r>
      <w:r w:rsidR="007B5F69" w:rsidRPr="004C1796">
        <w:rPr>
          <w:rFonts w:ascii="Times New Roman" w:hAnsi="Times New Roman" w:cs="Times New Roman"/>
        </w:rPr>
        <w:t xml:space="preserve"> and while </w:t>
      </w:r>
      <w:r w:rsidR="00794176" w:rsidRPr="004C1796">
        <w:rPr>
          <w:rFonts w:ascii="Times New Roman" w:hAnsi="Times New Roman" w:cs="Times New Roman"/>
        </w:rPr>
        <w:t>aggravating factors can be</w:t>
      </w:r>
      <w:r w:rsidR="004A6597" w:rsidRPr="004C1796">
        <w:rPr>
          <w:rFonts w:ascii="Times New Roman" w:hAnsi="Times New Roman" w:cs="Times New Roman"/>
        </w:rPr>
        <w:t xml:space="preserve"> applied to differentiate more </w:t>
      </w:r>
      <w:r w:rsidR="00A6523D" w:rsidRPr="004C1796">
        <w:rPr>
          <w:rFonts w:ascii="Times New Roman" w:hAnsi="Times New Roman" w:cs="Times New Roman"/>
        </w:rPr>
        <w:t>ser</w:t>
      </w:r>
      <w:r w:rsidR="004A6597" w:rsidRPr="004C1796">
        <w:rPr>
          <w:rFonts w:ascii="Times New Roman" w:hAnsi="Times New Roman" w:cs="Times New Roman"/>
        </w:rPr>
        <w:t>ious offences,</w:t>
      </w:r>
      <w:r w:rsidR="00DF0D58" w:rsidRPr="004C1796">
        <w:rPr>
          <w:rFonts w:ascii="Times New Roman" w:hAnsi="Times New Roman" w:cs="Times New Roman"/>
        </w:rPr>
        <w:t xml:space="preserve"> social suppliers remain subject to arbitrary deterrent sentencing apparatus.</w:t>
      </w:r>
      <w:r w:rsidR="00E67B0E" w:rsidRPr="004C1796">
        <w:rPr>
          <w:rFonts w:ascii="Times New Roman" w:hAnsi="Times New Roman" w:cs="Times New Roman"/>
        </w:rPr>
        <w:t xml:space="preserve"> </w:t>
      </w:r>
      <w:r w:rsidR="000E6EC0" w:rsidRPr="004C1796">
        <w:rPr>
          <w:rFonts w:ascii="Times New Roman" w:hAnsi="Times New Roman" w:cs="Times New Roman"/>
        </w:rPr>
        <w:t xml:space="preserve"> </w:t>
      </w:r>
    </w:p>
    <w:p w14:paraId="2CB5599C" w14:textId="77777777" w:rsidR="00A20538" w:rsidRPr="004C1796" w:rsidRDefault="00A20538" w:rsidP="00896131">
      <w:pPr>
        <w:jc w:val="both"/>
        <w:rPr>
          <w:rFonts w:ascii="Times New Roman" w:hAnsi="Times New Roman" w:cs="Times New Roman"/>
          <w:b/>
        </w:rPr>
      </w:pPr>
    </w:p>
    <w:p w14:paraId="443B7AAE" w14:textId="77777777" w:rsidR="00896131" w:rsidRPr="004C1796" w:rsidRDefault="00F661BD" w:rsidP="00896131">
      <w:pPr>
        <w:jc w:val="both"/>
        <w:rPr>
          <w:rFonts w:ascii="Times New Roman" w:hAnsi="Times New Roman" w:cs="Times New Roman"/>
        </w:rPr>
      </w:pPr>
      <w:r w:rsidRPr="004C1796">
        <w:rPr>
          <w:rFonts w:ascii="Times New Roman" w:hAnsi="Times New Roman" w:cs="Times New Roman"/>
          <w:b/>
        </w:rPr>
        <w:t>Conclusion:</w:t>
      </w:r>
      <w:r w:rsidR="00656D35" w:rsidRPr="004C1796">
        <w:rPr>
          <w:rFonts w:ascii="Times New Roman" w:hAnsi="Times New Roman" w:cs="Times New Roman"/>
        </w:rPr>
        <w:t xml:space="preserve"> </w:t>
      </w:r>
      <w:r w:rsidR="008E43AD" w:rsidRPr="004C1796">
        <w:rPr>
          <w:rFonts w:ascii="Times New Roman" w:hAnsi="Times New Roman" w:cs="Times New Roman"/>
        </w:rPr>
        <w:t>Due to the shifting sands of politics, mood, or geographical disparity, r</w:t>
      </w:r>
      <w:r w:rsidR="00122267" w:rsidRPr="004C1796">
        <w:rPr>
          <w:rFonts w:ascii="Times New Roman" w:hAnsi="Times New Roman" w:cs="Times New Roman"/>
        </w:rPr>
        <w:t>eliance on judicial discretion and the u</w:t>
      </w:r>
      <w:r w:rsidR="008E43AD" w:rsidRPr="004C1796">
        <w:rPr>
          <w:rFonts w:ascii="Times New Roman" w:hAnsi="Times New Roman" w:cs="Times New Roman"/>
        </w:rPr>
        <w:t>se of mitigating</w:t>
      </w:r>
      <w:r w:rsidR="00122267" w:rsidRPr="004C1796">
        <w:rPr>
          <w:rFonts w:ascii="Times New Roman" w:hAnsi="Times New Roman" w:cs="Times New Roman"/>
        </w:rPr>
        <w:t xml:space="preserve"> circumstances </w:t>
      </w:r>
      <w:r w:rsidR="008E43AD" w:rsidRPr="004C1796">
        <w:rPr>
          <w:rFonts w:ascii="Times New Roman" w:hAnsi="Times New Roman" w:cs="Times New Roman"/>
        </w:rPr>
        <w:t>to implement commensurate sentences for social suppliers</w:t>
      </w:r>
      <w:r w:rsidR="00024035" w:rsidRPr="004C1796">
        <w:rPr>
          <w:rFonts w:ascii="Times New Roman" w:hAnsi="Times New Roman" w:cs="Times New Roman"/>
        </w:rPr>
        <w:t xml:space="preserve"> is no longer </w:t>
      </w:r>
      <w:r w:rsidR="008E43AD" w:rsidRPr="004C1796">
        <w:rPr>
          <w:rFonts w:ascii="Times New Roman" w:hAnsi="Times New Roman" w:cs="Times New Roman"/>
        </w:rPr>
        <w:t xml:space="preserve">sufficient. </w:t>
      </w:r>
      <w:r w:rsidR="004A6597" w:rsidRPr="004C1796">
        <w:rPr>
          <w:rFonts w:ascii="Times New Roman" w:hAnsi="Times New Roman" w:cs="Times New Roman"/>
        </w:rPr>
        <w:t xml:space="preserve">Further research is required </w:t>
      </w:r>
      <w:r w:rsidR="003E6C2C" w:rsidRPr="004C1796">
        <w:rPr>
          <w:rFonts w:ascii="Times New Roman" w:hAnsi="Times New Roman" w:cs="Times New Roman"/>
        </w:rPr>
        <w:t>to</w:t>
      </w:r>
      <w:r w:rsidR="004A6597" w:rsidRPr="004C1796">
        <w:rPr>
          <w:rFonts w:ascii="Times New Roman" w:hAnsi="Times New Roman" w:cs="Times New Roman"/>
        </w:rPr>
        <w:t xml:space="preserve"> </w:t>
      </w:r>
      <w:r w:rsidR="003E6C2C" w:rsidRPr="004C1796">
        <w:rPr>
          <w:rFonts w:ascii="Times New Roman" w:hAnsi="Times New Roman" w:cs="Times New Roman"/>
        </w:rPr>
        <w:t>strengthen</w:t>
      </w:r>
      <w:r w:rsidR="004A6597" w:rsidRPr="004C1796">
        <w:rPr>
          <w:rFonts w:ascii="Times New Roman" w:hAnsi="Times New Roman" w:cs="Times New Roman"/>
        </w:rPr>
        <w:t xml:space="preserve"> the conceptual presence of social supply in policy and practice as a behaviour that extends beyond cannabis and is relevant to users of all drugs. </w:t>
      </w:r>
      <w:r w:rsidR="00747F83" w:rsidRPr="004C1796">
        <w:rPr>
          <w:rFonts w:ascii="Times New Roman" w:hAnsi="Times New Roman" w:cs="Times New Roman"/>
        </w:rPr>
        <w:t>Research informed g</w:t>
      </w:r>
      <w:r w:rsidR="00122267" w:rsidRPr="004C1796">
        <w:rPr>
          <w:rFonts w:ascii="Times New Roman" w:hAnsi="Times New Roman" w:cs="Times New Roman"/>
        </w:rPr>
        <w:t>uid</w:t>
      </w:r>
      <w:r w:rsidR="004A6597" w:rsidRPr="004C1796">
        <w:rPr>
          <w:rFonts w:ascii="Times New Roman" w:hAnsi="Times New Roman" w:cs="Times New Roman"/>
        </w:rPr>
        <w:t>elines and/or specific sentencing provisions</w:t>
      </w:r>
      <w:r w:rsidR="003E6C2C" w:rsidRPr="004C1796">
        <w:rPr>
          <w:rFonts w:ascii="Times New Roman" w:hAnsi="Times New Roman" w:cs="Times New Roman"/>
        </w:rPr>
        <w:t xml:space="preserve"> for social suppliers would </w:t>
      </w:r>
      <w:r w:rsidR="000B3426" w:rsidRPr="004C1796">
        <w:rPr>
          <w:rFonts w:ascii="Times New Roman" w:hAnsi="Times New Roman" w:cs="Times New Roman"/>
        </w:rPr>
        <w:t xml:space="preserve">provide </w:t>
      </w:r>
      <w:r w:rsidR="003E6C2C" w:rsidRPr="004C1796">
        <w:rPr>
          <w:rFonts w:ascii="Times New Roman" w:hAnsi="Times New Roman" w:cs="Times New Roman"/>
        </w:rPr>
        <w:t>fewer p</w:t>
      </w:r>
      <w:r w:rsidR="00883F4D" w:rsidRPr="004C1796">
        <w:rPr>
          <w:rFonts w:ascii="Times New Roman" w:hAnsi="Times New Roman" w:cs="Times New Roman"/>
        </w:rPr>
        <w:t xml:space="preserve">ossibilities for inconsistency </w:t>
      </w:r>
      <w:r w:rsidR="00747F83" w:rsidRPr="004C1796">
        <w:rPr>
          <w:rFonts w:ascii="Times New Roman" w:hAnsi="Times New Roman" w:cs="Times New Roman"/>
        </w:rPr>
        <w:t xml:space="preserve">and </w:t>
      </w:r>
      <w:r w:rsidR="000B3426" w:rsidRPr="004C1796">
        <w:rPr>
          <w:rFonts w:ascii="Times New Roman" w:hAnsi="Times New Roman" w:cs="Times New Roman"/>
        </w:rPr>
        <w:t>promote more proportionate</w:t>
      </w:r>
      <w:r w:rsidR="004A6597" w:rsidRPr="004C1796">
        <w:rPr>
          <w:rFonts w:ascii="Times New Roman" w:hAnsi="Times New Roman" w:cs="Times New Roman"/>
        </w:rPr>
        <w:t xml:space="preserve"> outcomes for this</w:t>
      </w:r>
      <w:r w:rsidR="00F6234A" w:rsidRPr="004C1796">
        <w:rPr>
          <w:rFonts w:ascii="Times New Roman" w:hAnsi="Times New Roman" w:cs="Times New Roman"/>
        </w:rPr>
        <w:t xml:space="preserve"> </w:t>
      </w:r>
      <w:r w:rsidR="008A0114" w:rsidRPr="004C1796">
        <w:rPr>
          <w:rFonts w:ascii="Times New Roman" w:hAnsi="Times New Roman" w:cs="Times New Roman"/>
        </w:rPr>
        <w:t>fast-growing</w:t>
      </w:r>
      <w:r w:rsidR="000B3426" w:rsidRPr="004C1796">
        <w:rPr>
          <w:rFonts w:ascii="Times New Roman" w:hAnsi="Times New Roman" w:cs="Times New Roman"/>
        </w:rPr>
        <w:t xml:space="preserve"> group.</w:t>
      </w:r>
      <w:r w:rsidR="004A6597" w:rsidRPr="004C1796">
        <w:rPr>
          <w:rFonts w:ascii="Times New Roman" w:hAnsi="Times New Roman" w:cs="Times New Roman"/>
        </w:rPr>
        <w:t xml:space="preserve">  </w:t>
      </w:r>
      <w:r w:rsidR="00122267" w:rsidRPr="004C1796">
        <w:rPr>
          <w:rFonts w:ascii="Times New Roman" w:hAnsi="Times New Roman" w:cs="Times New Roman"/>
        </w:rPr>
        <w:t xml:space="preserve"> </w:t>
      </w:r>
    </w:p>
    <w:p w14:paraId="38DE4A37" w14:textId="77777777" w:rsidR="001A3BFD" w:rsidRPr="004C1796" w:rsidRDefault="00896131" w:rsidP="003C3479">
      <w:pPr>
        <w:jc w:val="both"/>
        <w:rPr>
          <w:rFonts w:ascii="Times New Roman" w:hAnsi="Times New Roman" w:cs="Times New Roman"/>
        </w:rPr>
      </w:pPr>
      <w:r w:rsidRPr="004C1796">
        <w:rPr>
          <w:rFonts w:ascii="Times New Roman" w:hAnsi="Times New Roman" w:cs="Times New Roman"/>
        </w:rPr>
        <w:t xml:space="preserve">   </w:t>
      </w:r>
    </w:p>
    <w:p w14:paraId="42D1F420" w14:textId="77777777" w:rsidR="00387006" w:rsidRPr="004C1796" w:rsidRDefault="001A3BFD">
      <w:pPr>
        <w:rPr>
          <w:rFonts w:ascii="Times New Roman" w:hAnsi="Times New Roman" w:cs="Times New Roman"/>
        </w:rPr>
      </w:pPr>
      <w:r w:rsidRPr="004C1796">
        <w:rPr>
          <w:rFonts w:ascii="Times New Roman" w:hAnsi="Times New Roman" w:cs="Times New Roman"/>
          <w:b/>
        </w:rPr>
        <w:t>Keywords</w:t>
      </w:r>
      <w:r w:rsidRPr="004C1796">
        <w:rPr>
          <w:rFonts w:ascii="Times New Roman" w:hAnsi="Times New Roman" w:cs="Times New Roman"/>
        </w:rPr>
        <w:t xml:space="preserve">: social supply; minimally commercial supply; user-dealers; friend supply; </w:t>
      </w:r>
      <w:r w:rsidR="00573F2C" w:rsidRPr="004C1796">
        <w:rPr>
          <w:rFonts w:ascii="Times New Roman" w:hAnsi="Times New Roman" w:cs="Times New Roman"/>
        </w:rPr>
        <w:t>drugs; drug dealing</w:t>
      </w:r>
      <w:r w:rsidR="00E41833" w:rsidRPr="004C1796">
        <w:rPr>
          <w:rFonts w:ascii="Times New Roman" w:hAnsi="Times New Roman" w:cs="Times New Roman"/>
        </w:rPr>
        <w:t xml:space="preserve">; proportionality; </w:t>
      </w:r>
    </w:p>
    <w:p w14:paraId="0B8F48CB" w14:textId="77777777" w:rsidR="00425040" w:rsidRPr="004C1796" w:rsidRDefault="00425040" w:rsidP="00E7752F">
      <w:pPr>
        <w:outlineLvl w:val="0"/>
        <w:rPr>
          <w:rFonts w:ascii="Times New Roman" w:hAnsi="Times New Roman" w:cs="Times New Roman"/>
          <w:b/>
        </w:rPr>
      </w:pPr>
    </w:p>
    <w:p w14:paraId="12E84D12" w14:textId="77777777" w:rsidR="00935CA7" w:rsidRPr="004C1796" w:rsidRDefault="00935CA7" w:rsidP="00E7752F">
      <w:pPr>
        <w:outlineLvl w:val="0"/>
        <w:rPr>
          <w:rFonts w:ascii="Times New Roman" w:hAnsi="Times New Roman" w:cs="Times New Roman"/>
          <w:b/>
        </w:rPr>
      </w:pPr>
    </w:p>
    <w:p w14:paraId="74E15D4A" w14:textId="77777777" w:rsidR="00935CA7" w:rsidRPr="004C1796" w:rsidRDefault="00935CA7" w:rsidP="00E7752F">
      <w:pPr>
        <w:outlineLvl w:val="0"/>
        <w:rPr>
          <w:rFonts w:ascii="Times New Roman" w:hAnsi="Times New Roman" w:cs="Times New Roman"/>
          <w:b/>
        </w:rPr>
      </w:pPr>
    </w:p>
    <w:p w14:paraId="04C4D11A" w14:textId="77777777" w:rsidR="00A20538" w:rsidRPr="004C1796" w:rsidRDefault="00A20538" w:rsidP="00E7752F">
      <w:pPr>
        <w:outlineLvl w:val="0"/>
        <w:rPr>
          <w:rFonts w:ascii="Times New Roman" w:hAnsi="Times New Roman" w:cs="Times New Roman"/>
          <w:b/>
        </w:rPr>
      </w:pPr>
    </w:p>
    <w:p w14:paraId="0D96979C" w14:textId="77777777" w:rsidR="00A20538" w:rsidRPr="004C1796" w:rsidRDefault="00A20538" w:rsidP="00E7752F">
      <w:pPr>
        <w:outlineLvl w:val="0"/>
        <w:rPr>
          <w:rFonts w:ascii="Times New Roman" w:hAnsi="Times New Roman" w:cs="Times New Roman"/>
          <w:b/>
        </w:rPr>
      </w:pPr>
    </w:p>
    <w:p w14:paraId="6542E1E2" w14:textId="77777777" w:rsidR="00DD4850" w:rsidRPr="004C1796" w:rsidRDefault="00F228BB" w:rsidP="00E7752F">
      <w:pPr>
        <w:outlineLvl w:val="0"/>
        <w:rPr>
          <w:rFonts w:ascii="Times New Roman" w:hAnsi="Times New Roman" w:cs="Times New Roman"/>
          <w:b/>
        </w:rPr>
      </w:pPr>
      <w:r w:rsidRPr="004C1796">
        <w:rPr>
          <w:rFonts w:ascii="Times New Roman" w:hAnsi="Times New Roman" w:cs="Times New Roman"/>
          <w:b/>
        </w:rPr>
        <w:lastRenderedPageBreak/>
        <w:t>Background</w:t>
      </w:r>
    </w:p>
    <w:p w14:paraId="51E08D5E" w14:textId="77777777" w:rsidR="00C2052A" w:rsidRPr="004C1796" w:rsidRDefault="00C2052A">
      <w:pPr>
        <w:rPr>
          <w:rFonts w:ascii="Times New Roman" w:hAnsi="Times New Roman" w:cs="Times New Roman"/>
          <w:b/>
        </w:rPr>
      </w:pPr>
    </w:p>
    <w:p w14:paraId="2E9C2910" w14:textId="77777777" w:rsidR="008D25B9" w:rsidRPr="004C1796" w:rsidRDefault="002732AD" w:rsidP="00197B88">
      <w:pPr>
        <w:spacing w:line="360" w:lineRule="auto"/>
        <w:jc w:val="both"/>
        <w:rPr>
          <w:rFonts w:ascii="Times New Roman" w:hAnsi="Times New Roman" w:cs="Times New Roman"/>
        </w:rPr>
      </w:pPr>
      <w:r w:rsidRPr="004C1796">
        <w:rPr>
          <w:rFonts w:ascii="Times New Roman" w:hAnsi="Times New Roman" w:cs="Times New Roman"/>
        </w:rPr>
        <w:t xml:space="preserve">In 2000, the Police Foundation published its </w:t>
      </w:r>
      <w:r w:rsidR="00EF5412" w:rsidRPr="004C1796">
        <w:rPr>
          <w:rFonts w:ascii="Times New Roman" w:hAnsi="Times New Roman" w:cs="Times New Roman"/>
        </w:rPr>
        <w:t>i</w:t>
      </w:r>
      <w:r w:rsidRPr="004C1796">
        <w:rPr>
          <w:rFonts w:ascii="Times New Roman" w:hAnsi="Times New Roman" w:cs="Times New Roman"/>
        </w:rPr>
        <w:t>nquiry into</w:t>
      </w:r>
      <w:r w:rsidR="00A92235" w:rsidRPr="004C1796">
        <w:rPr>
          <w:rFonts w:ascii="Times New Roman" w:hAnsi="Times New Roman" w:cs="Times New Roman"/>
        </w:rPr>
        <w:t xml:space="preserve"> </w:t>
      </w:r>
      <w:r w:rsidRPr="004C1796">
        <w:rPr>
          <w:rFonts w:ascii="Times New Roman" w:hAnsi="Times New Roman" w:cs="Times New Roman"/>
        </w:rPr>
        <w:t>the</w:t>
      </w:r>
      <w:r w:rsidR="00F269BE" w:rsidRPr="004C1796">
        <w:rPr>
          <w:rFonts w:ascii="Times New Roman" w:hAnsi="Times New Roman" w:cs="Times New Roman"/>
        </w:rPr>
        <w:t xml:space="preserve"> United Kingdom’s</w:t>
      </w:r>
      <w:r w:rsidRPr="004C1796">
        <w:rPr>
          <w:rFonts w:ascii="Times New Roman" w:hAnsi="Times New Roman" w:cs="Times New Roman"/>
        </w:rPr>
        <w:t xml:space="preserve"> Misuse of Drugs Act 1971, and in it raised the issue</w:t>
      </w:r>
      <w:r w:rsidR="00EB5660" w:rsidRPr="004C1796">
        <w:rPr>
          <w:rFonts w:ascii="Times New Roman" w:hAnsi="Times New Roman" w:cs="Times New Roman"/>
        </w:rPr>
        <w:t xml:space="preserve"> </w:t>
      </w:r>
      <w:r w:rsidR="00A92235" w:rsidRPr="004C1796">
        <w:rPr>
          <w:rFonts w:ascii="Times New Roman" w:hAnsi="Times New Roman" w:cs="Times New Roman"/>
        </w:rPr>
        <w:t xml:space="preserve">that too </w:t>
      </w:r>
      <w:r w:rsidRPr="004C1796">
        <w:rPr>
          <w:rFonts w:ascii="Times New Roman" w:hAnsi="Times New Roman" w:cs="Times New Roman"/>
        </w:rPr>
        <w:t>many of those prosecuted for supply</w:t>
      </w:r>
      <w:r w:rsidR="00C1287B" w:rsidRPr="004C1796">
        <w:rPr>
          <w:rFonts w:ascii="Times New Roman" w:hAnsi="Times New Roman" w:cs="Times New Roman"/>
        </w:rPr>
        <w:t xml:space="preserve"> offence</w:t>
      </w:r>
      <w:r w:rsidR="009232C6" w:rsidRPr="004C1796">
        <w:rPr>
          <w:rFonts w:ascii="Times New Roman" w:hAnsi="Times New Roman" w:cs="Times New Roman"/>
        </w:rPr>
        <w:t>s</w:t>
      </w:r>
      <w:r w:rsidRPr="004C1796">
        <w:rPr>
          <w:rFonts w:ascii="Times New Roman" w:hAnsi="Times New Roman" w:cs="Times New Roman"/>
        </w:rPr>
        <w:t xml:space="preserve"> </w:t>
      </w:r>
      <w:r w:rsidR="00815AE2" w:rsidRPr="004C1796">
        <w:rPr>
          <w:rFonts w:ascii="Times New Roman" w:hAnsi="Times New Roman" w:cs="Times New Roman"/>
        </w:rPr>
        <w:t xml:space="preserve">did not resemble </w:t>
      </w:r>
      <w:r w:rsidRPr="004C1796">
        <w:rPr>
          <w:rFonts w:ascii="Times New Roman" w:hAnsi="Times New Roman" w:cs="Times New Roman"/>
        </w:rPr>
        <w:t xml:space="preserve">the type of supplier that the Act was </w:t>
      </w:r>
      <w:r w:rsidR="00F03853" w:rsidRPr="004C1796">
        <w:rPr>
          <w:rFonts w:ascii="Times New Roman" w:hAnsi="Times New Roman" w:cs="Times New Roman"/>
        </w:rPr>
        <w:t>initially</w:t>
      </w:r>
      <w:r w:rsidR="009232C6" w:rsidRPr="004C1796">
        <w:rPr>
          <w:rFonts w:ascii="Times New Roman" w:hAnsi="Times New Roman" w:cs="Times New Roman"/>
        </w:rPr>
        <w:t xml:space="preserve"> </w:t>
      </w:r>
      <w:r w:rsidRPr="004C1796">
        <w:rPr>
          <w:rFonts w:ascii="Times New Roman" w:hAnsi="Times New Roman" w:cs="Times New Roman"/>
        </w:rPr>
        <w:t>designed to</w:t>
      </w:r>
      <w:r w:rsidR="00EB5660" w:rsidRPr="004C1796">
        <w:rPr>
          <w:rFonts w:ascii="Times New Roman" w:hAnsi="Times New Roman" w:cs="Times New Roman"/>
        </w:rPr>
        <w:t xml:space="preserve"> </w:t>
      </w:r>
      <w:r w:rsidRPr="004C1796">
        <w:rPr>
          <w:rFonts w:ascii="Times New Roman" w:hAnsi="Times New Roman" w:cs="Times New Roman"/>
        </w:rPr>
        <w:t>capture and prosecute</w:t>
      </w:r>
      <w:r w:rsidR="00052B65" w:rsidRPr="004C1796">
        <w:rPr>
          <w:rFonts w:ascii="Times New Roman" w:hAnsi="Times New Roman" w:cs="Times New Roman"/>
        </w:rPr>
        <w:t xml:space="preserve"> (Coomber &amp; Moyle, 2013)</w:t>
      </w:r>
      <w:r w:rsidR="00FA5E89" w:rsidRPr="004C1796">
        <w:rPr>
          <w:rFonts w:ascii="Times New Roman" w:hAnsi="Times New Roman" w:cs="Times New Roman"/>
        </w:rPr>
        <w:t xml:space="preserve">. </w:t>
      </w:r>
      <w:r w:rsidR="00C1287B" w:rsidRPr="004C1796">
        <w:rPr>
          <w:rFonts w:ascii="Times New Roman" w:hAnsi="Times New Roman" w:cs="Times New Roman"/>
        </w:rPr>
        <w:t>Viscount</w:t>
      </w:r>
      <w:r w:rsidR="00301DA4" w:rsidRPr="004C1796">
        <w:rPr>
          <w:rFonts w:ascii="Times New Roman" w:hAnsi="Times New Roman" w:cs="Times New Roman"/>
        </w:rPr>
        <w:t>ess</w:t>
      </w:r>
      <w:r w:rsidR="00C1287B" w:rsidRPr="004C1796">
        <w:rPr>
          <w:rFonts w:ascii="Times New Roman" w:hAnsi="Times New Roman" w:cs="Times New Roman"/>
        </w:rPr>
        <w:t xml:space="preserve"> Runiciman, the author of the report</w:t>
      </w:r>
      <w:r w:rsidR="009232C6" w:rsidRPr="004C1796">
        <w:rPr>
          <w:rFonts w:ascii="Times New Roman" w:hAnsi="Times New Roman" w:cs="Times New Roman"/>
        </w:rPr>
        <w:t>,</w:t>
      </w:r>
      <w:r w:rsidR="00E265B2" w:rsidRPr="004C1796">
        <w:rPr>
          <w:rFonts w:ascii="Times New Roman" w:hAnsi="Times New Roman" w:cs="Times New Roman"/>
        </w:rPr>
        <w:t xml:space="preserve"> distinguished between</w:t>
      </w:r>
      <w:r w:rsidRPr="004C1796">
        <w:rPr>
          <w:rFonts w:ascii="Times New Roman" w:hAnsi="Times New Roman" w:cs="Times New Roman"/>
        </w:rPr>
        <w:t xml:space="preserve"> ‘dealers proper’, whose</w:t>
      </w:r>
      <w:r w:rsidR="00A92235" w:rsidRPr="004C1796">
        <w:rPr>
          <w:rFonts w:ascii="Times New Roman" w:hAnsi="Times New Roman" w:cs="Times New Roman"/>
        </w:rPr>
        <w:t xml:space="preserve"> </w:t>
      </w:r>
      <w:r w:rsidRPr="004C1796">
        <w:rPr>
          <w:rFonts w:ascii="Times New Roman" w:hAnsi="Times New Roman" w:cs="Times New Roman"/>
        </w:rPr>
        <w:t>supply activity was essentially commercial in nature</w:t>
      </w:r>
      <w:r w:rsidR="00EB5660" w:rsidRPr="004C1796">
        <w:rPr>
          <w:rFonts w:ascii="Times New Roman" w:hAnsi="Times New Roman" w:cs="Times New Roman"/>
        </w:rPr>
        <w:t xml:space="preserve"> </w:t>
      </w:r>
      <w:r w:rsidR="00E265B2" w:rsidRPr="004C1796">
        <w:rPr>
          <w:rFonts w:ascii="Times New Roman" w:hAnsi="Times New Roman" w:cs="Times New Roman"/>
        </w:rPr>
        <w:t>and</w:t>
      </w:r>
      <w:r w:rsidR="00A1581B" w:rsidRPr="004C1796">
        <w:rPr>
          <w:rFonts w:ascii="Times New Roman" w:hAnsi="Times New Roman" w:cs="Times New Roman"/>
        </w:rPr>
        <w:t xml:space="preserve"> characterised by a more seriou</w:t>
      </w:r>
      <w:r w:rsidR="00605FF2" w:rsidRPr="004C1796">
        <w:rPr>
          <w:rFonts w:ascii="Times New Roman" w:hAnsi="Times New Roman" w:cs="Times New Roman"/>
        </w:rPr>
        <w:t>s culpability</w:t>
      </w:r>
      <w:r w:rsidR="001F2845" w:rsidRPr="004C1796">
        <w:rPr>
          <w:rFonts w:ascii="Times New Roman" w:hAnsi="Times New Roman" w:cs="Times New Roman"/>
        </w:rPr>
        <w:t>,</w:t>
      </w:r>
      <w:r w:rsidR="00E265B2" w:rsidRPr="004C1796">
        <w:rPr>
          <w:rFonts w:ascii="Times New Roman" w:hAnsi="Times New Roman" w:cs="Times New Roman"/>
        </w:rPr>
        <w:t xml:space="preserve"> with ‘acts of a different gravity’</w:t>
      </w:r>
      <w:r w:rsidR="006F0764" w:rsidRPr="004C1796">
        <w:rPr>
          <w:rFonts w:ascii="Times New Roman" w:hAnsi="Times New Roman" w:cs="Times New Roman"/>
        </w:rPr>
        <w:t xml:space="preserve"> -</w:t>
      </w:r>
      <w:r w:rsidR="00026BD9" w:rsidRPr="004C1796">
        <w:rPr>
          <w:rFonts w:ascii="Times New Roman" w:hAnsi="Times New Roman" w:cs="Times New Roman"/>
        </w:rPr>
        <w:t xml:space="preserve"> </w:t>
      </w:r>
      <w:r w:rsidR="006F0764" w:rsidRPr="004C1796">
        <w:rPr>
          <w:rFonts w:ascii="Times New Roman" w:hAnsi="Times New Roman" w:cs="Times New Roman"/>
        </w:rPr>
        <w:t xml:space="preserve"> </w:t>
      </w:r>
      <w:r w:rsidR="007F43C6" w:rsidRPr="004C1796">
        <w:rPr>
          <w:rFonts w:ascii="Times New Roman" w:hAnsi="Times New Roman" w:cs="Times New Roman"/>
        </w:rPr>
        <w:t>that of</w:t>
      </w:r>
      <w:r w:rsidR="00A01E6A" w:rsidRPr="004C1796">
        <w:rPr>
          <w:rFonts w:ascii="Times New Roman" w:hAnsi="Times New Roman" w:cs="Times New Roman"/>
        </w:rPr>
        <w:t xml:space="preserve"> supply </w:t>
      </w:r>
      <w:r w:rsidR="00FC3F10" w:rsidRPr="004C1796">
        <w:rPr>
          <w:rFonts w:ascii="Times New Roman" w:hAnsi="Times New Roman" w:cs="Times New Roman"/>
        </w:rPr>
        <w:t>‘</w:t>
      </w:r>
      <w:r w:rsidR="00A01E6A" w:rsidRPr="004C1796">
        <w:rPr>
          <w:rFonts w:ascii="Times New Roman" w:hAnsi="Times New Roman" w:cs="Times New Roman"/>
        </w:rPr>
        <w:t>for the purposes of</w:t>
      </w:r>
      <w:r w:rsidR="007F43C6" w:rsidRPr="004C1796">
        <w:rPr>
          <w:rFonts w:ascii="Times New Roman" w:hAnsi="Times New Roman" w:cs="Times New Roman"/>
        </w:rPr>
        <w:t xml:space="preserve"> </w:t>
      </w:r>
      <w:r w:rsidR="00A03EEA" w:rsidRPr="004C1796">
        <w:rPr>
          <w:rFonts w:ascii="Times New Roman" w:hAnsi="Times New Roman" w:cs="Times New Roman"/>
        </w:rPr>
        <w:t>small-scale consumption between friends</w:t>
      </w:r>
      <w:r w:rsidR="00B05567" w:rsidRPr="004C1796">
        <w:rPr>
          <w:rFonts w:ascii="Times New Roman" w:hAnsi="Times New Roman" w:cs="Times New Roman"/>
        </w:rPr>
        <w:t>’</w:t>
      </w:r>
      <w:r w:rsidR="006F0764" w:rsidRPr="004C1796">
        <w:rPr>
          <w:rFonts w:ascii="Times New Roman" w:hAnsi="Times New Roman" w:cs="Times New Roman"/>
        </w:rPr>
        <w:t xml:space="preserve"> (p.63</w:t>
      </w:r>
      <w:r w:rsidR="00A01E6A" w:rsidRPr="004C1796">
        <w:rPr>
          <w:rFonts w:ascii="Times New Roman" w:hAnsi="Times New Roman" w:cs="Times New Roman"/>
        </w:rPr>
        <w:t>)</w:t>
      </w:r>
      <w:r w:rsidR="00A03EEA" w:rsidRPr="004C1796">
        <w:rPr>
          <w:rFonts w:ascii="Times New Roman" w:hAnsi="Times New Roman" w:cs="Times New Roman"/>
        </w:rPr>
        <w:t xml:space="preserve">. </w:t>
      </w:r>
      <w:r w:rsidR="008A6909" w:rsidRPr="004C1796">
        <w:rPr>
          <w:rFonts w:ascii="Times New Roman" w:hAnsi="Times New Roman" w:cs="Times New Roman"/>
        </w:rPr>
        <w:t xml:space="preserve">The recommendations of the Runciman report </w:t>
      </w:r>
      <w:r w:rsidR="00052B65" w:rsidRPr="004C1796">
        <w:rPr>
          <w:rFonts w:ascii="Times New Roman" w:hAnsi="Times New Roman" w:cs="Times New Roman"/>
        </w:rPr>
        <w:t>came at a moment in which many ‘developed’ nations were recognising</w:t>
      </w:r>
      <w:r w:rsidR="006F69A1" w:rsidRPr="004C1796">
        <w:rPr>
          <w:rFonts w:ascii="Times New Roman" w:hAnsi="Times New Roman" w:cs="Times New Roman"/>
        </w:rPr>
        <w:t>,</w:t>
      </w:r>
      <w:r w:rsidR="00052B65" w:rsidRPr="004C1796">
        <w:rPr>
          <w:rFonts w:ascii="Times New Roman" w:hAnsi="Times New Roman" w:cs="Times New Roman"/>
        </w:rPr>
        <w:t xml:space="preserve"> and </w:t>
      </w:r>
      <w:r w:rsidR="00FB524B" w:rsidRPr="004C1796">
        <w:rPr>
          <w:rFonts w:ascii="Times New Roman" w:hAnsi="Times New Roman" w:cs="Times New Roman"/>
        </w:rPr>
        <w:t xml:space="preserve">in some cases </w:t>
      </w:r>
      <w:r w:rsidR="00052B65" w:rsidRPr="004C1796">
        <w:rPr>
          <w:rFonts w:ascii="Times New Roman" w:hAnsi="Times New Roman" w:cs="Times New Roman"/>
        </w:rPr>
        <w:t>accepting</w:t>
      </w:r>
      <w:r w:rsidR="00605FF2" w:rsidRPr="004C1796">
        <w:rPr>
          <w:rFonts w:ascii="Times New Roman" w:hAnsi="Times New Roman" w:cs="Times New Roman"/>
        </w:rPr>
        <w:t xml:space="preserve"> the</w:t>
      </w:r>
      <w:r w:rsidR="00052B65" w:rsidRPr="004C1796">
        <w:rPr>
          <w:rFonts w:ascii="Times New Roman" w:hAnsi="Times New Roman" w:cs="Times New Roman"/>
        </w:rPr>
        <w:t xml:space="preserve"> </w:t>
      </w:r>
      <w:r w:rsidR="000E7522" w:rsidRPr="004C1796">
        <w:rPr>
          <w:rFonts w:ascii="Times New Roman" w:hAnsi="Times New Roman" w:cs="Times New Roman"/>
        </w:rPr>
        <w:t>‘</w:t>
      </w:r>
      <w:r w:rsidR="00FB524B" w:rsidRPr="004C1796">
        <w:rPr>
          <w:rFonts w:ascii="Times New Roman" w:hAnsi="Times New Roman" w:cs="Times New Roman"/>
        </w:rPr>
        <w:t>normalisation</w:t>
      </w:r>
      <w:r w:rsidR="000E7522" w:rsidRPr="004C1796">
        <w:rPr>
          <w:rFonts w:ascii="Times New Roman" w:hAnsi="Times New Roman" w:cs="Times New Roman"/>
        </w:rPr>
        <w:t>’</w:t>
      </w:r>
      <w:r w:rsidR="00BD3A69" w:rsidRPr="004C1796">
        <w:rPr>
          <w:rFonts w:ascii="Times New Roman" w:hAnsi="Times New Roman" w:cs="Times New Roman"/>
        </w:rPr>
        <w:t xml:space="preserve"> (Parker, Aldridge &amp; Measham, </w:t>
      </w:r>
      <w:r w:rsidR="00693B38" w:rsidRPr="004C1796">
        <w:rPr>
          <w:rFonts w:ascii="Times New Roman" w:hAnsi="Times New Roman" w:cs="Times New Roman"/>
        </w:rPr>
        <w:t>1998)</w:t>
      </w:r>
      <w:r w:rsidR="00FB524B" w:rsidRPr="004C1796">
        <w:rPr>
          <w:rFonts w:ascii="Times New Roman" w:hAnsi="Times New Roman" w:cs="Times New Roman"/>
        </w:rPr>
        <w:t xml:space="preserve"> of </w:t>
      </w:r>
      <w:r w:rsidR="007844BF" w:rsidRPr="004C1796">
        <w:rPr>
          <w:rFonts w:ascii="Times New Roman" w:hAnsi="Times New Roman" w:cs="Times New Roman"/>
        </w:rPr>
        <w:t xml:space="preserve">recreational </w:t>
      </w:r>
      <w:r w:rsidR="00FB524B" w:rsidRPr="004C1796">
        <w:rPr>
          <w:rFonts w:ascii="Times New Roman" w:hAnsi="Times New Roman" w:cs="Times New Roman"/>
        </w:rPr>
        <w:t>drug use</w:t>
      </w:r>
      <w:r w:rsidR="00FD629B" w:rsidRPr="004C1796">
        <w:rPr>
          <w:rFonts w:ascii="Times New Roman" w:hAnsi="Times New Roman" w:cs="Times New Roman"/>
        </w:rPr>
        <w:t xml:space="preserve">. </w:t>
      </w:r>
      <w:r w:rsidR="00596A87" w:rsidRPr="004C1796">
        <w:rPr>
          <w:rFonts w:ascii="Times New Roman" w:hAnsi="Times New Roman" w:cs="Times New Roman"/>
        </w:rPr>
        <w:t>N</w:t>
      </w:r>
      <w:r w:rsidR="00FD629B" w:rsidRPr="004C1796">
        <w:rPr>
          <w:rFonts w:ascii="Times New Roman" w:hAnsi="Times New Roman" w:cs="Times New Roman"/>
        </w:rPr>
        <w:t>ormalisation does not mean ‘everyone’ is now a drug user</w:t>
      </w:r>
      <w:r w:rsidR="0044044F" w:rsidRPr="004C1796">
        <w:rPr>
          <w:rFonts w:ascii="Times New Roman" w:hAnsi="Times New Roman" w:cs="Times New Roman"/>
        </w:rPr>
        <w:t>, nor condone drug use or otherwise</w:t>
      </w:r>
      <w:r w:rsidR="00FD629B" w:rsidRPr="004C1796">
        <w:rPr>
          <w:rFonts w:ascii="Times New Roman" w:hAnsi="Times New Roman" w:cs="Times New Roman"/>
        </w:rPr>
        <w:t xml:space="preserve">; nonetheless, </w:t>
      </w:r>
      <w:r w:rsidR="002B3B48" w:rsidRPr="004C1796">
        <w:rPr>
          <w:rFonts w:ascii="Times New Roman" w:hAnsi="Times New Roman" w:cs="Times New Roman"/>
        </w:rPr>
        <w:t xml:space="preserve">it does suggest that </w:t>
      </w:r>
      <w:r w:rsidR="00FD629B" w:rsidRPr="004C1796">
        <w:rPr>
          <w:rFonts w:ascii="Times New Roman" w:hAnsi="Times New Roman" w:cs="Times New Roman"/>
        </w:rPr>
        <w:t>drug users are now as likely to come from a range of ‘normal’ backgrounds crossing the social spectrum as be associated with socially excluded populations (South, 1999).</w:t>
      </w:r>
      <w:r w:rsidR="00042529" w:rsidRPr="004C1796">
        <w:rPr>
          <w:rFonts w:ascii="Times New Roman" w:hAnsi="Times New Roman" w:cs="Times New Roman"/>
        </w:rPr>
        <w:t xml:space="preserve"> </w:t>
      </w:r>
      <w:r w:rsidR="0040186B" w:rsidRPr="004C1796">
        <w:rPr>
          <w:rFonts w:ascii="Times New Roman" w:hAnsi="Times New Roman" w:cs="Times New Roman"/>
        </w:rPr>
        <w:t>With ‘se</w:t>
      </w:r>
      <w:r w:rsidR="00C22704" w:rsidRPr="004C1796">
        <w:rPr>
          <w:rFonts w:ascii="Times New Roman" w:hAnsi="Times New Roman" w:cs="Times New Roman"/>
        </w:rPr>
        <w:t>nsible’ recreational drug use</w:t>
      </w:r>
      <w:r w:rsidR="0040186B" w:rsidRPr="004C1796">
        <w:rPr>
          <w:rFonts w:ascii="Times New Roman" w:hAnsi="Times New Roman" w:cs="Times New Roman"/>
        </w:rPr>
        <w:t xml:space="preserve"> continuing to be gradually further accommodated into the lifestyles of ordinary young Britons</w:t>
      </w:r>
      <w:r w:rsidR="0076306F" w:rsidRPr="004C1796">
        <w:rPr>
          <w:rFonts w:ascii="Times New Roman" w:hAnsi="Times New Roman" w:cs="Times New Roman"/>
        </w:rPr>
        <w:t xml:space="preserve"> (Parker et a</w:t>
      </w:r>
      <w:r w:rsidR="0040186B" w:rsidRPr="004C1796">
        <w:rPr>
          <w:rFonts w:ascii="Times New Roman" w:hAnsi="Times New Roman" w:cs="Times New Roman"/>
        </w:rPr>
        <w:t>l.,</w:t>
      </w:r>
      <w:r w:rsidR="00BD3A69" w:rsidRPr="004C1796">
        <w:rPr>
          <w:rFonts w:ascii="Times New Roman" w:hAnsi="Times New Roman" w:cs="Times New Roman"/>
        </w:rPr>
        <w:t xml:space="preserve"> 1998</w:t>
      </w:r>
      <w:r w:rsidR="0040186B" w:rsidRPr="004C1796">
        <w:rPr>
          <w:rFonts w:ascii="Times New Roman" w:hAnsi="Times New Roman" w:cs="Times New Roman"/>
        </w:rPr>
        <w:t>),</w:t>
      </w:r>
      <w:r w:rsidR="007E0F77" w:rsidRPr="004C1796">
        <w:rPr>
          <w:rFonts w:ascii="Times New Roman" w:hAnsi="Times New Roman" w:cs="Times New Roman"/>
        </w:rPr>
        <w:t xml:space="preserve"> i</w:t>
      </w:r>
      <w:r w:rsidR="006C24E9" w:rsidRPr="004C1796">
        <w:rPr>
          <w:rFonts w:ascii="Times New Roman" w:hAnsi="Times New Roman" w:cs="Times New Roman"/>
        </w:rPr>
        <w:t xml:space="preserve">t </w:t>
      </w:r>
      <w:r w:rsidR="0076306F" w:rsidRPr="004C1796">
        <w:rPr>
          <w:rFonts w:ascii="Times New Roman" w:hAnsi="Times New Roman" w:cs="Times New Roman"/>
        </w:rPr>
        <w:t>has</w:t>
      </w:r>
      <w:r w:rsidR="005A4538" w:rsidRPr="004C1796">
        <w:rPr>
          <w:rFonts w:ascii="Times New Roman" w:hAnsi="Times New Roman" w:cs="Times New Roman"/>
        </w:rPr>
        <w:t xml:space="preserve"> recently</w:t>
      </w:r>
      <w:r w:rsidR="00543C68" w:rsidRPr="004C1796">
        <w:rPr>
          <w:rFonts w:ascii="Times New Roman" w:hAnsi="Times New Roman" w:cs="Times New Roman"/>
        </w:rPr>
        <w:t xml:space="preserve"> </w:t>
      </w:r>
      <w:r w:rsidR="0076306F" w:rsidRPr="004C1796">
        <w:rPr>
          <w:rFonts w:ascii="Times New Roman" w:hAnsi="Times New Roman" w:cs="Times New Roman"/>
        </w:rPr>
        <w:t xml:space="preserve">been </w:t>
      </w:r>
      <w:r w:rsidR="006C24E9" w:rsidRPr="004C1796">
        <w:rPr>
          <w:rFonts w:ascii="Times New Roman" w:hAnsi="Times New Roman" w:cs="Times New Roman"/>
        </w:rPr>
        <w:t xml:space="preserve">suggested that </w:t>
      </w:r>
      <w:r w:rsidR="006C24E9" w:rsidRPr="004C1796">
        <w:rPr>
          <w:rFonts w:ascii="Times New Roman" w:hAnsi="Times New Roman" w:cs="Times New Roman"/>
          <w:color w:val="2F2A2B"/>
          <w:lang w:eastAsia="en-GB"/>
        </w:rPr>
        <w:t>this relative normalisation of recreational drug use in the UK has been</w:t>
      </w:r>
      <w:r w:rsidR="006C24E9" w:rsidRPr="004C1796">
        <w:rPr>
          <w:rFonts w:ascii="Times New Roman" w:hAnsi="Times New Roman" w:cs="Times New Roman"/>
        </w:rPr>
        <w:t xml:space="preserve"> ‘</w:t>
      </w:r>
      <w:r w:rsidR="006C24E9" w:rsidRPr="004C1796">
        <w:rPr>
          <w:rFonts w:ascii="Times New Roman" w:hAnsi="Times New Roman" w:cs="Times New Roman"/>
          <w:color w:val="2F2A2B"/>
          <w:lang w:eastAsia="en-GB"/>
        </w:rPr>
        <w:t>productive of, and fused with</w:t>
      </w:r>
      <w:r w:rsidR="007E0F77" w:rsidRPr="004C1796">
        <w:rPr>
          <w:rFonts w:ascii="Times New Roman" w:hAnsi="Times New Roman" w:cs="Times New Roman"/>
          <w:color w:val="2F2A2B"/>
          <w:lang w:eastAsia="en-GB"/>
        </w:rPr>
        <w:t>’</w:t>
      </w:r>
      <w:r w:rsidR="006C24E9" w:rsidRPr="004C1796">
        <w:rPr>
          <w:rFonts w:ascii="Times New Roman" w:hAnsi="Times New Roman" w:cs="Times New Roman"/>
          <w:color w:val="2F2A2B"/>
          <w:lang w:eastAsia="en-GB"/>
        </w:rPr>
        <w:t xml:space="preserve"> the relativel</w:t>
      </w:r>
      <w:r w:rsidR="007E0F77" w:rsidRPr="004C1796">
        <w:rPr>
          <w:rFonts w:ascii="Times New Roman" w:hAnsi="Times New Roman" w:cs="Times New Roman"/>
          <w:color w:val="2F2A2B"/>
          <w:lang w:eastAsia="en-GB"/>
        </w:rPr>
        <w:t xml:space="preserve">y normalised, </w:t>
      </w:r>
      <w:r w:rsidR="006C24E9" w:rsidRPr="004C1796">
        <w:rPr>
          <w:rFonts w:ascii="Times New Roman" w:hAnsi="Times New Roman" w:cs="Times New Roman"/>
          <w:color w:val="2F2A2B"/>
          <w:lang w:eastAsia="en-GB"/>
        </w:rPr>
        <w:t xml:space="preserve">non-commercial </w:t>
      </w:r>
      <w:r w:rsidR="006C24E9" w:rsidRPr="004C1796">
        <w:rPr>
          <w:rFonts w:ascii="Times New Roman" w:hAnsi="Times New Roman" w:cs="Times New Roman"/>
          <w:i/>
          <w:color w:val="2F2A2B"/>
          <w:lang w:eastAsia="en-GB"/>
        </w:rPr>
        <w:t xml:space="preserve">supply </w:t>
      </w:r>
      <w:r w:rsidR="00BD3A69" w:rsidRPr="004C1796">
        <w:rPr>
          <w:rFonts w:ascii="Times New Roman" w:hAnsi="Times New Roman" w:cs="Times New Roman"/>
          <w:color w:val="2F2A2B"/>
          <w:lang w:eastAsia="en-GB"/>
        </w:rPr>
        <w:t>of recreational drugs’ (Coomber, Moyle &amp; South</w:t>
      </w:r>
      <w:r w:rsidR="006C24E9" w:rsidRPr="004C1796">
        <w:rPr>
          <w:rFonts w:ascii="Times New Roman" w:hAnsi="Times New Roman" w:cs="Times New Roman"/>
          <w:color w:val="2F2A2B"/>
          <w:lang w:eastAsia="en-GB"/>
        </w:rPr>
        <w:t>, 2015: 1).</w:t>
      </w:r>
      <w:r w:rsidR="006C24E9" w:rsidRPr="004C1796">
        <w:rPr>
          <w:rFonts w:ascii="Times New Roman" w:hAnsi="Times New Roman" w:cs="Times New Roman"/>
        </w:rPr>
        <w:t xml:space="preserve"> </w:t>
      </w:r>
      <w:r w:rsidR="00277C8A" w:rsidRPr="004C1796">
        <w:rPr>
          <w:rFonts w:ascii="Times New Roman" w:hAnsi="Times New Roman" w:cs="Times New Roman"/>
        </w:rPr>
        <w:t>In 2002</w:t>
      </w:r>
      <w:r w:rsidR="00C7345C" w:rsidRPr="004C1796">
        <w:rPr>
          <w:rFonts w:ascii="Times New Roman" w:hAnsi="Times New Roman" w:cs="Times New Roman"/>
        </w:rPr>
        <w:t>,</w:t>
      </w:r>
      <w:r w:rsidR="007A3301" w:rsidRPr="004C1796">
        <w:rPr>
          <w:rFonts w:ascii="Times New Roman" w:hAnsi="Times New Roman" w:cs="Times New Roman"/>
        </w:rPr>
        <w:t xml:space="preserve"> </w:t>
      </w:r>
      <w:r w:rsidR="00C7345C" w:rsidRPr="004C1796">
        <w:rPr>
          <w:rFonts w:ascii="Times New Roman" w:hAnsi="Times New Roman" w:cs="Times New Roman"/>
        </w:rPr>
        <w:t>a</w:t>
      </w:r>
      <w:r w:rsidR="006B4657" w:rsidRPr="004C1796">
        <w:rPr>
          <w:rFonts w:ascii="Times New Roman" w:hAnsi="Times New Roman" w:cs="Times New Roman"/>
        </w:rPr>
        <w:t xml:space="preserve">n </w:t>
      </w:r>
      <w:r w:rsidR="005F240A" w:rsidRPr="004C1796">
        <w:rPr>
          <w:rFonts w:ascii="Times New Roman" w:hAnsi="Times New Roman" w:cs="Times New Roman"/>
        </w:rPr>
        <w:t>‘</w:t>
      </w:r>
      <w:r w:rsidR="00FC3F10" w:rsidRPr="004C1796">
        <w:rPr>
          <w:rFonts w:ascii="Times New Roman" w:hAnsi="Times New Roman" w:cs="Times New Roman"/>
        </w:rPr>
        <w:t>i</w:t>
      </w:r>
      <w:r w:rsidR="005F240A" w:rsidRPr="004C1796">
        <w:rPr>
          <w:rFonts w:ascii="Times New Roman" w:hAnsi="Times New Roman" w:cs="Times New Roman"/>
        </w:rPr>
        <w:t>nformal drug distribution system’</w:t>
      </w:r>
      <w:r w:rsidR="006B4657" w:rsidRPr="004C1796">
        <w:rPr>
          <w:rFonts w:ascii="Times New Roman" w:hAnsi="Times New Roman" w:cs="Times New Roman"/>
        </w:rPr>
        <w:t xml:space="preserve"> </w:t>
      </w:r>
      <w:r w:rsidR="00C1587C" w:rsidRPr="004C1796">
        <w:rPr>
          <w:rFonts w:ascii="Times New Roman" w:hAnsi="Times New Roman" w:cs="Times New Roman"/>
        </w:rPr>
        <w:t xml:space="preserve">whereby friends and acquaintances ‘sort’ each other </w:t>
      </w:r>
      <w:r w:rsidR="00345DC4" w:rsidRPr="004C1796">
        <w:rPr>
          <w:rFonts w:ascii="Times New Roman" w:hAnsi="Times New Roman" w:cs="Times New Roman"/>
        </w:rPr>
        <w:t xml:space="preserve">with drugs </w:t>
      </w:r>
      <w:r w:rsidR="006B4657" w:rsidRPr="004C1796">
        <w:rPr>
          <w:rFonts w:ascii="Times New Roman" w:hAnsi="Times New Roman" w:cs="Times New Roman"/>
        </w:rPr>
        <w:t>was</w:t>
      </w:r>
      <w:r w:rsidR="003F0E71" w:rsidRPr="004C1796">
        <w:rPr>
          <w:rFonts w:ascii="Times New Roman" w:hAnsi="Times New Roman" w:cs="Times New Roman"/>
        </w:rPr>
        <w:t xml:space="preserve"> identified</w:t>
      </w:r>
      <w:r w:rsidR="006B4657" w:rsidRPr="004C1796">
        <w:rPr>
          <w:rFonts w:ascii="Times New Roman" w:hAnsi="Times New Roman" w:cs="Times New Roman"/>
        </w:rPr>
        <w:t xml:space="preserve"> </w:t>
      </w:r>
      <w:r w:rsidR="00CD3D4B" w:rsidRPr="004C1796">
        <w:rPr>
          <w:rFonts w:ascii="Times New Roman" w:hAnsi="Times New Roman" w:cs="Times New Roman"/>
        </w:rPr>
        <w:t>by Parker</w:t>
      </w:r>
      <w:r w:rsidR="00277C8A" w:rsidRPr="004C1796">
        <w:rPr>
          <w:rFonts w:ascii="Times New Roman" w:hAnsi="Times New Roman" w:cs="Times New Roman"/>
        </w:rPr>
        <w:t>, Williams and Aldridge</w:t>
      </w:r>
      <w:r w:rsidR="00CD3D4B" w:rsidRPr="004C1796">
        <w:rPr>
          <w:rFonts w:ascii="Times New Roman" w:hAnsi="Times New Roman" w:cs="Times New Roman"/>
        </w:rPr>
        <w:t xml:space="preserve"> </w:t>
      </w:r>
      <w:r w:rsidR="006B4657" w:rsidRPr="004C1796">
        <w:rPr>
          <w:rFonts w:ascii="Times New Roman" w:hAnsi="Times New Roman" w:cs="Times New Roman"/>
        </w:rPr>
        <w:t>as a consequence of the</w:t>
      </w:r>
      <w:r w:rsidR="00C1587C" w:rsidRPr="004C1796">
        <w:rPr>
          <w:rFonts w:ascii="Times New Roman" w:hAnsi="Times New Roman" w:cs="Times New Roman"/>
        </w:rPr>
        <w:t xml:space="preserve"> demand and </w:t>
      </w:r>
      <w:r w:rsidR="007A1777" w:rsidRPr="004C1796">
        <w:rPr>
          <w:rFonts w:ascii="Times New Roman" w:hAnsi="Times New Roman" w:cs="Times New Roman"/>
        </w:rPr>
        <w:t>accessibility</w:t>
      </w:r>
      <w:r w:rsidR="00C1587C" w:rsidRPr="004C1796">
        <w:rPr>
          <w:rFonts w:ascii="Times New Roman" w:hAnsi="Times New Roman" w:cs="Times New Roman"/>
        </w:rPr>
        <w:t xml:space="preserve"> associated with </w:t>
      </w:r>
      <w:r w:rsidR="00A17DD8" w:rsidRPr="004C1796">
        <w:rPr>
          <w:rFonts w:ascii="Times New Roman" w:hAnsi="Times New Roman" w:cs="Times New Roman"/>
        </w:rPr>
        <w:t xml:space="preserve">normalisation. </w:t>
      </w:r>
      <w:r w:rsidR="00532D14" w:rsidRPr="004C1796">
        <w:rPr>
          <w:rFonts w:ascii="Times New Roman" w:hAnsi="Times New Roman" w:cs="Times New Roman"/>
        </w:rPr>
        <w:t xml:space="preserve">Contemporary data </w:t>
      </w:r>
      <w:r w:rsidR="003F0E71" w:rsidRPr="004C1796">
        <w:rPr>
          <w:rFonts w:ascii="Times New Roman" w:hAnsi="Times New Roman" w:cs="Times New Roman"/>
        </w:rPr>
        <w:t xml:space="preserve">continues to </w:t>
      </w:r>
      <w:r w:rsidR="00532D14" w:rsidRPr="004C1796">
        <w:rPr>
          <w:rFonts w:ascii="Times New Roman" w:hAnsi="Times New Roman" w:cs="Times New Roman"/>
        </w:rPr>
        <w:t xml:space="preserve">support these themes (Coomber et al., 2015), suggesting </w:t>
      </w:r>
      <w:r w:rsidR="00994E70" w:rsidRPr="004C1796">
        <w:rPr>
          <w:rFonts w:ascii="Times New Roman" w:hAnsi="Times New Roman" w:cs="Times New Roman"/>
        </w:rPr>
        <w:t xml:space="preserve">that recreational drug users </w:t>
      </w:r>
      <w:r w:rsidR="00BD3A69" w:rsidRPr="004C1796">
        <w:rPr>
          <w:rFonts w:ascii="Times New Roman" w:hAnsi="Times New Roman" w:cs="Times New Roman"/>
        </w:rPr>
        <w:t>engage in a range of distribution behaviours which include gift giving,</w:t>
      </w:r>
      <w:r w:rsidR="00994E70" w:rsidRPr="004C1796">
        <w:rPr>
          <w:rFonts w:ascii="Times New Roman" w:hAnsi="Times New Roman" w:cs="Times New Roman"/>
        </w:rPr>
        <w:t xml:space="preserve"> sharing</w:t>
      </w:r>
      <w:r w:rsidR="00B3234E" w:rsidRPr="004C1796">
        <w:rPr>
          <w:rFonts w:ascii="Times New Roman" w:hAnsi="Times New Roman" w:cs="Times New Roman"/>
        </w:rPr>
        <w:t xml:space="preserve"> </w:t>
      </w:r>
      <w:r w:rsidR="005059F8" w:rsidRPr="004C1796">
        <w:rPr>
          <w:rFonts w:ascii="Times New Roman" w:hAnsi="Times New Roman" w:cs="Times New Roman"/>
        </w:rPr>
        <w:t>(both</w:t>
      </w:r>
      <w:r w:rsidR="0085666E" w:rsidRPr="004C1796">
        <w:rPr>
          <w:rFonts w:ascii="Times New Roman" w:hAnsi="Times New Roman" w:cs="Times New Roman"/>
        </w:rPr>
        <w:t xml:space="preserve"> acts deemed as supply un</w:t>
      </w:r>
      <w:r w:rsidR="00532D14" w:rsidRPr="004C1796">
        <w:rPr>
          <w:rFonts w:ascii="Times New Roman" w:hAnsi="Times New Roman" w:cs="Times New Roman"/>
        </w:rPr>
        <w:t>der the Misuse of Drugs Act 1971</w:t>
      </w:r>
      <w:r w:rsidR="0085666E" w:rsidRPr="004C1796">
        <w:rPr>
          <w:rFonts w:ascii="Times New Roman" w:hAnsi="Times New Roman" w:cs="Times New Roman"/>
        </w:rPr>
        <w:t>)</w:t>
      </w:r>
      <w:r w:rsidR="00B3234E" w:rsidRPr="004C1796">
        <w:rPr>
          <w:rFonts w:ascii="Times New Roman" w:hAnsi="Times New Roman" w:cs="Times New Roman"/>
        </w:rPr>
        <w:t xml:space="preserve"> and act</w:t>
      </w:r>
      <w:r w:rsidR="00BD3A69" w:rsidRPr="004C1796">
        <w:rPr>
          <w:rFonts w:ascii="Times New Roman" w:hAnsi="Times New Roman" w:cs="Times New Roman"/>
        </w:rPr>
        <w:t>ing</w:t>
      </w:r>
      <w:r w:rsidR="00B3234E" w:rsidRPr="004C1796">
        <w:rPr>
          <w:rFonts w:ascii="Times New Roman" w:hAnsi="Times New Roman" w:cs="Times New Roman"/>
        </w:rPr>
        <w:t xml:space="preserve"> as ‘go-betweens’</w:t>
      </w:r>
      <w:r w:rsidR="0030560B" w:rsidRPr="004C1796">
        <w:rPr>
          <w:rFonts w:ascii="Times New Roman" w:hAnsi="Times New Roman" w:cs="Times New Roman"/>
        </w:rPr>
        <w:t xml:space="preserve"> who </w:t>
      </w:r>
      <w:r w:rsidR="00BD3A69" w:rsidRPr="004C1796">
        <w:rPr>
          <w:rFonts w:ascii="Times New Roman" w:hAnsi="Times New Roman" w:cs="Times New Roman"/>
        </w:rPr>
        <w:t xml:space="preserve">purchase </w:t>
      </w:r>
      <w:r w:rsidR="00B3234E" w:rsidRPr="004C1796">
        <w:rPr>
          <w:rFonts w:ascii="Times New Roman" w:hAnsi="Times New Roman" w:cs="Times New Roman"/>
        </w:rPr>
        <w:t>substances on behalf of the group (</w:t>
      </w:r>
      <w:r w:rsidR="00BD3A69" w:rsidRPr="004C1796">
        <w:rPr>
          <w:rFonts w:ascii="Times New Roman" w:hAnsi="Times New Roman" w:cs="Times New Roman"/>
        </w:rPr>
        <w:t>Murphy, Waldorf &amp; Reinarman</w:t>
      </w:r>
      <w:r w:rsidR="0030560B" w:rsidRPr="004C1796">
        <w:rPr>
          <w:rFonts w:ascii="Times New Roman" w:hAnsi="Times New Roman" w:cs="Times New Roman"/>
        </w:rPr>
        <w:t>, 1990</w:t>
      </w:r>
      <w:r w:rsidR="00B3234E" w:rsidRPr="004C1796">
        <w:rPr>
          <w:rFonts w:ascii="Times New Roman" w:hAnsi="Times New Roman" w:cs="Times New Roman"/>
        </w:rPr>
        <w:t>; Measham</w:t>
      </w:r>
      <w:r w:rsidR="00CD3D4B" w:rsidRPr="004C1796">
        <w:rPr>
          <w:rFonts w:ascii="Times New Roman" w:hAnsi="Times New Roman" w:cs="Times New Roman"/>
        </w:rPr>
        <w:t xml:space="preserve">, Aldridge &amp; Parker, </w:t>
      </w:r>
      <w:r w:rsidR="00B3234E" w:rsidRPr="004C1796">
        <w:rPr>
          <w:rFonts w:ascii="Times New Roman" w:hAnsi="Times New Roman" w:cs="Times New Roman"/>
        </w:rPr>
        <w:t>2001</w:t>
      </w:r>
      <w:r w:rsidR="00BD3A69" w:rsidRPr="004C1796">
        <w:rPr>
          <w:rFonts w:ascii="Times New Roman" w:hAnsi="Times New Roman" w:cs="Times New Roman"/>
        </w:rPr>
        <w:t xml:space="preserve">; Coomber &amp; </w:t>
      </w:r>
      <w:r w:rsidR="0030560B" w:rsidRPr="004C1796">
        <w:rPr>
          <w:rFonts w:ascii="Times New Roman" w:hAnsi="Times New Roman" w:cs="Times New Roman"/>
        </w:rPr>
        <w:t>Moyle, 2013</w:t>
      </w:r>
      <w:r w:rsidR="00B3234E" w:rsidRPr="004C1796">
        <w:rPr>
          <w:rFonts w:ascii="Times New Roman" w:hAnsi="Times New Roman" w:cs="Times New Roman"/>
        </w:rPr>
        <w:t>)</w:t>
      </w:r>
      <w:r w:rsidR="00F86575" w:rsidRPr="004C1796">
        <w:rPr>
          <w:rFonts w:ascii="Times New Roman" w:hAnsi="Times New Roman" w:cs="Times New Roman"/>
        </w:rPr>
        <w:t xml:space="preserve">. </w:t>
      </w:r>
    </w:p>
    <w:p w14:paraId="37E02374" w14:textId="77777777" w:rsidR="008D25B9" w:rsidRPr="004C1796" w:rsidRDefault="008D25B9" w:rsidP="00197B88">
      <w:pPr>
        <w:spacing w:line="360" w:lineRule="auto"/>
        <w:jc w:val="both"/>
        <w:rPr>
          <w:rFonts w:ascii="Times New Roman" w:hAnsi="Times New Roman" w:cs="Times New Roman"/>
        </w:rPr>
      </w:pPr>
    </w:p>
    <w:p w14:paraId="2CBCEE69" w14:textId="77777777" w:rsidR="005C0DF1" w:rsidRPr="004C1796" w:rsidRDefault="00012D63" w:rsidP="00197B88">
      <w:pPr>
        <w:spacing w:line="360" w:lineRule="auto"/>
        <w:jc w:val="both"/>
        <w:rPr>
          <w:rFonts w:ascii="Times New Roman" w:hAnsi="Times New Roman" w:cs="Times New Roman"/>
        </w:rPr>
      </w:pPr>
      <w:r w:rsidRPr="004C1796">
        <w:rPr>
          <w:rFonts w:ascii="Times New Roman" w:hAnsi="Times New Roman" w:cs="Times New Roman"/>
        </w:rPr>
        <w:t>It was this</w:t>
      </w:r>
      <w:r w:rsidR="00744CDE" w:rsidRPr="004C1796">
        <w:rPr>
          <w:rFonts w:ascii="Times New Roman" w:hAnsi="Times New Roman" w:cs="Times New Roman"/>
        </w:rPr>
        <w:t xml:space="preserve"> </w:t>
      </w:r>
      <w:r w:rsidR="006C24E9" w:rsidRPr="004C1796">
        <w:rPr>
          <w:rFonts w:ascii="Times New Roman" w:hAnsi="Times New Roman" w:cs="Times New Roman"/>
        </w:rPr>
        <w:t>propensity</w:t>
      </w:r>
      <w:r w:rsidR="0091211F" w:rsidRPr="004C1796">
        <w:rPr>
          <w:rFonts w:ascii="Times New Roman" w:hAnsi="Times New Roman" w:cs="Times New Roman"/>
        </w:rPr>
        <w:t xml:space="preserve"> for drug users </w:t>
      </w:r>
      <w:r w:rsidR="00DE714A" w:rsidRPr="004C1796">
        <w:rPr>
          <w:rFonts w:ascii="Times New Roman" w:hAnsi="Times New Roman" w:cs="Times New Roman"/>
        </w:rPr>
        <w:t xml:space="preserve">to </w:t>
      </w:r>
      <w:r w:rsidR="00524590" w:rsidRPr="004C1796">
        <w:rPr>
          <w:rFonts w:ascii="Times New Roman" w:hAnsi="Times New Roman" w:cs="Times New Roman"/>
        </w:rPr>
        <w:t xml:space="preserve">also </w:t>
      </w:r>
      <w:r w:rsidR="00DE714A" w:rsidRPr="004C1796">
        <w:rPr>
          <w:rFonts w:ascii="Times New Roman" w:hAnsi="Times New Roman" w:cs="Times New Roman"/>
        </w:rPr>
        <w:t xml:space="preserve">become involved in informal low-level </w:t>
      </w:r>
      <w:r w:rsidR="002D59DB" w:rsidRPr="004C1796">
        <w:rPr>
          <w:rFonts w:ascii="Times New Roman" w:hAnsi="Times New Roman" w:cs="Times New Roman"/>
        </w:rPr>
        <w:t>‘</w:t>
      </w:r>
      <w:r w:rsidR="00DE714A" w:rsidRPr="004C1796">
        <w:rPr>
          <w:rFonts w:ascii="Times New Roman" w:hAnsi="Times New Roman" w:cs="Times New Roman"/>
        </w:rPr>
        <w:t>supply</w:t>
      </w:r>
      <w:r w:rsidR="002D59DB" w:rsidRPr="004C1796">
        <w:rPr>
          <w:rFonts w:ascii="Times New Roman" w:hAnsi="Times New Roman" w:cs="Times New Roman"/>
        </w:rPr>
        <w:t>’</w:t>
      </w:r>
      <w:r w:rsidR="003F695C" w:rsidRPr="004C1796">
        <w:rPr>
          <w:rFonts w:ascii="Times New Roman" w:hAnsi="Times New Roman" w:cs="Times New Roman"/>
        </w:rPr>
        <w:t xml:space="preserve"> for little or no profit</w:t>
      </w:r>
      <w:r w:rsidR="0093470C" w:rsidRPr="004C1796">
        <w:rPr>
          <w:rFonts w:ascii="Times New Roman" w:hAnsi="Times New Roman" w:cs="Times New Roman"/>
        </w:rPr>
        <w:t xml:space="preserve"> to</w:t>
      </w:r>
      <w:r w:rsidR="003F695C" w:rsidRPr="004C1796">
        <w:rPr>
          <w:rFonts w:ascii="Times New Roman" w:hAnsi="Times New Roman" w:cs="Times New Roman"/>
        </w:rPr>
        <w:t>/between</w:t>
      </w:r>
      <w:r w:rsidR="0093470C" w:rsidRPr="004C1796">
        <w:rPr>
          <w:rFonts w:ascii="Times New Roman" w:hAnsi="Times New Roman" w:cs="Times New Roman"/>
        </w:rPr>
        <w:t xml:space="preserve"> friends and </w:t>
      </w:r>
      <w:r w:rsidR="0048779B" w:rsidRPr="004C1796">
        <w:rPr>
          <w:rFonts w:ascii="Times New Roman" w:hAnsi="Times New Roman" w:cs="Times New Roman"/>
        </w:rPr>
        <w:t>acquaintances</w:t>
      </w:r>
      <w:r w:rsidR="0093470C" w:rsidRPr="004C1796">
        <w:rPr>
          <w:rFonts w:ascii="Times New Roman" w:hAnsi="Times New Roman" w:cs="Times New Roman"/>
        </w:rPr>
        <w:t xml:space="preserve"> - </w:t>
      </w:r>
      <w:r w:rsidR="00524590" w:rsidRPr="004C1796">
        <w:rPr>
          <w:rFonts w:ascii="Times New Roman" w:hAnsi="Times New Roman" w:cs="Times New Roman"/>
        </w:rPr>
        <w:t>behaviours that we now understand as ‘social supply’</w:t>
      </w:r>
      <w:r w:rsidR="0093470C" w:rsidRPr="004C1796">
        <w:rPr>
          <w:rFonts w:ascii="Times New Roman" w:hAnsi="Times New Roman" w:cs="Times New Roman"/>
        </w:rPr>
        <w:t xml:space="preserve"> -</w:t>
      </w:r>
      <w:r w:rsidRPr="004C1796">
        <w:rPr>
          <w:rFonts w:ascii="Times New Roman" w:hAnsi="Times New Roman" w:cs="Times New Roman"/>
        </w:rPr>
        <w:t xml:space="preserve"> that</w:t>
      </w:r>
      <w:r w:rsidR="00CA103D" w:rsidRPr="004C1796">
        <w:rPr>
          <w:rFonts w:ascii="Times New Roman" w:hAnsi="Times New Roman" w:cs="Times New Roman"/>
        </w:rPr>
        <w:t xml:space="preserve"> </w:t>
      </w:r>
      <w:r w:rsidR="00DE714A" w:rsidRPr="004C1796">
        <w:rPr>
          <w:rFonts w:ascii="Times New Roman" w:hAnsi="Times New Roman" w:cs="Times New Roman"/>
        </w:rPr>
        <w:t xml:space="preserve">stoked much of </w:t>
      </w:r>
      <w:r w:rsidR="00EE4BC6" w:rsidRPr="004C1796">
        <w:rPr>
          <w:rFonts w:ascii="Times New Roman" w:hAnsi="Times New Roman" w:cs="Times New Roman"/>
        </w:rPr>
        <w:t>the</w:t>
      </w:r>
      <w:r w:rsidR="00DB110F" w:rsidRPr="004C1796">
        <w:rPr>
          <w:rFonts w:ascii="Times New Roman" w:hAnsi="Times New Roman" w:cs="Times New Roman"/>
        </w:rPr>
        <w:t xml:space="preserve"> concern</w:t>
      </w:r>
      <w:r w:rsidR="000E7522" w:rsidRPr="004C1796">
        <w:rPr>
          <w:rFonts w:ascii="Times New Roman" w:hAnsi="Times New Roman" w:cs="Times New Roman"/>
        </w:rPr>
        <w:t xml:space="preserve"> of the</w:t>
      </w:r>
      <w:r w:rsidR="00EE4BC6" w:rsidRPr="004C1796">
        <w:rPr>
          <w:rFonts w:ascii="Times New Roman" w:hAnsi="Times New Roman" w:cs="Times New Roman"/>
        </w:rPr>
        <w:t xml:space="preserve"> Police </w:t>
      </w:r>
      <w:r w:rsidR="00EE4BC6" w:rsidRPr="004C1796">
        <w:rPr>
          <w:rFonts w:ascii="Times New Roman" w:hAnsi="Times New Roman" w:cs="Times New Roman"/>
        </w:rPr>
        <w:lastRenderedPageBreak/>
        <w:t>F</w:t>
      </w:r>
      <w:r w:rsidR="00DE714A" w:rsidRPr="004C1796">
        <w:rPr>
          <w:rFonts w:ascii="Times New Roman" w:hAnsi="Times New Roman" w:cs="Times New Roman"/>
        </w:rPr>
        <w:t xml:space="preserve">oundation </w:t>
      </w:r>
      <w:r w:rsidRPr="004C1796">
        <w:rPr>
          <w:rFonts w:ascii="Times New Roman" w:hAnsi="Times New Roman" w:cs="Times New Roman"/>
        </w:rPr>
        <w:t xml:space="preserve">and </w:t>
      </w:r>
      <w:r w:rsidR="00DF546B" w:rsidRPr="004C1796">
        <w:rPr>
          <w:rFonts w:ascii="Times New Roman" w:hAnsi="Times New Roman" w:cs="Times New Roman"/>
        </w:rPr>
        <w:t xml:space="preserve">called attention to the </w:t>
      </w:r>
      <w:r w:rsidR="00726F7E" w:rsidRPr="004C1796">
        <w:rPr>
          <w:rFonts w:ascii="Times New Roman" w:hAnsi="Times New Roman" w:cs="Times New Roman"/>
        </w:rPr>
        <w:t>issue of ‘difference’ in drug supply</w:t>
      </w:r>
      <w:r w:rsidR="00596A87" w:rsidRPr="004C1796">
        <w:rPr>
          <w:rFonts w:ascii="Times New Roman" w:hAnsi="Times New Roman" w:cs="Times New Roman"/>
        </w:rPr>
        <w:t xml:space="preserve"> </w:t>
      </w:r>
      <w:r w:rsidR="00C32EEF" w:rsidRPr="004C1796">
        <w:rPr>
          <w:rFonts w:ascii="Times New Roman" w:hAnsi="Times New Roman" w:cs="Times New Roman"/>
        </w:rPr>
        <w:t>over 15 years ago.</w:t>
      </w:r>
      <w:r w:rsidR="00A22588" w:rsidRPr="004C1796">
        <w:rPr>
          <w:rFonts w:ascii="Times New Roman" w:hAnsi="Times New Roman" w:cs="Times New Roman"/>
        </w:rPr>
        <w:t xml:space="preserve"> </w:t>
      </w:r>
      <w:r w:rsidR="00B34870" w:rsidRPr="004C1796">
        <w:rPr>
          <w:rFonts w:ascii="Times New Roman" w:hAnsi="Times New Roman" w:cs="Times New Roman"/>
        </w:rPr>
        <w:t>As</w:t>
      </w:r>
      <w:r w:rsidR="008D25B9" w:rsidRPr="004C1796">
        <w:rPr>
          <w:rFonts w:ascii="Times New Roman" w:hAnsi="Times New Roman" w:cs="Times New Roman"/>
        </w:rPr>
        <w:t xml:space="preserve"> Runciman notes, the</w:t>
      </w:r>
      <w:r w:rsidR="005C0DF1" w:rsidRPr="004C1796">
        <w:rPr>
          <w:rFonts w:ascii="Times New Roman" w:hAnsi="Times New Roman" w:cs="Times New Roman"/>
        </w:rPr>
        <w:t xml:space="preserve"> </w:t>
      </w:r>
      <w:r w:rsidR="008D25B9" w:rsidRPr="004C1796">
        <w:rPr>
          <w:rFonts w:ascii="Times New Roman" w:hAnsi="Times New Roman" w:cs="Times New Roman"/>
        </w:rPr>
        <w:t>drug supply sentencing</w:t>
      </w:r>
      <w:r w:rsidR="005C0DF1" w:rsidRPr="004C1796">
        <w:rPr>
          <w:rFonts w:ascii="Times New Roman" w:hAnsi="Times New Roman" w:cs="Times New Roman"/>
        </w:rPr>
        <w:t xml:space="preserve"> apparatus </w:t>
      </w:r>
      <w:r w:rsidR="00532D14" w:rsidRPr="004C1796">
        <w:rPr>
          <w:rFonts w:ascii="Times New Roman" w:hAnsi="Times New Roman" w:cs="Times New Roman"/>
        </w:rPr>
        <w:t>‘catches some activities</w:t>
      </w:r>
      <w:r w:rsidR="005C0DF1" w:rsidRPr="004C1796">
        <w:rPr>
          <w:rFonts w:ascii="Times New Roman" w:hAnsi="Times New Roman" w:cs="Times New Roman"/>
        </w:rPr>
        <w:t xml:space="preserve"> which it is highly misleading to regard as 'trafficking' in any serious sense or at all</w:t>
      </w:r>
      <w:r w:rsidR="00532D14" w:rsidRPr="004C1796">
        <w:rPr>
          <w:rFonts w:ascii="Times New Roman" w:hAnsi="Times New Roman" w:cs="Times New Roman"/>
        </w:rPr>
        <w:t>’</w:t>
      </w:r>
      <w:r w:rsidR="00A20DC4" w:rsidRPr="004C1796">
        <w:rPr>
          <w:rFonts w:ascii="Times New Roman" w:hAnsi="Times New Roman" w:cs="Times New Roman"/>
        </w:rPr>
        <w:t xml:space="preserve"> (</w:t>
      </w:r>
      <w:r w:rsidR="006F0764" w:rsidRPr="004C1796">
        <w:rPr>
          <w:rFonts w:ascii="Times New Roman" w:hAnsi="Times New Roman" w:cs="Times New Roman"/>
        </w:rPr>
        <w:t>p.62</w:t>
      </w:r>
      <w:r w:rsidR="005C0DF1" w:rsidRPr="004C1796">
        <w:rPr>
          <w:rFonts w:ascii="Times New Roman" w:hAnsi="Times New Roman" w:cs="Times New Roman"/>
        </w:rPr>
        <w:t>)</w:t>
      </w:r>
      <w:r w:rsidR="00F86575" w:rsidRPr="004C1796">
        <w:rPr>
          <w:rFonts w:ascii="Times New Roman" w:hAnsi="Times New Roman" w:cs="Times New Roman"/>
        </w:rPr>
        <w:t xml:space="preserve"> and </w:t>
      </w:r>
      <w:r w:rsidR="005C0DF1" w:rsidRPr="004C1796">
        <w:rPr>
          <w:rFonts w:ascii="Times New Roman" w:hAnsi="Times New Roman" w:cs="Times New Roman"/>
        </w:rPr>
        <w:t>many of those inhabiting social supply roles would also not see themselves as ‘‘real dealers’’ (</w:t>
      </w:r>
      <w:r w:rsidR="00A20538" w:rsidRPr="004C1796">
        <w:rPr>
          <w:rFonts w:ascii="Times New Roman" w:hAnsi="Times New Roman" w:cs="Times New Roman"/>
        </w:rPr>
        <w:t xml:space="preserve">Jacinto, Duterte, Sales &amp; Murphy, </w:t>
      </w:r>
      <w:r w:rsidR="005C0DF1" w:rsidRPr="004C1796">
        <w:rPr>
          <w:rFonts w:ascii="Times New Roman" w:hAnsi="Times New Roman" w:cs="Times New Roman"/>
        </w:rPr>
        <w:t>2008) as commonly and legally understood, nor would many or most of those that they sell drugs to (Coomber</w:t>
      </w:r>
      <w:r w:rsidR="00D16348" w:rsidRPr="004C1796">
        <w:rPr>
          <w:rFonts w:ascii="Times New Roman" w:hAnsi="Times New Roman" w:cs="Times New Roman"/>
        </w:rPr>
        <w:t>,</w:t>
      </w:r>
      <w:r w:rsidR="00425040" w:rsidRPr="004C1796">
        <w:rPr>
          <w:rFonts w:ascii="Times New Roman" w:hAnsi="Times New Roman" w:cs="Times New Roman"/>
        </w:rPr>
        <w:t xml:space="preserve"> 2004</w:t>
      </w:r>
      <w:r w:rsidR="005C0DF1" w:rsidRPr="004C1796">
        <w:rPr>
          <w:rFonts w:ascii="Times New Roman" w:hAnsi="Times New Roman" w:cs="Times New Roman"/>
        </w:rPr>
        <w:t xml:space="preserve">; South, 2004). </w:t>
      </w:r>
      <w:r w:rsidR="002C6244" w:rsidRPr="004C1796">
        <w:rPr>
          <w:rFonts w:ascii="Times New Roman" w:hAnsi="Times New Roman" w:cs="Times New Roman"/>
        </w:rPr>
        <w:t>For drug users, d</w:t>
      </w:r>
      <w:r w:rsidR="002E173F" w:rsidRPr="004C1796">
        <w:rPr>
          <w:rFonts w:ascii="Times New Roman" w:hAnsi="Times New Roman" w:cs="Times New Roman"/>
        </w:rPr>
        <w:t>isproportionate sentences</w:t>
      </w:r>
      <w:r w:rsidR="002C6244" w:rsidRPr="004C1796">
        <w:rPr>
          <w:rFonts w:ascii="Times New Roman" w:hAnsi="Times New Roman" w:cs="Times New Roman"/>
        </w:rPr>
        <w:t xml:space="preserve"> can thus</w:t>
      </w:r>
      <w:r w:rsidR="002E173F" w:rsidRPr="004C1796">
        <w:rPr>
          <w:rFonts w:ascii="Times New Roman" w:hAnsi="Times New Roman" w:cs="Times New Roman"/>
        </w:rPr>
        <w:t xml:space="preserve"> </w:t>
      </w:r>
      <w:r w:rsidR="00F86575" w:rsidRPr="004C1796">
        <w:rPr>
          <w:rFonts w:ascii="Times New Roman" w:hAnsi="Times New Roman" w:cs="Times New Roman"/>
        </w:rPr>
        <w:t>occur because</w:t>
      </w:r>
      <w:r w:rsidR="002E173F" w:rsidRPr="004C1796">
        <w:rPr>
          <w:rFonts w:ascii="Times New Roman" w:hAnsi="Times New Roman" w:cs="Times New Roman"/>
        </w:rPr>
        <w:t xml:space="preserve"> </w:t>
      </w:r>
      <w:r w:rsidR="00F86575" w:rsidRPr="004C1796">
        <w:rPr>
          <w:rFonts w:ascii="Times New Roman" w:hAnsi="Times New Roman" w:cs="Times New Roman"/>
        </w:rPr>
        <w:t xml:space="preserve">the </w:t>
      </w:r>
      <w:r w:rsidR="005C0DF1" w:rsidRPr="004C1796">
        <w:rPr>
          <w:rFonts w:ascii="Times New Roman" w:hAnsi="Times New Roman" w:cs="Times New Roman"/>
        </w:rPr>
        <w:t xml:space="preserve">disjuncture between </w:t>
      </w:r>
      <w:r w:rsidR="00B23E40" w:rsidRPr="004C1796">
        <w:rPr>
          <w:rFonts w:ascii="Times New Roman" w:hAnsi="Times New Roman" w:cs="Times New Roman"/>
        </w:rPr>
        <w:t xml:space="preserve">drug </w:t>
      </w:r>
      <w:r w:rsidR="005C0DF1" w:rsidRPr="004C1796">
        <w:rPr>
          <w:rFonts w:ascii="Times New Roman" w:hAnsi="Times New Roman" w:cs="Times New Roman"/>
        </w:rPr>
        <w:t>use and supply has become less distinct or easily ob</w:t>
      </w:r>
      <w:r w:rsidR="00BD3A69" w:rsidRPr="004C1796">
        <w:rPr>
          <w:rFonts w:ascii="Times New Roman" w:hAnsi="Times New Roman" w:cs="Times New Roman"/>
        </w:rPr>
        <w:t>servable (Coomber et al.,</w:t>
      </w:r>
      <w:r w:rsidR="00B23E40" w:rsidRPr="004C1796">
        <w:rPr>
          <w:rFonts w:ascii="Times New Roman" w:hAnsi="Times New Roman" w:cs="Times New Roman"/>
        </w:rPr>
        <w:t xml:space="preserve"> 2015)</w:t>
      </w:r>
      <w:r w:rsidR="005C0DF1" w:rsidRPr="004C1796">
        <w:rPr>
          <w:rFonts w:ascii="Times New Roman" w:hAnsi="Times New Roman" w:cs="Times New Roman"/>
        </w:rPr>
        <w:t xml:space="preserve"> and the boundary between the two is </w:t>
      </w:r>
      <w:r w:rsidR="00B23E40" w:rsidRPr="004C1796">
        <w:rPr>
          <w:rFonts w:ascii="Times New Roman" w:hAnsi="Times New Roman" w:cs="Times New Roman"/>
        </w:rPr>
        <w:t xml:space="preserve">often </w:t>
      </w:r>
      <w:r w:rsidR="005C0DF1" w:rsidRPr="004C1796">
        <w:rPr>
          <w:rFonts w:ascii="Times New Roman" w:hAnsi="Times New Roman" w:cs="Times New Roman"/>
        </w:rPr>
        <w:t>blurred (</w:t>
      </w:r>
      <w:r w:rsidR="0042302F" w:rsidRPr="004C1796">
        <w:rPr>
          <w:rFonts w:ascii="Times New Roman" w:hAnsi="Times New Roman" w:cs="Times New Roman"/>
        </w:rPr>
        <w:t xml:space="preserve">Chatwin </w:t>
      </w:r>
      <w:r w:rsidR="00A80202" w:rsidRPr="004C1796">
        <w:rPr>
          <w:rFonts w:ascii="Times New Roman" w:hAnsi="Times New Roman" w:cs="Times New Roman"/>
        </w:rPr>
        <w:t xml:space="preserve">&amp; </w:t>
      </w:r>
      <w:r w:rsidR="0042302F" w:rsidRPr="004C1796">
        <w:rPr>
          <w:rFonts w:ascii="Times New Roman" w:hAnsi="Times New Roman" w:cs="Times New Roman"/>
        </w:rPr>
        <w:t>Potter, 2014</w:t>
      </w:r>
      <w:r w:rsidR="005C0DF1" w:rsidRPr="004C1796">
        <w:rPr>
          <w:rFonts w:ascii="Times New Roman" w:hAnsi="Times New Roman" w:cs="Times New Roman"/>
        </w:rPr>
        <w:t>).</w:t>
      </w:r>
      <w:r w:rsidR="005059F8" w:rsidRPr="004C1796">
        <w:rPr>
          <w:rFonts w:ascii="Times New Roman" w:hAnsi="Times New Roman" w:cs="Times New Roman"/>
        </w:rPr>
        <w:t xml:space="preserve"> These issues</w:t>
      </w:r>
      <w:r w:rsidR="00532D14" w:rsidRPr="004C1796">
        <w:rPr>
          <w:rFonts w:ascii="Times New Roman" w:hAnsi="Times New Roman" w:cs="Times New Roman"/>
        </w:rPr>
        <w:t xml:space="preserve"> are</w:t>
      </w:r>
      <w:r w:rsidR="005059F8" w:rsidRPr="004C1796">
        <w:rPr>
          <w:rFonts w:ascii="Times New Roman" w:hAnsi="Times New Roman" w:cs="Times New Roman"/>
        </w:rPr>
        <w:t xml:space="preserve"> not confined to the UK context, and as we shall see, </w:t>
      </w:r>
      <w:r w:rsidR="00532D14" w:rsidRPr="004C1796">
        <w:rPr>
          <w:rFonts w:ascii="Times New Roman" w:hAnsi="Times New Roman" w:cs="Times New Roman"/>
        </w:rPr>
        <w:t xml:space="preserve">many international </w:t>
      </w:r>
      <w:r w:rsidR="005059F8" w:rsidRPr="004C1796">
        <w:rPr>
          <w:rFonts w:ascii="Times New Roman" w:hAnsi="Times New Roman" w:cs="Times New Roman"/>
        </w:rPr>
        <w:t>sentencing frameworks</w:t>
      </w:r>
      <w:r w:rsidR="005C1E89" w:rsidRPr="004C1796">
        <w:rPr>
          <w:rFonts w:ascii="Times New Roman" w:hAnsi="Times New Roman" w:cs="Times New Roman"/>
        </w:rPr>
        <w:t>, in their rigidity</w:t>
      </w:r>
      <w:r w:rsidR="00425040" w:rsidRPr="004C1796">
        <w:rPr>
          <w:rFonts w:ascii="Times New Roman" w:hAnsi="Times New Roman" w:cs="Times New Roman"/>
        </w:rPr>
        <w:t>,</w:t>
      </w:r>
      <w:r w:rsidR="006B5471" w:rsidRPr="004C1796">
        <w:rPr>
          <w:rFonts w:ascii="Times New Roman" w:hAnsi="Times New Roman" w:cs="Times New Roman"/>
        </w:rPr>
        <w:t xml:space="preserve"> often</w:t>
      </w:r>
      <w:r w:rsidR="00532D14" w:rsidRPr="004C1796">
        <w:rPr>
          <w:rFonts w:ascii="Times New Roman" w:hAnsi="Times New Roman" w:cs="Times New Roman"/>
        </w:rPr>
        <w:t xml:space="preserve"> fail to recognise </w:t>
      </w:r>
      <w:r w:rsidR="005C1E89" w:rsidRPr="004C1796">
        <w:rPr>
          <w:rFonts w:ascii="Times New Roman" w:hAnsi="Times New Roman" w:cs="Times New Roman"/>
        </w:rPr>
        <w:t xml:space="preserve">or address </w:t>
      </w:r>
      <w:r w:rsidR="00532D14" w:rsidRPr="004C1796">
        <w:rPr>
          <w:rFonts w:ascii="Times New Roman" w:hAnsi="Times New Roman" w:cs="Times New Roman"/>
        </w:rPr>
        <w:t>the realities</w:t>
      </w:r>
      <w:r w:rsidR="005059F8" w:rsidRPr="004C1796">
        <w:rPr>
          <w:rFonts w:ascii="Times New Roman" w:hAnsi="Times New Roman" w:cs="Times New Roman"/>
        </w:rPr>
        <w:t xml:space="preserve"> of recreational drug use</w:t>
      </w:r>
      <w:r w:rsidR="009E4D71" w:rsidRPr="004C1796">
        <w:rPr>
          <w:rFonts w:ascii="Times New Roman" w:hAnsi="Times New Roman" w:cs="Times New Roman"/>
        </w:rPr>
        <w:t xml:space="preserve"> and access</w:t>
      </w:r>
      <w:r w:rsidR="005059F8" w:rsidRPr="004C1796">
        <w:rPr>
          <w:rFonts w:ascii="Times New Roman" w:hAnsi="Times New Roman" w:cs="Times New Roman"/>
        </w:rPr>
        <w:t xml:space="preserve"> </w:t>
      </w:r>
      <w:r w:rsidR="009E4D71" w:rsidRPr="004C1796">
        <w:rPr>
          <w:rFonts w:ascii="Times New Roman" w:hAnsi="Times New Roman" w:cs="Times New Roman"/>
        </w:rPr>
        <w:t xml:space="preserve">as it occurs in the real world, </w:t>
      </w:r>
      <w:r w:rsidR="00967469" w:rsidRPr="004C1796">
        <w:rPr>
          <w:rFonts w:ascii="Times New Roman" w:hAnsi="Times New Roman" w:cs="Times New Roman"/>
        </w:rPr>
        <w:t>with d</w:t>
      </w:r>
      <w:r w:rsidR="00252629" w:rsidRPr="004C1796">
        <w:rPr>
          <w:rFonts w:ascii="Times New Roman" w:hAnsi="Times New Roman" w:cs="Times New Roman"/>
        </w:rPr>
        <w:t>rug users/</w:t>
      </w:r>
      <w:r w:rsidR="00967469" w:rsidRPr="004C1796">
        <w:rPr>
          <w:rFonts w:ascii="Times New Roman" w:hAnsi="Times New Roman" w:cs="Times New Roman"/>
        </w:rPr>
        <w:t xml:space="preserve">social suppliers </w:t>
      </w:r>
      <w:r w:rsidR="002C6244" w:rsidRPr="004C1796">
        <w:rPr>
          <w:rFonts w:ascii="Times New Roman" w:hAnsi="Times New Roman" w:cs="Times New Roman"/>
        </w:rPr>
        <w:t xml:space="preserve">routinely </w:t>
      </w:r>
      <w:r w:rsidR="00967469" w:rsidRPr="004C1796">
        <w:rPr>
          <w:rFonts w:ascii="Times New Roman" w:hAnsi="Times New Roman" w:cs="Times New Roman"/>
        </w:rPr>
        <w:t>subject to</w:t>
      </w:r>
      <w:r w:rsidR="00A20538" w:rsidRPr="004C1796">
        <w:rPr>
          <w:rFonts w:ascii="Times New Roman" w:hAnsi="Times New Roman" w:cs="Times New Roman"/>
        </w:rPr>
        <w:t xml:space="preserve"> the</w:t>
      </w:r>
      <w:r w:rsidR="007F309F" w:rsidRPr="004C1796">
        <w:rPr>
          <w:rFonts w:ascii="Times New Roman" w:hAnsi="Times New Roman" w:cs="Times New Roman"/>
        </w:rPr>
        <w:t xml:space="preserve"> deterrent sentences (Lai</w:t>
      </w:r>
      <w:r w:rsidR="00D16348" w:rsidRPr="004C1796">
        <w:rPr>
          <w:rFonts w:ascii="Times New Roman" w:hAnsi="Times New Roman" w:cs="Times New Roman"/>
        </w:rPr>
        <w:t>,</w:t>
      </w:r>
      <w:r w:rsidR="007F309F" w:rsidRPr="004C1796">
        <w:rPr>
          <w:rFonts w:ascii="Times New Roman" w:hAnsi="Times New Roman" w:cs="Times New Roman"/>
        </w:rPr>
        <w:t xml:space="preserve"> 2002</w:t>
      </w:r>
      <w:r w:rsidR="00967469" w:rsidRPr="004C1796">
        <w:rPr>
          <w:rFonts w:ascii="Times New Roman" w:hAnsi="Times New Roman" w:cs="Times New Roman"/>
        </w:rPr>
        <w:t xml:space="preserve">) designed to </w:t>
      </w:r>
      <w:r w:rsidR="005E063D" w:rsidRPr="004C1796">
        <w:rPr>
          <w:rFonts w:ascii="Times New Roman" w:hAnsi="Times New Roman" w:cs="Times New Roman"/>
        </w:rPr>
        <w:t xml:space="preserve">discourage and </w:t>
      </w:r>
      <w:r w:rsidR="00967469" w:rsidRPr="004C1796">
        <w:rPr>
          <w:rFonts w:ascii="Times New Roman" w:hAnsi="Times New Roman" w:cs="Times New Roman"/>
        </w:rPr>
        <w:t xml:space="preserve">punish </w:t>
      </w:r>
      <w:r w:rsidR="005E063D" w:rsidRPr="004C1796">
        <w:rPr>
          <w:rFonts w:ascii="Times New Roman" w:hAnsi="Times New Roman" w:cs="Times New Roman"/>
        </w:rPr>
        <w:t xml:space="preserve">committed </w:t>
      </w:r>
      <w:r w:rsidR="00967469" w:rsidRPr="004C1796">
        <w:rPr>
          <w:rFonts w:ascii="Times New Roman" w:hAnsi="Times New Roman" w:cs="Times New Roman"/>
        </w:rPr>
        <w:t>commercial</w:t>
      </w:r>
      <w:r w:rsidR="005E063D" w:rsidRPr="004C1796">
        <w:rPr>
          <w:rFonts w:ascii="Times New Roman" w:hAnsi="Times New Roman" w:cs="Times New Roman"/>
        </w:rPr>
        <w:t xml:space="preserve"> drug dealers. </w:t>
      </w:r>
      <w:r w:rsidR="00967469" w:rsidRPr="004C1796">
        <w:rPr>
          <w:rFonts w:ascii="Times New Roman" w:hAnsi="Times New Roman" w:cs="Times New Roman"/>
        </w:rPr>
        <w:t xml:space="preserve"> </w:t>
      </w:r>
    </w:p>
    <w:p w14:paraId="671300BE" w14:textId="77777777" w:rsidR="00B23E40" w:rsidRPr="004C1796" w:rsidRDefault="00B23E40" w:rsidP="00197B88">
      <w:pPr>
        <w:spacing w:line="360" w:lineRule="auto"/>
        <w:jc w:val="both"/>
        <w:rPr>
          <w:rFonts w:ascii="Times New Roman" w:hAnsi="Times New Roman" w:cs="Times New Roman"/>
          <w:i/>
        </w:rPr>
      </w:pPr>
    </w:p>
    <w:p w14:paraId="5F10679E" w14:textId="77777777" w:rsidR="00C81F6E" w:rsidRPr="004C1796" w:rsidRDefault="00C81F6E" w:rsidP="00197B88">
      <w:pPr>
        <w:spacing w:line="360" w:lineRule="auto"/>
        <w:jc w:val="both"/>
        <w:rPr>
          <w:rFonts w:ascii="Times New Roman" w:hAnsi="Times New Roman" w:cs="Times New Roman"/>
          <w:i/>
        </w:rPr>
      </w:pPr>
      <w:r w:rsidRPr="004C1796">
        <w:rPr>
          <w:rFonts w:ascii="Times New Roman" w:hAnsi="Times New Roman" w:cs="Times New Roman"/>
          <w:i/>
        </w:rPr>
        <w:t>Proportionality</w:t>
      </w:r>
    </w:p>
    <w:p w14:paraId="1363F623" w14:textId="77777777" w:rsidR="00F5251A" w:rsidRPr="004C1796" w:rsidRDefault="00F5251A" w:rsidP="00197B88">
      <w:pPr>
        <w:spacing w:line="360" w:lineRule="auto"/>
        <w:jc w:val="both"/>
        <w:rPr>
          <w:rFonts w:ascii="Times New Roman" w:hAnsi="Times New Roman" w:cs="Times New Roman"/>
        </w:rPr>
      </w:pPr>
    </w:p>
    <w:p w14:paraId="7CE6591B" w14:textId="1DC48549" w:rsidR="006B5471" w:rsidRPr="004C1796" w:rsidRDefault="00B23E40" w:rsidP="005B16C9">
      <w:pPr>
        <w:spacing w:line="360" w:lineRule="auto"/>
        <w:jc w:val="both"/>
        <w:rPr>
          <w:rFonts w:ascii="Times New Roman" w:hAnsi="Times New Roman" w:cs="Times New Roman"/>
        </w:rPr>
      </w:pPr>
      <w:r w:rsidRPr="004C1796">
        <w:rPr>
          <w:rFonts w:ascii="Times New Roman" w:hAnsi="Times New Roman" w:cs="Times New Roman"/>
        </w:rPr>
        <w:t xml:space="preserve">In seeking to ameliorate these problems and make a </w:t>
      </w:r>
      <w:r w:rsidR="00CB617B" w:rsidRPr="004C1796">
        <w:rPr>
          <w:rFonts w:ascii="Times New Roman" w:hAnsi="Times New Roman" w:cs="Times New Roman"/>
        </w:rPr>
        <w:t>case for a</w:t>
      </w:r>
      <w:r w:rsidR="00764056" w:rsidRPr="004C1796">
        <w:rPr>
          <w:rFonts w:ascii="Times New Roman" w:hAnsi="Times New Roman" w:cs="Times New Roman"/>
        </w:rPr>
        <w:t xml:space="preserve"> delineation between ‘trafficking offences’ and </w:t>
      </w:r>
      <w:r w:rsidR="00B33309" w:rsidRPr="004C1796">
        <w:rPr>
          <w:rFonts w:ascii="Times New Roman" w:hAnsi="Times New Roman" w:cs="Times New Roman"/>
        </w:rPr>
        <w:t xml:space="preserve">social supply, the </w:t>
      </w:r>
      <w:r w:rsidR="007969CE" w:rsidRPr="004C1796">
        <w:rPr>
          <w:rFonts w:ascii="Times New Roman" w:hAnsi="Times New Roman" w:cs="Times New Roman"/>
        </w:rPr>
        <w:t xml:space="preserve">Police Foundation </w:t>
      </w:r>
      <w:r w:rsidR="00EE4BC6" w:rsidRPr="004C1796">
        <w:rPr>
          <w:rFonts w:ascii="Times New Roman" w:hAnsi="Times New Roman" w:cs="Times New Roman"/>
        </w:rPr>
        <w:t xml:space="preserve">Report </w:t>
      </w:r>
      <w:r w:rsidR="007969CE" w:rsidRPr="004C1796">
        <w:rPr>
          <w:rFonts w:ascii="Times New Roman" w:hAnsi="Times New Roman" w:cs="Times New Roman"/>
        </w:rPr>
        <w:t xml:space="preserve">(2000) </w:t>
      </w:r>
      <w:r w:rsidR="00EE4BC6" w:rsidRPr="004C1796">
        <w:rPr>
          <w:rFonts w:ascii="Times New Roman" w:hAnsi="Times New Roman" w:cs="Times New Roman"/>
        </w:rPr>
        <w:t>pointed to the ways in which other European countries at that time had</w:t>
      </w:r>
      <w:r w:rsidR="0091211F" w:rsidRPr="004C1796">
        <w:rPr>
          <w:rFonts w:ascii="Times New Roman" w:hAnsi="Times New Roman" w:cs="Times New Roman"/>
        </w:rPr>
        <w:t xml:space="preserve"> started</w:t>
      </w:r>
      <w:r w:rsidR="00EE4BC6" w:rsidRPr="004C1796">
        <w:rPr>
          <w:rFonts w:ascii="Times New Roman" w:hAnsi="Times New Roman" w:cs="Times New Roman"/>
        </w:rPr>
        <w:t xml:space="preserve"> </w:t>
      </w:r>
      <w:r w:rsidR="0091211F" w:rsidRPr="004C1796">
        <w:rPr>
          <w:rFonts w:ascii="Times New Roman" w:hAnsi="Times New Roman" w:cs="Times New Roman"/>
        </w:rPr>
        <w:t>differentiating</w:t>
      </w:r>
      <w:r w:rsidR="00EE4BC6" w:rsidRPr="004C1796">
        <w:rPr>
          <w:rFonts w:ascii="Times New Roman" w:hAnsi="Times New Roman" w:cs="Times New Roman"/>
        </w:rPr>
        <w:t xml:space="preserve"> be</w:t>
      </w:r>
      <w:r w:rsidR="000E7522" w:rsidRPr="004C1796">
        <w:rPr>
          <w:rFonts w:ascii="Times New Roman" w:hAnsi="Times New Roman" w:cs="Times New Roman"/>
        </w:rPr>
        <w:t>tween different kinds of drug dealing</w:t>
      </w:r>
      <w:r w:rsidR="00726F7E" w:rsidRPr="004C1796">
        <w:rPr>
          <w:rFonts w:ascii="Times New Roman" w:hAnsi="Times New Roman" w:cs="Times New Roman"/>
        </w:rPr>
        <w:t xml:space="preserve">. </w:t>
      </w:r>
      <w:r w:rsidR="00085078" w:rsidRPr="004C1796">
        <w:rPr>
          <w:rFonts w:ascii="Times New Roman" w:hAnsi="Times New Roman" w:cs="Times New Roman"/>
        </w:rPr>
        <w:t>In</w:t>
      </w:r>
      <w:r w:rsidR="00425040" w:rsidRPr="004C1796">
        <w:rPr>
          <w:rFonts w:ascii="Times New Roman" w:hAnsi="Times New Roman" w:cs="Times New Roman"/>
        </w:rPr>
        <w:t xml:space="preserve"> 1988, the United Nations Convention against Illicit Traffic in Narcotic Drugs and Psychotropic Substances set a mandatory requirement that specific activities that constitute or contribute to trafficking be made ‘criminal offences’</w:t>
      </w:r>
      <w:r w:rsidR="00085078" w:rsidRPr="004C1796">
        <w:rPr>
          <w:rFonts w:ascii="Times New Roman" w:hAnsi="Times New Roman" w:cs="Times New Roman"/>
        </w:rPr>
        <w:t xml:space="preserve">, </w:t>
      </w:r>
      <w:r w:rsidR="00425040" w:rsidRPr="004C1796">
        <w:rPr>
          <w:rFonts w:ascii="Times New Roman" w:hAnsi="Times New Roman" w:cs="Times New Roman"/>
        </w:rPr>
        <w:t>subject to sanctions which take into account the grave nature of the offences, such as ‘imprisonment or other forms of deprivation of liberty, pecuniary sanctions and confiscation’ (p.129).</w:t>
      </w:r>
      <w:r w:rsidR="00085078" w:rsidRPr="004C1796">
        <w:rPr>
          <w:rFonts w:ascii="Times New Roman" w:hAnsi="Times New Roman" w:cs="Times New Roman"/>
        </w:rPr>
        <w:t xml:space="preserve"> There is</w:t>
      </w:r>
      <w:r w:rsidR="00A278AD" w:rsidRPr="004C1796">
        <w:rPr>
          <w:rFonts w:ascii="Times New Roman" w:hAnsi="Times New Roman" w:cs="Times New Roman"/>
        </w:rPr>
        <w:t xml:space="preserve"> however</w:t>
      </w:r>
      <w:r w:rsidR="00873122" w:rsidRPr="004C1796">
        <w:rPr>
          <w:rFonts w:ascii="Times New Roman" w:hAnsi="Times New Roman" w:cs="Times New Roman"/>
        </w:rPr>
        <w:t xml:space="preserve"> an exception for appropriate cases of a ‘minor nature’, and where these are concerned, the Convention states that non-punitive sanctions may be used as alternatives, not in addition, to penal sanctions. A</w:t>
      </w:r>
      <w:r w:rsidR="00085078" w:rsidRPr="004C1796">
        <w:rPr>
          <w:rFonts w:ascii="Times New Roman" w:hAnsi="Times New Roman" w:cs="Times New Roman"/>
        </w:rPr>
        <w:t>s a result, a</w:t>
      </w:r>
      <w:r w:rsidR="00873122" w:rsidRPr="004C1796">
        <w:rPr>
          <w:rFonts w:ascii="Times New Roman" w:hAnsi="Times New Roman" w:cs="Times New Roman"/>
        </w:rPr>
        <w:t xml:space="preserve"> number of Jurisdictions </w:t>
      </w:r>
      <w:r w:rsidR="002B2B88" w:rsidRPr="004C1796">
        <w:rPr>
          <w:rFonts w:ascii="Times New Roman" w:hAnsi="Times New Roman" w:cs="Times New Roman"/>
        </w:rPr>
        <w:t>were</w:t>
      </w:r>
      <w:r w:rsidR="00085078" w:rsidRPr="004C1796">
        <w:rPr>
          <w:rFonts w:ascii="Times New Roman" w:hAnsi="Times New Roman" w:cs="Times New Roman"/>
        </w:rPr>
        <w:t xml:space="preserve"> legally able to attach</w:t>
      </w:r>
      <w:r w:rsidR="002B2B88" w:rsidRPr="004C1796">
        <w:rPr>
          <w:rFonts w:ascii="Times New Roman" w:hAnsi="Times New Roman" w:cs="Times New Roman"/>
        </w:rPr>
        <w:t xml:space="preserve"> ‘aggravating factors’ to the most serio</w:t>
      </w:r>
      <w:r w:rsidR="00085078" w:rsidRPr="004C1796">
        <w:rPr>
          <w:rFonts w:ascii="Times New Roman" w:hAnsi="Times New Roman" w:cs="Times New Roman"/>
        </w:rPr>
        <w:t>us forms of supply and utilise</w:t>
      </w:r>
      <w:r w:rsidR="002B2B88" w:rsidRPr="004C1796">
        <w:rPr>
          <w:rFonts w:ascii="Times New Roman" w:hAnsi="Times New Roman" w:cs="Times New Roman"/>
        </w:rPr>
        <w:t xml:space="preserve"> legal developments to treat social supply type offences as ‘</w:t>
      </w:r>
      <w:r w:rsidR="00FD7421" w:rsidRPr="004C1796">
        <w:rPr>
          <w:rFonts w:ascii="Times New Roman" w:hAnsi="Times New Roman" w:cs="Times New Roman"/>
        </w:rPr>
        <w:t xml:space="preserve">falling outside the range of trafficking’ </w:t>
      </w:r>
      <w:r w:rsidR="002B2B88" w:rsidRPr="004C1796">
        <w:rPr>
          <w:rFonts w:ascii="Times New Roman" w:hAnsi="Times New Roman" w:cs="Times New Roman"/>
        </w:rPr>
        <w:t>(</w:t>
      </w:r>
      <w:r w:rsidR="00A278AD" w:rsidRPr="004C1796">
        <w:rPr>
          <w:rFonts w:ascii="Times New Roman" w:hAnsi="Times New Roman" w:cs="Times New Roman"/>
        </w:rPr>
        <w:t xml:space="preserve">Police Foundation, 2000: </w:t>
      </w:r>
      <w:r w:rsidR="00FD7421" w:rsidRPr="004C1796">
        <w:rPr>
          <w:rFonts w:ascii="Times New Roman" w:hAnsi="Times New Roman" w:cs="Times New Roman"/>
        </w:rPr>
        <w:t>62</w:t>
      </w:r>
      <w:r w:rsidR="002B2B88" w:rsidRPr="004C1796">
        <w:rPr>
          <w:rFonts w:ascii="Times New Roman" w:hAnsi="Times New Roman" w:cs="Times New Roman"/>
        </w:rPr>
        <w:t>). In Italy</w:t>
      </w:r>
      <w:r w:rsidR="0093163D" w:rsidRPr="004C1796">
        <w:rPr>
          <w:rFonts w:ascii="Times New Roman" w:hAnsi="Times New Roman" w:cs="Times New Roman"/>
        </w:rPr>
        <w:t>,</w:t>
      </w:r>
      <w:r w:rsidR="002B2B88" w:rsidRPr="004C1796">
        <w:rPr>
          <w:rFonts w:ascii="Times New Roman" w:hAnsi="Times New Roman" w:cs="Times New Roman"/>
        </w:rPr>
        <w:t xml:space="preserve"> ‘gift giving’, and </w:t>
      </w:r>
      <w:r w:rsidR="0030560B" w:rsidRPr="004C1796">
        <w:rPr>
          <w:rFonts w:ascii="Times New Roman" w:hAnsi="Times New Roman" w:cs="Times New Roman"/>
        </w:rPr>
        <w:t>‘go-between’</w:t>
      </w:r>
      <w:r w:rsidR="002B2B88" w:rsidRPr="004C1796">
        <w:rPr>
          <w:rFonts w:ascii="Times New Roman" w:hAnsi="Times New Roman" w:cs="Times New Roman"/>
        </w:rPr>
        <w:t xml:space="preserve"> behaviours </w:t>
      </w:r>
      <w:r w:rsidR="00D34A81" w:rsidRPr="004C1796">
        <w:rPr>
          <w:rFonts w:ascii="Times New Roman" w:hAnsi="Times New Roman" w:cs="Times New Roman"/>
        </w:rPr>
        <w:t xml:space="preserve">were </w:t>
      </w:r>
      <w:r w:rsidR="002B2B88" w:rsidRPr="004C1796">
        <w:rPr>
          <w:rFonts w:ascii="Times New Roman" w:hAnsi="Times New Roman" w:cs="Times New Roman"/>
        </w:rPr>
        <w:t>dealt with through administrative sanctions</w:t>
      </w:r>
      <w:r w:rsidR="00C32EEF" w:rsidRPr="004C1796">
        <w:rPr>
          <w:rFonts w:ascii="Times New Roman" w:hAnsi="Times New Roman" w:cs="Times New Roman"/>
        </w:rPr>
        <w:t>,</w:t>
      </w:r>
      <w:r w:rsidR="002B2B88" w:rsidRPr="004C1796">
        <w:rPr>
          <w:rFonts w:ascii="Times New Roman" w:hAnsi="Times New Roman" w:cs="Times New Roman"/>
        </w:rPr>
        <w:t xml:space="preserve"> and in Spain, the same </w:t>
      </w:r>
      <w:r w:rsidR="002B2B88" w:rsidRPr="004C1796">
        <w:rPr>
          <w:rFonts w:ascii="Times New Roman" w:hAnsi="Times New Roman" w:cs="Times New Roman"/>
        </w:rPr>
        <w:lastRenderedPageBreak/>
        <w:t>practices may not</w:t>
      </w:r>
      <w:r w:rsidR="00D34A81" w:rsidRPr="004C1796">
        <w:rPr>
          <w:rFonts w:ascii="Times New Roman" w:hAnsi="Times New Roman" w:cs="Times New Roman"/>
        </w:rPr>
        <w:t xml:space="preserve"> even</w:t>
      </w:r>
      <w:r w:rsidR="002B2B88" w:rsidRPr="004C1796">
        <w:rPr>
          <w:rFonts w:ascii="Times New Roman" w:hAnsi="Times New Roman" w:cs="Times New Roman"/>
        </w:rPr>
        <w:t xml:space="preserve"> be deemed an offence, de</w:t>
      </w:r>
      <w:r w:rsidR="00A3621E" w:rsidRPr="004C1796">
        <w:rPr>
          <w:rFonts w:ascii="Times New Roman" w:hAnsi="Times New Roman" w:cs="Times New Roman"/>
        </w:rPr>
        <w:t>pending on the circumstances (</w:t>
      </w:r>
      <w:r w:rsidR="00FD7421" w:rsidRPr="004C1796">
        <w:rPr>
          <w:rFonts w:ascii="Times New Roman" w:hAnsi="Times New Roman" w:cs="Times New Roman"/>
        </w:rPr>
        <w:t>p.62</w:t>
      </w:r>
      <w:r w:rsidR="002B2B88" w:rsidRPr="004C1796">
        <w:rPr>
          <w:rFonts w:ascii="Times New Roman" w:hAnsi="Times New Roman" w:cs="Times New Roman"/>
        </w:rPr>
        <w:t>)</w:t>
      </w:r>
      <w:r w:rsidR="00D34A81" w:rsidRPr="004C1796">
        <w:rPr>
          <w:rFonts w:ascii="Times New Roman" w:hAnsi="Times New Roman" w:cs="Times New Roman"/>
        </w:rPr>
        <w:t>.</w:t>
      </w:r>
      <w:r w:rsidR="002B2B88" w:rsidRPr="004C1796">
        <w:rPr>
          <w:rFonts w:ascii="Times New Roman" w:hAnsi="Times New Roman" w:cs="Times New Roman"/>
        </w:rPr>
        <w:t xml:space="preserve"> </w:t>
      </w:r>
      <w:r w:rsidR="00C25590" w:rsidRPr="004C1796">
        <w:rPr>
          <w:rFonts w:ascii="Times New Roman" w:hAnsi="Times New Roman" w:cs="Times New Roman"/>
        </w:rPr>
        <w:t>The need to</w:t>
      </w:r>
      <w:r w:rsidR="00B0574D" w:rsidRPr="004C1796">
        <w:rPr>
          <w:rFonts w:ascii="Times New Roman" w:hAnsi="Times New Roman" w:cs="Times New Roman"/>
        </w:rPr>
        <w:t xml:space="preserve"> </w:t>
      </w:r>
      <w:r w:rsidR="00C25590" w:rsidRPr="004C1796">
        <w:rPr>
          <w:rFonts w:ascii="Times New Roman" w:hAnsi="Times New Roman" w:cs="Times New Roman"/>
        </w:rPr>
        <w:t>accommodate</w:t>
      </w:r>
      <w:r w:rsidR="0048779B" w:rsidRPr="004C1796">
        <w:rPr>
          <w:rFonts w:ascii="Times New Roman" w:hAnsi="Times New Roman" w:cs="Times New Roman"/>
        </w:rPr>
        <w:t xml:space="preserve"> </w:t>
      </w:r>
      <w:r w:rsidR="00DB110F" w:rsidRPr="004C1796">
        <w:rPr>
          <w:rFonts w:ascii="Times New Roman" w:hAnsi="Times New Roman" w:cs="Times New Roman"/>
        </w:rPr>
        <w:t xml:space="preserve">differentiation </w:t>
      </w:r>
      <w:r w:rsidR="00B0574D" w:rsidRPr="004C1796">
        <w:rPr>
          <w:rFonts w:ascii="Times New Roman" w:hAnsi="Times New Roman" w:cs="Times New Roman"/>
        </w:rPr>
        <w:t>in drug supply offences</w:t>
      </w:r>
      <w:r w:rsidR="0048779B" w:rsidRPr="004C1796">
        <w:rPr>
          <w:rFonts w:ascii="Times New Roman" w:hAnsi="Times New Roman" w:cs="Times New Roman"/>
        </w:rPr>
        <w:t xml:space="preserve"> </w:t>
      </w:r>
      <w:r w:rsidR="007E72DA" w:rsidRPr="004C1796">
        <w:rPr>
          <w:rFonts w:ascii="Times New Roman" w:hAnsi="Times New Roman" w:cs="Times New Roman"/>
        </w:rPr>
        <w:t xml:space="preserve">can be linked to </w:t>
      </w:r>
      <w:r w:rsidR="00736A13" w:rsidRPr="004C1796">
        <w:rPr>
          <w:rFonts w:ascii="Times New Roman" w:hAnsi="Times New Roman" w:cs="Times New Roman"/>
        </w:rPr>
        <w:t>a wider drive</w:t>
      </w:r>
      <w:r w:rsidR="00E5148A" w:rsidRPr="004C1796">
        <w:rPr>
          <w:rFonts w:ascii="Times New Roman" w:hAnsi="Times New Roman" w:cs="Times New Roman"/>
        </w:rPr>
        <w:t xml:space="preserve"> </w:t>
      </w:r>
      <w:r w:rsidR="007E72DA" w:rsidRPr="004C1796">
        <w:rPr>
          <w:rFonts w:ascii="Times New Roman" w:hAnsi="Times New Roman" w:cs="Times New Roman"/>
        </w:rPr>
        <w:t xml:space="preserve">in </w:t>
      </w:r>
      <w:r w:rsidR="00DB110F" w:rsidRPr="004C1796">
        <w:rPr>
          <w:rFonts w:ascii="Times New Roman" w:hAnsi="Times New Roman" w:cs="Times New Roman"/>
        </w:rPr>
        <w:t xml:space="preserve">modern legal systems and international law </w:t>
      </w:r>
      <w:r w:rsidR="007E72DA" w:rsidRPr="004C1796">
        <w:rPr>
          <w:rFonts w:ascii="Times New Roman" w:hAnsi="Times New Roman" w:cs="Times New Roman"/>
        </w:rPr>
        <w:t>fo</w:t>
      </w:r>
      <w:r w:rsidR="00DF3B16" w:rsidRPr="004C1796">
        <w:rPr>
          <w:rFonts w:ascii="Times New Roman" w:hAnsi="Times New Roman" w:cs="Times New Roman"/>
        </w:rPr>
        <w:t>r proportionality in sentencing</w:t>
      </w:r>
      <w:r w:rsidR="007E72DA" w:rsidRPr="004C1796">
        <w:rPr>
          <w:rFonts w:ascii="Times New Roman" w:hAnsi="Times New Roman" w:cs="Times New Roman"/>
        </w:rPr>
        <w:t xml:space="preserve"> </w:t>
      </w:r>
      <w:r w:rsidR="00DF3B16" w:rsidRPr="004C1796">
        <w:rPr>
          <w:rFonts w:ascii="Times New Roman" w:hAnsi="Times New Roman" w:cs="Times New Roman"/>
        </w:rPr>
        <w:t>(</w:t>
      </w:r>
      <w:r w:rsidR="00FD6BB1" w:rsidRPr="004C1796">
        <w:rPr>
          <w:rFonts w:ascii="Times New Roman" w:hAnsi="Times New Roman" w:cs="Times New Roman"/>
        </w:rPr>
        <w:t>Lai</w:t>
      </w:r>
      <w:r w:rsidR="00DF3B16" w:rsidRPr="004C1796">
        <w:rPr>
          <w:rFonts w:ascii="Times New Roman" w:hAnsi="Times New Roman" w:cs="Times New Roman"/>
        </w:rPr>
        <w:t xml:space="preserve">, </w:t>
      </w:r>
      <w:r w:rsidR="009C4E76" w:rsidRPr="004C1796">
        <w:rPr>
          <w:rFonts w:ascii="Times New Roman" w:hAnsi="Times New Roman" w:cs="Times New Roman"/>
        </w:rPr>
        <w:t>201</w:t>
      </w:r>
      <w:r w:rsidR="00FD6BB1" w:rsidRPr="004C1796">
        <w:rPr>
          <w:rFonts w:ascii="Times New Roman" w:hAnsi="Times New Roman" w:cs="Times New Roman"/>
        </w:rPr>
        <w:t>2</w:t>
      </w:r>
      <w:r w:rsidR="007E72DA" w:rsidRPr="004C1796">
        <w:rPr>
          <w:rFonts w:ascii="Times New Roman" w:hAnsi="Times New Roman" w:cs="Times New Roman"/>
        </w:rPr>
        <w:t>)</w:t>
      </w:r>
      <w:r w:rsidR="00FD6BB1" w:rsidRPr="004C1796">
        <w:rPr>
          <w:rFonts w:ascii="Times New Roman" w:hAnsi="Times New Roman" w:cs="Times New Roman"/>
        </w:rPr>
        <w:t xml:space="preserve">, </w:t>
      </w:r>
      <w:r w:rsidR="00543D35" w:rsidRPr="004C1796">
        <w:rPr>
          <w:rFonts w:ascii="Times New Roman" w:hAnsi="Times New Roman" w:cs="Times New Roman"/>
        </w:rPr>
        <w:t>represent</w:t>
      </w:r>
      <w:r w:rsidR="00FD6BB1" w:rsidRPr="004C1796">
        <w:rPr>
          <w:rFonts w:ascii="Times New Roman" w:hAnsi="Times New Roman" w:cs="Times New Roman"/>
        </w:rPr>
        <w:t>ing</w:t>
      </w:r>
      <w:r w:rsidR="00DB110F" w:rsidRPr="004C1796">
        <w:rPr>
          <w:rFonts w:ascii="Times New Roman" w:hAnsi="Times New Roman" w:cs="Times New Roman"/>
        </w:rPr>
        <w:t xml:space="preserve"> </w:t>
      </w:r>
      <w:r w:rsidR="007E72DA" w:rsidRPr="004C1796">
        <w:rPr>
          <w:rFonts w:ascii="Times New Roman" w:hAnsi="Times New Roman" w:cs="Times New Roman"/>
        </w:rPr>
        <w:t xml:space="preserve">an </w:t>
      </w:r>
      <w:r w:rsidR="00DB110F" w:rsidRPr="004C1796">
        <w:rPr>
          <w:rFonts w:ascii="Times New Roman" w:hAnsi="Times New Roman" w:cs="Times New Roman"/>
        </w:rPr>
        <w:t>essential means for safeguardi</w:t>
      </w:r>
      <w:r w:rsidR="00FD6BB1" w:rsidRPr="004C1796">
        <w:rPr>
          <w:rFonts w:ascii="Times New Roman" w:hAnsi="Times New Roman" w:cs="Times New Roman"/>
        </w:rPr>
        <w:t>ng funda</w:t>
      </w:r>
      <w:r w:rsidR="008E126C" w:rsidRPr="004C1796">
        <w:rPr>
          <w:rFonts w:ascii="Times New Roman" w:hAnsi="Times New Roman" w:cs="Times New Roman"/>
        </w:rPr>
        <w:t>mental human rights (Engle, 2012</w:t>
      </w:r>
      <w:r w:rsidR="00DB110F" w:rsidRPr="004C1796">
        <w:rPr>
          <w:rFonts w:ascii="Times New Roman" w:hAnsi="Times New Roman" w:cs="Times New Roman"/>
        </w:rPr>
        <w:t xml:space="preserve">). </w:t>
      </w:r>
      <w:r w:rsidR="00543D35" w:rsidRPr="004C1796">
        <w:rPr>
          <w:rFonts w:ascii="Times New Roman" w:hAnsi="Times New Roman" w:cs="Times New Roman"/>
        </w:rPr>
        <w:t xml:space="preserve">At the core </w:t>
      </w:r>
      <w:r w:rsidR="007969CE" w:rsidRPr="004C1796">
        <w:rPr>
          <w:rFonts w:ascii="Times New Roman" w:hAnsi="Times New Roman" w:cs="Times New Roman"/>
        </w:rPr>
        <w:t xml:space="preserve">of </w:t>
      </w:r>
      <w:r w:rsidR="00543D35" w:rsidRPr="004C1796">
        <w:rPr>
          <w:rFonts w:ascii="Times New Roman" w:hAnsi="Times New Roman" w:cs="Times New Roman"/>
        </w:rPr>
        <w:t xml:space="preserve">this </w:t>
      </w:r>
      <w:r w:rsidR="007360B8" w:rsidRPr="004C1796">
        <w:rPr>
          <w:rFonts w:ascii="Times New Roman" w:hAnsi="Times New Roman" w:cs="Times New Roman"/>
        </w:rPr>
        <w:t xml:space="preserve">principle </w:t>
      </w:r>
      <w:r w:rsidR="00F6772C" w:rsidRPr="004C1796">
        <w:rPr>
          <w:rFonts w:ascii="Times New Roman" w:hAnsi="Times New Roman" w:cs="Times New Roman"/>
        </w:rPr>
        <w:t xml:space="preserve">is </w:t>
      </w:r>
      <w:r w:rsidR="00366760" w:rsidRPr="004C1796">
        <w:rPr>
          <w:rFonts w:ascii="Times New Roman" w:hAnsi="Times New Roman" w:cs="Times New Roman"/>
        </w:rPr>
        <w:t>commensurability between</w:t>
      </w:r>
      <w:r w:rsidR="00C25590" w:rsidRPr="004C1796">
        <w:rPr>
          <w:rFonts w:ascii="Times New Roman" w:hAnsi="Times New Roman" w:cs="Times New Roman"/>
        </w:rPr>
        <w:t xml:space="preserve"> offence seriousness and sentence</w:t>
      </w:r>
      <w:r w:rsidR="00366760" w:rsidRPr="004C1796">
        <w:rPr>
          <w:rFonts w:ascii="Times New Roman" w:hAnsi="Times New Roman" w:cs="Times New Roman"/>
        </w:rPr>
        <w:t xml:space="preserve"> se</w:t>
      </w:r>
      <w:r w:rsidR="00006623" w:rsidRPr="004C1796">
        <w:rPr>
          <w:rFonts w:ascii="Times New Roman" w:hAnsi="Times New Roman" w:cs="Times New Roman"/>
        </w:rPr>
        <w:t>verity</w:t>
      </w:r>
      <w:r w:rsidR="00F6772C" w:rsidRPr="004C1796">
        <w:rPr>
          <w:rFonts w:ascii="Times New Roman" w:hAnsi="Times New Roman" w:cs="Times New Roman"/>
        </w:rPr>
        <w:t>,</w:t>
      </w:r>
      <w:r w:rsidR="00006623" w:rsidRPr="004C1796">
        <w:rPr>
          <w:rFonts w:ascii="Times New Roman" w:hAnsi="Times New Roman" w:cs="Times New Roman"/>
        </w:rPr>
        <w:t xml:space="preserve"> meaning</w:t>
      </w:r>
      <w:r w:rsidR="00602D11" w:rsidRPr="004C1796">
        <w:rPr>
          <w:rFonts w:ascii="Times New Roman" w:hAnsi="Times New Roman" w:cs="Times New Roman"/>
        </w:rPr>
        <w:t xml:space="preserve"> </w:t>
      </w:r>
      <w:r w:rsidR="00006623" w:rsidRPr="004C1796">
        <w:rPr>
          <w:rFonts w:ascii="Times New Roman" w:hAnsi="Times New Roman" w:cs="Times New Roman"/>
        </w:rPr>
        <w:t xml:space="preserve">that </w:t>
      </w:r>
      <w:r w:rsidR="00602D11" w:rsidRPr="004C1796">
        <w:rPr>
          <w:rFonts w:ascii="Times New Roman" w:hAnsi="Times New Roman" w:cs="Times New Roman"/>
        </w:rPr>
        <w:t>the more</w:t>
      </w:r>
      <w:r w:rsidR="00006623" w:rsidRPr="004C1796">
        <w:rPr>
          <w:rFonts w:ascii="Times New Roman" w:hAnsi="Times New Roman" w:cs="Times New Roman"/>
        </w:rPr>
        <w:t xml:space="preserve"> serious the crime, the more</w:t>
      </w:r>
      <w:r w:rsidR="00602D11" w:rsidRPr="004C1796">
        <w:rPr>
          <w:rFonts w:ascii="Times New Roman" w:hAnsi="Times New Roman" w:cs="Times New Roman"/>
        </w:rPr>
        <w:t xml:space="preserve"> blameworthy the</w:t>
      </w:r>
      <w:r w:rsidR="00731DE3" w:rsidRPr="004C1796">
        <w:rPr>
          <w:rFonts w:ascii="Times New Roman" w:hAnsi="Times New Roman" w:cs="Times New Roman"/>
        </w:rPr>
        <w:t xml:space="preserve"> offender, and</w:t>
      </w:r>
      <w:r w:rsidR="00842103" w:rsidRPr="004C1796">
        <w:rPr>
          <w:rFonts w:ascii="Times New Roman" w:hAnsi="Times New Roman" w:cs="Times New Roman"/>
        </w:rPr>
        <w:t xml:space="preserve"> </w:t>
      </w:r>
      <w:r w:rsidR="00006623" w:rsidRPr="004C1796">
        <w:rPr>
          <w:rFonts w:ascii="Times New Roman" w:hAnsi="Times New Roman" w:cs="Times New Roman"/>
        </w:rPr>
        <w:t xml:space="preserve">thus the greater </w:t>
      </w:r>
      <w:r w:rsidR="00584EBC" w:rsidRPr="004C1796">
        <w:rPr>
          <w:rFonts w:ascii="Times New Roman" w:hAnsi="Times New Roman" w:cs="Times New Roman"/>
        </w:rPr>
        <w:t xml:space="preserve">the </w:t>
      </w:r>
      <w:r w:rsidR="005D0B64" w:rsidRPr="004C1796">
        <w:rPr>
          <w:rFonts w:ascii="Times New Roman" w:hAnsi="Times New Roman" w:cs="Times New Roman"/>
        </w:rPr>
        <w:t>deserved punishment</w:t>
      </w:r>
      <w:r w:rsidR="00006623" w:rsidRPr="004C1796">
        <w:rPr>
          <w:rFonts w:ascii="Times New Roman" w:hAnsi="Times New Roman" w:cs="Times New Roman"/>
        </w:rPr>
        <w:t xml:space="preserve"> (Lovegrove, 2010)</w:t>
      </w:r>
      <w:r w:rsidR="00361B2A" w:rsidRPr="004C1796">
        <w:rPr>
          <w:rFonts w:ascii="Times New Roman" w:hAnsi="Times New Roman" w:cs="Times New Roman"/>
        </w:rPr>
        <w:t xml:space="preserve">. </w:t>
      </w:r>
      <w:r w:rsidR="007E72DA" w:rsidRPr="004C1796">
        <w:rPr>
          <w:rFonts w:ascii="Times New Roman" w:hAnsi="Times New Roman" w:cs="Times New Roman"/>
        </w:rPr>
        <w:t>Differentiation i</w:t>
      </w:r>
      <w:r w:rsidR="00056D9C" w:rsidRPr="004C1796">
        <w:rPr>
          <w:rFonts w:ascii="Times New Roman" w:hAnsi="Times New Roman" w:cs="Times New Roman"/>
        </w:rPr>
        <w:t>n supply</w:t>
      </w:r>
      <w:r w:rsidR="00A278AD" w:rsidRPr="004C1796">
        <w:rPr>
          <w:rFonts w:ascii="Times New Roman" w:hAnsi="Times New Roman" w:cs="Times New Roman"/>
        </w:rPr>
        <w:t xml:space="preserve"> - </w:t>
      </w:r>
      <w:r w:rsidR="00056D9C" w:rsidRPr="004C1796">
        <w:rPr>
          <w:rFonts w:ascii="Times New Roman" w:hAnsi="Times New Roman" w:cs="Times New Roman"/>
        </w:rPr>
        <w:t>as pointed out by the Police F</w:t>
      </w:r>
      <w:r w:rsidR="007E72DA" w:rsidRPr="004C1796">
        <w:rPr>
          <w:rFonts w:ascii="Times New Roman" w:hAnsi="Times New Roman" w:cs="Times New Roman"/>
        </w:rPr>
        <w:t>oundation report</w:t>
      </w:r>
      <w:r w:rsidR="00A278AD" w:rsidRPr="004C1796">
        <w:rPr>
          <w:rFonts w:ascii="Times New Roman" w:hAnsi="Times New Roman" w:cs="Times New Roman"/>
        </w:rPr>
        <w:t xml:space="preserve"> -</w:t>
      </w:r>
      <w:r w:rsidR="007E72DA" w:rsidRPr="004C1796">
        <w:rPr>
          <w:rFonts w:ascii="Times New Roman" w:hAnsi="Times New Roman" w:cs="Times New Roman"/>
        </w:rPr>
        <w:t xml:space="preserve"> </w:t>
      </w:r>
      <w:r w:rsidR="00A278AD" w:rsidRPr="004C1796">
        <w:rPr>
          <w:rFonts w:ascii="Times New Roman" w:hAnsi="Times New Roman" w:cs="Times New Roman"/>
        </w:rPr>
        <w:t xml:space="preserve">therefore </w:t>
      </w:r>
      <w:r w:rsidR="007E72DA" w:rsidRPr="004C1796">
        <w:rPr>
          <w:rFonts w:ascii="Times New Roman" w:hAnsi="Times New Roman" w:cs="Times New Roman"/>
        </w:rPr>
        <w:t xml:space="preserve">clearly suggests that some suppliers do more harm than others and that those producing less harm should receive proportionately less severe penalties from the criminal justice system. </w:t>
      </w:r>
      <w:r w:rsidR="00A634D8" w:rsidRPr="004C1796">
        <w:rPr>
          <w:rFonts w:ascii="Times New Roman" w:hAnsi="Times New Roman" w:cs="Times New Roman"/>
        </w:rPr>
        <w:t xml:space="preserve"> </w:t>
      </w:r>
    </w:p>
    <w:p w14:paraId="2BF54A16" w14:textId="77777777" w:rsidR="00906F11" w:rsidRPr="004C1796" w:rsidRDefault="00906F11" w:rsidP="005B16C9">
      <w:pPr>
        <w:spacing w:line="360" w:lineRule="auto"/>
        <w:jc w:val="both"/>
        <w:rPr>
          <w:rFonts w:ascii="Times New Roman" w:hAnsi="Times New Roman" w:cs="Times New Roman"/>
        </w:rPr>
      </w:pPr>
    </w:p>
    <w:p w14:paraId="7C27E968" w14:textId="77777777" w:rsidR="005B16C9" w:rsidRPr="004C1796" w:rsidRDefault="00CB6B29" w:rsidP="005B16C9">
      <w:pPr>
        <w:spacing w:line="360" w:lineRule="auto"/>
        <w:jc w:val="both"/>
        <w:rPr>
          <w:rFonts w:ascii="Times New Roman" w:hAnsi="Times New Roman" w:cs="Times New Roman"/>
        </w:rPr>
      </w:pPr>
      <w:r w:rsidRPr="004C1796">
        <w:rPr>
          <w:rFonts w:ascii="Times New Roman" w:hAnsi="Times New Roman" w:cs="Times New Roman"/>
        </w:rPr>
        <w:t>Although as we shall see, there are some geographies that feature as ‘outliers’, general acknowledgement and reference to proportionality in sentencing law has become increasingly accepted.</w:t>
      </w:r>
      <w:r w:rsidR="00A278AD" w:rsidRPr="004C1796">
        <w:rPr>
          <w:rFonts w:ascii="Times New Roman" w:hAnsi="Times New Roman" w:cs="Times New Roman"/>
        </w:rPr>
        <w:t xml:space="preserve"> </w:t>
      </w:r>
      <w:r w:rsidR="007969CE" w:rsidRPr="004C1796">
        <w:rPr>
          <w:rFonts w:ascii="Times New Roman" w:hAnsi="Times New Roman" w:cs="Times New Roman"/>
        </w:rPr>
        <w:t>While</w:t>
      </w:r>
      <w:r w:rsidR="00D16460" w:rsidRPr="004C1796">
        <w:rPr>
          <w:rFonts w:ascii="Times New Roman" w:hAnsi="Times New Roman" w:cs="Times New Roman"/>
        </w:rPr>
        <w:t xml:space="preserve"> the UNODC has called on count</w:t>
      </w:r>
      <w:r w:rsidR="00252629" w:rsidRPr="004C1796">
        <w:rPr>
          <w:rFonts w:ascii="Times New Roman" w:hAnsi="Times New Roman" w:cs="Times New Roman"/>
        </w:rPr>
        <w:t>r</w:t>
      </w:r>
      <w:r w:rsidR="00D16460" w:rsidRPr="004C1796">
        <w:rPr>
          <w:rFonts w:ascii="Times New Roman" w:hAnsi="Times New Roman" w:cs="Times New Roman"/>
        </w:rPr>
        <w:t>ies to ensure proportionate penalties for drug offences and</w:t>
      </w:r>
      <w:r w:rsidRPr="004C1796">
        <w:rPr>
          <w:rFonts w:ascii="Times New Roman" w:hAnsi="Times New Roman" w:cs="Times New Roman"/>
        </w:rPr>
        <w:t xml:space="preserve"> many jurisdictions now recognise the </w:t>
      </w:r>
      <w:r w:rsidRPr="004C1796">
        <w:rPr>
          <w:rFonts w:ascii="Times New Roman" w:hAnsi="Times New Roman" w:cs="Times New Roman"/>
          <w:i/>
        </w:rPr>
        <w:t>principle</w:t>
      </w:r>
      <w:r w:rsidRPr="004C1796">
        <w:rPr>
          <w:rFonts w:ascii="Times New Roman" w:hAnsi="Times New Roman" w:cs="Times New Roman"/>
        </w:rPr>
        <w:t xml:space="preserve"> of proportionality in their drug sentencing laws and practices, there is variance in regard to the ways in which it is applied in practice (Lai, 2002)</w:t>
      </w:r>
      <w:r w:rsidR="00A634D8" w:rsidRPr="004C1796">
        <w:rPr>
          <w:rFonts w:ascii="Times New Roman" w:hAnsi="Times New Roman" w:cs="Times New Roman"/>
        </w:rPr>
        <w:t>.</w:t>
      </w:r>
      <w:r w:rsidRPr="004C1796">
        <w:rPr>
          <w:rFonts w:ascii="Times New Roman" w:hAnsi="Times New Roman" w:cs="Times New Roman"/>
        </w:rPr>
        <w:t xml:space="preserve"> For example</w:t>
      </w:r>
      <w:r w:rsidR="00AD439B" w:rsidRPr="004C1796">
        <w:rPr>
          <w:rFonts w:ascii="Times New Roman" w:hAnsi="Times New Roman" w:cs="Times New Roman"/>
        </w:rPr>
        <w:t>,</w:t>
      </w:r>
      <w:r w:rsidRPr="004C1796">
        <w:rPr>
          <w:rFonts w:ascii="Times New Roman" w:hAnsi="Times New Roman" w:cs="Times New Roman"/>
        </w:rPr>
        <w:t xml:space="preserve"> </w:t>
      </w:r>
      <w:r w:rsidR="00DA5995" w:rsidRPr="004C1796">
        <w:rPr>
          <w:rFonts w:ascii="Times New Roman" w:hAnsi="Times New Roman" w:cs="Times New Roman"/>
        </w:rPr>
        <w:t xml:space="preserve">in </w:t>
      </w:r>
      <w:r w:rsidRPr="004C1796">
        <w:rPr>
          <w:rFonts w:ascii="Times New Roman" w:hAnsi="Times New Roman" w:cs="Times New Roman"/>
        </w:rPr>
        <w:t>Romania and Luxembourg, there is currently no distinction in penalty according to the quantities of drug supplied or personal circumstances of the offender (EMCDDA 2017</w:t>
      </w:r>
      <w:r w:rsidR="00E70A8E" w:rsidRPr="004C1796">
        <w:rPr>
          <w:rFonts w:ascii="Times New Roman" w:hAnsi="Times New Roman" w:cs="Times New Roman"/>
        </w:rPr>
        <w:t>a</w:t>
      </w:r>
      <w:r w:rsidRPr="004C1796">
        <w:rPr>
          <w:rFonts w:ascii="Times New Roman" w:hAnsi="Times New Roman" w:cs="Times New Roman"/>
        </w:rPr>
        <w:t>)</w:t>
      </w:r>
      <w:r w:rsidR="00CA7F28" w:rsidRPr="004C1796">
        <w:rPr>
          <w:rFonts w:ascii="Times New Roman" w:hAnsi="Times New Roman" w:cs="Times New Roman"/>
        </w:rPr>
        <w:t>,</w:t>
      </w:r>
      <w:r w:rsidRPr="004C1796">
        <w:rPr>
          <w:rFonts w:ascii="Times New Roman" w:hAnsi="Times New Roman" w:cs="Times New Roman"/>
        </w:rPr>
        <w:t xml:space="preserve"> </w:t>
      </w:r>
      <w:r w:rsidR="00DA5995" w:rsidRPr="004C1796">
        <w:rPr>
          <w:rFonts w:ascii="Times New Roman" w:hAnsi="Times New Roman" w:cs="Times New Roman"/>
        </w:rPr>
        <w:t>and</w:t>
      </w:r>
      <w:r w:rsidR="001E6F7D" w:rsidRPr="004C1796">
        <w:rPr>
          <w:rFonts w:ascii="Times New Roman" w:hAnsi="Times New Roman" w:cs="Times New Roman"/>
        </w:rPr>
        <w:t xml:space="preserve"> </w:t>
      </w:r>
      <w:r w:rsidR="00C96C93" w:rsidRPr="004C1796">
        <w:rPr>
          <w:rFonts w:ascii="Times New Roman" w:hAnsi="Times New Roman" w:cs="Times New Roman"/>
        </w:rPr>
        <w:t>it is important to note that a number of</w:t>
      </w:r>
      <w:r w:rsidR="00AD439B" w:rsidRPr="004C1796">
        <w:rPr>
          <w:rFonts w:ascii="Times New Roman" w:hAnsi="Times New Roman" w:cs="Times New Roman"/>
        </w:rPr>
        <w:t xml:space="preserve"> </w:t>
      </w:r>
      <w:r w:rsidR="00FF3D26" w:rsidRPr="004C1796">
        <w:rPr>
          <w:rFonts w:ascii="Times New Roman" w:hAnsi="Times New Roman" w:cs="Times New Roman"/>
        </w:rPr>
        <w:t>nations</w:t>
      </w:r>
      <w:r w:rsidR="00D16460" w:rsidRPr="004C1796">
        <w:rPr>
          <w:rFonts w:ascii="Times New Roman" w:hAnsi="Times New Roman" w:cs="Times New Roman"/>
        </w:rPr>
        <w:t xml:space="preserve"> </w:t>
      </w:r>
      <w:r w:rsidR="00AD439B" w:rsidRPr="004C1796">
        <w:rPr>
          <w:rFonts w:ascii="Times New Roman" w:hAnsi="Times New Roman" w:cs="Times New Roman"/>
        </w:rPr>
        <w:t>still impose disproportionate</w:t>
      </w:r>
      <w:r w:rsidR="001E6F7D" w:rsidRPr="004C1796">
        <w:rPr>
          <w:rFonts w:ascii="Times New Roman" w:hAnsi="Times New Roman" w:cs="Times New Roman"/>
        </w:rPr>
        <w:t xml:space="preserve"> sentencing tariffs that include life imprisonment and the death penalty (</w:t>
      </w:r>
      <w:r w:rsidR="00E11442" w:rsidRPr="004C1796">
        <w:rPr>
          <w:rFonts w:ascii="Times New Roman" w:hAnsi="Times New Roman" w:cs="Times New Roman"/>
        </w:rPr>
        <w:t xml:space="preserve">see </w:t>
      </w:r>
      <w:r w:rsidR="00654DD0" w:rsidRPr="004C1796">
        <w:rPr>
          <w:rFonts w:ascii="Times New Roman" w:hAnsi="Times New Roman" w:cs="Times New Roman"/>
        </w:rPr>
        <w:t>Gallahue et al., 2012).</w:t>
      </w:r>
      <w:r w:rsidRPr="004C1796">
        <w:rPr>
          <w:rFonts w:ascii="Times New Roman" w:hAnsi="Times New Roman" w:cs="Times New Roman"/>
        </w:rPr>
        <w:t xml:space="preserve"> </w:t>
      </w:r>
      <w:r w:rsidR="006967DF" w:rsidRPr="004C1796">
        <w:rPr>
          <w:rFonts w:ascii="Times New Roman" w:hAnsi="Times New Roman" w:cs="Times New Roman"/>
        </w:rPr>
        <w:t>But d</w:t>
      </w:r>
      <w:r w:rsidR="00CA7F28" w:rsidRPr="004C1796">
        <w:rPr>
          <w:rFonts w:ascii="Times New Roman" w:hAnsi="Times New Roman" w:cs="Times New Roman"/>
        </w:rPr>
        <w:t>espite e</w:t>
      </w:r>
      <w:r w:rsidR="00DA5995" w:rsidRPr="004C1796">
        <w:rPr>
          <w:rFonts w:ascii="Times New Roman" w:hAnsi="Times New Roman" w:cs="Times New Roman"/>
        </w:rPr>
        <w:t>mergent international standard</w:t>
      </w:r>
      <w:r w:rsidR="00CA7F28" w:rsidRPr="004C1796">
        <w:rPr>
          <w:rFonts w:ascii="Times New Roman" w:hAnsi="Times New Roman" w:cs="Times New Roman"/>
        </w:rPr>
        <w:t>s</w:t>
      </w:r>
      <w:r w:rsidR="00DA5995" w:rsidRPr="004C1796">
        <w:rPr>
          <w:rFonts w:ascii="Times New Roman" w:hAnsi="Times New Roman" w:cs="Times New Roman"/>
        </w:rPr>
        <w:t xml:space="preserve"> around p</w:t>
      </w:r>
      <w:r w:rsidR="00435870" w:rsidRPr="004C1796">
        <w:rPr>
          <w:rFonts w:ascii="Times New Roman" w:hAnsi="Times New Roman" w:cs="Times New Roman"/>
        </w:rPr>
        <w:t>roportionality and drug supply</w:t>
      </w:r>
      <w:r w:rsidR="00F14444" w:rsidRPr="004C1796">
        <w:rPr>
          <w:rFonts w:ascii="Times New Roman" w:hAnsi="Times New Roman" w:cs="Times New Roman"/>
        </w:rPr>
        <w:t>,</w:t>
      </w:r>
      <w:r w:rsidR="00435870" w:rsidRPr="004C1796">
        <w:rPr>
          <w:rFonts w:ascii="Times New Roman" w:hAnsi="Times New Roman" w:cs="Times New Roman"/>
        </w:rPr>
        <w:t xml:space="preserve"> the implementation of proportionate s</w:t>
      </w:r>
      <w:r w:rsidR="00D16348" w:rsidRPr="004C1796">
        <w:rPr>
          <w:rFonts w:ascii="Times New Roman" w:hAnsi="Times New Roman" w:cs="Times New Roman"/>
        </w:rPr>
        <w:t>entencing frameworks is</w:t>
      </w:r>
      <w:r w:rsidR="00CE6950" w:rsidRPr="004C1796">
        <w:rPr>
          <w:rFonts w:ascii="Times New Roman" w:hAnsi="Times New Roman" w:cs="Times New Roman"/>
        </w:rPr>
        <w:t xml:space="preserve"> culturally mediated</w:t>
      </w:r>
      <w:r w:rsidR="00435870" w:rsidRPr="004C1796">
        <w:rPr>
          <w:rFonts w:ascii="Times New Roman" w:hAnsi="Times New Roman" w:cs="Times New Roman"/>
        </w:rPr>
        <w:t xml:space="preserve">, </w:t>
      </w:r>
      <w:r w:rsidR="00B05968" w:rsidRPr="004C1796">
        <w:rPr>
          <w:rFonts w:ascii="Times New Roman" w:hAnsi="Times New Roman" w:cs="Times New Roman"/>
        </w:rPr>
        <w:t>and</w:t>
      </w:r>
      <w:r w:rsidR="00C91CA0" w:rsidRPr="004C1796">
        <w:rPr>
          <w:rFonts w:ascii="Times New Roman" w:hAnsi="Times New Roman" w:cs="Times New Roman"/>
        </w:rPr>
        <w:t xml:space="preserve"> </w:t>
      </w:r>
      <w:r w:rsidR="00F44ACF" w:rsidRPr="004C1796">
        <w:rPr>
          <w:rFonts w:ascii="Times New Roman" w:hAnsi="Times New Roman" w:cs="Times New Roman"/>
        </w:rPr>
        <w:t>at groun</w:t>
      </w:r>
      <w:r w:rsidR="00252393" w:rsidRPr="004C1796">
        <w:rPr>
          <w:rFonts w:ascii="Times New Roman" w:hAnsi="Times New Roman" w:cs="Times New Roman"/>
        </w:rPr>
        <w:t>d level this means that different</w:t>
      </w:r>
      <w:r w:rsidR="00F14444" w:rsidRPr="004C1796">
        <w:rPr>
          <w:rFonts w:ascii="Times New Roman" w:hAnsi="Times New Roman" w:cs="Times New Roman"/>
        </w:rPr>
        <w:t xml:space="preserve"> </w:t>
      </w:r>
      <w:r w:rsidR="00FF3D26" w:rsidRPr="004C1796">
        <w:rPr>
          <w:rFonts w:ascii="Times New Roman" w:hAnsi="Times New Roman" w:cs="Times New Roman"/>
        </w:rPr>
        <w:t>j</w:t>
      </w:r>
      <w:r w:rsidR="00252393" w:rsidRPr="004C1796">
        <w:rPr>
          <w:rFonts w:ascii="Times New Roman" w:hAnsi="Times New Roman" w:cs="Times New Roman"/>
        </w:rPr>
        <w:t>urisdiction</w:t>
      </w:r>
      <w:r w:rsidR="00F44ACF" w:rsidRPr="004C1796">
        <w:rPr>
          <w:rFonts w:ascii="Times New Roman" w:hAnsi="Times New Roman" w:cs="Times New Roman"/>
        </w:rPr>
        <w:t>s</w:t>
      </w:r>
      <w:r w:rsidR="00252393" w:rsidRPr="004C1796">
        <w:rPr>
          <w:rFonts w:ascii="Times New Roman" w:hAnsi="Times New Roman" w:cs="Times New Roman"/>
        </w:rPr>
        <w:t>’</w:t>
      </w:r>
      <w:r w:rsidR="00F14444" w:rsidRPr="004C1796">
        <w:rPr>
          <w:rFonts w:ascii="Times New Roman" w:hAnsi="Times New Roman" w:cs="Times New Roman"/>
        </w:rPr>
        <w:t xml:space="preserve"> conception</w:t>
      </w:r>
      <w:r w:rsidR="00252393" w:rsidRPr="004C1796">
        <w:rPr>
          <w:rFonts w:ascii="Times New Roman" w:hAnsi="Times New Roman" w:cs="Times New Roman"/>
        </w:rPr>
        <w:t>s of proportionate penalties for</w:t>
      </w:r>
      <w:r w:rsidR="00F44ACF" w:rsidRPr="004C1796">
        <w:rPr>
          <w:rFonts w:ascii="Times New Roman" w:hAnsi="Times New Roman" w:cs="Times New Roman"/>
        </w:rPr>
        <w:t xml:space="preserve"> drug </w:t>
      </w:r>
      <w:r w:rsidR="00F14444" w:rsidRPr="004C1796">
        <w:rPr>
          <w:rFonts w:ascii="Times New Roman" w:hAnsi="Times New Roman" w:cs="Times New Roman"/>
        </w:rPr>
        <w:t xml:space="preserve">supply </w:t>
      </w:r>
      <w:r w:rsidR="00F44ACF" w:rsidRPr="004C1796">
        <w:rPr>
          <w:rFonts w:ascii="Times New Roman" w:hAnsi="Times New Roman" w:cs="Times New Roman"/>
        </w:rPr>
        <w:t>offence</w:t>
      </w:r>
      <w:r w:rsidR="00252393" w:rsidRPr="004C1796">
        <w:rPr>
          <w:rFonts w:ascii="Times New Roman" w:hAnsi="Times New Roman" w:cs="Times New Roman"/>
        </w:rPr>
        <w:t>s</w:t>
      </w:r>
      <w:r w:rsidR="00F44ACF" w:rsidRPr="004C1796">
        <w:rPr>
          <w:rFonts w:ascii="Times New Roman" w:hAnsi="Times New Roman" w:cs="Times New Roman"/>
        </w:rPr>
        <w:t xml:space="preserve"> </w:t>
      </w:r>
      <w:r w:rsidR="00252393" w:rsidRPr="004C1796">
        <w:rPr>
          <w:rFonts w:ascii="Times New Roman" w:hAnsi="Times New Roman" w:cs="Times New Roman"/>
        </w:rPr>
        <w:t>are</w:t>
      </w:r>
      <w:r w:rsidR="007860EC" w:rsidRPr="004C1796">
        <w:rPr>
          <w:rFonts w:ascii="Times New Roman" w:hAnsi="Times New Roman" w:cs="Times New Roman"/>
        </w:rPr>
        <w:t xml:space="preserve"> </w:t>
      </w:r>
      <w:r w:rsidR="00543D35" w:rsidRPr="004C1796">
        <w:rPr>
          <w:rFonts w:ascii="Times New Roman" w:hAnsi="Times New Roman" w:cs="Times New Roman"/>
        </w:rPr>
        <w:t xml:space="preserve">invariably </w:t>
      </w:r>
      <w:r w:rsidR="007860EC" w:rsidRPr="004C1796">
        <w:rPr>
          <w:rFonts w:ascii="Times New Roman" w:hAnsi="Times New Roman" w:cs="Times New Roman"/>
        </w:rPr>
        <w:t>shaped</w:t>
      </w:r>
      <w:r w:rsidR="0030560B" w:rsidRPr="004C1796">
        <w:rPr>
          <w:rFonts w:ascii="Times New Roman" w:hAnsi="Times New Roman" w:cs="Times New Roman"/>
        </w:rPr>
        <w:t xml:space="preserve"> both</w:t>
      </w:r>
      <w:r w:rsidR="007860EC" w:rsidRPr="004C1796">
        <w:rPr>
          <w:rFonts w:ascii="Times New Roman" w:hAnsi="Times New Roman" w:cs="Times New Roman"/>
        </w:rPr>
        <w:t xml:space="preserve"> by </w:t>
      </w:r>
      <w:r w:rsidR="0030560B" w:rsidRPr="004C1796">
        <w:rPr>
          <w:rFonts w:ascii="Times New Roman" w:hAnsi="Times New Roman" w:cs="Times New Roman"/>
        </w:rPr>
        <w:t xml:space="preserve">the political climate and </w:t>
      </w:r>
      <w:r w:rsidR="005B16C9" w:rsidRPr="004C1796">
        <w:rPr>
          <w:rFonts w:ascii="Times New Roman" w:hAnsi="Times New Roman" w:cs="Times New Roman"/>
        </w:rPr>
        <w:t>underlying understandings of whom and what the drug dealer is (Coomber, 2006)</w:t>
      </w:r>
      <w:r w:rsidR="0030560B" w:rsidRPr="004C1796">
        <w:rPr>
          <w:rFonts w:ascii="Times New Roman" w:hAnsi="Times New Roman" w:cs="Times New Roman"/>
        </w:rPr>
        <w:t>.</w:t>
      </w:r>
    </w:p>
    <w:p w14:paraId="22323C8F" w14:textId="77777777" w:rsidR="007B797C" w:rsidRPr="004C1796" w:rsidRDefault="007B797C" w:rsidP="00197B88">
      <w:pPr>
        <w:spacing w:line="360" w:lineRule="auto"/>
        <w:jc w:val="both"/>
        <w:rPr>
          <w:rFonts w:ascii="Times New Roman" w:hAnsi="Times New Roman" w:cs="Times New Roman"/>
        </w:rPr>
      </w:pPr>
    </w:p>
    <w:p w14:paraId="7C4A0480" w14:textId="77777777" w:rsidR="007E72DA" w:rsidRPr="004C1796" w:rsidRDefault="00DE173E" w:rsidP="00197B88">
      <w:pPr>
        <w:spacing w:line="360" w:lineRule="auto"/>
        <w:jc w:val="both"/>
        <w:rPr>
          <w:rFonts w:ascii="Times New Roman" w:hAnsi="Times New Roman" w:cs="Times New Roman"/>
          <w:i/>
        </w:rPr>
      </w:pPr>
      <w:r w:rsidRPr="004C1796">
        <w:rPr>
          <w:rFonts w:ascii="Times New Roman" w:hAnsi="Times New Roman" w:cs="Times New Roman"/>
          <w:i/>
        </w:rPr>
        <w:t>Social Supply</w:t>
      </w:r>
    </w:p>
    <w:p w14:paraId="3E9B9870" w14:textId="77777777" w:rsidR="002D59DB" w:rsidRPr="004C1796" w:rsidRDefault="002D59DB" w:rsidP="00197B88">
      <w:pPr>
        <w:spacing w:line="360" w:lineRule="auto"/>
        <w:jc w:val="both"/>
        <w:rPr>
          <w:rFonts w:ascii="Times New Roman" w:hAnsi="Times New Roman" w:cs="Times New Roman"/>
        </w:rPr>
      </w:pPr>
    </w:p>
    <w:p w14:paraId="7233D6ED" w14:textId="77777777" w:rsidR="0030560B" w:rsidRPr="004C1796" w:rsidRDefault="00E3358B" w:rsidP="00B416A2">
      <w:pPr>
        <w:spacing w:line="360" w:lineRule="auto"/>
        <w:jc w:val="both"/>
        <w:rPr>
          <w:rFonts w:ascii="Times New Roman" w:hAnsi="Times New Roman" w:cs="Times New Roman"/>
          <w:lang w:val="en-US"/>
        </w:rPr>
      </w:pPr>
      <w:r w:rsidRPr="004C1796">
        <w:rPr>
          <w:rFonts w:ascii="Times New Roman" w:hAnsi="Times New Roman" w:cs="Times New Roman"/>
        </w:rPr>
        <w:t>Evidence of d</w:t>
      </w:r>
      <w:r w:rsidR="002B2B88" w:rsidRPr="004C1796">
        <w:rPr>
          <w:rFonts w:ascii="Times New Roman" w:hAnsi="Times New Roman" w:cs="Times New Roman"/>
        </w:rPr>
        <w:t xml:space="preserve">ifferent forms of low-level </w:t>
      </w:r>
      <w:r w:rsidRPr="004C1796">
        <w:rPr>
          <w:rFonts w:ascii="Times New Roman" w:hAnsi="Times New Roman" w:cs="Times New Roman"/>
        </w:rPr>
        <w:t xml:space="preserve">supply practices </w:t>
      </w:r>
      <w:r w:rsidR="002B2B88" w:rsidRPr="004C1796">
        <w:rPr>
          <w:rFonts w:ascii="Times New Roman" w:hAnsi="Times New Roman" w:cs="Times New Roman"/>
        </w:rPr>
        <w:t xml:space="preserve">such as those outlined in the </w:t>
      </w:r>
      <w:r w:rsidR="006112E2" w:rsidRPr="004C1796">
        <w:rPr>
          <w:rFonts w:ascii="Times New Roman" w:hAnsi="Times New Roman" w:cs="Times New Roman"/>
        </w:rPr>
        <w:t>Police Foundation R</w:t>
      </w:r>
      <w:r w:rsidR="002B2B88" w:rsidRPr="004C1796">
        <w:rPr>
          <w:rFonts w:ascii="Times New Roman" w:hAnsi="Times New Roman" w:cs="Times New Roman"/>
        </w:rPr>
        <w:t>eport</w:t>
      </w:r>
      <w:r w:rsidR="006112E2" w:rsidRPr="004C1796">
        <w:rPr>
          <w:rFonts w:ascii="Times New Roman" w:hAnsi="Times New Roman" w:cs="Times New Roman"/>
        </w:rPr>
        <w:t xml:space="preserve"> (2000)</w:t>
      </w:r>
      <w:r w:rsidR="002B2B88" w:rsidRPr="004C1796">
        <w:rPr>
          <w:rFonts w:ascii="Times New Roman" w:hAnsi="Times New Roman" w:cs="Times New Roman"/>
        </w:rPr>
        <w:t xml:space="preserve"> have been observed in a range of empirical research studies</w:t>
      </w:r>
      <w:r w:rsidR="007B5145" w:rsidRPr="004C1796">
        <w:rPr>
          <w:rFonts w:ascii="Times New Roman" w:hAnsi="Times New Roman" w:cs="Times New Roman"/>
        </w:rPr>
        <w:t xml:space="preserve"> </w:t>
      </w:r>
      <w:r w:rsidR="003A59E7" w:rsidRPr="004C1796">
        <w:rPr>
          <w:rFonts w:ascii="Times New Roman" w:hAnsi="Times New Roman" w:cs="Times New Roman"/>
        </w:rPr>
        <w:t>undertaken from</w:t>
      </w:r>
      <w:r w:rsidR="00473513" w:rsidRPr="004C1796">
        <w:rPr>
          <w:rFonts w:ascii="Times New Roman" w:hAnsi="Times New Roman" w:cs="Times New Roman"/>
        </w:rPr>
        <w:t xml:space="preserve"> the </w:t>
      </w:r>
      <w:r w:rsidR="003A59E7" w:rsidRPr="004C1796">
        <w:rPr>
          <w:rFonts w:ascii="Times New Roman" w:hAnsi="Times New Roman" w:cs="Times New Roman"/>
        </w:rPr>
        <w:t>1960’s</w:t>
      </w:r>
      <w:r w:rsidR="00473513" w:rsidRPr="004C1796">
        <w:rPr>
          <w:rFonts w:ascii="Times New Roman" w:hAnsi="Times New Roman" w:cs="Times New Roman"/>
        </w:rPr>
        <w:t xml:space="preserve"> (Goode</w:t>
      </w:r>
      <w:r w:rsidR="003A59E7" w:rsidRPr="004C1796">
        <w:rPr>
          <w:rFonts w:ascii="Times New Roman" w:hAnsi="Times New Roman" w:cs="Times New Roman"/>
        </w:rPr>
        <w:t>, 1969</w:t>
      </w:r>
      <w:r w:rsidR="00473513" w:rsidRPr="004C1796">
        <w:rPr>
          <w:rFonts w:ascii="Times New Roman" w:hAnsi="Times New Roman" w:cs="Times New Roman"/>
        </w:rPr>
        <w:t>; Blum</w:t>
      </w:r>
      <w:r w:rsidR="003A59E7" w:rsidRPr="004C1796">
        <w:rPr>
          <w:rFonts w:ascii="Times New Roman" w:hAnsi="Times New Roman" w:cs="Times New Roman"/>
        </w:rPr>
        <w:t>,</w:t>
      </w:r>
      <w:r w:rsidR="00466A77" w:rsidRPr="004C1796">
        <w:rPr>
          <w:rFonts w:ascii="Times New Roman" w:hAnsi="Times New Roman" w:cs="Times New Roman"/>
        </w:rPr>
        <w:t xml:space="preserve"> 1972</w:t>
      </w:r>
      <w:r w:rsidR="00473513" w:rsidRPr="004C1796">
        <w:rPr>
          <w:rFonts w:ascii="Times New Roman" w:hAnsi="Times New Roman" w:cs="Times New Roman"/>
        </w:rPr>
        <w:t>;</w:t>
      </w:r>
      <w:r w:rsidR="00466A77" w:rsidRPr="004C1796">
        <w:rPr>
          <w:rFonts w:ascii="Times New Roman" w:hAnsi="Times New Roman" w:cs="Times New Roman"/>
        </w:rPr>
        <w:t xml:space="preserve"> </w:t>
      </w:r>
      <w:r w:rsidR="00473513" w:rsidRPr="004C1796">
        <w:rPr>
          <w:rFonts w:ascii="Times New Roman" w:hAnsi="Times New Roman" w:cs="Times New Roman"/>
        </w:rPr>
        <w:t>Dorn</w:t>
      </w:r>
      <w:r w:rsidR="0071737E" w:rsidRPr="004C1796">
        <w:rPr>
          <w:rFonts w:ascii="Times New Roman" w:hAnsi="Times New Roman" w:cs="Times New Roman"/>
        </w:rPr>
        <w:t>, Murji &amp; South</w:t>
      </w:r>
      <w:r w:rsidR="00473513" w:rsidRPr="004C1796">
        <w:rPr>
          <w:rFonts w:ascii="Times New Roman" w:hAnsi="Times New Roman" w:cs="Times New Roman"/>
        </w:rPr>
        <w:t xml:space="preserve">, </w:t>
      </w:r>
      <w:r w:rsidR="00473513" w:rsidRPr="004C1796">
        <w:rPr>
          <w:rFonts w:ascii="Times New Roman" w:hAnsi="Times New Roman" w:cs="Times New Roman"/>
        </w:rPr>
        <w:lastRenderedPageBreak/>
        <w:t>1990) up to the present day</w:t>
      </w:r>
      <w:r w:rsidR="00850D71" w:rsidRPr="004C1796">
        <w:rPr>
          <w:rFonts w:ascii="Times New Roman" w:hAnsi="Times New Roman" w:cs="Times New Roman"/>
        </w:rPr>
        <w:t xml:space="preserve"> (see Werse </w:t>
      </w:r>
      <w:r w:rsidR="0071737E" w:rsidRPr="004C1796">
        <w:rPr>
          <w:rFonts w:ascii="Times New Roman" w:hAnsi="Times New Roman" w:cs="Times New Roman"/>
        </w:rPr>
        <w:t xml:space="preserve">&amp; </w:t>
      </w:r>
      <w:r w:rsidR="000F2264" w:rsidRPr="004C1796">
        <w:rPr>
          <w:rFonts w:ascii="Times New Roman" w:hAnsi="Times New Roman" w:cs="Times New Roman"/>
        </w:rPr>
        <w:t>Bernard (eds), 2016)</w:t>
      </w:r>
      <w:r w:rsidR="002B2B88" w:rsidRPr="004C1796">
        <w:rPr>
          <w:rFonts w:ascii="Times New Roman" w:hAnsi="Times New Roman" w:cs="Times New Roman"/>
        </w:rPr>
        <w:t>.</w:t>
      </w:r>
      <w:r w:rsidRPr="004C1796">
        <w:rPr>
          <w:rFonts w:ascii="Times New Roman" w:hAnsi="Times New Roman" w:cs="Times New Roman"/>
        </w:rPr>
        <w:t xml:space="preserve"> From the symbolic shari</w:t>
      </w:r>
      <w:r w:rsidR="003734F8" w:rsidRPr="004C1796">
        <w:rPr>
          <w:rFonts w:ascii="Times New Roman" w:hAnsi="Times New Roman" w:cs="Times New Roman"/>
        </w:rPr>
        <w:t xml:space="preserve">ng and gift giving behaviours </w:t>
      </w:r>
      <w:r w:rsidRPr="004C1796">
        <w:rPr>
          <w:rFonts w:ascii="Times New Roman" w:hAnsi="Times New Roman" w:cs="Times New Roman"/>
        </w:rPr>
        <w:t>associated with cannabis users (</w:t>
      </w:r>
      <w:r w:rsidR="002B2B88" w:rsidRPr="004C1796">
        <w:rPr>
          <w:rFonts w:ascii="Times New Roman" w:hAnsi="Times New Roman" w:cs="Times New Roman"/>
        </w:rPr>
        <w:t xml:space="preserve">Coomber </w:t>
      </w:r>
      <w:r w:rsidR="00842421" w:rsidRPr="004C1796">
        <w:rPr>
          <w:rFonts w:ascii="Times New Roman" w:hAnsi="Times New Roman" w:cs="Times New Roman"/>
        </w:rPr>
        <w:t xml:space="preserve">&amp; </w:t>
      </w:r>
      <w:r w:rsidR="002B2B88" w:rsidRPr="004C1796">
        <w:rPr>
          <w:rFonts w:ascii="Times New Roman" w:hAnsi="Times New Roman" w:cs="Times New Roman"/>
        </w:rPr>
        <w:t>Turnbull</w:t>
      </w:r>
      <w:r w:rsidR="00550A2A" w:rsidRPr="004C1796">
        <w:rPr>
          <w:rFonts w:ascii="Times New Roman" w:hAnsi="Times New Roman" w:cs="Times New Roman"/>
        </w:rPr>
        <w:t>, 2007; Duffy, Schafer, Coomber, O’Connell &amp; Turnbull</w:t>
      </w:r>
      <w:r w:rsidR="0071737E" w:rsidRPr="004C1796">
        <w:rPr>
          <w:rFonts w:ascii="Times New Roman" w:hAnsi="Times New Roman" w:cs="Times New Roman"/>
        </w:rPr>
        <w:t>, 2008</w:t>
      </w:r>
      <w:r w:rsidR="00D278A7" w:rsidRPr="004C1796">
        <w:rPr>
          <w:rFonts w:ascii="Times New Roman" w:hAnsi="Times New Roman" w:cs="Times New Roman"/>
        </w:rPr>
        <w:t xml:space="preserve">; Belackova </w:t>
      </w:r>
      <w:r w:rsidR="00BD3A69" w:rsidRPr="004C1796">
        <w:rPr>
          <w:rFonts w:ascii="Times New Roman" w:hAnsi="Times New Roman" w:cs="Times New Roman"/>
        </w:rPr>
        <w:t>&amp;</w:t>
      </w:r>
      <w:r w:rsidR="00CD3D4B" w:rsidRPr="004C1796">
        <w:rPr>
          <w:rFonts w:ascii="Times New Roman" w:hAnsi="Times New Roman" w:cs="Times New Roman"/>
        </w:rPr>
        <w:t xml:space="preserve"> </w:t>
      </w:r>
      <w:r w:rsidR="00D278A7" w:rsidRPr="004C1796">
        <w:rPr>
          <w:rFonts w:ascii="Times New Roman" w:hAnsi="Times New Roman" w:cs="Times New Roman"/>
        </w:rPr>
        <w:t>Zabransky, 2</w:t>
      </w:r>
      <w:r w:rsidR="00BA79F9" w:rsidRPr="004C1796">
        <w:rPr>
          <w:rFonts w:ascii="Times New Roman" w:hAnsi="Times New Roman" w:cs="Times New Roman"/>
        </w:rPr>
        <w:t xml:space="preserve">016; </w:t>
      </w:r>
      <w:r w:rsidR="000B0BFC" w:rsidRPr="004C1796">
        <w:rPr>
          <w:rFonts w:ascii="Times New Roman" w:hAnsi="Times New Roman" w:cs="Times New Roman"/>
          <w:lang w:val="en-US"/>
        </w:rPr>
        <w:t>Lenton, Grigg, Scott, Barratt &amp; Elefttheriadis</w:t>
      </w:r>
      <w:r w:rsidR="000B0BFC" w:rsidRPr="004C1796">
        <w:rPr>
          <w:rFonts w:ascii="Times New Roman" w:hAnsi="Times New Roman" w:cs="Times New Roman"/>
        </w:rPr>
        <w:t xml:space="preserve"> </w:t>
      </w:r>
      <w:r w:rsidR="00BA79F9" w:rsidRPr="004C1796">
        <w:rPr>
          <w:rFonts w:ascii="Times New Roman" w:hAnsi="Times New Roman" w:cs="Times New Roman"/>
        </w:rPr>
        <w:t>2015</w:t>
      </w:r>
      <w:r w:rsidR="00842421" w:rsidRPr="004C1796">
        <w:rPr>
          <w:rFonts w:ascii="Times New Roman" w:hAnsi="Times New Roman" w:cs="Times New Roman"/>
        </w:rPr>
        <w:t>)</w:t>
      </w:r>
      <w:r w:rsidR="00FF3D26" w:rsidRPr="004C1796">
        <w:rPr>
          <w:rFonts w:ascii="Times New Roman" w:hAnsi="Times New Roman" w:cs="Times New Roman"/>
        </w:rPr>
        <w:t>,</w:t>
      </w:r>
      <w:r w:rsidR="00842421" w:rsidRPr="004C1796">
        <w:rPr>
          <w:rFonts w:ascii="Times New Roman" w:hAnsi="Times New Roman" w:cs="Times New Roman"/>
        </w:rPr>
        <w:t xml:space="preserve"> to</w:t>
      </w:r>
      <w:r w:rsidR="00E31D61" w:rsidRPr="004C1796">
        <w:rPr>
          <w:rFonts w:ascii="Times New Roman" w:hAnsi="Times New Roman" w:cs="Times New Roman"/>
        </w:rPr>
        <w:t xml:space="preserve"> the group and ‘party buying’ pr</w:t>
      </w:r>
      <w:r w:rsidR="003D5CFD" w:rsidRPr="004C1796">
        <w:rPr>
          <w:rFonts w:ascii="Times New Roman" w:hAnsi="Times New Roman" w:cs="Times New Roman"/>
        </w:rPr>
        <w:t>actices</w:t>
      </w:r>
      <w:r w:rsidR="00E31D61" w:rsidRPr="004C1796">
        <w:rPr>
          <w:rFonts w:ascii="Times New Roman" w:hAnsi="Times New Roman" w:cs="Times New Roman"/>
        </w:rPr>
        <w:t xml:space="preserve"> undertaken by clubbers</w:t>
      </w:r>
      <w:r w:rsidR="00842421" w:rsidRPr="004C1796">
        <w:rPr>
          <w:rFonts w:ascii="Times New Roman" w:hAnsi="Times New Roman" w:cs="Times New Roman"/>
        </w:rPr>
        <w:t xml:space="preserve"> </w:t>
      </w:r>
      <w:r w:rsidR="002B2B88" w:rsidRPr="004C1796">
        <w:rPr>
          <w:rFonts w:ascii="Times New Roman" w:hAnsi="Times New Roman" w:cs="Times New Roman"/>
        </w:rPr>
        <w:t>(</w:t>
      </w:r>
      <w:r w:rsidR="00E31D61" w:rsidRPr="004C1796">
        <w:rPr>
          <w:rFonts w:ascii="Times New Roman" w:hAnsi="Times New Roman" w:cs="Times New Roman"/>
        </w:rPr>
        <w:t xml:space="preserve">Murphy et al., 2004; </w:t>
      </w:r>
      <w:r w:rsidR="002B2B88" w:rsidRPr="004C1796">
        <w:rPr>
          <w:rFonts w:ascii="Times New Roman" w:hAnsi="Times New Roman" w:cs="Times New Roman"/>
        </w:rPr>
        <w:t>Coomber &amp; Moyle, 2013</w:t>
      </w:r>
      <w:r w:rsidR="00AA59D2" w:rsidRPr="004C1796">
        <w:rPr>
          <w:rFonts w:ascii="Times New Roman" w:hAnsi="Times New Roman" w:cs="Times New Roman"/>
        </w:rPr>
        <w:t xml:space="preserve">; Joe </w:t>
      </w:r>
      <w:r w:rsidR="003A59E7" w:rsidRPr="004C1796">
        <w:rPr>
          <w:rFonts w:ascii="Times New Roman" w:hAnsi="Times New Roman" w:cs="Times New Roman"/>
        </w:rPr>
        <w:t xml:space="preserve">Laidler </w:t>
      </w:r>
      <w:r w:rsidR="005515FA" w:rsidRPr="004C1796">
        <w:rPr>
          <w:rFonts w:ascii="Times New Roman" w:hAnsi="Times New Roman" w:cs="Times New Roman"/>
        </w:rPr>
        <w:t xml:space="preserve">&amp; </w:t>
      </w:r>
      <w:r w:rsidR="003A59E7" w:rsidRPr="004C1796">
        <w:rPr>
          <w:rFonts w:ascii="Times New Roman" w:hAnsi="Times New Roman" w:cs="Times New Roman"/>
        </w:rPr>
        <w:t>Hunt, 2008</w:t>
      </w:r>
      <w:r w:rsidR="00AA59D2" w:rsidRPr="004C1796">
        <w:rPr>
          <w:rFonts w:ascii="Times New Roman" w:hAnsi="Times New Roman" w:cs="Times New Roman"/>
        </w:rPr>
        <w:t>; Measham</w:t>
      </w:r>
      <w:r w:rsidR="0071737E" w:rsidRPr="004C1796">
        <w:rPr>
          <w:rFonts w:ascii="Times New Roman" w:hAnsi="Times New Roman" w:cs="Times New Roman"/>
        </w:rPr>
        <w:t xml:space="preserve">, Aldridge &amp; Parker, </w:t>
      </w:r>
      <w:r w:rsidR="003A59E7" w:rsidRPr="004C1796">
        <w:rPr>
          <w:rFonts w:ascii="Times New Roman" w:hAnsi="Times New Roman" w:cs="Times New Roman"/>
        </w:rPr>
        <w:t>2001</w:t>
      </w:r>
      <w:r w:rsidR="00AA59D2" w:rsidRPr="004C1796">
        <w:rPr>
          <w:rFonts w:ascii="Times New Roman" w:hAnsi="Times New Roman" w:cs="Times New Roman"/>
        </w:rPr>
        <w:t>)</w:t>
      </w:r>
      <w:r w:rsidR="002B2B88" w:rsidRPr="004C1796">
        <w:rPr>
          <w:rFonts w:ascii="Times New Roman" w:hAnsi="Times New Roman" w:cs="Times New Roman"/>
        </w:rPr>
        <w:t xml:space="preserve"> </w:t>
      </w:r>
      <w:r w:rsidR="003734F8" w:rsidRPr="004C1796">
        <w:rPr>
          <w:rFonts w:ascii="Times New Roman" w:hAnsi="Times New Roman" w:cs="Times New Roman"/>
        </w:rPr>
        <w:t>and</w:t>
      </w:r>
      <w:r w:rsidR="003D5CFD" w:rsidRPr="004C1796">
        <w:rPr>
          <w:rFonts w:ascii="Times New Roman" w:hAnsi="Times New Roman" w:cs="Times New Roman"/>
        </w:rPr>
        <w:t xml:space="preserve"> the</w:t>
      </w:r>
      <w:r w:rsidR="00AA59D2" w:rsidRPr="004C1796">
        <w:rPr>
          <w:rFonts w:ascii="Times New Roman" w:hAnsi="Times New Roman" w:cs="Times New Roman"/>
        </w:rPr>
        <w:t xml:space="preserve"> </w:t>
      </w:r>
      <w:r w:rsidR="005E34E7" w:rsidRPr="004C1796">
        <w:rPr>
          <w:rFonts w:ascii="Times New Roman" w:hAnsi="Times New Roman" w:cs="Times New Roman"/>
        </w:rPr>
        <w:t>social distribution of drugs in g</w:t>
      </w:r>
      <w:r w:rsidR="00AA59D2" w:rsidRPr="004C1796">
        <w:rPr>
          <w:rFonts w:ascii="Times New Roman" w:hAnsi="Times New Roman" w:cs="Times New Roman"/>
        </w:rPr>
        <w:t>yms by users of Performance and Image Enhancing Drugs (PIED)</w:t>
      </w:r>
      <w:r w:rsidR="005E34E7" w:rsidRPr="004C1796">
        <w:rPr>
          <w:rFonts w:ascii="Times New Roman" w:hAnsi="Times New Roman" w:cs="Times New Roman"/>
        </w:rPr>
        <w:t xml:space="preserve"> (Coomber </w:t>
      </w:r>
      <w:r w:rsidR="004846DF" w:rsidRPr="004C1796">
        <w:rPr>
          <w:rFonts w:ascii="Times New Roman" w:hAnsi="Times New Roman" w:cs="Times New Roman"/>
        </w:rPr>
        <w:t>et al., 2014</w:t>
      </w:r>
      <w:r w:rsidR="0071737E" w:rsidRPr="004C1796">
        <w:rPr>
          <w:rFonts w:ascii="Times New Roman" w:hAnsi="Times New Roman" w:cs="Times New Roman"/>
        </w:rPr>
        <w:t>; van de Ven &amp;</w:t>
      </w:r>
      <w:r w:rsidR="000E137B" w:rsidRPr="004C1796">
        <w:rPr>
          <w:rFonts w:ascii="Times New Roman" w:hAnsi="Times New Roman" w:cs="Times New Roman"/>
        </w:rPr>
        <w:t xml:space="preserve"> Mulrooney, 2017</w:t>
      </w:r>
      <w:r w:rsidR="004846DF" w:rsidRPr="004C1796">
        <w:rPr>
          <w:rFonts w:ascii="Times New Roman" w:hAnsi="Times New Roman" w:cs="Times New Roman"/>
        </w:rPr>
        <w:t>)</w:t>
      </w:r>
      <w:r w:rsidR="00AA59D2" w:rsidRPr="004C1796">
        <w:rPr>
          <w:rFonts w:ascii="Times New Roman" w:hAnsi="Times New Roman" w:cs="Times New Roman"/>
        </w:rPr>
        <w:t>,</w:t>
      </w:r>
      <w:r w:rsidR="003D5CFD" w:rsidRPr="004C1796">
        <w:rPr>
          <w:rFonts w:ascii="Times New Roman" w:hAnsi="Times New Roman" w:cs="Times New Roman"/>
        </w:rPr>
        <w:t xml:space="preserve"> social supply is now largely understood </w:t>
      </w:r>
      <w:r w:rsidR="00AA59D2" w:rsidRPr="004C1796">
        <w:rPr>
          <w:rFonts w:ascii="Times New Roman" w:hAnsi="Times New Roman" w:cs="Times New Roman"/>
        </w:rPr>
        <w:t xml:space="preserve">both as an </w:t>
      </w:r>
      <w:r w:rsidR="003D5CFD" w:rsidRPr="004C1796">
        <w:rPr>
          <w:rFonts w:ascii="Times New Roman" w:hAnsi="Times New Roman" w:cs="Times New Roman"/>
        </w:rPr>
        <w:t>observable and qualitatively different form of supply to that of drug dealing</w:t>
      </w:r>
      <w:r w:rsidR="004D3FD8" w:rsidRPr="004C1796">
        <w:rPr>
          <w:rFonts w:ascii="Times New Roman" w:hAnsi="Times New Roman" w:cs="Times New Roman"/>
        </w:rPr>
        <w:t xml:space="preserve"> proper</w:t>
      </w:r>
      <w:r w:rsidR="003D5CFD" w:rsidRPr="004C1796">
        <w:rPr>
          <w:rFonts w:ascii="Times New Roman" w:hAnsi="Times New Roman" w:cs="Times New Roman"/>
        </w:rPr>
        <w:t>.</w:t>
      </w:r>
      <w:r w:rsidR="00AA59D2" w:rsidRPr="004C1796">
        <w:rPr>
          <w:rFonts w:ascii="Times New Roman" w:hAnsi="Times New Roman" w:cs="Times New Roman"/>
        </w:rPr>
        <w:t xml:space="preserve"> </w:t>
      </w:r>
      <w:r w:rsidR="003734F8" w:rsidRPr="004C1796">
        <w:rPr>
          <w:rFonts w:ascii="Times New Roman" w:hAnsi="Times New Roman" w:cs="Times New Roman"/>
        </w:rPr>
        <w:t xml:space="preserve">Despite the wealth of research that has documented social </w:t>
      </w:r>
      <w:r w:rsidR="004D3FD8" w:rsidRPr="004C1796">
        <w:rPr>
          <w:rFonts w:ascii="Times New Roman" w:hAnsi="Times New Roman" w:cs="Times New Roman"/>
        </w:rPr>
        <w:t xml:space="preserve">drug </w:t>
      </w:r>
      <w:r w:rsidR="003734F8" w:rsidRPr="004C1796">
        <w:rPr>
          <w:rFonts w:ascii="Times New Roman" w:hAnsi="Times New Roman" w:cs="Times New Roman"/>
        </w:rPr>
        <w:t xml:space="preserve">distribution across </w:t>
      </w:r>
      <w:r w:rsidR="006112E2" w:rsidRPr="004C1796">
        <w:rPr>
          <w:rFonts w:ascii="Times New Roman" w:hAnsi="Times New Roman" w:cs="Times New Roman"/>
        </w:rPr>
        <w:t xml:space="preserve">many international contexts, </w:t>
      </w:r>
      <w:r w:rsidR="00B416A2" w:rsidRPr="004C1796">
        <w:rPr>
          <w:rFonts w:ascii="Times New Roman" w:hAnsi="Times New Roman" w:cs="Times New Roman"/>
          <w:lang w:val="en-US"/>
        </w:rPr>
        <w:t xml:space="preserve">definition has </w:t>
      </w:r>
      <w:r w:rsidR="00FF3D26" w:rsidRPr="004C1796">
        <w:rPr>
          <w:rFonts w:ascii="Times New Roman" w:hAnsi="Times New Roman" w:cs="Times New Roman"/>
          <w:lang w:val="en-US"/>
        </w:rPr>
        <w:t xml:space="preserve">nonetheless </w:t>
      </w:r>
      <w:r w:rsidR="00B416A2" w:rsidRPr="004C1796">
        <w:rPr>
          <w:rFonts w:ascii="Times New Roman" w:hAnsi="Times New Roman" w:cs="Times New Roman"/>
          <w:lang w:val="en-US"/>
        </w:rPr>
        <w:t>tended to be</w:t>
      </w:r>
      <w:r w:rsidR="003734F8" w:rsidRPr="004C1796">
        <w:rPr>
          <w:rFonts w:ascii="Times New Roman" w:hAnsi="Times New Roman" w:cs="Times New Roman"/>
          <w:lang w:val="en-US"/>
        </w:rPr>
        <w:t xml:space="preserve"> a slippery business characteris</w:t>
      </w:r>
      <w:r w:rsidR="00D16348" w:rsidRPr="004C1796">
        <w:rPr>
          <w:rFonts w:ascii="Times New Roman" w:hAnsi="Times New Roman" w:cs="Times New Roman"/>
          <w:lang w:val="en-US"/>
        </w:rPr>
        <w:t>ed by an absence of</w:t>
      </w:r>
      <w:r w:rsidR="00B416A2" w:rsidRPr="004C1796">
        <w:rPr>
          <w:rFonts w:ascii="Times New Roman" w:hAnsi="Times New Roman" w:cs="Times New Roman"/>
          <w:lang w:val="en-US"/>
        </w:rPr>
        <w:t xml:space="preserve"> accepted definition cri</w:t>
      </w:r>
      <w:r w:rsidR="003734F8" w:rsidRPr="004C1796">
        <w:rPr>
          <w:rFonts w:ascii="Times New Roman" w:hAnsi="Times New Roman" w:cs="Times New Roman"/>
          <w:lang w:val="en-US"/>
        </w:rPr>
        <w:t xml:space="preserve">teria (Taylor </w:t>
      </w:r>
      <w:r w:rsidR="00550A2A" w:rsidRPr="004C1796">
        <w:rPr>
          <w:rFonts w:ascii="Times New Roman" w:hAnsi="Times New Roman" w:cs="Times New Roman"/>
          <w:lang w:val="en-US"/>
        </w:rPr>
        <w:t xml:space="preserve">&amp; </w:t>
      </w:r>
      <w:r w:rsidR="003734F8" w:rsidRPr="004C1796">
        <w:rPr>
          <w:rFonts w:ascii="Times New Roman" w:hAnsi="Times New Roman" w:cs="Times New Roman"/>
          <w:lang w:val="en-US"/>
        </w:rPr>
        <w:t>Potter, 2013).</w:t>
      </w:r>
      <w:r w:rsidR="004846DF" w:rsidRPr="004C1796">
        <w:rPr>
          <w:rFonts w:ascii="Times New Roman" w:hAnsi="Times New Roman" w:cs="Times New Roman"/>
          <w:lang w:val="en-US"/>
        </w:rPr>
        <w:t xml:space="preserve"> </w:t>
      </w:r>
    </w:p>
    <w:p w14:paraId="49C944EC" w14:textId="77777777" w:rsidR="0030560B" w:rsidRPr="004C1796" w:rsidRDefault="0030560B" w:rsidP="00B416A2">
      <w:pPr>
        <w:spacing w:line="360" w:lineRule="auto"/>
        <w:jc w:val="both"/>
        <w:rPr>
          <w:rFonts w:ascii="Times New Roman" w:hAnsi="Times New Roman" w:cs="Times New Roman"/>
          <w:lang w:val="en-US"/>
        </w:rPr>
      </w:pPr>
    </w:p>
    <w:p w14:paraId="4965F145" w14:textId="77777777" w:rsidR="00B416A2" w:rsidRPr="004C1796" w:rsidRDefault="004846DF" w:rsidP="00B416A2">
      <w:pPr>
        <w:spacing w:line="360" w:lineRule="auto"/>
        <w:jc w:val="both"/>
        <w:rPr>
          <w:rFonts w:ascii="Times New Roman" w:hAnsi="Times New Roman" w:cs="Times New Roman"/>
        </w:rPr>
      </w:pPr>
      <w:r w:rsidRPr="004C1796">
        <w:rPr>
          <w:rFonts w:ascii="Times New Roman" w:hAnsi="Times New Roman" w:cs="Times New Roman"/>
          <w:lang w:val="en-US"/>
        </w:rPr>
        <w:t>T</w:t>
      </w:r>
      <w:r w:rsidR="00B416A2" w:rsidRPr="004C1796">
        <w:rPr>
          <w:rFonts w:ascii="Times New Roman" w:hAnsi="Times New Roman" w:cs="Times New Roman"/>
          <w:lang w:val="en-US"/>
        </w:rPr>
        <w:t xml:space="preserve">here are two central elements that are often associated with the term: social supply as ‘non-profit’, and as ‘non-stranger’ supply (Potter, 2009). The idea of social supply as </w:t>
      </w:r>
      <w:r w:rsidR="001D1D18" w:rsidRPr="004C1796">
        <w:rPr>
          <w:rFonts w:ascii="Times New Roman" w:hAnsi="Times New Roman" w:cs="Times New Roman"/>
          <w:lang w:val="en-US"/>
        </w:rPr>
        <w:t xml:space="preserve">characterized by non-commercial distribution </w:t>
      </w:r>
      <w:r w:rsidR="00B416A2" w:rsidRPr="004C1796">
        <w:rPr>
          <w:rFonts w:ascii="Times New Roman" w:hAnsi="Times New Roman" w:cs="Times New Roman"/>
          <w:lang w:val="en-US"/>
        </w:rPr>
        <w:t xml:space="preserve">appears to have been widely supported in the literature base (Hough et al., 2003; Coomber </w:t>
      </w:r>
      <w:r w:rsidRPr="004C1796">
        <w:rPr>
          <w:rFonts w:ascii="Times New Roman" w:hAnsi="Times New Roman" w:cs="Times New Roman"/>
          <w:lang w:val="en-US"/>
        </w:rPr>
        <w:t xml:space="preserve">&amp; </w:t>
      </w:r>
      <w:r w:rsidR="00B416A2" w:rsidRPr="004C1796">
        <w:rPr>
          <w:rFonts w:ascii="Times New Roman" w:hAnsi="Times New Roman" w:cs="Times New Roman"/>
          <w:lang w:val="en-US"/>
        </w:rPr>
        <w:t>Turnbull, 2007)</w:t>
      </w:r>
      <w:r w:rsidR="001D1D18" w:rsidRPr="004C1796">
        <w:rPr>
          <w:rFonts w:ascii="Times New Roman" w:hAnsi="Times New Roman" w:cs="Times New Roman"/>
          <w:lang w:val="en-US"/>
        </w:rPr>
        <w:t>,</w:t>
      </w:r>
      <w:r w:rsidR="00B416A2" w:rsidRPr="004C1796">
        <w:rPr>
          <w:rFonts w:ascii="Times New Roman" w:hAnsi="Times New Roman" w:cs="Times New Roman"/>
          <w:lang w:val="en-US"/>
        </w:rPr>
        <w:t xml:space="preserve"> and empirical studies (see Hough et al., 2003; Duffy et al., 2008;</w:t>
      </w:r>
      <w:r w:rsidR="00CD3ED0" w:rsidRPr="004C1796">
        <w:rPr>
          <w:rFonts w:ascii="Times New Roman" w:hAnsi="Times New Roman" w:cs="Times New Roman"/>
          <w:lang w:val="en-US"/>
        </w:rPr>
        <w:t xml:space="preserve"> Moyle &amp; Coomber, forthcoming</w:t>
      </w:r>
      <w:r w:rsidR="00B416A2" w:rsidRPr="004C1796">
        <w:rPr>
          <w:rFonts w:ascii="Times New Roman" w:hAnsi="Times New Roman" w:cs="Times New Roman"/>
          <w:lang w:val="en-US"/>
        </w:rPr>
        <w:t>) have also depicted the regularity and high incidence of drug users sharing, swapping and ‘chipping in’ (combining funds to buy a quantity of drugs as a group). These practices have been identified as an important means of negotiating drug prohibition through providing access to those without contacts to drug supply networks (Measham et al., 2001), as well as offering users the prospect to share drug costs</w:t>
      </w:r>
      <w:r w:rsidR="00544161" w:rsidRPr="004C1796">
        <w:rPr>
          <w:rFonts w:ascii="Times New Roman" w:hAnsi="Times New Roman" w:cs="Times New Roman"/>
          <w:lang w:val="en-US"/>
        </w:rPr>
        <w:t xml:space="preserve"> (Moyle &amp; Coomber, forthcoming)</w:t>
      </w:r>
      <w:r w:rsidR="00B416A2" w:rsidRPr="004C1796">
        <w:rPr>
          <w:rFonts w:ascii="Times New Roman" w:hAnsi="Times New Roman" w:cs="Times New Roman"/>
          <w:lang w:val="en-US"/>
        </w:rPr>
        <w:t xml:space="preserve"> and protect themselves from the threat of the police and prosecution (Potter</w:t>
      </w:r>
      <w:r w:rsidR="00544161" w:rsidRPr="004C1796">
        <w:rPr>
          <w:rFonts w:ascii="Times New Roman" w:hAnsi="Times New Roman" w:cs="Times New Roman"/>
          <w:lang w:val="en-US"/>
        </w:rPr>
        <w:t>,</w:t>
      </w:r>
      <w:r w:rsidR="00B416A2" w:rsidRPr="004C1796">
        <w:rPr>
          <w:rFonts w:ascii="Times New Roman" w:hAnsi="Times New Roman" w:cs="Times New Roman"/>
          <w:lang w:val="en-US"/>
        </w:rPr>
        <w:t xml:space="preserve"> 2009; Parker et al., 1998</w:t>
      </w:r>
      <w:r w:rsidR="00F813EB" w:rsidRPr="004C1796">
        <w:rPr>
          <w:rFonts w:ascii="Times New Roman" w:hAnsi="Times New Roman" w:cs="Times New Roman"/>
          <w:lang w:val="en-US"/>
        </w:rPr>
        <w:t>; Belackova &amp;</w:t>
      </w:r>
      <w:r w:rsidR="00544161" w:rsidRPr="004C1796">
        <w:rPr>
          <w:rFonts w:ascii="Times New Roman" w:hAnsi="Times New Roman" w:cs="Times New Roman"/>
          <w:lang w:val="en-US"/>
        </w:rPr>
        <w:t xml:space="preserve"> Vaccaro, 2013</w:t>
      </w:r>
      <w:r w:rsidR="00B416A2" w:rsidRPr="004C1796">
        <w:rPr>
          <w:rFonts w:ascii="Times New Roman" w:hAnsi="Times New Roman" w:cs="Times New Roman"/>
          <w:lang w:val="en-US"/>
        </w:rPr>
        <w:t xml:space="preserve">). Though motivations for accessing drugs through social suppliers have tended to be </w:t>
      </w:r>
      <w:r w:rsidR="00B416A2" w:rsidRPr="004C1796">
        <w:rPr>
          <w:rFonts w:ascii="Times New Roman" w:hAnsi="Times New Roman" w:cs="Times New Roman"/>
          <w:i/>
          <w:lang w:val="en-US"/>
        </w:rPr>
        <w:t>predominately</w:t>
      </w:r>
      <w:r w:rsidR="00B416A2" w:rsidRPr="004C1796">
        <w:rPr>
          <w:rFonts w:ascii="Times New Roman" w:hAnsi="Times New Roman" w:cs="Times New Roman"/>
          <w:lang w:val="en-US"/>
        </w:rPr>
        <w:t xml:space="preserve"> non-commercial in character, emerging evidence suggests these transactions are more nuanced. Empirical data indicates that social supplie</w:t>
      </w:r>
      <w:r w:rsidR="00544161" w:rsidRPr="004C1796">
        <w:rPr>
          <w:rFonts w:ascii="Times New Roman" w:hAnsi="Times New Roman" w:cs="Times New Roman"/>
          <w:lang w:val="en-US"/>
        </w:rPr>
        <w:t>rs may be</w:t>
      </w:r>
      <w:r w:rsidR="00B416A2" w:rsidRPr="004C1796">
        <w:rPr>
          <w:rFonts w:ascii="Times New Roman" w:hAnsi="Times New Roman" w:cs="Times New Roman"/>
          <w:lang w:val="en-US"/>
        </w:rPr>
        <w:t xml:space="preserve"> routinely given free drugs or a monetary contribution for their troubles </w:t>
      </w:r>
      <w:r w:rsidR="003D2925" w:rsidRPr="004C1796">
        <w:rPr>
          <w:rFonts w:ascii="Times New Roman" w:hAnsi="Times New Roman" w:cs="Times New Roman"/>
          <w:lang w:val="en-US"/>
        </w:rPr>
        <w:t xml:space="preserve">and risk (Parker, 2000; Coomber &amp; </w:t>
      </w:r>
      <w:r w:rsidR="00B416A2" w:rsidRPr="004C1796">
        <w:rPr>
          <w:rFonts w:ascii="Times New Roman" w:hAnsi="Times New Roman" w:cs="Times New Roman"/>
          <w:lang w:val="en-US"/>
        </w:rPr>
        <w:t xml:space="preserve">Turnbull, 2007), or effectively earn their drugs for free through retail ‘markup’ (See Goode, 1969; Dorn et al., 1992; Murphy et al.,1990). The routine inclusion of gain and financial profit through </w:t>
      </w:r>
      <w:r w:rsidR="00C7345C" w:rsidRPr="004C1796">
        <w:rPr>
          <w:rFonts w:ascii="Times New Roman" w:hAnsi="Times New Roman" w:cs="Times New Roman"/>
          <w:lang w:val="en-US"/>
        </w:rPr>
        <w:t>‘</w:t>
      </w:r>
      <w:r w:rsidR="00B416A2" w:rsidRPr="004C1796">
        <w:rPr>
          <w:rFonts w:ascii="Times New Roman" w:hAnsi="Times New Roman" w:cs="Times New Roman"/>
          <w:lang w:val="en-US"/>
        </w:rPr>
        <w:t>taxing</w:t>
      </w:r>
      <w:r w:rsidR="00C7345C" w:rsidRPr="004C1796">
        <w:rPr>
          <w:rFonts w:ascii="Times New Roman" w:hAnsi="Times New Roman" w:cs="Times New Roman"/>
          <w:lang w:val="en-US"/>
        </w:rPr>
        <w:t>’</w:t>
      </w:r>
      <w:r w:rsidR="00544161" w:rsidRPr="004C1796">
        <w:rPr>
          <w:rFonts w:ascii="Times New Roman" w:hAnsi="Times New Roman" w:cs="Times New Roman"/>
          <w:lang w:val="en-US"/>
        </w:rPr>
        <w:t xml:space="preserve"> (Moyle &amp;</w:t>
      </w:r>
      <w:r w:rsidR="004D3FD8" w:rsidRPr="004C1796">
        <w:rPr>
          <w:rFonts w:ascii="Times New Roman" w:hAnsi="Times New Roman" w:cs="Times New Roman"/>
          <w:lang w:val="en-US"/>
        </w:rPr>
        <w:t xml:space="preserve"> Coomber, forthcoming)</w:t>
      </w:r>
      <w:r w:rsidR="00B416A2" w:rsidRPr="004C1796">
        <w:rPr>
          <w:rFonts w:ascii="Times New Roman" w:hAnsi="Times New Roman" w:cs="Times New Roman"/>
          <w:lang w:val="en-US"/>
        </w:rPr>
        <w:t>, bulk purchase and markup</w:t>
      </w:r>
      <w:r w:rsidR="006907B1" w:rsidRPr="004C1796">
        <w:rPr>
          <w:rFonts w:ascii="Times New Roman" w:hAnsi="Times New Roman" w:cs="Times New Roman"/>
          <w:lang w:val="en-US"/>
        </w:rPr>
        <w:t xml:space="preserve"> (Werse and Müller, 2016)</w:t>
      </w:r>
      <w:r w:rsidR="00B416A2" w:rsidRPr="004C1796">
        <w:rPr>
          <w:rFonts w:ascii="Times New Roman" w:hAnsi="Times New Roman" w:cs="Times New Roman"/>
          <w:lang w:val="en-US"/>
        </w:rPr>
        <w:t xml:space="preserve"> has </w:t>
      </w:r>
      <w:r w:rsidR="00B416A2" w:rsidRPr="004C1796">
        <w:rPr>
          <w:rFonts w:ascii="Times New Roman" w:hAnsi="Times New Roman" w:cs="Times New Roman"/>
          <w:lang w:val="en-US"/>
        </w:rPr>
        <w:lastRenderedPageBreak/>
        <w:t>elicited a call for social supply to be understood as part of a broader concept of ‘minimally commercial suppl</w:t>
      </w:r>
      <w:r w:rsidR="004252BE" w:rsidRPr="004C1796">
        <w:rPr>
          <w:rFonts w:ascii="Times New Roman" w:hAnsi="Times New Roman" w:cs="Times New Roman"/>
          <w:lang w:val="en-US"/>
        </w:rPr>
        <w:t>y’ (see Coomber &amp; Moyle, 2014</w:t>
      </w:r>
      <w:r w:rsidR="00B416A2" w:rsidRPr="004C1796">
        <w:rPr>
          <w:rFonts w:ascii="Times New Roman" w:hAnsi="Times New Roman" w:cs="Times New Roman"/>
          <w:lang w:val="en-US"/>
        </w:rPr>
        <w:t>). Here it is argued that extending the parameters of the concept would more accurately describe the nature of low-leve</w:t>
      </w:r>
      <w:r w:rsidR="0044044F" w:rsidRPr="004C1796">
        <w:rPr>
          <w:rFonts w:ascii="Times New Roman" w:hAnsi="Times New Roman" w:cs="Times New Roman"/>
          <w:lang w:val="en-US"/>
        </w:rPr>
        <w:t xml:space="preserve">l drug transactions (including </w:t>
      </w:r>
      <w:r w:rsidR="00FA5E89" w:rsidRPr="004C1796">
        <w:rPr>
          <w:rFonts w:ascii="Times New Roman" w:hAnsi="Times New Roman" w:cs="Times New Roman"/>
          <w:lang w:val="en-US"/>
        </w:rPr>
        <w:t xml:space="preserve">those of </w:t>
      </w:r>
      <w:r w:rsidR="0044044F" w:rsidRPr="004C1796">
        <w:rPr>
          <w:rFonts w:ascii="Times New Roman" w:hAnsi="Times New Roman" w:cs="Times New Roman"/>
          <w:lang w:val="en-US"/>
        </w:rPr>
        <w:t xml:space="preserve">drugs </w:t>
      </w:r>
      <w:r w:rsidR="00B416A2" w:rsidRPr="004C1796">
        <w:rPr>
          <w:rFonts w:ascii="Times New Roman" w:hAnsi="Times New Roman" w:cs="Times New Roman"/>
          <w:lang w:val="en-US"/>
        </w:rPr>
        <w:t>such as heroin and crack cocaine</w:t>
      </w:r>
      <w:r w:rsidR="00FA5E89" w:rsidRPr="004C1796">
        <w:rPr>
          <w:rFonts w:ascii="Times New Roman" w:hAnsi="Times New Roman" w:cs="Times New Roman"/>
          <w:lang w:val="en-US"/>
        </w:rPr>
        <w:t xml:space="preserve"> when sold by ‘user-dealers’</w:t>
      </w:r>
      <w:r w:rsidR="00B416A2" w:rsidRPr="004C1796">
        <w:rPr>
          <w:rFonts w:ascii="Times New Roman" w:hAnsi="Times New Roman" w:cs="Times New Roman"/>
          <w:lang w:val="en-US"/>
        </w:rPr>
        <w:t>)</w:t>
      </w:r>
      <w:r w:rsidR="003E4A48" w:rsidRPr="004C1796">
        <w:rPr>
          <w:rFonts w:ascii="Times New Roman" w:hAnsi="Times New Roman" w:cs="Times New Roman"/>
          <w:lang w:val="en-US"/>
        </w:rPr>
        <w:t xml:space="preserve"> which more often than not </w:t>
      </w:r>
      <w:r w:rsidR="004252BE" w:rsidRPr="004C1796">
        <w:rPr>
          <w:rFonts w:ascii="Times New Roman" w:hAnsi="Times New Roman" w:cs="Times New Roman"/>
          <w:lang w:val="en-US"/>
        </w:rPr>
        <w:t>involve some in-</w:t>
      </w:r>
      <w:r w:rsidR="003E4A48" w:rsidRPr="004C1796">
        <w:rPr>
          <w:rFonts w:ascii="Times New Roman" w:hAnsi="Times New Roman" w:cs="Times New Roman"/>
          <w:lang w:val="en-US"/>
        </w:rPr>
        <w:t>kind benefit or monetary gain (</w:t>
      </w:r>
      <w:r w:rsidR="004252BE" w:rsidRPr="004C1796">
        <w:rPr>
          <w:rFonts w:ascii="Times New Roman" w:hAnsi="Times New Roman" w:cs="Times New Roman"/>
          <w:lang w:val="en-US"/>
        </w:rPr>
        <w:t xml:space="preserve">Coomber &amp; </w:t>
      </w:r>
      <w:r w:rsidR="00FA2D4D" w:rsidRPr="004C1796">
        <w:rPr>
          <w:rFonts w:ascii="Times New Roman" w:hAnsi="Times New Roman" w:cs="Times New Roman"/>
          <w:lang w:val="en-US"/>
        </w:rPr>
        <w:t>Moyle, 20</w:t>
      </w:r>
      <w:r w:rsidR="003D2925" w:rsidRPr="004C1796">
        <w:rPr>
          <w:rFonts w:ascii="Times New Roman" w:hAnsi="Times New Roman" w:cs="Times New Roman"/>
          <w:lang w:val="en-US"/>
        </w:rPr>
        <w:t>14; Lenton</w:t>
      </w:r>
      <w:r w:rsidR="00550A2A" w:rsidRPr="004C1796">
        <w:rPr>
          <w:rFonts w:ascii="Times New Roman" w:hAnsi="Times New Roman" w:cs="Times New Roman"/>
          <w:lang w:val="en-US"/>
        </w:rPr>
        <w:t xml:space="preserve"> et al.,</w:t>
      </w:r>
      <w:r w:rsidR="00FA2D4D" w:rsidRPr="004C1796">
        <w:rPr>
          <w:rFonts w:ascii="Times New Roman" w:hAnsi="Times New Roman" w:cs="Times New Roman"/>
          <w:lang w:val="en-US"/>
        </w:rPr>
        <w:t xml:space="preserve"> 2015</w:t>
      </w:r>
      <w:r w:rsidR="004252BE" w:rsidRPr="004C1796">
        <w:rPr>
          <w:rFonts w:ascii="Times New Roman" w:hAnsi="Times New Roman" w:cs="Times New Roman"/>
          <w:lang w:val="en-US"/>
        </w:rPr>
        <w:t xml:space="preserve">). </w:t>
      </w:r>
    </w:p>
    <w:p w14:paraId="66E5AE3E" w14:textId="77777777" w:rsidR="00621BBE" w:rsidRPr="004C1796" w:rsidRDefault="00621BBE" w:rsidP="00197B88">
      <w:pPr>
        <w:spacing w:line="360" w:lineRule="auto"/>
        <w:jc w:val="both"/>
        <w:rPr>
          <w:rFonts w:ascii="Times New Roman" w:hAnsi="Times New Roman" w:cs="Times New Roman"/>
        </w:rPr>
      </w:pPr>
    </w:p>
    <w:p w14:paraId="145A79FC" w14:textId="77777777" w:rsidR="00415FE7" w:rsidRPr="004C1796" w:rsidRDefault="0087216A" w:rsidP="00E7752F">
      <w:pPr>
        <w:spacing w:line="360" w:lineRule="auto"/>
        <w:jc w:val="both"/>
        <w:outlineLvl w:val="0"/>
        <w:rPr>
          <w:rFonts w:ascii="Times New Roman" w:hAnsi="Times New Roman" w:cs="Times New Roman"/>
          <w:i/>
        </w:rPr>
      </w:pPr>
      <w:r w:rsidRPr="004C1796">
        <w:rPr>
          <w:rFonts w:ascii="Times New Roman" w:hAnsi="Times New Roman" w:cs="Times New Roman"/>
          <w:i/>
        </w:rPr>
        <w:t>The C</w:t>
      </w:r>
      <w:r w:rsidR="00415FE7" w:rsidRPr="004C1796">
        <w:rPr>
          <w:rFonts w:ascii="Times New Roman" w:hAnsi="Times New Roman" w:cs="Times New Roman"/>
          <w:i/>
        </w:rPr>
        <w:t>ur</w:t>
      </w:r>
      <w:r w:rsidRPr="004C1796">
        <w:rPr>
          <w:rFonts w:ascii="Times New Roman" w:hAnsi="Times New Roman" w:cs="Times New Roman"/>
          <w:i/>
        </w:rPr>
        <w:t>rent S</w:t>
      </w:r>
      <w:r w:rsidR="00415FE7" w:rsidRPr="004C1796">
        <w:rPr>
          <w:rFonts w:ascii="Times New Roman" w:hAnsi="Times New Roman" w:cs="Times New Roman"/>
          <w:i/>
        </w:rPr>
        <w:t>tudy</w:t>
      </w:r>
    </w:p>
    <w:p w14:paraId="6E067CE1" w14:textId="77777777" w:rsidR="00F228BB" w:rsidRPr="004C1796" w:rsidRDefault="00F228BB" w:rsidP="00197B88">
      <w:pPr>
        <w:spacing w:line="360" w:lineRule="auto"/>
        <w:jc w:val="both"/>
        <w:rPr>
          <w:rFonts w:ascii="Times New Roman" w:hAnsi="Times New Roman" w:cs="Times New Roman"/>
        </w:rPr>
      </w:pPr>
    </w:p>
    <w:p w14:paraId="09F1B6C2" w14:textId="77777777" w:rsidR="00CC1AF8" w:rsidRPr="004C1796" w:rsidRDefault="00E8709F" w:rsidP="008F584B">
      <w:pPr>
        <w:spacing w:line="360" w:lineRule="auto"/>
        <w:jc w:val="both"/>
        <w:rPr>
          <w:rFonts w:ascii="Times New Roman" w:hAnsi="Times New Roman" w:cs="Times New Roman"/>
        </w:rPr>
      </w:pPr>
      <w:r w:rsidRPr="004C1796">
        <w:rPr>
          <w:rFonts w:ascii="Times New Roman" w:hAnsi="Times New Roman" w:cs="Times New Roman"/>
        </w:rPr>
        <w:t>Despite definition remaining elusive, it is now apparent that a discernible</w:t>
      </w:r>
      <w:r w:rsidR="00174B34" w:rsidRPr="004C1796">
        <w:rPr>
          <w:rFonts w:ascii="Times New Roman" w:hAnsi="Times New Roman" w:cs="Times New Roman"/>
        </w:rPr>
        <w:t xml:space="preserve"> set of behaviours</w:t>
      </w:r>
      <w:r w:rsidRPr="004C1796">
        <w:rPr>
          <w:rFonts w:ascii="Times New Roman" w:hAnsi="Times New Roman" w:cs="Times New Roman"/>
        </w:rPr>
        <w:t>, commonly understood as ‘social supply’</w:t>
      </w:r>
      <w:r w:rsidR="00174B34" w:rsidRPr="004C1796">
        <w:rPr>
          <w:rFonts w:ascii="Times New Roman" w:hAnsi="Times New Roman" w:cs="Times New Roman"/>
        </w:rPr>
        <w:t xml:space="preserve"> are now observed and in a growing number of international contexts. </w:t>
      </w:r>
      <w:r w:rsidR="00F86C0E" w:rsidRPr="004C1796">
        <w:rPr>
          <w:rFonts w:ascii="Times New Roman" w:hAnsi="Times New Roman" w:cs="Times New Roman"/>
        </w:rPr>
        <w:t>There is evidence to suggest that l</w:t>
      </w:r>
      <w:r w:rsidR="009D0114" w:rsidRPr="004C1796">
        <w:rPr>
          <w:rFonts w:ascii="Times New Roman" w:hAnsi="Times New Roman" w:cs="Times New Roman"/>
        </w:rPr>
        <w:t>egal frameworks i</w:t>
      </w:r>
      <w:r w:rsidR="00F86C0E" w:rsidRPr="004C1796">
        <w:rPr>
          <w:rFonts w:ascii="Times New Roman" w:hAnsi="Times New Roman" w:cs="Times New Roman"/>
        </w:rPr>
        <w:t xml:space="preserve">n </w:t>
      </w:r>
      <w:r w:rsidR="004D3FD8" w:rsidRPr="004C1796">
        <w:rPr>
          <w:rFonts w:ascii="Times New Roman" w:hAnsi="Times New Roman" w:cs="Times New Roman"/>
        </w:rPr>
        <w:t xml:space="preserve">the United Kingdom </w:t>
      </w:r>
      <w:r w:rsidR="00F86C0E" w:rsidRPr="004C1796">
        <w:rPr>
          <w:rFonts w:ascii="Times New Roman" w:hAnsi="Times New Roman" w:cs="Times New Roman"/>
        </w:rPr>
        <w:t xml:space="preserve">have evolved </w:t>
      </w:r>
      <w:r w:rsidR="00FA5E89" w:rsidRPr="004C1796">
        <w:rPr>
          <w:rFonts w:ascii="Times New Roman" w:hAnsi="Times New Roman" w:cs="Times New Roman"/>
        </w:rPr>
        <w:t>to</w:t>
      </w:r>
      <w:r w:rsidR="009D0114" w:rsidRPr="004C1796">
        <w:rPr>
          <w:rFonts w:ascii="Times New Roman" w:hAnsi="Times New Roman" w:cs="Times New Roman"/>
        </w:rPr>
        <w:t xml:space="preserve"> acknowledge and accommodate </w:t>
      </w:r>
      <w:r w:rsidR="00FE0E75" w:rsidRPr="004C1796">
        <w:rPr>
          <w:rFonts w:ascii="Times New Roman" w:hAnsi="Times New Roman" w:cs="Times New Roman"/>
        </w:rPr>
        <w:t xml:space="preserve">this </w:t>
      </w:r>
      <w:r w:rsidR="009D0114" w:rsidRPr="004C1796">
        <w:rPr>
          <w:rFonts w:ascii="Times New Roman" w:hAnsi="Times New Roman" w:cs="Times New Roman"/>
        </w:rPr>
        <w:t xml:space="preserve">differentiation in terms of culpability and proportionality – </w:t>
      </w:r>
      <w:r w:rsidR="00124563" w:rsidRPr="004C1796">
        <w:rPr>
          <w:rFonts w:ascii="Times New Roman" w:hAnsi="Times New Roman" w:cs="Times New Roman"/>
        </w:rPr>
        <w:t xml:space="preserve">however, </w:t>
      </w:r>
      <w:r w:rsidR="009D0114" w:rsidRPr="004C1796">
        <w:rPr>
          <w:rFonts w:ascii="Times New Roman" w:hAnsi="Times New Roman" w:cs="Times New Roman"/>
        </w:rPr>
        <w:t xml:space="preserve">the extent to which this is the case for </w:t>
      </w:r>
      <w:r w:rsidR="00124563" w:rsidRPr="004C1796">
        <w:rPr>
          <w:rFonts w:ascii="Times New Roman" w:hAnsi="Times New Roman" w:cs="Times New Roman"/>
        </w:rPr>
        <w:t xml:space="preserve">social supply </w:t>
      </w:r>
      <w:r w:rsidR="009D0114" w:rsidRPr="004C1796">
        <w:rPr>
          <w:rFonts w:ascii="Times New Roman" w:hAnsi="Times New Roman" w:cs="Times New Roman"/>
        </w:rPr>
        <w:t>type behaviours elsewhere is the purpose of this paper</w:t>
      </w:r>
      <w:r w:rsidR="00124563" w:rsidRPr="004C1796">
        <w:rPr>
          <w:rFonts w:ascii="Times New Roman" w:hAnsi="Times New Roman" w:cs="Times New Roman"/>
        </w:rPr>
        <w:t xml:space="preserve">. </w:t>
      </w:r>
      <w:r w:rsidR="00EF6D03" w:rsidRPr="004C1796">
        <w:rPr>
          <w:rFonts w:ascii="Times New Roman" w:hAnsi="Times New Roman" w:cs="Times New Roman"/>
        </w:rPr>
        <w:t>Up until now, there have been few efforts to consider social supply</w:t>
      </w:r>
      <w:r w:rsidR="00BA7643" w:rsidRPr="004C1796">
        <w:rPr>
          <w:rFonts w:ascii="Times New Roman" w:hAnsi="Times New Roman" w:cs="Times New Roman"/>
        </w:rPr>
        <w:t xml:space="preserve"> and the treatment of social suppliers</w:t>
      </w:r>
      <w:r w:rsidR="00EF6D03" w:rsidRPr="004C1796">
        <w:rPr>
          <w:rFonts w:ascii="Times New Roman" w:hAnsi="Times New Roman" w:cs="Times New Roman"/>
        </w:rPr>
        <w:t xml:space="preserve"> outside </w:t>
      </w:r>
      <w:r w:rsidR="00BA7643" w:rsidRPr="004C1796">
        <w:rPr>
          <w:rFonts w:ascii="Times New Roman" w:hAnsi="Times New Roman" w:cs="Times New Roman"/>
        </w:rPr>
        <w:t>distinctive national contexts and this</w:t>
      </w:r>
      <w:r w:rsidR="00124563" w:rsidRPr="004C1796">
        <w:rPr>
          <w:rFonts w:ascii="Times New Roman" w:hAnsi="Times New Roman" w:cs="Times New Roman"/>
        </w:rPr>
        <w:t xml:space="preserve"> will be the first paper to focus on these issues fro</w:t>
      </w:r>
      <w:r w:rsidR="00BA7643" w:rsidRPr="004C1796">
        <w:rPr>
          <w:rFonts w:ascii="Times New Roman" w:hAnsi="Times New Roman" w:cs="Times New Roman"/>
        </w:rPr>
        <w:t>m an international perspective. The aim of this paper is to explore the extent to whi</w:t>
      </w:r>
      <w:r w:rsidR="0020040B" w:rsidRPr="004C1796">
        <w:rPr>
          <w:rFonts w:ascii="Times New Roman" w:hAnsi="Times New Roman" w:cs="Times New Roman"/>
        </w:rPr>
        <w:t>ch social supply is acknowledged</w:t>
      </w:r>
      <w:r w:rsidR="00FE0E75" w:rsidRPr="004C1796">
        <w:rPr>
          <w:rFonts w:ascii="Times New Roman" w:hAnsi="Times New Roman" w:cs="Times New Roman"/>
        </w:rPr>
        <w:t xml:space="preserve"> and developed in different count</w:t>
      </w:r>
      <w:r w:rsidR="0082401A" w:rsidRPr="004C1796">
        <w:rPr>
          <w:rFonts w:ascii="Times New Roman" w:hAnsi="Times New Roman" w:cs="Times New Roman"/>
        </w:rPr>
        <w:t>r</w:t>
      </w:r>
      <w:r w:rsidR="00FE0E75" w:rsidRPr="004C1796">
        <w:rPr>
          <w:rFonts w:ascii="Times New Roman" w:hAnsi="Times New Roman" w:cs="Times New Roman"/>
        </w:rPr>
        <w:t>ies</w:t>
      </w:r>
      <w:r w:rsidR="00BA7643" w:rsidRPr="004C1796">
        <w:rPr>
          <w:rFonts w:ascii="Times New Roman" w:hAnsi="Times New Roman" w:cs="Times New Roman"/>
        </w:rPr>
        <w:t xml:space="preserve">, and </w:t>
      </w:r>
      <w:r w:rsidR="0074636E" w:rsidRPr="004C1796">
        <w:rPr>
          <w:rFonts w:ascii="Times New Roman" w:hAnsi="Times New Roman" w:cs="Times New Roman"/>
        </w:rPr>
        <w:t xml:space="preserve">to identify </w:t>
      </w:r>
      <w:r w:rsidR="00BA7643" w:rsidRPr="004C1796">
        <w:rPr>
          <w:rFonts w:ascii="Times New Roman" w:hAnsi="Times New Roman" w:cs="Times New Roman"/>
        </w:rPr>
        <w:t xml:space="preserve">which contexts and circumstances make it more likely. </w:t>
      </w:r>
      <w:r w:rsidR="009E32AF" w:rsidRPr="004C1796">
        <w:rPr>
          <w:rFonts w:ascii="Times New Roman" w:hAnsi="Times New Roman" w:cs="Times New Roman"/>
        </w:rPr>
        <w:t>In addition to exploring the discursive milieu</w:t>
      </w:r>
      <w:r w:rsidR="00FE0E75" w:rsidRPr="004C1796">
        <w:rPr>
          <w:rFonts w:ascii="Times New Roman" w:hAnsi="Times New Roman" w:cs="Times New Roman"/>
        </w:rPr>
        <w:t xml:space="preserve"> for social supply</w:t>
      </w:r>
      <w:r w:rsidR="009E32AF" w:rsidRPr="004C1796">
        <w:rPr>
          <w:rFonts w:ascii="Times New Roman" w:hAnsi="Times New Roman" w:cs="Times New Roman"/>
        </w:rPr>
        <w:t xml:space="preserve">, we also explore how </w:t>
      </w:r>
      <w:r w:rsidR="00DF6CB1" w:rsidRPr="004C1796">
        <w:rPr>
          <w:rFonts w:ascii="Times New Roman" w:hAnsi="Times New Roman" w:cs="Times New Roman"/>
        </w:rPr>
        <w:t xml:space="preserve">it </w:t>
      </w:r>
      <w:r w:rsidR="009E32AF" w:rsidRPr="004C1796">
        <w:rPr>
          <w:rFonts w:ascii="Times New Roman" w:hAnsi="Times New Roman" w:cs="Times New Roman"/>
        </w:rPr>
        <w:t xml:space="preserve">is accommodated in international </w:t>
      </w:r>
      <w:r w:rsidR="00F813EB" w:rsidRPr="004C1796">
        <w:rPr>
          <w:rFonts w:ascii="Times New Roman" w:hAnsi="Times New Roman" w:cs="Times New Roman"/>
        </w:rPr>
        <w:t xml:space="preserve">criminal </w:t>
      </w:r>
      <w:r w:rsidR="00CC1AF8" w:rsidRPr="004C1796">
        <w:rPr>
          <w:rFonts w:ascii="Times New Roman" w:hAnsi="Times New Roman" w:cs="Times New Roman"/>
        </w:rPr>
        <w:t>justice systems:</w:t>
      </w:r>
      <w:r w:rsidR="00FE0E75" w:rsidRPr="004C1796">
        <w:rPr>
          <w:rFonts w:ascii="Times New Roman" w:hAnsi="Times New Roman" w:cs="Times New Roman"/>
        </w:rPr>
        <w:t xml:space="preserve"> in statute, sentencing provisions and through mitigation. </w:t>
      </w:r>
    </w:p>
    <w:p w14:paraId="18FCDD10" w14:textId="77777777" w:rsidR="00B576F8" w:rsidRPr="004C1796" w:rsidRDefault="00B576F8">
      <w:pPr>
        <w:rPr>
          <w:rFonts w:ascii="Times New Roman" w:hAnsi="Times New Roman" w:cs="Times New Roman"/>
        </w:rPr>
      </w:pPr>
    </w:p>
    <w:p w14:paraId="37B96536" w14:textId="77777777" w:rsidR="00DD4850" w:rsidRPr="004C1796" w:rsidRDefault="00DD4850" w:rsidP="00E7752F">
      <w:pPr>
        <w:outlineLvl w:val="0"/>
        <w:rPr>
          <w:rFonts w:ascii="Times New Roman" w:hAnsi="Times New Roman" w:cs="Times New Roman"/>
          <w:b/>
        </w:rPr>
      </w:pPr>
      <w:r w:rsidRPr="004C1796">
        <w:rPr>
          <w:rFonts w:ascii="Times New Roman" w:hAnsi="Times New Roman" w:cs="Times New Roman"/>
          <w:b/>
        </w:rPr>
        <w:t>Methods</w:t>
      </w:r>
    </w:p>
    <w:p w14:paraId="5E6C9D82" w14:textId="77777777" w:rsidR="00415FE7" w:rsidRPr="004C1796" w:rsidRDefault="00415FE7">
      <w:pPr>
        <w:rPr>
          <w:rFonts w:ascii="Times New Roman" w:hAnsi="Times New Roman" w:cs="Times New Roman"/>
          <w:b/>
        </w:rPr>
      </w:pPr>
    </w:p>
    <w:p w14:paraId="07E37CB7" w14:textId="77777777" w:rsidR="008E6499" w:rsidRPr="004C1796" w:rsidRDefault="00473DBF" w:rsidP="00EC1C57">
      <w:pPr>
        <w:spacing w:line="360" w:lineRule="auto"/>
        <w:jc w:val="both"/>
        <w:rPr>
          <w:rFonts w:ascii="Times New Roman" w:hAnsi="Times New Roman" w:cs="Times New Roman"/>
        </w:rPr>
      </w:pPr>
      <w:r w:rsidRPr="004C1796">
        <w:rPr>
          <w:rFonts w:ascii="Times New Roman" w:hAnsi="Times New Roman" w:cs="Times New Roman"/>
        </w:rPr>
        <w:t xml:space="preserve">The absence of research </w:t>
      </w:r>
      <w:r w:rsidR="00E044BB" w:rsidRPr="004C1796">
        <w:rPr>
          <w:rFonts w:ascii="Times New Roman" w:hAnsi="Times New Roman" w:cs="Times New Roman"/>
        </w:rPr>
        <w:t>that</w:t>
      </w:r>
      <w:r w:rsidR="003D3F50" w:rsidRPr="004C1796">
        <w:rPr>
          <w:rFonts w:ascii="Times New Roman" w:hAnsi="Times New Roman" w:cs="Times New Roman"/>
        </w:rPr>
        <w:t xml:space="preserve"> seek</w:t>
      </w:r>
      <w:r w:rsidR="004D3FD8" w:rsidRPr="004C1796">
        <w:rPr>
          <w:rFonts w:ascii="Times New Roman" w:hAnsi="Times New Roman" w:cs="Times New Roman"/>
        </w:rPr>
        <w:t>s</w:t>
      </w:r>
      <w:r w:rsidR="003D3F50" w:rsidRPr="004C1796">
        <w:rPr>
          <w:rFonts w:ascii="Times New Roman" w:hAnsi="Times New Roman" w:cs="Times New Roman"/>
        </w:rPr>
        <w:t xml:space="preserve"> to</w:t>
      </w:r>
      <w:r w:rsidR="00E044BB" w:rsidRPr="004C1796">
        <w:rPr>
          <w:rFonts w:ascii="Times New Roman" w:hAnsi="Times New Roman" w:cs="Times New Roman"/>
        </w:rPr>
        <w:t xml:space="preserve"> provide an </w:t>
      </w:r>
      <w:r w:rsidR="00323DD8" w:rsidRPr="004C1796">
        <w:rPr>
          <w:rFonts w:ascii="Times New Roman" w:hAnsi="Times New Roman" w:cs="Times New Roman"/>
        </w:rPr>
        <w:t xml:space="preserve">analysis </w:t>
      </w:r>
      <w:r w:rsidR="00E044BB" w:rsidRPr="004C1796">
        <w:rPr>
          <w:rFonts w:ascii="Times New Roman" w:hAnsi="Times New Roman" w:cs="Times New Roman"/>
        </w:rPr>
        <w:t xml:space="preserve">of </w:t>
      </w:r>
      <w:r w:rsidR="0074636E" w:rsidRPr="004C1796">
        <w:rPr>
          <w:rFonts w:ascii="Times New Roman" w:hAnsi="Times New Roman" w:cs="Times New Roman"/>
        </w:rPr>
        <w:t>the place of social supply</w:t>
      </w:r>
      <w:r w:rsidR="00EC1C57" w:rsidRPr="004C1796">
        <w:rPr>
          <w:rFonts w:ascii="Times New Roman" w:hAnsi="Times New Roman" w:cs="Times New Roman"/>
        </w:rPr>
        <w:t xml:space="preserve"> in international </w:t>
      </w:r>
      <w:r w:rsidR="00DD7831" w:rsidRPr="004C1796">
        <w:rPr>
          <w:rFonts w:ascii="Times New Roman" w:hAnsi="Times New Roman" w:cs="Times New Roman"/>
        </w:rPr>
        <w:t xml:space="preserve">criminal justice systems </w:t>
      </w:r>
      <w:r w:rsidR="00EC1C57" w:rsidRPr="004C1796">
        <w:rPr>
          <w:rFonts w:ascii="Times New Roman" w:hAnsi="Times New Roman" w:cs="Times New Roman"/>
        </w:rPr>
        <w:t xml:space="preserve">might be in part related to the difficulties in </w:t>
      </w:r>
      <w:r w:rsidR="00DD7831" w:rsidRPr="004C1796">
        <w:rPr>
          <w:rFonts w:ascii="Times New Roman" w:hAnsi="Times New Roman" w:cs="Times New Roman"/>
        </w:rPr>
        <w:t xml:space="preserve">accessing this </w:t>
      </w:r>
      <w:r w:rsidR="004D3FD8" w:rsidRPr="004C1796">
        <w:rPr>
          <w:rFonts w:ascii="Times New Roman" w:hAnsi="Times New Roman" w:cs="Times New Roman"/>
        </w:rPr>
        <w:t xml:space="preserve">data </w:t>
      </w:r>
      <w:r w:rsidR="00DD7831" w:rsidRPr="004C1796">
        <w:rPr>
          <w:rFonts w:ascii="Times New Roman" w:hAnsi="Times New Roman" w:cs="Times New Roman"/>
        </w:rPr>
        <w:t>in</w:t>
      </w:r>
      <w:r w:rsidR="00EC1C57" w:rsidRPr="004C1796">
        <w:rPr>
          <w:rFonts w:ascii="Times New Roman" w:hAnsi="Times New Roman" w:cs="Times New Roman"/>
        </w:rPr>
        <w:t xml:space="preserve"> unfamiliar context</w:t>
      </w:r>
      <w:r w:rsidR="00DD7831" w:rsidRPr="004C1796">
        <w:rPr>
          <w:rFonts w:ascii="Times New Roman" w:hAnsi="Times New Roman" w:cs="Times New Roman"/>
        </w:rPr>
        <w:t>s</w:t>
      </w:r>
      <w:r w:rsidR="00190CF3" w:rsidRPr="004C1796">
        <w:rPr>
          <w:rFonts w:ascii="Times New Roman" w:hAnsi="Times New Roman" w:cs="Times New Roman"/>
        </w:rPr>
        <w:t>. A</w:t>
      </w:r>
      <w:r w:rsidR="008E6499" w:rsidRPr="004C1796">
        <w:rPr>
          <w:rFonts w:ascii="Times New Roman" w:hAnsi="Times New Roman" w:cs="Times New Roman"/>
        </w:rPr>
        <w:t xml:space="preserve">part from obvious language barriers, </w:t>
      </w:r>
      <w:r w:rsidR="00EC1C57" w:rsidRPr="004C1796">
        <w:rPr>
          <w:rFonts w:ascii="Times New Roman" w:hAnsi="Times New Roman" w:cs="Times New Roman"/>
        </w:rPr>
        <w:t>social supply</w:t>
      </w:r>
      <w:r w:rsidR="00DE7364" w:rsidRPr="004C1796">
        <w:rPr>
          <w:rFonts w:ascii="Times New Roman" w:hAnsi="Times New Roman" w:cs="Times New Roman"/>
        </w:rPr>
        <w:t xml:space="preserve"> practices</w:t>
      </w:r>
      <w:r w:rsidR="0082401A" w:rsidRPr="004C1796">
        <w:rPr>
          <w:rFonts w:ascii="Times New Roman" w:hAnsi="Times New Roman" w:cs="Times New Roman"/>
        </w:rPr>
        <w:t xml:space="preserve"> ma</w:t>
      </w:r>
      <w:r w:rsidR="00EC1C57" w:rsidRPr="004C1796">
        <w:rPr>
          <w:rFonts w:ascii="Times New Roman" w:hAnsi="Times New Roman" w:cs="Times New Roman"/>
        </w:rPr>
        <w:t>y not</w:t>
      </w:r>
      <w:r w:rsidR="00236895" w:rsidRPr="004C1796">
        <w:rPr>
          <w:rFonts w:ascii="Times New Roman" w:hAnsi="Times New Roman" w:cs="Times New Roman"/>
        </w:rPr>
        <w:t xml:space="preserve"> always</w:t>
      </w:r>
      <w:r w:rsidR="00EC1C57" w:rsidRPr="004C1796">
        <w:rPr>
          <w:rFonts w:ascii="Times New Roman" w:hAnsi="Times New Roman" w:cs="Times New Roman"/>
        </w:rPr>
        <w:t xml:space="preserve"> be defined as such or may be only recognised informally, with little explicit discussion of its parameters or characteristics</w:t>
      </w:r>
      <w:r w:rsidR="008E6499" w:rsidRPr="004C1796">
        <w:rPr>
          <w:rFonts w:ascii="Times New Roman" w:hAnsi="Times New Roman" w:cs="Times New Roman"/>
        </w:rPr>
        <w:t xml:space="preserve"> in official documents. For these</w:t>
      </w:r>
      <w:r w:rsidR="00EC1C57" w:rsidRPr="004C1796">
        <w:rPr>
          <w:rFonts w:ascii="Times New Roman" w:hAnsi="Times New Roman" w:cs="Times New Roman"/>
        </w:rPr>
        <w:t xml:space="preserve"> reason</w:t>
      </w:r>
      <w:r w:rsidR="008E6499" w:rsidRPr="004C1796">
        <w:rPr>
          <w:rFonts w:ascii="Times New Roman" w:hAnsi="Times New Roman" w:cs="Times New Roman"/>
        </w:rPr>
        <w:t>s</w:t>
      </w:r>
      <w:r w:rsidR="00EC1C57" w:rsidRPr="004C1796">
        <w:rPr>
          <w:rFonts w:ascii="Times New Roman" w:hAnsi="Times New Roman" w:cs="Times New Roman"/>
        </w:rPr>
        <w:t>,</w:t>
      </w:r>
      <w:r w:rsidR="00DD7831" w:rsidRPr="004C1796">
        <w:rPr>
          <w:rFonts w:ascii="Times New Roman" w:hAnsi="Times New Roman" w:cs="Times New Roman"/>
        </w:rPr>
        <w:t xml:space="preserve"> </w:t>
      </w:r>
      <w:r w:rsidR="00A80880" w:rsidRPr="004C1796">
        <w:rPr>
          <w:rFonts w:ascii="Times New Roman" w:hAnsi="Times New Roman" w:cs="Times New Roman"/>
        </w:rPr>
        <w:t xml:space="preserve">data presented in this paper </w:t>
      </w:r>
      <w:r w:rsidR="0082401A" w:rsidRPr="004C1796">
        <w:rPr>
          <w:rFonts w:ascii="Times New Roman" w:hAnsi="Times New Roman" w:cs="Times New Roman"/>
        </w:rPr>
        <w:t>are derived</w:t>
      </w:r>
      <w:r w:rsidR="00F01656" w:rsidRPr="004C1796">
        <w:rPr>
          <w:rFonts w:ascii="Times New Roman" w:hAnsi="Times New Roman" w:cs="Times New Roman"/>
        </w:rPr>
        <w:t xml:space="preserve"> </w:t>
      </w:r>
      <w:r w:rsidR="008706CD" w:rsidRPr="004C1796">
        <w:rPr>
          <w:rFonts w:ascii="Times New Roman" w:hAnsi="Times New Roman" w:cs="Times New Roman"/>
        </w:rPr>
        <w:t>from individual and team research stemming from the country in question</w:t>
      </w:r>
      <w:r w:rsidR="007A7CBB" w:rsidRPr="004C1796">
        <w:rPr>
          <w:rFonts w:ascii="Times New Roman" w:hAnsi="Times New Roman" w:cs="Times New Roman"/>
        </w:rPr>
        <w:t>,</w:t>
      </w:r>
      <w:r w:rsidR="008706CD" w:rsidRPr="004C1796">
        <w:rPr>
          <w:rFonts w:ascii="Times New Roman" w:hAnsi="Times New Roman" w:cs="Times New Roman"/>
        </w:rPr>
        <w:t xml:space="preserve"> supported by expert reflection on research evidence and analysis of sentencing and media reportin</w:t>
      </w:r>
      <w:r w:rsidR="00A52586" w:rsidRPr="004C1796">
        <w:rPr>
          <w:rFonts w:ascii="Times New Roman" w:hAnsi="Times New Roman" w:cs="Times New Roman"/>
        </w:rPr>
        <w:t>g in that context.</w:t>
      </w:r>
      <w:r w:rsidR="00EC1C57" w:rsidRPr="004C1796">
        <w:rPr>
          <w:rFonts w:ascii="Times New Roman" w:hAnsi="Times New Roman" w:cs="Times New Roman"/>
        </w:rPr>
        <w:t xml:space="preserve"> </w:t>
      </w:r>
      <w:r w:rsidR="007A7CBB" w:rsidRPr="004C1796">
        <w:rPr>
          <w:rFonts w:ascii="Times New Roman" w:hAnsi="Times New Roman" w:cs="Times New Roman"/>
        </w:rPr>
        <w:t xml:space="preserve">Drawing on an established international social supply network, contributions </w:t>
      </w:r>
      <w:r w:rsidR="007A7CBB" w:rsidRPr="004C1796">
        <w:rPr>
          <w:rFonts w:ascii="Times New Roman" w:hAnsi="Times New Roman" w:cs="Times New Roman"/>
        </w:rPr>
        <w:lastRenderedPageBreak/>
        <w:t>were welcomed from researchers working in the social supply space in the United States (SM), Canada (AH), Australia (</w:t>
      </w:r>
      <w:r w:rsidR="00195414" w:rsidRPr="004C1796">
        <w:rPr>
          <w:rFonts w:ascii="Times New Roman" w:hAnsi="Times New Roman" w:cs="Times New Roman"/>
        </w:rPr>
        <w:t>JS and SL</w:t>
      </w:r>
      <w:r w:rsidR="007A7CBB" w:rsidRPr="004C1796">
        <w:rPr>
          <w:rFonts w:ascii="Times New Roman" w:hAnsi="Times New Roman" w:cs="Times New Roman"/>
        </w:rPr>
        <w:t>), Hong Kong (KJL), the Netherlands (KvDV), Czech Republic (VB</w:t>
      </w:r>
      <w:r w:rsidR="00195414" w:rsidRPr="004C1796">
        <w:rPr>
          <w:rFonts w:ascii="Times New Roman" w:hAnsi="Times New Roman" w:cs="Times New Roman"/>
        </w:rPr>
        <w:t xml:space="preserve"> and MS</w:t>
      </w:r>
      <w:r w:rsidR="007A7CBB" w:rsidRPr="004C1796">
        <w:rPr>
          <w:rFonts w:ascii="Times New Roman" w:hAnsi="Times New Roman" w:cs="Times New Roman"/>
        </w:rPr>
        <w:t>), Belgium (</w:t>
      </w:r>
      <w:r w:rsidR="00136652" w:rsidRPr="004C1796">
        <w:rPr>
          <w:rFonts w:ascii="Times New Roman" w:hAnsi="Times New Roman" w:cs="Times New Roman"/>
        </w:rPr>
        <w:t xml:space="preserve">TD and </w:t>
      </w:r>
      <w:r w:rsidR="00195414" w:rsidRPr="004C1796">
        <w:rPr>
          <w:rFonts w:ascii="Times New Roman" w:hAnsi="Times New Roman" w:cs="Times New Roman"/>
        </w:rPr>
        <w:t>MV</w:t>
      </w:r>
      <w:r w:rsidR="00F67104" w:rsidRPr="004C1796">
        <w:rPr>
          <w:rFonts w:ascii="Times New Roman" w:hAnsi="Times New Roman" w:cs="Times New Roman"/>
        </w:rPr>
        <w:t xml:space="preserve">), Germany (BW) and </w:t>
      </w:r>
      <w:r w:rsidR="00195414" w:rsidRPr="004C1796">
        <w:rPr>
          <w:rFonts w:ascii="Times New Roman" w:hAnsi="Times New Roman" w:cs="Times New Roman"/>
        </w:rPr>
        <w:t>Finland (PH) – these were combined with evidence from the UK (RC and LM)</w:t>
      </w:r>
      <w:r w:rsidR="008E6499" w:rsidRPr="004C1796">
        <w:rPr>
          <w:rFonts w:ascii="Times New Roman" w:hAnsi="Times New Roman" w:cs="Times New Roman"/>
        </w:rPr>
        <w:t>,</w:t>
      </w:r>
      <w:r w:rsidR="00195414" w:rsidRPr="004C1796">
        <w:rPr>
          <w:rFonts w:ascii="Times New Roman" w:hAnsi="Times New Roman" w:cs="Times New Roman"/>
        </w:rPr>
        <w:t xml:space="preserve"> where the research network originated. In each context researchers were</w:t>
      </w:r>
      <w:r w:rsidR="00EE0F69" w:rsidRPr="004C1796">
        <w:rPr>
          <w:rFonts w:ascii="Times New Roman" w:hAnsi="Times New Roman" w:cs="Times New Roman"/>
        </w:rPr>
        <w:t xml:space="preserve"> required to respond to a set of questions regarding the nature of social supply in their particular context. This included providing </w:t>
      </w:r>
      <w:r w:rsidR="00195414" w:rsidRPr="004C1796">
        <w:rPr>
          <w:rFonts w:ascii="Times New Roman" w:hAnsi="Times New Roman" w:cs="Times New Roman"/>
        </w:rPr>
        <w:t xml:space="preserve">an overview of </w:t>
      </w:r>
      <w:r w:rsidR="00F04FE9" w:rsidRPr="004C1796">
        <w:rPr>
          <w:rFonts w:ascii="Times New Roman" w:hAnsi="Times New Roman" w:cs="Times New Roman"/>
        </w:rPr>
        <w:t>social supply research activity</w:t>
      </w:r>
      <w:r w:rsidR="00F67104" w:rsidRPr="004C1796">
        <w:rPr>
          <w:rFonts w:ascii="Times New Roman" w:hAnsi="Times New Roman" w:cs="Times New Roman"/>
        </w:rPr>
        <w:t>,</w:t>
      </w:r>
      <w:r w:rsidR="00DE7364" w:rsidRPr="004C1796">
        <w:rPr>
          <w:rFonts w:ascii="Times New Roman" w:hAnsi="Times New Roman" w:cs="Times New Roman"/>
        </w:rPr>
        <w:t xml:space="preserve"> comment</w:t>
      </w:r>
      <w:r w:rsidR="00EE0F69" w:rsidRPr="004C1796">
        <w:rPr>
          <w:rFonts w:ascii="Times New Roman" w:hAnsi="Times New Roman" w:cs="Times New Roman"/>
        </w:rPr>
        <w:t>ing</w:t>
      </w:r>
      <w:r w:rsidR="00DE7364" w:rsidRPr="004C1796">
        <w:rPr>
          <w:rFonts w:ascii="Times New Roman" w:hAnsi="Times New Roman" w:cs="Times New Roman"/>
        </w:rPr>
        <w:t xml:space="preserve"> on the extent to which </w:t>
      </w:r>
      <w:r w:rsidR="000401FF" w:rsidRPr="004C1796">
        <w:rPr>
          <w:rFonts w:ascii="Times New Roman" w:hAnsi="Times New Roman" w:cs="Times New Roman"/>
        </w:rPr>
        <w:t xml:space="preserve">differentiation is accommodated in drug supply </w:t>
      </w:r>
      <w:r w:rsidR="00DE7364" w:rsidRPr="004C1796">
        <w:rPr>
          <w:rFonts w:ascii="Times New Roman" w:hAnsi="Times New Roman" w:cs="Times New Roman"/>
        </w:rPr>
        <w:t>sentencing</w:t>
      </w:r>
      <w:r w:rsidR="004D3FD8" w:rsidRPr="004C1796">
        <w:rPr>
          <w:rFonts w:ascii="Times New Roman" w:hAnsi="Times New Roman" w:cs="Times New Roman"/>
        </w:rPr>
        <w:t xml:space="preserve"> frameworks</w:t>
      </w:r>
      <w:r w:rsidR="00EE0F69" w:rsidRPr="004C1796">
        <w:rPr>
          <w:rFonts w:ascii="Times New Roman" w:hAnsi="Times New Roman" w:cs="Times New Roman"/>
        </w:rPr>
        <w:t>, and evaluating</w:t>
      </w:r>
      <w:r w:rsidR="00DE7364" w:rsidRPr="004C1796">
        <w:rPr>
          <w:rFonts w:ascii="Times New Roman" w:hAnsi="Times New Roman" w:cs="Times New Roman"/>
        </w:rPr>
        <w:t xml:space="preserve"> how far </w:t>
      </w:r>
      <w:r w:rsidR="000401FF" w:rsidRPr="004C1796">
        <w:rPr>
          <w:rFonts w:ascii="Times New Roman" w:hAnsi="Times New Roman" w:cs="Times New Roman"/>
        </w:rPr>
        <w:t>social supply is recognised</w:t>
      </w:r>
      <w:r w:rsidR="00EE0F69" w:rsidRPr="004C1796">
        <w:rPr>
          <w:rFonts w:ascii="Times New Roman" w:hAnsi="Times New Roman" w:cs="Times New Roman"/>
        </w:rPr>
        <w:t xml:space="preserve"> both</w:t>
      </w:r>
      <w:r w:rsidR="000401FF" w:rsidRPr="004C1796">
        <w:rPr>
          <w:rFonts w:ascii="Times New Roman" w:hAnsi="Times New Roman" w:cs="Times New Roman"/>
        </w:rPr>
        <w:t xml:space="preserve"> as a concept in legal discourse and in sentencing practices. Finally, contributors were also </w:t>
      </w:r>
      <w:r w:rsidR="00A52586" w:rsidRPr="004C1796">
        <w:rPr>
          <w:rFonts w:ascii="Times New Roman" w:hAnsi="Times New Roman" w:cs="Times New Roman"/>
        </w:rPr>
        <w:t>requested</w:t>
      </w:r>
      <w:r w:rsidR="000401FF" w:rsidRPr="004C1796">
        <w:rPr>
          <w:rFonts w:ascii="Times New Roman" w:hAnsi="Times New Roman" w:cs="Times New Roman"/>
        </w:rPr>
        <w:t xml:space="preserve"> to comment on how far social supply</w:t>
      </w:r>
      <w:r w:rsidR="00CD3D4B" w:rsidRPr="004C1796">
        <w:rPr>
          <w:rFonts w:ascii="Times New Roman" w:hAnsi="Times New Roman" w:cs="Times New Roman"/>
        </w:rPr>
        <w:t xml:space="preserve"> - </w:t>
      </w:r>
      <w:r w:rsidR="00E7752F" w:rsidRPr="004C1796">
        <w:rPr>
          <w:rFonts w:ascii="Times New Roman" w:hAnsi="Times New Roman" w:cs="Times New Roman"/>
        </w:rPr>
        <w:t>or what might be considered an equivalent conceptual phrase or practice</w:t>
      </w:r>
      <w:r w:rsidR="00CD3D4B" w:rsidRPr="004C1796">
        <w:rPr>
          <w:rFonts w:ascii="Times New Roman" w:hAnsi="Times New Roman" w:cs="Times New Roman"/>
        </w:rPr>
        <w:t xml:space="preserve"> -</w:t>
      </w:r>
      <w:r w:rsidR="000401FF" w:rsidRPr="004C1796">
        <w:rPr>
          <w:rFonts w:ascii="Times New Roman" w:hAnsi="Times New Roman" w:cs="Times New Roman"/>
        </w:rPr>
        <w:t xml:space="preserve"> is accepted at a broader discursive level in </w:t>
      </w:r>
      <w:r w:rsidR="00441AF4" w:rsidRPr="004C1796">
        <w:rPr>
          <w:rFonts w:ascii="Times New Roman" w:hAnsi="Times New Roman" w:cs="Times New Roman"/>
        </w:rPr>
        <w:t>their particular society;</w:t>
      </w:r>
      <w:r w:rsidR="00DE7364" w:rsidRPr="004C1796">
        <w:rPr>
          <w:rFonts w:ascii="Times New Roman" w:hAnsi="Times New Roman" w:cs="Times New Roman"/>
        </w:rPr>
        <w:t xml:space="preserve"> in short, how </w:t>
      </w:r>
      <w:r w:rsidR="00B61029" w:rsidRPr="004C1796">
        <w:rPr>
          <w:rFonts w:ascii="Times New Roman" w:hAnsi="Times New Roman" w:cs="Times New Roman"/>
        </w:rPr>
        <w:t>far</w:t>
      </w:r>
      <w:r w:rsidR="00DE7364" w:rsidRPr="004C1796">
        <w:rPr>
          <w:rFonts w:ascii="Times New Roman" w:hAnsi="Times New Roman" w:cs="Times New Roman"/>
        </w:rPr>
        <w:t xml:space="preserve"> social supply</w:t>
      </w:r>
      <w:r w:rsidR="004D3FD8" w:rsidRPr="004C1796">
        <w:rPr>
          <w:rFonts w:ascii="Times New Roman" w:hAnsi="Times New Roman" w:cs="Times New Roman"/>
        </w:rPr>
        <w:t xml:space="preserve"> was</w:t>
      </w:r>
      <w:r w:rsidR="00DE7364" w:rsidRPr="004C1796">
        <w:rPr>
          <w:rFonts w:ascii="Times New Roman" w:hAnsi="Times New Roman" w:cs="Times New Roman"/>
        </w:rPr>
        <w:t xml:space="preserve"> used as a descriptor by criminal justice professionals and </w:t>
      </w:r>
      <w:r w:rsidR="00B61029" w:rsidRPr="004C1796">
        <w:rPr>
          <w:rFonts w:ascii="Times New Roman" w:hAnsi="Times New Roman" w:cs="Times New Roman"/>
        </w:rPr>
        <w:t>with</w:t>
      </w:r>
      <w:r w:rsidR="00DE7364" w:rsidRPr="004C1796">
        <w:rPr>
          <w:rFonts w:ascii="Times New Roman" w:hAnsi="Times New Roman" w:cs="Times New Roman"/>
        </w:rPr>
        <w:t>in the public sphere.</w:t>
      </w:r>
      <w:r w:rsidR="00EE0F69" w:rsidRPr="004C1796">
        <w:rPr>
          <w:rFonts w:ascii="Times New Roman" w:hAnsi="Times New Roman" w:cs="Times New Roman"/>
        </w:rPr>
        <w:t xml:space="preserve"> A content analysis</w:t>
      </w:r>
      <w:r w:rsidR="00C9126B" w:rsidRPr="004C1796">
        <w:rPr>
          <w:rFonts w:ascii="Times New Roman" w:hAnsi="Times New Roman" w:cs="Times New Roman"/>
        </w:rPr>
        <w:t xml:space="preserve"> of these scripts</w:t>
      </w:r>
      <w:r w:rsidR="00EE0F69" w:rsidRPr="004C1796">
        <w:rPr>
          <w:rFonts w:ascii="Times New Roman" w:hAnsi="Times New Roman" w:cs="Times New Roman"/>
        </w:rPr>
        <w:t xml:space="preserve"> was then </w:t>
      </w:r>
      <w:r w:rsidR="00C9126B" w:rsidRPr="004C1796">
        <w:rPr>
          <w:rFonts w:ascii="Times New Roman" w:hAnsi="Times New Roman" w:cs="Times New Roman"/>
        </w:rPr>
        <w:t xml:space="preserve">undertaken </w:t>
      </w:r>
      <w:r w:rsidR="00EE0F69" w:rsidRPr="004C1796">
        <w:rPr>
          <w:rFonts w:ascii="Times New Roman" w:hAnsi="Times New Roman" w:cs="Times New Roman"/>
        </w:rPr>
        <w:t xml:space="preserve">(LM and RC) and </w:t>
      </w:r>
      <w:r w:rsidR="00C9126B" w:rsidRPr="004C1796">
        <w:rPr>
          <w:rFonts w:ascii="Times New Roman" w:hAnsi="Times New Roman" w:cs="Times New Roman"/>
        </w:rPr>
        <w:t xml:space="preserve">emergent themes were developed. </w:t>
      </w:r>
    </w:p>
    <w:p w14:paraId="3D342EF4" w14:textId="77777777" w:rsidR="00683E58" w:rsidRPr="004C1796" w:rsidRDefault="00683E58" w:rsidP="00EC1C57">
      <w:pPr>
        <w:spacing w:line="360" w:lineRule="auto"/>
        <w:jc w:val="both"/>
        <w:rPr>
          <w:rFonts w:ascii="Times New Roman" w:hAnsi="Times New Roman" w:cs="Times New Roman"/>
        </w:rPr>
      </w:pPr>
    </w:p>
    <w:p w14:paraId="15FA2281" w14:textId="77777777" w:rsidR="00221F28" w:rsidRPr="004C1796" w:rsidRDefault="00DE7364" w:rsidP="00EC1C57">
      <w:pPr>
        <w:spacing w:line="360" w:lineRule="auto"/>
        <w:jc w:val="both"/>
        <w:rPr>
          <w:rFonts w:ascii="Times New Roman" w:hAnsi="Times New Roman" w:cs="Times New Roman"/>
        </w:rPr>
      </w:pPr>
      <w:r w:rsidRPr="004C1796">
        <w:rPr>
          <w:rFonts w:ascii="Times New Roman" w:hAnsi="Times New Roman" w:cs="Times New Roman"/>
        </w:rPr>
        <w:t>The findings section presents this data</w:t>
      </w:r>
      <w:r w:rsidR="008E6499" w:rsidRPr="004C1796">
        <w:rPr>
          <w:rFonts w:ascii="Times New Roman" w:hAnsi="Times New Roman" w:cs="Times New Roman"/>
        </w:rPr>
        <w:t>,</w:t>
      </w:r>
      <w:r w:rsidRPr="004C1796">
        <w:rPr>
          <w:rFonts w:ascii="Times New Roman" w:hAnsi="Times New Roman" w:cs="Times New Roman"/>
        </w:rPr>
        <w:t xml:space="preserve"> organised according to theme as oppose</w:t>
      </w:r>
      <w:r w:rsidR="00B91E20" w:rsidRPr="004C1796">
        <w:rPr>
          <w:rFonts w:ascii="Times New Roman" w:hAnsi="Times New Roman" w:cs="Times New Roman"/>
        </w:rPr>
        <w:t>d to providing country profiles. O</w:t>
      </w:r>
      <w:r w:rsidRPr="004C1796">
        <w:rPr>
          <w:rFonts w:ascii="Times New Roman" w:hAnsi="Times New Roman" w:cs="Times New Roman"/>
        </w:rPr>
        <w:t xml:space="preserve">rganising </w:t>
      </w:r>
      <w:r w:rsidR="00B91E20" w:rsidRPr="004C1796">
        <w:rPr>
          <w:rFonts w:ascii="Times New Roman" w:hAnsi="Times New Roman" w:cs="Times New Roman"/>
        </w:rPr>
        <w:t>it in this way offers a more effective</w:t>
      </w:r>
      <w:r w:rsidRPr="004C1796">
        <w:rPr>
          <w:rFonts w:ascii="Times New Roman" w:hAnsi="Times New Roman" w:cs="Times New Roman"/>
        </w:rPr>
        <w:t xml:space="preserve"> </w:t>
      </w:r>
      <w:r w:rsidR="008E6499" w:rsidRPr="004C1796">
        <w:rPr>
          <w:rFonts w:ascii="Times New Roman" w:hAnsi="Times New Roman" w:cs="Times New Roman"/>
        </w:rPr>
        <w:t>means</w:t>
      </w:r>
      <w:r w:rsidR="00B91E20" w:rsidRPr="004C1796">
        <w:rPr>
          <w:rFonts w:ascii="Times New Roman" w:hAnsi="Times New Roman" w:cs="Times New Roman"/>
        </w:rPr>
        <w:t xml:space="preserve"> of presenting</w:t>
      </w:r>
      <w:r w:rsidR="00CD3D4B" w:rsidRPr="004C1796">
        <w:rPr>
          <w:rFonts w:ascii="Times New Roman" w:hAnsi="Times New Roman" w:cs="Times New Roman"/>
        </w:rPr>
        <w:t xml:space="preserve"> broad</w:t>
      </w:r>
      <w:r w:rsidR="00B91E20" w:rsidRPr="004C1796">
        <w:rPr>
          <w:rFonts w:ascii="Times New Roman" w:hAnsi="Times New Roman" w:cs="Times New Roman"/>
        </w:rPr>
        <w:t xml:space="preserve"> international trends and </w:t>
      </w:r>
      <w:r w:rsidR="00B61029" w:rsidRPr="004C1796">
        <w:rPr>
          <w:rFonts w:ascii="Times New Roman" w:hAnsi="Times New Roman" w:cs="Times New Roman"/>
        </w:rPr>
        <w:t>tracking how evident and developed different countries’ accommodation of social supply is</w:t>
      </w:r>
      <w:r w:rsidR="00FF3D26" w:rsidRPr="004C1796">
        <w:rPr>
          <w:rFonts w:ascii="Times New Roman" w:hAnsi="Times New Roman" w:cs="Times New Roman"/>
        </w:rPr>
        <w:t xml:space="preserve"> - </w:t>
      </w:r>
      <w:r w:rsidR="00E72C85" w:rsidRPr="004C1796">
        <w:rPr>
          <w:rFonts w:ascii="Times New Roman" w:hAnsi="Times New Roman" w:cs="Times New Roman"/>
        </w:rPr>
        <w:t xml:space="preserve">ultimately enabling a discussion </w:t>
      </w:r>
      <w:r w:rsidR="008E6499" w:rsidRPr="004C1796">
        <w:rPr>
          <w:rFonts w:ascii="Times New Roman" w:hAnsi="Times New Roman" w:cs="Times New Roman"/>
        </w:rPr>
        <w:t>appraising</w:t>
      </w:r>
      <w:r w:rsidR="00E72C85" w:rsidRPr="004C1796">
        <w:rPr>
          <w:rFonts w:ascii="Times New Roman" w:hAnsi="Times New Roman" w:cs="Times New Roman"/>
        </w:rPr>
        <w:t xml:space="preserve"> the transferability of social supply as an international concept</w:t>
      </w:r>
      <w:r w:rsidR="006C49B8" w:rsidRPr="004C1796">
        <w:rPr>
          <w:rFonts w:ascii="Times New Roman" w:hAnsi="Times New Roman" w:cs="Times New Roman"/>
        </w:rPr>
        <w:t xml:space="preserve">. </w:t>
      </w:r>
      <w:r w:rsidR="00B61029" w:rsidRPr="004C1796">
        <w:rPr>
          <w:rFonts w:ascii="Times New Roman" w:hAnsi="Times New Roman" w:cs="Times New Roman"/>
        </w:rPr>
        <w:t xml:space="preserve">Collecting data in this way </w:t>
      </w:r>
      <w:r w:rsidR="005F1DF8" w:rsidRPr="004C1796">
        <w:rPr>
          <w:rFonts w:ascii="Times New Roman" w:hAnsi="Times New Roman" w:cs="Times New Roman"/>
        </w:rPr>
        <w:t>is not without its</w:t>
      </w:r>
      <w:r w:rsidR="00A52586" w:rsidRPr="004C1796">
        <w:rPr>
          <w:rFonts w:ascii="Times New Roman" w:hAnsi="Times New Roman" w:cs="Times New Roman"/>
        </w:rPr>
        <w:t xml:space="preserve"> challenges and in this respect</w:t>
      </w:r>
      <w:r w:rsidR="00BA0228" w:rsidRPr="004C1796">
        <w:rPr>
          <w:rFonts w:ascii="Times New Roman" w:hAnsi="Times New Roman" w:cs="Times New Roman"/>
        </w:rPr>
        <w:t>,</w:t>
      </w:r>
      <w:r w:rsidR="005F1DF8" w:rsidRPr="004C1796">
        <w:rPr>
          <w:rFonts w:ascii="Times New Roman" w:hAnsi="Times New Roman" w:cs="Times New Roman"/>
        </w:rPr>
        <w:t xml:space="preserve"> we would highlight that this </w:t>
      </w:r>
      <w:r w:rsidR="00136652" w:rsidRPr="004C1796">
        <w:rPr>
          <w:rFonts w:ascii="Times New Roman" w:hAnsi="Times New Roman" w:cs="Times New Roman"/>
        </w:rPr>
        <w:t xml:space="preserve">is </w:t>
      </w:r>
      <w:r w:rsidR="005F1DF8" w:rsidRPr="004C1796">
        <w:rPr>
          <w:rFonts w:ascii="Times New Roman" w:hAnsi="Times New Roman" w:cs="Times New Roman"/>
        </w:rPr>
        <w:t xml:space="preserve">an </w:t>
      </w:r>
      <w:r w:rsidR="005F1DF8" w:rsidRPr="004C1796">
        <w:rPr>
          <w:rFonts w:ascii="Times New Roman" w:hAnsi="Times New Roman" w:cs="Times New Roman"/>
          <w:i/>
        </w:rPr>
        <w:t>indicative</w:t>
      </w:r>
      <w:r w:rsidR="005F1DF8" w:rsidRPr="004C1796">
        <w:rPr>
          <w:rFonts w:ascii="Times New Roman" w:hAnsi="Times New Roman" w:cs="Times New Roman"/>
        </w:rPr>
        <w:t xml:space="preserve"> rather than an exhaustive exercise. In some </w:t>
      </w:r>
      <w:r w:rsidR="0023211E" w:rsidRPr="004C1796">
        <w:rPr>
          <w:rFonts w:ascii="Times New Roman" w:hAnsi="Times New Roman" w:cs="Times New Roman"/>
        </w:rPr>
        <w:t>contexts, it is still unclear</w:t>
      </w:r>
      <w:r w:rsidR="005F1DF8" w:rsidRPr="004C1796">
        <w:rPr>
          <w:rFonts w:ascii="Times New Roman" w:hAnsi="Times New Roman" w:cs="Times New Roman"/>
        </w:rPr>
        <w:t xml:space="preserve"> even to schol</w:t>
      </w:r>
      <w:r w:rsidR="00082F64" w:rsidRPr="004C1796">
        <w:rPr>
          <w:rFonts w:ascii="Times New Roman" w:hAnsi="Times New Roman" w:cs="Times New Roman"/>
        </w:rPr>
        <w:t>a</w:t>
      </w:r>
      <w:r w:rsidR="00CC6777" w:rsidRPr="004C1796">
        <w:rPr>
          <w:rFonts w:ascii="Times New Roman" w:hAnsi="Times New Roman" w:cs="Times New Roman"/>
        </w:rPr>
        <w:t>rs interested in social supply,</w:t>
      </w:r>
      <w:r w:rsidR="005F1DF8" w:rsidRPr="004C1796">
        <w:rPr>
          <w:rFonts w:ascii="Times New Roman" w:hAnsi="Times New Roman" w:cs="Times New Roman"/>
        </w:rPr>
        <w:t xml:space="preserve"> how far policy and sentencing gui</w:t>
      </w:r>
      <w:r w:rsidR="0023211E" w:rsidRPr="004C1796">
        <w:rPr>
          <w:rFonts w:ascii="Times New Roman" w:hAnsi="Times New Roman" w:cs="Times New Roman"/>
        </w:rPr>
        <w:t xml:space="preserve">delines are adopted in practice. </w:t>
      </w:r>
      <w:r w:rsidR="00661575" w:rsidRPr="004C1796">
        <w:rPr>
          <w:rFonts w:ascii="Times New Roman" w:hAnsi="Times New Roman" w:cs="Times New Roman"/>
        </w:rPr>
        <w:t>Further,</w:t>
      </w:r>
      <w:r w:rsidR="005F1DF8" w:rsidRPr="004C1796">
        <w:rPr>
          <w:rFonts w:ascii="Times New Roman" w:hAnsi="Times New Roman" w:cs="Times New Roman"/>
        </w:rPr>
        <w:t xml:space="preserve"> it b</w:t>
      </w:r>
      <w:r w:rsidR="005B4332" w:rsidRPr="004C1796">
        <w:rPr>
          <w:rFonts w:ascii="Times New Roman" w:hAnsi="Times New Roman" w:cs="Times New Roman"/>
        </w:rPr>
        <w:t xml:space="preserve">ecame evident in many contexts </w:t>
      </w:r>
      <w:r w:rsidR="005F1DF8" w:rsidRPr="004C1796">
        <w:rPr>
          <w:rFonts w:ascii="Times New Roman" w:hAnsi="Times New Roman" w:cs="Times New Roman"/>
        </w:rPr>
        <w:t>that while there is some discussion of social supply in relation to cannabis, there is</w:t>
      </w:r>
      <w:r w:rsidR="0076386E" w:rsidRPr="004C1796">
        <w:rPr>
          <w:rFonts w:ascii="Times New Roman" w:hAnsi="Times New Roman" w:cs="Times New Roman"/>
        </w:rPr>
        <w:t xml:space="preserve"> much</w:t>
      </w:r>
      <w:r w:rsidR="005F1DF8" w:rsidRPr="004C1796">
        <w:rPr>
          <w:rFonts w:ascii="Times New Roman" w:hAnsi="Times New Roman" w:cs="Times New Roman"/>
        </w:rPr>
        <w:t xml:space="preserve"> less </w:t>
      </w:r>
      <w:r w:rsidR="00E72C85" w:rsidRPr="004C1796">
        <w:rPr>
          <w:rFonts w:ascii="Times New Roman" w:hAnsi="Times New Roman" w:cs="Times New Roman"/>
        </w:rPr>
        <w:t xml:space="preserve">research and </w:t>
      </w:r>
      <w:r w:rsidR="00136652" w:rsidRPr="004C1796">
        <w:rPr>
          <w:rFonts w:ascii="Times New Roman" w:hAnsi="Times New Roman" w:cs="Times New Roman"/>
        </w:rPr>
        <w:t>public</w:t>
      </w:r>
      <w:r w:rsidR="005F1DF8" w:rsidRPr="004C1796">
        <w:rPr>
          <w:rFonts w:ascii="Times New Roman" w:hAnsi="Times New Roman" w:cs="Times New Roman"/>
        </w:rPr>
        <w:t xml:space="preserve">ly accessible information in regard to the treatment of social suppliers of </w:t>
      </w:r>
      <w:r w:rsidR="005F1DF8" w:rsidRPr="004C1796">
        <w:rPr>
          <w:rFonts w:ascii="Times New Roman" w:hAnsi="Times New Roman" w:cs="Times New Roman"/>
          <w:i/>
        </w:rPr>
        <w:t>other</w:t>
      </w:r>
      <w:r w:rsidR="005F1DF8" w:rsidRPr="004C1796">
        <w:rPr>
          <w:rFonts w:ascii="Times New Roman" w:hAnsi="Times New Roman" w:cs="Times New Roman"/>
        </w:rPr>
        <w:t xml:space="preserve"> recreational substances. Though findings are based principally on data from the aforementioned countries,</w:t>
      </w:r>
      <w:r w:rsidR="005B4332" w:rsidRPr="004C1796">
        <w:rPr>
          <w:rFonts w:ascii="Times New Roman" w:hAnsi="Times New Roman" w:cs="Times New Roman"/>
        </w:rPr>
        <w:t xml:space="preserve"> in places we have </w:t>
      </w:r>
      <w:r w:rsidR="00A52586" w:rsidRPr="004C1796">
        <w:rPr>
          <w:rFonts w:ascii="Times New Roman" w:hAnsi="Times New Roman" w:cs="Times New Roman"/>
        </w:rPr>
        <w:t xml:space="preserve">alluded </w:t>
      </w:r>
      <w:r w:rsidR="005B4332" w:rsidRPr="004C1796">
        <w:rPr>
          <w:rFonts w:ascii="Times New Roman" w:hAnsi="Times New Roman" w:cs="Times New Roman"/>
        </w:rPr>
        <w:t xml:space="preserve">to important practices or developments in contexts outside the international research network. </w:t>
      </w:r>
    </w:p>
    <w:p w14:paraId="380A7CDD" w14:textId="77777777" w:rsidR="000F2333" w:rsidRPr="004C1796" w:rsidRDefault="000F2333">
      <w:pPr>
        <w:rPr>
          <w:rFonts w:ascii="Times New Roman" w:hAnsi="Times New Roman" w:cs="Times New Roman"/>
        </w:rPr>
      </w:pPr>
    </w:p>
    <w:p w14:paraId="05650780" w14:textId="77777777" w:rsidR="00DD4850" w:rsidRPr="004C1796" w:rsidRDefault="00DD4850" w:rsidP="00E7752F">
      <w:pPr>
        <w:outlineLvl w:val="0"/>
        <w:rPr>
          <w:rFonts w:ascii="Times New Roman" w:hAnsi="Times New Roman" w:cs="Times New Roman"/>
          <w:b/>
        </w:rPr>
      </w:pPr>
      <w:r w:rsidRPr="004C1796">
        <w:rPr>
          <w:rFonts w:ascii="Times New Roman" w:hAnsi="Times New Roman" w:cs="Times New Roman"/>
          <w:b/>
        </w:rPr>
        <w:t>Findings</w:t>
      </w:r>
    </w:p>
    <w:p w14:paraId="0FDD6B7B" w14:textId="77777777" w:rsidR="0036458D" w:rsidRPr="004C1796" w:rsidRDefault="0036458D" w:rsidP="0036458D">
      <w:pPr>
        <w:rPr>
          <w:rFonts w:ascii="Times New Roman" w:hAnsi="Times New Roman" w:cs="Times New Roman"/>
        </w:rPr>
      </w:pPr>
    </w:p>
    <w:p w14:paraId="3C710714" w14:textId="77777777" w:rsidR="00E72C85" w:rsidRPr="004C1796" w:rsidRDefault="001816FF" w:rsidP="0036458D">
      <w:pPr>
        <w:rPr>
          <w:rFonts w:ascii="Times New Roman" w:hAnsi="Times New Roman" w:cs="Times New Roman"/>
          <w:b/>
        </w:rPr>
      </w:pPr>
      <w:r w:rsidRPr="004C1796">
        <w:rPr>
          <w:rFonts w:ascii="Times New Roman" w:hAnsi="Times New Roman" w:cs="Times New Roman"/>
          <w:b/>
        </w:rPr>
        <w:t>How far is social supply recognised in international research?</w:t>
      </w:r>
    </w:p>
    <w:p w14:paraId="57296959" w14:textId="77777777" w:rsidR="001816FF" w:rsidRPr="004C1796" w:rsidRDefault="001816FF" w:rsidP="0036458D">
      <w:pPr>
        <w:rPr>
          <w:rFonts w:ascii="Times New Roman" w:hAnsi="Times New Roman" w:cs="Times New Roman"/>
          <w:b/>
        </w:rPr>
      </w:pPr>
    </w:p>
    <w:p w14:paraId="6ABB686D" w14:textId="77777777" w:rsidR="00E72C85" w:rsidRPr="004C1796" w:rsidRDefault="00E72C85" w:rsidP="00E7752F">
      <w:pPr>
        <w:outlineLvl w:val="0"/>
        <w:rPr>
          <w:rFonts w:ascii="Times New Roman" w:hAnsi="Times New Roman" w:cs="Times New Roman"/>
          <w:i/>
        </w:rPr>
      </w:pPr>
      <w:r w:rsidRPr="004C1796">
        <w:rPr>
          <w:rFonts w:ascii="Times New Roman" w:hAnsi="Times New Roman" w:cs="Times New Roman"/>
          <w:i/>
        </w:rPr>
        <w:t>Active social supply research contexts</w:t>
      </w:r>
    </w:p>
    <w:p w14:paraId="32A2096C" w14:textId="77777777" w:rsidR="00716FE2" w:rsidRPr="004C1796" w:rsidRDefault="00716FE2">
      <w:pPr>
        <w:rPr>
          <w:rFonts w:ascii="Times New Roman" w:hAnsi="Times New Roman" w:cs="Times New Roman"/>
        </w:rPr>
      </w:pPr>
    </w:p>
    <w:p w14:paraId="0D503653" w14:textId="7FC0FCD0" w:rsidR="00221F9E" w:rsidRPr="004C1796" w:rsidRDefault="00E34796" w:rsidP="00221F9E">
      <w:pPr>
        <w:spacing w:line="360" w:lineRule="auto"/>
        <w:jc w:val="both"/>
        <w:rPr>
          <w:rFonts w:ascii="Times New Roman" w:hAnsi="Times New Roman" w:cs="Times New Roman"/>
          <w:lang w:val="en-US"/>
        </w:rPr>
      </w:pPr>
      <w:r w:rsidRPr="004C1796">
        <w:rPr>
          <w:rFonts w:ascii="Times New Roman" w:hAnsi="Times New Roman" w:cs="Times New Roman"/>
        </w:rPr>
        <w:t>T</w:t>
      </w:r>
      <w:r w:rsidR="002F356B" w:rsidRPr="004C1796">
        <w:rPr>
          <w:rFonts w:ascii="Times New Roman" w:hAnsi="Times New Roman" w:cs="Times New Roman"/>
        </w:rPr>
        <w:t xml:space="preserve">he UK has </w:t>
      </w:r>
      <w:r w:rsidR="0036458D" w:rsidRPr="004C1796">
        <w:rPr>
          <w:rFonts w:ascii="Times New Roman" w:hAnsi="Times New Roman" w:cs="Times New Roman"/>
        </w:rPr>
        <w:t xml:space="preserve">produced a variety of different </w:t>
      </w:r>
      <w:r w:rsidR="00A52586" w:rsidRPr="004C1796">
        <w:rPr>
          <w:rFonts w:ascii="Times New Roman" w:hAnsi="Times New Roman" w:cs="Times New Roman"/>
        </w:rPr>
        <w:t>empirical research studies that</w:t>
      </w:r>
      <w:r w:rsidR="0036458D" w:rsidRPr="004C1796">
        <w:rPr>
          <w:rFonts w:ascii="Times New Roman" w:hAnsi="Times New Roman" w:cs="Times New Roman"/>
        </w:rPr>
        <w:t xml:space="preserve"> focus directly</w:t>
      </w:r>
      <w:r w:rsidRPr="004C1796">
        <w:rPr>
          <w:rFonts w:ascii="Times New Roman" w:hAnsi="Times New Roman" w:cs="Times New Roman"/>
        </w:rPr>
        <w:t xml:space="preserve"> (see Coomber </w:t>
      </w:r>
      <w:r w:rsidR="00A52586" w:rsidRPr="004C1796">
        <w:rPr>
          <w:rFonts w:ascii="Times New Roman" w:hAnsi="Times New Roman" w:cs="Times New Roman"/>
        </w:rPr>
        <w:t xml:space="preserve">&amp; </w:t>
      </w:r>
      <w:r w:rsidRPr="004C1796">
        <w:rPr>
          <w:rFonts w:ascii="Times New Roman" w:hAnsi="Times New Roman" w:cs="Times New Roman"/>
        </w:rPr>
        <w:t>Turnbull, 2007; Potter</w:t>
      </w:r>
      <w:r w:rsidR="00A52586" w:rsidRPr="004C1796">
        <w:rPr>
          <w:rFonts w:ascii="Times New Roman" w:hAnsi="Times New Roman" w:cs="Times New Roman"/>
        </w:rPr>
        <w:t>,</w:t>
      </w:r>
      <w:r w:rsidRPr="004C1796">
        <w:rPr>
          <w:rFonts w:ascii="Times New Roman" w:hAnsi="Times New Roman" w:cs="Times New Roman"/>
        </w:rPr>
        <w:t xml:space="preserve"> 2009; Taylor </w:t>
      </w:r>
      <w:r w:rsidR="00A52586" w:rsidRPr="004C1796">
        <w:rPr>
          <w:rFonts w:ascii="Times New Roman" w:hAnsi="Times New Roman" w:cs="Times New Roman"/>
        </w:rPr>
        <w:t xml:space="preserve">&amp; </w:t>
      </w:r>
      <w:r w:rsidR="005049FC" w:rsidRPr="004C1796">
        <w:rPr>
          <w:rFonts w:ascii="Times New Roman" w:hAnsi="Times New Roman" w:cs="Times New Roman"/>
        </w:rPr>
        <w:t>Potter, 2013),</w:t>
      </w:r>
      <w:r w:rsidR="0036458D" w:rsidRPr="004C1796">
        <w:rPr>
          <w:rFonts w:ascii="Times New Roman" w:hAnsi="Times New Roman" w:cs="Times New Roman"/>
        </w:rPr>
        <w:t xml:space="preserve"> or provide peripheral analys</w:t>
      </w:r>
      <w:r w:rsidR="0030433D" w:rsidRPr="004C1796">
        <w:rPr>
          <w:rFonts w:ascii="Times New Roman" w:hAnsi="Times New Roman" w:cs="Times New Roman"/>
        </w:rPr>
        <w:t>is</w:t>
      </w:r>
      <w:r w:rsidRPr="004C1796">
        <w:rPr>
          <w:rFonts w:ascii="Times New Roman" w:hAnsi="Times New Roman" w:cs="Times New Roman"/>
        </w:rPr>
        <w:t xml:space="preserve"> (Parker</w:t>
      </w:r>
      <w:r w:rsidR="00FA2D4D" w:rsidRPr="004C1796">
        <w:rPr>
          <w:rFonts w:ascii="Times New Roman" w:hAnsi="Times New Roman" w:cs="Times New Roman"/>
        </w:rPr>
        <w:t>,</w:t>
      </w:r>
      <w:r w:rsidRPr="004C1796">
        <w:rPr>
          <w:rFonts w:ascii="Times New Roman" w:hAnsi="Times New Roman" w:cs="Times New Roman"/>
        </w:rPr>
        <w:t xml:space="preserve"> 2000; Hough et al</w:t>
      </w:r>
      <w:r w:rsidR="00A52586" w:rsidRPr="004C1796">
        <w:rPr>
          <w:rFonts w:ascii="Times New Roman" w:hAnsi="Times New Roman" w:cs="Times New Roman"/>
        </w:rPr>
        <w:t>.,</w:t>
      </w:r>
      <w:r w:rsidRPr="004C1796">
        <w:rPr>
          <w:rFonts w:ascii="Times New Roman" w:hAnsi="Times New Roman" w:cs="Times New Roman"/>
        </w:rPr>
        <w:t xml:space="preserve"> 2003) </w:t>
      </w:r>
      <w:r w:rsidR="0030433D" w:rsidRPr="004C1796">
        <w:rPr>
          <w:rFonts w:ascii="Times New Roman" w:hAnsi="Times New Roman" w:cs="Times New Roman"/>
        </w:rPr>
        <w:t xml:space="preserve">of social supply behaviours. </w:t>
      </w:r>
      <w:r w:rsidR="005049FC" w:rsidRPr="004C1796">
        <w:rPr>
          <w:rFonts w:ascii="Times New Roman" w:hAnsi="Times New Roman" w:cs="Times New Roman"/>
        </w:rPr>
        <w:t xml:space="preserve">From </w:t>
      </w:r>
      <w:r w:rsidR="00B963E9" w:rsidRPr="004C1796">
        <w:rPr>
          <w:rFonts w:ascii="Times New Roman" w:hAnsi="Times New Roman" w:cs="Times New Roman"/>
        </w:rPr>
        <w:t xml:space="preserve">early identifications of </w:t>
      </w:r>
      <w:r w:rsidR="00345115" w:rsidRPr="004C1796">
        <w:rPr>
          <w:rFonts w:ascii="Times New Roman" w:hAnsi="Times New Roman" w:cs="Times New Roman"/>
        </w:rPr>
        <w:t>‘</w:t>
      </w:r>
      <w:r w:rsidR="0036458D" w:rsidRPr="004C1796">
        <w:rPr>
          <w:rFonts w:ascii="Times New Roman" w:hAnsi="Times New Roman" w:cs="Times New Roman"/>
        </w:rPr>
        <w:t>mutual societies</w:t>
      </w:r>
      <w:r w:rsidR="00345115" w:rsidRPr="004C1796">
        <w:rPr>
          <w:rFonts w:ascii="Times New Roman" w:hAnsi="Times New Roman" w:cs="Times New Roman"/>
        </w:rPr>
        <w:t>’</w:t>
      </w:r>
      <w:r w:rsidR="0036458D" w:rsidRPr="004C1796">
        <w:rPr>
          <w:rFonts w:ascii="Times New Roman" w:hAnsi="Times New Roman" w:cs="Times New Roman"/>
        </w:rPr>
        <w:t xml:space="preserve"> and </w:t>
      </w:r>
      <w:r w:rsidR="00345115" w:rsidRPr="004C1796">
        <w:rPr>
          <w:rFonts w:ascii="Times New Roman" w:hAnsi="Times New Roman" w:cs="Times New Roman"/>
        </w:rPr>
        <w:t>‘</w:t>
      </w:r>
      <w:r w:rsidR="0036458D" w:rsidRPr="004C1796">
        <w:rPr>
          <w:rFonts w:ascii="Times New Roman" w:hAnsi="Times New Roman" w:cs="Times New Roman"/>
        </w:rPr>
        <w:t>trading charities</w:t>
      </w:r>
      <w:r w:rsidR="00F05413" w:rsidRPr="004C1796">
        <w:rPr>
          <w:rFonts w:ascii="Times New Roman" w:hAnsi="Times New Roman" w:cs="Times New Roman"/>
        </w:rPr>
        <w:t>’</w:t>
      </w:r>
      <w:r w:rsidR="0036458D" w:rsidRPr="004C1796">
        <w:rPr>
          <w:rFonts w:ascii="Times New Roman" w:hAnsi="Times New Roman" w:cs="Times New Roman"/>
        </w:rPr>
        <w:t xml:space="preserve"> described in Dorn et al</w:t>
      </w:r>
      <w:r w:rsidR="00A52586" w:rsidRPr="004C1796">
        <w:rPr>
          <w:rFonts w:ascii="Times New Roman" w:hAnsi="Times New Roman" w:cs="Times New Roman"/>
        </w:rPr>
        <w:t>.</w:t>
      </w:r>
      <w:r w:rsidR="0036458D" w:rsidRPr="004C1796">
        <w:rPr>
          <w:rFonts w:ascii="Times New Roman" w:hAnsi="Times New Roman" w:cs="Times New Roman"/>
        </w:rPr>
        <w:t xml:space="preserve"> (1990) who engaged in reciprocal or ideologically motivated supply practices, to the young cannabis suppliers in</w:t>
      </w:r>
      <w:r w:rsidR="009C062D" w:rsidRPr="004C1796">
        <w:rPr>
          <w:rFonts w:ascii="Times New Roman" w:hAnsi="Times New Roman" w:cs="Times New Roman"/>
        </w:rPr>
        <w:t xml:space="preserve"> Coomber and Turnbull (2007),</w:t>
      </w:r>
      <w:r w:rsidR="0036458D" w:rsidRPr="004C1796">
        <w:rPr>
          <w:rFonts w:ascii="Times New Roman" w:hAnsi="Times New Roman" w:cs="Times New Roman"/>
        </w:rPr>
        <w:t xml:space="preserve"> </w:t>
      </w:r>
      <w:r w:rsidR="0082401A" w:rsidRPr="004C1796">
        <w:rPr>
          <w:rFonts w:ascii="Times New Roman" w:hAnsi="Times New Roman" w:cs="Times New Roman"/>
        </w:rPr>
        <w:t xml:space="preserve">and </w:t>
      </w:r>
      <w:r w:rsidR="0036458D" w:rsidRPr="004C1796">
        <w:rPr>
          <w:rFonts w:ascii="Times New Roman" w:hAnsi="Times New Roman" w:cs="Times New Roman"/>
        </w:rPr>
        <w:t xml:space="preserve">the involved recreational </w:t>
      </w:r>
      <w:r w:rsidR="00ED6A2C" w:rsidRPr="004C1796">
        <w:rPr>
          <w:rFonts w:ascii="Times New Roman" w:hAnsi="Times New Roman" w:cs="Times New Roman"/>
        </w:rPr>
        <w:t xml:space="preserve">ketamine, cocaine and ecstasy </w:t>
      </w:r>
      <w:r w:rsidR="0036458D" w:rsidRPr="004C1796">
        <w:rPr>
          <w:rFonts w:ascii="Times New Roman" w:hAnsi="Times New Roman" w:cs="Times New Roman"/>
        </w:rPr>
        <w:t xml:space="preserve">users who drifted from social supply to </w:t>
      </w:r>
      <w:r w:rsidR="00ED6A2C" w:rsidRPr="004C1796">
        <w:rPr>
          <w:rFonts w:ascii="Times New Roman" w:hAnsi="Times New Roman" w:cs="Times New Roman"/>
        </w:rPr>
        <w:t>‘</w:t>
      </w:r>
      <w:r w:rsidR="0036458D" w:rsidRPr="004C1796">
        <w:rPr>
          <w:rFonts w:ascii="Times New Roman" w:hAnsi="Times New Roman" w:cs="Times New Roman"/>
        </w:rPr>
        <w:t>real dealing</w:t>
      </w:r>
      <w:r w:rsidR="00ED6A2C" w:rsidRPr="004C1796">
        <w:rPr>
          <w:rFonts w:ascii="Times New Roman" w:hAnsi="Times New Roman" w:cs="Times New Roman"/>
        </w:rPr>
        <w:t xml:space="preserve">’ (see Taylor </w:t>
      </w:r>
      <w:r w:rsidR="00A52586" w:rsidRPr="004C1796">
        <w:rPr>
          <w:rFonts w:ascii="Times New Roman" w:hAnsi="Times New Roman" w:cs="Times New Roman"/>
        </w:rPr>
        <w:t xml:space="preserve">&amp; </w:t>
      </w:r>
      <w:r w:rsidR="00ED6A2C" w:rsidRPr="004C1796">
        <w:rPr>
          <w:rFonts w:ascii="Times New Roman" w:hAnsi="Times New Roman" w:cs="Times New Roman"/>
        </w:rPr>
        <w:t>Potter</w:t>
      </w:r>
      <w:r w:rsidR="00A52586" w:rsidRPr="004C1796">
        <w:rPr>
          <w:rFonts w:ascii="Times New Roman" w:hAnsi="Times New Roman" w:cs="Times New Roman"/>
        </w:rPr>
        <w:t>,</w:t>
      </w:r>
      <w:r w:rsidR="00ED6A2C" w:rsidRPr="004C1796">
        <w:rPr>
          <w:rFonts w:ascii="Times New Roman" w:hAnsi="Times New Roman" w:cs="Times New Roman"/>
        </w:rPr>
        <w:t xml:space="preserve"> </w:t>
      </w:r>
      <w:r w:rsidR="0036458D" w:rsidRPr="004C1796">
        <w:rPr>
          <w:rFonts w:ascii="Times New Roman" w:hAnsi="Times New Roman" w:cs="Times New Roman"/>
        </w:rPr>
        <w:t>2013)</w:t>
      </w:r>
      <w:r w:rsidR="00ED6A2C" w:rsidRPr="004C1796">
        <w:rPr>
          <w:rFonts w:ascii="Times New Roman" w:hAnsi="Times New Roman" w:cs="Times New Roman"/>
        </w:rPr>
        <w:t>,</w:t>
      </w:r>
      <w:r w:rsidR="0036458D" w:rsidRPr="004C1796">
        <w:rPr>
          <w:rFonts w:ascii="Times New Roman" w:hAnsi="Times New Roman" w:cs="Times New Roman"/>
        </w:rPr>
        <w:t xml:space="preserve"> </w:t>
      </w:r>
      <w:r w:rsidR="00ED6A2C" w:rsidRPr="004C1796">
        <w:rPr>
          <w:rFonts w:ascii="Times New Roman" w:hAnsi="Times New Roman" w:cs="Times New Roman"/>
        </w:rPr>
        <w:t>t</w:t>
      </w:r>
      <w:r w:rsidR="0036458D" w:rsidRPr="004C1796">
        <w:rPr>
          <w:rFonts w:ascii="Times New Roman" w:hAnsi="Times New Roman" w:cs="Times New Roman"/>
        </w:rPr>
        <w:t>his literature base has tended to be united by its focus on</w:t>
      </w:r>
      <w:r w:rsidR="00F05413" w:rsidRPr="004C1796">
        <w:rPr>
          <w:rFonts w:ascii="Times New Roman" w:hAnsi="Times New Roman" w:cs="Times New Roman"/>
        </w:rPr>
        <w:t xml:space="preserve"> supply</w:t>
      </w:r>
      <w:r w:rsidR="00A52586" w:rsidRPr="004C1796">
        <w:rPr>
          <w:rFonts w:ascii="Times New Roman" w:hAnsi="Times New Roman" w:cs="Times New Roman"/>
        </w:rPr>
        <w:t xml:space="preserve"> as </w:t>
      </w:r>
      <w:r w:rsidR="00EF6D03" w:rsidRPr="004C1796">
        <w:rPr>
          <w:rFonts w:ascii="Times New Roman" w:hAnsi="Times New Roman" w:cs="Times New Roman"/>
        </w:rPr>
        <w:t>‘</w:t>
      </w:r>
      <w:r w:rsidR="00A52586" w:rsidRPr="004C1796">
        <w:rPr>
          <w:rFonts w:ascii="Times New Roman" w:hAnsi="Times New Roman" w:cs="Times New Roman"/>
        </w:rPr>
        <w:t>embedded practice</w:t>
      </w:r>
      <w:r w:rsidR="00EF6D03" w:rsidRPr="004C1796">
        <w:rPr>
          <w:rFonts w:ascii="Times New Roman" w:hAnsi="Times New Roman" w:cs="Times New Roman"/>
        </w:rPr>
        <w:t>’</w:t>
      </w:r>
      <w:r w:rsidR="00A52586" w:rsidRPr="004C1796">
        <w:rPr>
          <w:rFonts w:ascii="Times New Roman" w:hAnsi="Times New Roman" w:cs="Times New Roman"/>
        </w:rPr>
        <w:t xml:space="preserve"> (Coomber e</w:t>
      </w:r>
      <w:r w:rsidR="00F05413" w:rsidRPr="004C1796">
        <w:rPr>
          <w:rFonts w:ascii="Times New Roman" w:hAnsi="Times New Roman" w:cs="Times New Roman"/>
        </w:rPr>
        <w:t>t al., 2015),</w:t>
      </w:r>
      <w:r w:rsidR="0036458D" w:rsidRPr="004C1796">
        <w:rPr>
          <w:rFonts w:ascii="Times New Roman" w:hAnsi="Times New Roman" w:cs="Times New Roman"/>
        </w:rPr>
        <w:t xml:space="preserve"> supply to non-strangers (Potter, 2009) and </w:t>
      </w:r>
      <w:r w:rsidR="00ED6A2C" w:rsidRPr="004C1796">
        <w:rPr>
          <w:rFonts w:ascii="Times New Roman" w:hAnsi="Times New Roman" w:cs="Times New Roman"/>
        </w:rPr>
        <w:t xml:space="preserve">transactions characterised by </w:t>
      </w:r>
      <w:r w:rsidRPr="004C1796">
        <w:rPr>
          <w:rFonts w:ascii="Times New Roman" w:hAnsi="Times New Roman" w:cs="Times New Roman"/>
        </w:rPr>
        <w:t>‘</w:t>
      </w:r>
      <w:r w:rsidR="00ED6A2C" w:rsidRPr="004C1796">
        <w:rPr>
          <w:rFonts w:ascii="Times New Roman" w:hAnsi="Times New Roman" w:cs="Times New Roman"/>
        </w:rPr>
        <w:t>minimal profit</w:t>
      </w:r>
      <w:r w:rsidRPr="004C1796">
        <w:rPr>
          <w:rFonts w:ascii="Times New Roman" w:hAnsi="Times New Roman" w:cs="Times New Roman"/>
        </w:rPr>
        <w:t xml:space="preserve">’ (Coomber </w:t>
      </w:r>
      <w:r w:rsidR="00A52586" w:rsidRPr="004C1796">
        <w:rPr>
          <w:rFonts w:ascii="Times New Roman" w:hAnsi="Times New Roman" w:cs="Times New Roman"/>
        </w:rPr>
        <w:t xml:space="preserve">&amp; </w:t>
      </w:r>
      <w:r w:rsidRPr="004C1796">
        <w:rPr>
          <w:rFonts w:ascii="Times New Roman" w:hAnsi="Times New Roman" w:cs="Times New Roman"/>
        </w:rPr>
        <w:t>Moyle, 2014)</w:t>
      </w:r>
      <w:r w:rsidR="00ED6A2C" w:rsidRPr="004C1796">
        <w:rPr>
          <w:rFonts w:ascii="Times New Roman" w:hAnsi="Times New Roman" w:cs="Times New Roman"/>
        </w:rPr>
        <w:t>.</w:t>
      </w:r>
      <w:r w:rsidR="00613349" w:rsidRPr="004C1796">
        <w:rPr>
          <w:rFonts w:ascii="Times New Roman" w:hAnsi="Times New Roman" w:cs="Times New Roman"/>
        </w:rPr>
        <w:t xml:space="preserve"> In </w:t>
      </w:r>
      <w:r w:rsidR="00023982" w:rsidRPr="004C1796">
        <w:rPr>
          <w:rFonts w:ascii="Times New Roman" w:hAnsi="Times New Roman" w:cs="Times New Roman"/>
        </w:rPr>
        <w:t xml:space="preserve">wider </w:t>
      </w:r>
      <w:r w:rsidR="00613349" w:rsidRPr="004C1796">
        <w:rPr>
          <w:rFonts w:ascii="Times New Roman" w:hAnsi="Times New Roman" w:cs="Times New Roman"/>
        </w:rPr>
        <w:t xml:space="preserve">Europe, social supply is often </w:t>
      </w:r>
      <w:r w:rsidR="00DA560D" w:rsidRPr="004C1796">
        <w:rPr>
          <w:rFonts w:ascii="Times New Roman" w:hAnsi="Times New Roman" w:cs="Times New Roman"/>
        </w:rPr>
        <w:t>researched with focus on cann</w:t>
      </w:r>
      <w:r w:rsidR="0015213F" w:rsidRPr="004C1796">
        <w:rPr>
          <w:rFonts w:ascii="Times New Roman" w:hAnsi="Times New Roman" w:cs="Times New Roman"/>
        </w:rPr>
        <w:t>abis distribution</w:t>
      </w:r>
      <w:r w:rsidR="00ED4445" w:rsidRPr="004C1796">
        <w:rPr>
          <w:rFonts w:ascii="Times New Roman" w:hAnsi="Times New Roman" w:cs="Times New Roman"/>
        </w:rPr>
        <w:t>,</w:t>
      </w:r>
      <w:r w:rsidR="0015213F" w:rsidRPr="004C1796">
        <w:rPr>
          <w:rFonts w:ascii="Times New Roman" w:hAnsi="Times New Roman" w:cs="Times New Roman"/>
        </w:rPr>
        <w:t xml:space="preserve"> </w:t>
      </w:r>
      <w:r w:rsidR="00613349" w:rsidRPr="004C1796">
        <w:rPr>
          <w:rFonts w:ascii="Times New Roman" w:hAnsi="Times New Roman" w:cs="Times New Roman"/>
          <w:lang w:val="en-US"/>
        </w:rPr>
        <w:t>especially small-scale cannabis cultivation, which</w:t>
      </w:r>
      <w:r w:rsidR="00A4536D" w:rsidRPr="004C1796">
        <w:rPr>
          <w:rFonts w:ascii="Times New Roman" w:hAnsi="Times New Roman" w:cs="Times New Roman"/>
          <w:lang w:val="en-US"/>
        </w:rPr>
        <w:t xml:space="preserve"> can</w:t>
      </w:r>
      <w:r w:rsidR="00613349" w:rsidRPr="004C1796">
        <w:rPr>
          <w:rFonts w:ascii="Times New Roman" w:hAnsi="Times New Roman" w:cs="Times New Roman"/>
          <w:lang w:val="en-US"/>
        </w:rPr>
        <w:t xml:space="preserve"> </w:t>
      </w:r>
      <w:r w:rsidR="007B3AC0" w:rsidRPr="004C1796">
        <w:rPr>
          <w:rFonts w:ascii="Times New Roman" w:hAnsi="Times New Roman" w:cs="Times New Roman"/>
          <w:lang w:val="en-US"/>
        </w:rPr>
        <w:t>create</w:t>
      </w:r>
      <w:r w:rsidR="00613349" w:rsidRPr="004C1796">
        <w:rPr>
          <w:rFonts w:ascii="Times New Roman" w:hAnsi="Times New Roman" w:cs="Times New Roman"/>
          <w:lang w:val="en-US"/>
        </w:rPr>
        <w:t xml:space="preserve"> an influential context for social supply. </w:t>
      </w:r>
      <w:r w:rsidR="006C49B8" w:rsidRPr="004C1796">
        <w:rPr>
          <w:rFonts w:ascii="Times New Roman" w:hAnsi="Times New Roman" w:cs="Times New Roman"/>
          <w:lang w:val="en-US"/>
        </w:rPr>
        <w:t xml:space="preserve">According to a web survey conducted among Finnish cannabis growers, many said they often gave or </w:t>
      </w:r>
      <w:r w:rsidR="00FA5E89" w:rsidRPr="004C1796">
        <w:rPr>
          <w:rFonts w:ascii="Times New Roman" w:hAnsi="Times New Roman" w:cs="Times New Roman"/>
          <w:lang w:val="en-US"/>
        </w:rPr>
        <w:t>‘</w:t>
      </w:r>
      <w:r w:rsidR="006C49B8" w:rsidRPr="004C1796">
        <w:rPr>
          <w:rFonts w:ascii="Times New Roman" w:hAnsi="Times New Roman" w:cs="Times New Roman"/>
          <w:lang w:val="en-US"/>
        </w:rPr>
        <w:t>served</w:t>
      </w:r>
      <w:r w:rsidR="00FA5E89" w:rsidRPr="004C1796">
        <w:rPr>
          <w:rFonts w:ascii="Times New Roman" w:hAnsi="Times New Roman" w:cs="Times New Roman"/>
          <w:lang w:val="en-US"/>
        </w:rPr>
        <w:t>’</w:t>
      </w:r>
      <w:r w:rsidR="006C49B8" w:rsidRPr="004C1796">
        <w:rPr>
          <w:rFonts w:ascii="Times New Roman" w:hAnsi="Times New Roman" w:cs="Times New Roman"/>
          <w:lang w:val="en-US"/>
        </w:rPr>
        <w:t xml:space="preserve"> part of t</w:t>
      </w:r>
      <w:r w:rsidR="00A4536D" w:rsidRPr="004C1796">
        <w:rPr>
          <w:rFonts w:ascii="Times New Roman" w:hAnsi="Times New Roman" w:cs="Times New Roman"/>
          <w:lang w:val="en-US"/>
        </w:rPr>
        <w:t>heir crops to friends for free, and in this respect</w:t>
      </w:r>
      <w:r w:rsidR="006C49B8" w:rsidRPr="004C1796">
        <w:rPr>
          <w:rFonts w:ascii="Times New Roman" w:hAnsi="Times New Roman" w:cs="Times New Roman"/>
          <w:lang w:val="en-US"/>
        </w:rPr>
        <w:t xml:space="preserve">, they did not grow cannabis for the money, or to make a profit, but for the pleasure of growing, enjoying and sharing it with friends </w:t>
      </w:r>
      <w:r w:rsidR="00613349" w:rsidRPr="004C1796">
        <w:rPr>
          <w:rFonts w:ascii="Times New Roman" w:hAnsi="Times New Roman" w:cs="Times New Roman"/>
          <w:lang w:val="en-US"/>
        </w:rPr>
        <w:t>(Hakkarainen &amp; Perälä, 2016).</w:t>
      </w:r>
      <w:r w:rsidR="00613349" w:rsidRPr="004C1796">
        <w:rPr>
          <w:rFonts w:ascii="Times New Roman" w:hAnsi="Times New Roman" w:cs="Times New Roman"/>
        </w:rPr>
        <w:t xml:space="preserve"> </w:t>
      </w:r>
      <w:r w:rsidR="00925A33" w:rsidRPr="004C1796">
        <w:rPr>
          <w:rFonts w:ascii="Times New Roman" w:hAnsi="Times New Roman" w:cs="Times New Roman"/>
        </w:rPr>
        <w:t>In Belgium</w:t>
      </w:r>
      <w:r w:rsidR="00B963E9" w:rsidRPr="004C1796">
        <w:rPr>
          <w:rFonts w:ascii="Times New Roman" w:hAnsi="Times New Roman" w:cs="Times New Roman"/>
        </w:rPr>
        <w:t>,</w:t>
      </w:r>
      <w:r w:rsidR="00925A33" w:rsidRPr="004C1796">
        <w:rPr>
          <w:rFonts w:ascii="Times New Roman" w:hAnsi="Times New Roman" w:cs="Times New Roman"/>
        </w:rPr>
        <w:t xml:space="preserve"> one </w:t>
      </w:r>
      <w:r w:rsidR="00613349" w:rsidRPr="004C1796">
        <w:rPr>
          <w:rFonts w:ascii="Times New Roman" w:hAnsi="Times New Roman" w:cs="Times New Roman"/>
        </w:rPr>
        <w:t xml:space="preserve">study </w:t>
      </w:r>
      <w:r w:rsidR="00ED4445" w:rsidRPr="004C1796">
        <w:rPr>
          <w:rFonts w:ascii="Times New Roman" w:hAnsi="Times New Roman" w:cs="Times New Roman"/>
        </w:rPr>
        <w:t xml:space="preserve">identified </w:t>
      </w:r>
      <w:r w:rsidR="00613349" w:rsidRPr="004C1796">
        <w:rPr>
          <w:rFonts w:ascii="Times New Roman" w:hAnsi="Times New Roman" w:cs="Times New Roman"/>
        </w:rPr>
        <w:t>different forms of</w:t>
      </w:r>
      <w:r w:rsidR="00ED4445" w:rsidRPr="004C1796">
        <w:rPr>
          <w:rFonts w:ascii="Times New Roman" w:hAnsi="Times New Roman" w:cs="Times New Roman"/>
        </w:rPr>
        <w:t xml:space="preserve"> cannabis networks</w:t>
      </w:r>
      <w:r w:rsidR="00613349" w:rsidRPr="004C1796">
        <w:rPr>
          <w:rFonts w:ascii="Times New Roman" w:hAnsi="Times New Roman" w:cs="Times New Roman"/>
        </w:rPr>
        <w:t xml:space="preserve">, </w:t>
      </w:r>
      <w:r w:rsidR="00FB76DE" w:rsidRPr="004C1796">
        <w:rPr>
          <w:rFonts w:ascii="Times New Roman" w:hAnsi="Times New Roman" w:cs="Times New Roman"/>
        </w:rPr>
        <w:t xml:space="preserve">which were more likely </w:t>
      </w:r>
      <w:r w:rsidR="00613349" w:rsidRPr="004C1796">
        <w:rPr>
          <w:rFonts w:ascii="Times New Roman" w:hAnsi="Times New Roman" w:cs="Times New Roman"/>
        </w:rPr>
        <w:t xml:space="preserve">described as an </w:t>
      </w:r>
      <w:r w:rsidR="005049FC" w:rsidRPr="004C1796">
        <w:rPr>
          <w:rFonts w:ascii="Times New Roman" w:hAnsi="Times New Roman" w:cs="Times New Roman"/>
        </w:rPr>
        <w:t>‘</w:t>
      </w:r>
      <w:r w:rsidR="00613349" w:rsidRPr="004C1796">
        <w:rPr>
          <w:rFonts w:ascii="Times New Roman" w:hAnsi="Times New Roman" w:cs="Times New Roman"/>
        </w:rPr>
        <w:t>informal business network amongst ‘friends’, family and acquaintances</w:t>
      </w:r>
      <w:r w:rsidR="005049FC" w:rsidRPr="004C1796">
        <w:rPr>
          <w:rFonts w:ascii="Times New Roman" w:hAnsi="Times New Roman" w:cs="Times New Roman"/>
        </w:rPr>
        <w:t>’</w:t>
      </w:r>
      <w:r w:rsidR="00B963E9" w:rsidRPr="004C1796">
        <w:rPr>
          <w:rFonts w:ascii="Times New Roman" w:hAnsi="Times New Roman" w:cs="Times New Roman"/>
        </w:rPr>
        <w:t xml:space="preserve"> (Decorte et al., 2014: </w:t>
      </w:r>
      <w:r w:rsidR="00613349" w:rsidRPr="004C1796">
        <w:rPr>
          <w:rFonts w:ascii="Times New Roman" w:hAnsi="Times New Roman" w:cs="Times New Roman"/>
        </w:rPr>
        <w:t>101)</w:t>
      </w:r>
      <w:r w:rsidR="00FB76DE" w:rsidRPr="004C1796">
        <w:rPr>
          <w:rFonts w:ascii="Times New Roman" w:hAnsi="Times New Roman" w:cs="Times New Roman"/>
        </w:rPr>
        <w:t xml:space="preserve"> than criminal collaborations.</w:t>
      </w:r>
      <w:r w:rsidR="00DD7A22" w:rsidRPr="004C1796">
        <w:rPr>
          <w:rFonts w:ascii="Times New Roman" w:hAnsi="Times New Roman" w:cs="Times New Roman"/>
        </w:rPr>
        <w:t xml:space="preserve"> Social supply research exploring cannabis cultivation in the Czech Republic unveils similar </w:t>
      </w:r>
      <w:r w:rsidR="00B963E9" w:rsidRPr="004C1796">
        <w:rPr>
          <w:rFonts w:ascii="Times New Roman" w:hAnsi="Times New Roman" w:cs="Times New Roman"/>
        </w:rPr>
        <w:t>supply systems</w:t>
      </w:r>
      <w:r w:rsidR="00DD7A22" w:rsidRPr="004C1796">
        <w:rPr>
          <w:rFonts w:ascii="Times New Roman" w:hAnsi="Times New Roman" w:cs="Times New Roman"/>
        </w:rPr>
        <w:t xml:space="preserve"> but </w:t>
      </w:r>
      <w:r w:rsidR="006F1253" w:rsidRPr="004C1796">
        <w:rPr>
          <w:rFonts w:ascii="Times New Roman" w:hAnsi="Times New Roman" w:cs="Times New Roman"/>
        </w:rPr>
        <w:t xml:space="preserve">attributes their dominance to </w:t>
      </w:r>
      <w:r w:rsidR="00136652" w:rsidRPr="004C1796">
        <w:rPr>
          <w:rFonts w:ascii="Times New Roman" w:hAnsi="Times New Roman" w:cs="Times New Roman"/>
        </w:rPr>
        <w:t xml:space="preserve">the </w:t>
      </w:r>
      <w:r w:rsidR="006F1253" w:rsidRPr="004C1796">
        <w:rPr>
          <w:rFonts w:ascii="Times New Roman" w:hAnsi="Times New Roman" w:cs="Times New Roman"/>
        </w:rPr>
        <w:t xml:space="preserve">spread of outdoor cultivation that comes at a low (or no) cost  and a </w:t>
      </w:r>
      <w:r w:rsidR="00DD7A22" w:rsidRPr="004C1796">
        <w:rPr>
          <w:rFonts w:ascii="Times New Roman" w:hAnsi="Times New Roman" w:cs="Times New Roman"/>
        </w:rPr>
        <w:t>specific culture in which</w:t>
      </w:r>
      <w:r w:rsidR="0076685C" w:rsidRPr="004C1796">
        <w:rPr>
          <w:rFonts w:ascii="Times New Roman" w:hAnsi="Times New Roman" w:cs="Times New Roman"/>
        </w:rPr>
        <w:t xml:space="preserve"> it remains imperative that cannabis should not be </w:t>
      </w:r>
      <w:r w:rsidR="00B963E9" w:rsidRPr="004C1796">
        <w:rPr>
          <w:rFonts w:ascii="Times New Roman" w:hAnsi="Times New Roman" w:cs="Times New Roman"/>
        </w:rPr>
        <w:t>‘</w:t>
      </w:r>
      <w:r w:rsidR="0076685C" w:rsidRPr="004C1796">
        <w:rPr>
          <w:rFonts w:ascii="Times New Roman" w:hAnsi="Times New Roman" w:cs="Times New Roman"/>
        </w:rPr>
        <w:t>sold</w:t>
      </w:r>
      <w:r w:rsidR="00B963E9" w:rsidRPr="004C1796">
        <w:rPr>
          <w:rFonts w:ascii="Times New Roman" w:hAnsi="Times New Roman" w:cs="Times New Roman"/>
        </w:rPr>
        <w:t>’</w:t>
      </w:r>
      <w:r w:rsidR="00ED6A19" w:rsidRPr="004C1796">
        <w:rPr>
          <w:rFonts w:ascii="Times New Roman" w:hAnsi="Times New Roman" w:cs="Times New Roman"/>
        </w:rPr>
        <w:t xml:space="preserve"> at all</w:t>
      </w:r>
      <w:r w:rsidR="0076685C" w:rsidRPr="004C1796">
        <w:rPr>
          <w:rFonts w:ascii="Times New Roman" w:hAnsi="Times New Roman" w:cs="Times New Roman"/>
        </w:rPr>
        <w:t xml:space="preserve"> </w:t>
      </w:r>
      <w:r w:rsidR="0076685C" w:rsidRPr="004C1796">
        <w:rPr>
          <w:rFonts w:ascii="Times New Roman" w:hAnsi="Times New Roman" w:cs="Times New Roman"/>
        </w:rPr>
        <w:fldChar w:fldCharType="begin"/>
      </w:r>
      <w:r w:rsidR="0076685C" w:rsidRPr="004C1796">
        <w:rPr>
          <w:rFonts w:ascii="Times New Roman" w:hAnsi="Times New Roman" w:cs="Times New Roman"/>
        </w:rPr>
        <w:instrText xml:space="preserve"> ADDIN EN.CITE &lt;EndNote&gt;&lt;Cite&gt;&lt;Author&gt;Belackova&lt;/Author&gt;&lt;Year&gt;2014&lt;/Year&gt;&lt;RecNum&gt;1003&lt;/RecNum&gt;&lt;DisplayText&gt;(Belackova &amp;amp; Zabransky, 2014a)&lt;/DisplayText&gt;&lt;record&gt;&lt;rec-number&gt;1003&lt;/rec-number&gt;&lt;foreign-keys&gt;&lt;key app="EN" db-id="05st225pxarstqevtvexxfvuef9s0wrdxwer" timestamp="1469408218"&gt;1003&lt;/key&gt;&lt;/foreign-keys&gt;&lt;ref-type name="Journal Article"&gt;17&lt;/ref-type&gt;&lt;contributors&gt;&lt;authors&gt;&lt;author&gt;Belackova, V.&lt;/author&gt;&lt;author&gt;Zabransky, T&lt;/author&gt;&lt;/authors&gt;&lt;/contributors&gt;&lt;titles&gt;&lt;title&gt;Assessing the Users` Risks in the Shift towards Indoor Cannabis Cultivaiton - the Case of the Czech Republic&lt;/title&gt;&lt;secondary-title&gt;Adiktologie&lt;/secondary-title&gt;&lt;/titles&gt;&lt;periodical&gt;&lt;full-title&gt;Adiktologie&lt;/full-title&gt;&lt;/periodical&gt;&lt;pages&gt;410-418&lt;/pages&gt;&lt;volume&gt;14&lt;/volume&gt;&lt;number&gt;4&lt;/number&gt;&lt;dates&gt;&lt;year&gt;2014&lt;/year&gt;&lt;/dates&gt;&lt;urls&gt;&lt;/urls&gt;&lt;/record&gt;&lt;/Cite&gt;&lt;/EndNote&gt;</w:instrText>
      </w:r>
      <w:r w:rsidR="0076685C" w:rsidRPr="004C1796">
        <w:rPr>
          <w:rFonts w:ascii="Times New Roman" w:hAnsi="Times New Roman" w:cs="Times New Roman"/>
        </w:rPr>
        <w:fldChar w:fldCharType="separate"/>
      </w:r>
      <w:r w:rsidR="00695E31" w:rsidRPr="004C1796">
        <w:rPr>
          <w:rFonts w:ascii="Times New Roman" w:hAnsi="Times New Roman" w:cs="Times New Roman"/>
          <w:noProof/>
        </w:rPr>
        <w:t>(Belackova &amp; Zabransky, 2014</w:t>
      </w:r>
      <w:r w:rsidR="0076685C" w:rsidRPr="004C1796">
        <w:rPr>
          <w:rFonts w:ascii="Times New Roman" w:hAnsi="Times New Roman" w:cs="Times New Roman"/>
          <w:noProof/>
        </w:rPr>
        <w:t>)</w:t>
      </w:r>
      <w:r w:rsidR="0076685C" w:rsidRPr="004C1796">
        <w:rPr>
          <w:rFonts w:ascii="Times New Roman" w:hAnsi="Times New Roman" w:cs="Times New Roman"/>
        </w:rPr>
        <w:fldChar w:fldCharType="end"/>
      </w:r>
      <w:r w:rsidR="00DD7A22" w:rsidRPr="004C1796">
        <w:rPr>
          <w:rFonts w:ascii="Times New Roman" w:hAnsi="Times New Roman" w:cs="Times New Roman"/>
        </w:rPr>
        <w:t xml:space="preserve">. </w:t>
      </w:r>
      <w:r w:rsidR="00661575" w:rsidRPr="004C1796">
        <w:rPr>
          <w:rFonts w:ascii="Times New Roman" w:hAnsi="Times New Roman" w:cs="Times New Roman"/>
        </w:rPr>
        <w:t>In the</w:t>
      </w:r>
      <w:r w:rsidR="00E3304E" w:rsidRPr="004C1796">
        <w:rPr>
          <w:rFonts w:ascii="Times New Roman" w:hAnsi="Times New Roman" w:cs="Times New Roman"/>
        </w:rPr>
        <w:t xml:space="preserve"> N</w:t>
      </w:r>
      <w:r w:rsidR="001E1BEB" w:rsidRPr="004C1796">
        <w:rPr>
          <w:rFonts w:ascii="Times New Roman" w:hAnsi="Times New Roman" w:cs="Times New Roman"/>
        </w:rPr>
        <w:t>orth American context, Canadian social supply research has also tended to focus on</w:t>
      </w:r>
      <w:r w:rsidR="005A163F" w:rsidRPr="004C1796">
        <w:rPr>
          <w:rFonts w:ascii="Times New Roman" w:hAnsi="Times New Roman" w:cs="Times New Roman"/>
        </w:rPr>
        <w:t xml:space="preserve"> cannabis transactions and</w:t>
      </w:r>
      <w:r w:rsidR="001E1BEB" w:rsidRPr="004C1796">
        <w:rPr>
          <w:rFonts w:ascii="Times New Roman" w:hAnsi="Times New Roman" w:cs="Times New Roman"/>
        </w:rPr>
        <w:t xml:space="preserve"> </w:t>
      </w:r>
      <w:r w:rsidR="005A163F" w:rsidRPr="004C1796">
        <w:rPr>
          <w:rFonts w:ascii="Times New Roman" w:hAnsi="Times New Roman" w:cs="Times New Roman"/>
        </w:rPr>
        <w:t>the nature of relationships between dist</w:t>
      </w:r>
      <w:r w:rsidR="00B15E36" w:rsidRPr="004C1796">
        <w:rPr>
          <w:rFonts w:ascii="Times New Roman" w:hAnsi="Times New Roman" w:cs="Times New Roman"/>
        </w:rPr>
        <w:t>ributor and user. In line with</w:t>
      </w:r>
      <w:r w:rsidR="005A163F" w:rsidRPr="004C1796">
        <w:rPr>
          <w:rFonts w:ascii="Times New Roman" w:hAnsi="Times New Roman" w:cs="Times New Roman"/>
        </w:rPr>
        <w:t xml:space="preserve"> </w:t>
      </w:r>
      <w:r w:rsidR="00086135" w:rsidRPr="004C1796">
        <w:rPr>
          <w:rFonts w:ascii="Times New Roman" w:hAnsi="Times New Roman" w:cs="Times New Roman"/>
        </w:rPr>
        <w:t xml:space="preserve">many of the </w:t>
      </w:r>
      <w:r w:rsidR="005A163F" w:rsidRPr="004C1796">
        <w:rPr>
          <w:rFonts w:ascii="Times New Roman" w:hAnsi="Times New Roman" w:cs="Times New Roman"/>
        </w:rPr>
        <w:t>European</w:t>
      </w:r>
      <w:r w:rsidR="00086135" w:rsidRPr="004C1796">
        <w:rPr>
          <w:rFonts w:ascii="Times New Roman" w:hAnsi="Times New Roman" w:cs="Times New Roman"/>
        </w:rPr>
        <w:t xml:space="preserve"> studies</w:t>
      </w:r>
      <w:r w:rsidR="00AB274B" w:rsidRPr="004C1796">
        <w:rPr>
          <w:rFonts w:ascii="Times New Roman" w:hAnsi="Times New Roman" w:cs="Times New Roman"/>
        </w:rPr>
        <w:t>,</w:t>
      </w:r>
      <w:r w:rsidR="005A163F" w:rsidRPr="004C1796">
        <w:rPr>
          <w:rFonts w:ascii="Times New Roman" w:hAnsi="Times New Roman" w:cs="Times New Roman"/>
        </w:rPr>
        <w:t xml:space="preserve"> </w:t>
      </w:r>
      <w:r w:rsidR="00086135" w:rsidRPr="004C1796">
        <w:rPr>
          <w:rFonts w:ascii="Times New Roman" w:hAnsi="Times New Roman" w:cs="Times New Roman"/>
        </w:rPr>
        <w:t xml:space="preserve">Canadian data </w:t>
      </w:r>
      <w:r w:rsidR="005A163F" w:rsidRPr="004C1796">
        <w:rPr>
          <w:rFonts w:ascii="Times New Roman" w:hAnsi="Times New Roman" w:cs="Times New Roman"/>
        </w:rPr>
        <w:t>suggest</w:t>
      </w:r>
      <w:r w:rsidR="00086135" w:rsidRPr="004C1796">
        <w:rPr>
          <w:rFonts w:ascii="Times New Roman" w:hAnsi="Times New Roman" w:cs="Times New Roman"/>
        </w:rPr>
        <w:t>s</w:t>
      </w:r>
      <w:r w:rsidR="005A163F" w:rsidRPr="004C1796">
        <w:rPr>
          <w:rFonts w:ascii="Times New Roman" w:hAnsi="Times New Roman" w:cs="Times New Roman"/>
        </w:rPr>
        <w:t xml:space="preserve"> </w:t>
      </w:r>
      <w:r w:rsidR="0043052E" w:rsidRPr="004C1796">
        <w:rPr>
          <w:rFonts w:ascii="Times New Roman" w:hAnsi="Times New Roman" w:cs="Times New Roman"/>
        </w:rPr>
        <w:t>i</w:t>
      </w:r>
      <w:r w:rsidR="00925A33" w:rsidRPr="004C1796">
        <w:rPr>
          <w:rFonts w:ascii="Times New Roman" w:hAnsi="Times New Roman" w:cs="Times New Roman"/>
        </w:rPr>
        <w:t>mpersonal transactions with drug dealers are avoided in favour of loose networks of fellow users with whom they feel comfortable buying and using</w:t>
      </w:r>
      <w:r w:rsidR="008E3EA2" w:rsidRPr="004C1796">
        <w:rPr>
          <w:rFonts w:ascii="Times New Roman" w:hAnsi="Times New Roman" w:cs="Times New Roman"/>
        </w:rPr>
        <w:t xml:space="preserve">. </w:t>
      </w:r>
      <w:r w:rsidR="0076386E" w:rsidRPr="004C1796">
        <w:rPr>
          <w:rFonts w:ascii="Times New Roman" w:hAnsi="Times New Roman" w:cs="Times New Roman"/>
        </w:rPr>
        <w:t xml:space="preserve">Consistent </w:t>
      </w:r>
      <w:r w:rsidR="005A163F" w:rsidRPr="004C1796">
        <w:rPr>
          <w:rFonts w:ascii="Times New Roman" w:hAnsi="Times New Roman" w:cs="Times New Roman"/>
        </w:rPr>
        <w:t xml:space="preserve">with </w:t>
      </w:r>
      <w:r w:rsidR="0076386E" w:rsidRPr="004C1796">
        <w:rPr>
          <w:rFonts w:ascii="Times New Roman" w:hAnsi="Times New Roman" w:cs="Times New Roman"/>
        </w:rPr>
        <w:t xml:space="preserve">some of the </w:t>
      </w:r>
      <w:r w:rsidR="005A163F" w:rsidRPr="004C1796">
        <w:rPr>
          <w:rFonts w:ascii="Times New Roman" w:hAnsi="Times New Roman" w:cs="Times New Roman"/>
        </w:rPr>
        <w:t xml:space="preserve">early UK </w:t>
      </w:r>
      <w:r w:rsidR="00AB274B" w:rsidRPr="004C1796">
        <w:rPr>
          <w:rFonts w:ascii="Times New Roman" w:hAnsi="Times New Roman" w:cs="Times New Roman"/>
        </w:rPr>
        <w:t xml:space="preserve">studies on social forms of supply </w:t>
      </w:r>
      <w:r w:rsidR="005A163F" w:rsidRPr="004C1796">
        <w:rPr>
          <w:rFonts w:ascii="Times New Roman" w:hAnsi="Times New Roman" w:cs="Times New Roman"/>
        </w:rPr>
        <w:t>(see Dorn et al., 1990</w:t>
      </w:r>
      <w:r w:rsidR="00AB274B" w:rsidRPr="004C1796">
        <w:rPr>
          <w:rFonts w:ascii="Times New Roman" w:hAnsi="Times New Roman" w:cs="Times New Roman"/>
        </w:rPr>
        <w:t>, 1992</w:t>
      </w:r>
      <w:r w:rsidR="005A163F" w:rsidRPr="004C1796">
        <w:rPr>
          <w:rFonts w:ascii="Times New Roman" w:hAnsi="Times New Roman" w:cs="Times New Roman"/>
        </w:rPr>
        <w:t>)</w:t>
      </w:r>
      <w:r w:rsidR="008E3EA2" w:rsidRPr="004C1796">
        <w:rPr>
          <w:rFonts w:ascii="Times New Roman" w:hAnsi="Times New Roman" w:cs="Times New Roman"/>
        </w:rPr>
        <w:t>, studies in this region emphasise reciprocity</w:t>
      </w:r>
      <w:r w:rsidR="00AB274B" w:rsidRPr="004C1796">
        <w:rPr>
          <w:rFonts w:ascii="Times New Roman" w:hAnsi="Times New Roman" w:cs="Times New Roman"/>
        </w:rPr>
        <w:t>,</w:t>
      </w:r>
      <w:r w:rsidR="005A163F" w:rsidRPr="004C1796">
        <w:rPr>
          <w:rFonts w:ascii="Times New Roman" w:hAnsi="Times New Roman" w:cs="Times New Roman"/>
        </w:rPr>
        <w:t xml:space="preserve"> maintaining</w:t>
      </w:r>
      <w:r w:rsidR="008E3EA2" w:rsidRPr="004C1796">
        <w:rPr>
          <w:rFonts w:ascii="Times New Roman" w:hAnsi="Times New Roman" w:cs="Times New Roman"/>
        </w:rPr>
        <w:t xml:space="preserve"> that</w:t>
      </w:r>
      <w:r w:rsidR="005A163F" w:rsidRPr="004C1796">
        <w:rPr>
          <w:rFonts w:ascii="Times New Roman" w:hAnsi="Times New Roman" w:cs="Times New Roman"/>
        </w:rPr>
        <w:t xml:space="preserve"> access through a social network of supply offers mutual assurance that, from one source or another, a small quantity</w:t>
      </w:r>
      <w:r w:rsidR="009A0537" w:rsidRPr="004C1796">
        <w:rPr>
          <w:rFonts w:ascii="Times New Roman" w:hAnsi="Times New Roman" w:cs="Times New Roman"/>
        </w:rPr>
        <w:t xml:space="preserve"> of cannabis</w:t>
      </w:r>
      <w:r w:rsidR="005A163F" w:rsidRPr="004C1796">
        <w:rPr>
          <w:rFonts w:ascii="Times New Roman" w:hAnsi="Times New Roman" w:cs="Times New Roman"/>
        </w:rPr>
        <w:t xml:space="preserve"> will always </w:t>
      </w:r>
      <w:r w:rsidR="005A163F" w:rsidRPr="004C1796">
        <w:rPr>
          <w:rFonts w:ascii="Times New Roman" w:hAnsi="Times New Roman" w:cs="Times New Roman"/>
        </w:rPr>
        <w:lastRenderedPageBreak/>
        <w:t xml:space="preserve">be available to users (Hathaway, 2004; </w:t>
      </w:r>
      <w:r w:rsidR="003D2925" w:rsidRPr="004C1796">
        <w:rPr>
          <w:rFonts w:ascii="Times New Roman" w:hAnsi="Times New Roman" w:cs="Times New Roman"/>
        </w:rPr>
        <w:t>Hathaway, Erickson &amp; Lucas</w:t>
      </w:r>
      <w:r w:rsidR="0025281B" w:rsidRPr="004C1796">
        <w:rPr>
          <w:rFonts w:ascii="Times New Roman" w:hAnsi="Times New Roman" w:cs="Times New Roman"/>
        </w:rPr>
        <w:t>,</w:t>
      </w:r>
      <w:r w:rsidR="00C9126B" w:rsidRPr="004C1796">
        <w:rPr>
          <w:rFonts w:ascii="Times New Roman" w:hAnsi="Times New Roman" w:cs="Times New Roman"/>
        </w:rPr>
        <w:t xml:space="preserve"> </w:t>
      </w:r>
      <w:r w:rsidR="005A163F" w:rsidRPr="004C1796">
        <w:rPr>
          <w:rFonts w:ascii="Times New Roman" w:hAnsi="Times New Roman" w:cs="Times New Roman"/>
        </w:rPr>
        <w:t>2007).</w:t>
      </w:r>
      <w:r w:rsidR="00154E41" w:rsidRPr="004C1796">
        <w:rPr>
          <w:rFonts w:ascii="Times New Roman" w:hAnsi="Times New Roman" w:cs="Times New Roman"/>
        </w:rPr>
        <w:t xml:space="preserve"> </w:t>
      </w:r>
      <w:r w:rsidR="00C93D2D" w:rsidRPr="004C1796">
        <w:rPr>
          <w:rFonts w:ascii="Times New Roman" w:hAnsi="Times New Roman" w:cs="Times New Roman"/>
        </w:rPr>
        <w:t>A body of social supply r</w:t>
      </w:r>
      <w:r w:rsidR="00154E41" w:rsidRPr="004C1796">
        <w:rPr>
          <w:rFonts w:ascii="Times New Roman" w:hAnsi="Times New Roman" w:cs="Times New Roman"/>
        </w:rPr>
        <w:t>esearch undertaken in Germany</w:t>
      </w:r>
      <w:r w:rsidR="00CD3D4B" w:rsidRPr="004C1796">
        <w:rPr>
          <w:rFonts w:ascii="Times New Roman" w:hAnsi="Times New Roman" w:cs="Times New Roman"/>
        </w:rPr>
        <w:t xml:space="preserve"> </w:t>
      </w:r>
      <w:r w:rsidR="00154E41" w:rsidRPr="004C1796">
        <w:rPr>
          <w:rFonts w:ascii="Times New Roman" w:hAnsi="Times New Roman" w:cs="Times New Roman"/>
        </w:rPr>
        <w:t>confirms many of the themes</w:t>
      </w:r>
      <w:r w:rsidR="00FA5E89" w:rsidRPr="004C1796">
        <w:rPr>
          <w:rFonts w:ascii="Times New Roman" w:hAnsi="Times New Roman" w:cs="Times New Roman"/>
        </w:rPr>
        <w:t xml:space="preserve"> outlined above</w:t>
      </w:r>
      <w:r w:rsidR="0070082F" w:rsidRPr="004C1796">
        <w:rPr>
          <w:rFonts w:ascii="Times New Roman" w:hAnsi="Times New Roman" w:cs="Times New Roman"/>
        </w:rPr>
        <w:t xml:space="preserve"> (see Werse, 2008; 2014)</w:t>
      </w:r>
      <w:r w:rsidR="00C93D2D" w:rsidRPr="004C1796">
        <w:rPr>
          <w:rFonts w:ascii="Times New Roman" w:hAnsi="Times New Roman" w:cs="Times New Roman"/>
        </w:rPr>
        <w:t xml:space="preserve"> and </w:t>
      </w:r>
      <w:r w:rsidR="00706F7F" w:rsidRPr="004C1796">
        <w:rPr>
          <w:rFonts w:ascii="Times New Roman" w:hAnsi="Times New Roman" w:cs="Times New Roman"/>
        </w:rPr>
        <w:t xml:space="preserve">also </w:t>
      </w:r>
      <w:r w:rsidR="00FA5E89" w:rsidRPr="004C1796">
        <w:rPr>
          <w:rFonts w:ascii="Times New Roman" w:hAnsi="Times New Roman" w:cs="Times New Roman"/>
        </w:rPr>
        <w:t xml:space="preserve">usefully </w:t>
      </w:r>
      <w:r w:rsidR="009F4B7A" w:rsidRPr="004C1796">
        <w:rPr>
          <w:rFonts w:ascii="Times New Roman" w:hAnsi="Times New Roman" w:cs="Times New Roman"/>
        </w:rPr>
        <w:t>contributes</w:t>
      </w:r>
      <w:r w:rsidR="0090062B" w:rsidRPr="004C1796">
        <w:rPr>
          <w:rFonts w:ascii="Times New Roman" w:hAnsi="Times New Roman" w:cs="Times New Roman"/>
        </w:rPr>
        <w:t xml:space="preserve"> to our understanding of supply </w:t>
      </w:r>
      <w:r w:rsidR="00C93D2D" w:rsidRPr="004C1796">
        <w:rPr>
          <w:rFonts w:ascii="Times New Roman" w:hAnsi="Times New Roman" w:cs="Times New Roman"/>
        </w:rPr>
        <w:t>transitions</w:t>
      </w:r>
      <w:r w:rsidR="00FB395A" w:rsidRPr="004C1796">
        <w:rPr>
          <w:rFonts w:ascii="Times New Roman" w:hAnsi="Times New Roman" w:cs="Times New Roman"/>
        </w:rPr>
        <w:t xml:space="preserve"> (Werse and Müller, 2016: 117). This</w:t>
      </w:r>
      <w:r w:rsidR="000E0D44" w:rsidRPr="004C1796">
        <w:rPr>
          <w:rFonts w:ascii="Times New Roman" w:hAnsi="Times New Roman" w:cs="Times New Roman"/>
        </w:rPr>
        <w:t xml:space="preserve"> research</w:t>
      </w:r>
      <w:r w:rsidR="00D0398C" w:rsidRPr="004C1796">
        <w:rPr>
          <w:rFonts w:ascii="Times New Roman" w:hAnsi="Times New Roman" w:cs="Times New Roman"/>
        </w:rPr>
        <w:t xml:space="preserve"> suggests that drug users are most likely to transition in social supply through attempting to fund their own drug use (becoming a ‘stash dealer’)</w:t>
      </w:r>
      <w:r w:rsidR="00FB395A" w:rsidRPr="004C1796">
        <w:rPr>
          <w:rFonts w:ascii="Times New Roman" w:hAnsi="Times New Roman" w:cs="Times New Roman"/>
        </w:rPr>
        <w:t>,</w:t>
      </w:r>
      <w:r w:rsidR="00D0398C" w:rsidRPr="004C1796">
        <w:rPr>
          <w:rFonts w:ascii="Times New Roman" w:hAnsi="Times New Roman" w:cs="Times New Roman"/>
        </w:rPr>
        <w:t xml:space="preserve"> acting as a ‘go between’</w:t>
      </w:r>
      <w:r w:rsidR="00FB395A" w:rsidRPr="004C1796">
        <w:rPr>
          <w:rFonts w:ascii="Times New Roman" w:hAnsi="Times New Roman" w:cs="Times New Roman"/>
        </w:rPr>
        <w:t>,</w:t>
      </w:r>
      <w:r w:rsidR="00EC1794" w:rsidRPr="004C1796">
        <w:rPr>
          <w:rFonts w:ascii="Times New Roman" w:hAnsi="Times New Roman" w:cs="Times New Roman"/>
        </w:rPr>
        <w:t xml:space="preserve"> or to ensure a constant supply of good quality drugs (supply guarantee/’connoisseur’).</w:t>
      </w:r>
      <w:r w:rsidR="00FB395A" w:rsidRPr="004C1796">
        <w:rPr>
          <w:rFonts w:ascii="Times New Roman" w:hAnsi="Times New Roman" w:cs="Times New Roman"/>
        </w:rPr>
        <w:t xml:space="preserve"> Insight into transitions </w:t>
      </w:r>
      <w:r w:rsidR="00FB395A" w:rsidRPr="004C1796">
        <w:rPr>
          <w:rFonts w:ascii="Times New Roman" w:hAnsi="Times New Roman" w:cs="Times New Roman"/>
          <w:i/>
        </w:rPr>
        <w:t>out</w:t>
      </w:r>
      <w:r w:rsidR="00FB395A" w:rsidRPr="004C1796">
        <w:rPr>
          <w:rFonts w:ascii="Times New Roman" w:hAnsi="Times New Roman" w:cs="Times New Roman"/>
        </w:rPr>
        <w:t xml:space="preserve"> of social supply are also</w:t>
      </w:r>
      <w:r w:rsidR="00E549CF" w:rsidRPr="004C1796">
        <w:rPr>
          <w:rFonts w:ascii="Times New Roman" w:hAnsi="Times New Roman" w:cs="Times New Roman"/>
        </w:rPr>
        <w:t xml:space="preserve"> </w:t>
      </w:r>
      <w:r w:rsidR="00AE6C28" w:rsidRPr="004C1796">
        <w:rPr>
          <w:rFonts w:ascii="Times New Roman" w:hAnsi="Times New Roman" w:cs="Times New Roman"/>
        </w:rPr>
        <w:t>reported</w:t>
      </w:r>
      <w:r w:rsidR="00FB395A" w:rsidRPr="004C1796">
        <w:rPr>
          <w:rFonts w:ascii="Times New Roman" w:hAnsi="Times New Roman" w:cs="Times New Roman"/>
        </w:rPr>
        <w:t xml:space="preserve"> and include</w:t>
      </w:r>
      <w:r w:rsidR="00AE6C28" w:rsidRPr="004C1796">
        <w:rPr>
          <w:rFonts w:ascii="Times New Roman" w:hAnsi="Times New Roman" w:cs="Times New Roman"/>
        </w:rPr>
        <w:t xml:space="preserve"> </w:t>
      </w:r>
      <w:r w:rsidR="00FB395A" w:rsidRPr="004C1796">
        <w:rPr>
          <w:rFonts w:ascii="Times New Roman" w:hAnsi="Times New Roman" w:cs="Times New Roman"/>
        </w:rPr>
        <w:t xml:space="preserve">factors such </w:t>
      </w:r>
      <w:r w:rsidR="00E549CF" w:rsidRPr="004C1796">
        <w:rPr>
          <w:rFonts w:ascii="Times New Roman" w:hAnsi="Times New Roman" w:cs="Times New Roman"/>
        </w:rPr>
        <w:t>as ‘social stress’, ‘change of life course’ and ‘risk of discovery’</w:t>
      </w:r>
      <w:r w:rsidR="0070082F" w:rsidRPr="004C1796">
        <w:rPr>
          <w:rFonts w:ascii="Times New Roman" w:hAnsi="Times New Roman" w:cs="Times New Roman"/>
        </w:rPr>
        <w:t xml:space="preserve"> (Werse and Müller (2016: 117)</w:t>
      </w:r>
      <w:r w:rsidR="00E549CF" w:rsidRPr="004C1796">
        <w:rPr>
          <w:rFonts w:ascii="Times New Roman" w:hAnsi="Times New Roman" w:cs="Times New Roman"/>
        </w:rPr>
        <w:t>.</w:t>
      </w:r>
    </w:p>
    <w:p w14:paraId="5940C992" w14:textId="77777777" w:rsidR="00221F9E" w:rsidRPr="004C1796" w:rsidRDefault="00221F9E" w:rsidP="00221F9E">
      <w:pPr>
        <w:spacing w:line="360" w:lineRule="auto"/>
        <w:jc w:val="both"/>
        <w:rPr>
          <w:rFonts w:ascii="Times New Roman" w:hAnsi="Times New Roman" w:cs="Times New Roman"/>
        </w:rPr>
      </w:pPr>
    </w:p>
    <w:p w14:paraId="2581C174" w14:textId="77777777" w:rsidR="00415FE7" w:rsidRPr="004C1796" w:rsidRDefault="00ED6A2C" w:rsidP="009873A0">
      <w:pPr>
        <w:spacing w:line="360" w:lineRule="auto"/>
        <w:jc w:val="both"/>
        <w:rPr>
          <w:rFonts w:ascii="Times New Roman" w:hAnsi="Times New Roman" w:cs="Times New Roman"/>
        </w:rPr>
      </w:pPr>
      <w:r w:rsidRPr="004C1796">
        <w:rPr>
          <w:rFonts w:ascii="Times New Roman" w:hAnsi="Times New Roman" w:cs="Times New Roman"/>
        </w:rPr>
        <w:t>On the other side of the globe</w:t>
      </w:r>
      <w:r w:rsidR="00D97E74" w:rsidRPr="004C1796">
        <w:rPr>
          <w:rFonts w:ascii="Times New Roman" w:hAnsi="Times New Roman" w:cs="Times New Roman"/>
        </w:rPr>
        <w:t>,</w:t>
      </w:r>
      <w:r w:rsidRPr="004C1796">
        <w:rPr>
          <w:rFonts w:ascii="Times New Roman" w:hAnsi="Times New Roman" w:cs="Times New Roman"/>
        </w:rPr>
        <w:t xml:space="preserve"> </w:t>
      </w:r>
      <w:r w:rsidR="00803D8F" w:rsidRPr="004C1796">
        <w:rPr>
          <w:rFonts w:ascii="Times New Roman" w:hAnsi="Times New Roman" w:cs="Times New Roman"/>
        </w:rPr>
        <w:t>Australian researchers have</w:t>
      </w:r>
      <w:r w:rsidR="00B5260B" w:rsidRPr="004C1796">
        <w:rPr>
          <w:rFonts w:ascii="Times New Roman" w:hAnsi="Times New Roman" w:cs="Times New Roman"/>
        </w:rPr>
        <w:t xml:space="preserve"> </w:t>
      </w:r>
      <w:r w:rsidR="003A3DAC" w:rsidRPr="004C1796">
        <w:rPr>
          <w:rFonts w:ascii="Times New Roman" w:hAnsi="Times New Roman" w:cs="Times New Roman"/>
        </w:rPr>
        <w:t xml:space="preserve">highlighted the similarities between </w:t>
      </w:r>
      <w:r w:rsidR="00136652" w:rsidRPr="004C1796">
        <w:rPr>
          <w:rFonts w:ascii="Times New Roman" w:hAnsi="Times New Roman" w:cs="Times New Roman"/>
        </w:rPr>
        <w:t xml:space="preserve">socially based </w:t>
      </w:r>
      <w:r w:rsidR="003A3DAC" w:rsidRPr="004C1796">
        <w:rPr>
          <w:rFonts w:ascii="Times New Roman" w:hAnsi="Times New Roman" w:cs="Times New Roman"/>
        </w:rPr>
        <w:t>cannabis distr</w:t>
      </w:r>
      <w:r w:rsidR="00F813EB" w:rsidRPr="004C1796">
        <w:rPr>
          <w:rFonts w:ascii="Times New Roman" w:hAnsi="Times New Roman" w:cs="Times New Roman"/>
        </w:rPr>
        <w:t xml:space="preserve">ibution patterns (Grigg, Lenton, Scott &amp; Barratt, </w:t>
      </w:r>
      <w:r w:rsidR="003A3DAC" w:rsidRPr="004C1796">
        <w:rPr>
          <w:rFonts w:ascii="Times New Roman" w:hAnsi="Times New Roman" w:cs="Times New Roman"/>
        </w:rPr>
        <w:t xml:space="preserve">2015) and </w:t>
      </w:r>
      <w:r w:rsidR="008308AC" w:rsidRPr="004C1796">
        <w:rPr>
          <w:rFonts w:ascii="Times New Roman" w:hAnsi="Times New Roman" w:cs="Times New Roman"/>
        </w:rPr>
        <w:t xml:space="preserve">supply practices in ecstasy markets </w:t>
      </w:r>
      <w:r w:rsidR="00354FF1" w:rsidRPr="004C1796">
        <w:rPr>
          <w:rFonts w:ascii="Times New Roman" w:hAnsi="Times New Roman" w:cs="Times New Roman"/>
        </w:rPr>
        <w:t>(</w:t>
      </w:r>
      <w:r w:rsidR="008308AC" w:rsidRPr="004C1796">
        <w:rPr>
          <w:rFonts w:ascii="Times New Roman" w:hAnsi="Times New Roman" w:cs="Times New Roman"/>
        </w:rPr>
        <w:t xml:space="preserve">see </w:t>
      </w:r>
      <w:r w:rsidR="003A3DAC" w:rsidRPr="004C1796">
        <w:rPr>
          <w:rFonts w:ascii="Times New Roman" w:hAnsi="Times New Roman" w:cs="Times New Roman"/>
        </w:rPr>
        <w:t xml:space="preserve">Fowler, Kinner &amp; Krenske, 2007). </w:t>
      </w:r>
      <w:r w:rsidR="00AA4143" w:rsidRPr="004C1796">
        <w:rPr>
          <w:rFonts w:ascii="Times New Roman" w:hAnsi="Times New Roman" w:cs="Times New Roman"/>
        </w:rPr>
        <w:t>Though empirical focus is based primarily on cannabis markets</w:t>
      </w:r>
      <w:r w:rsidR="00AB274B" w:rsidRPr="004C1796">
        <w:rPr>
          <w:rFonts w:ascii="Times New Roman" w:hAnsi="Times New Roman" w:cs="Times New Roman"/>
        </w:rPr>
        <w:t xml:space="preserve"> in Australia</w:t>
      </w:r>
      <w:r w:rsidR="00FC29FE" w:rsidRPr="004C1796">
        <w:rPr>
          <w:rFonts w:ascii="Times New Roman" w:hAnsi="Times New Roman" w:cs="Times New Roman"/>
        </w:rPr>
        <w:t xml:space="preserve"> (see Lenton et al., 2015; Grigg</w:t>
      </w:r>
      <w:r w:rsidR="00B24E6D" w:rsidRPr="004C1796">
        <w:rPr>
          <w:rFonts w:ascii="Times New Roman" w:hAnsi="Times New Roman" w:cs="Times New Roman"/>
        </w:rPr>
        <w:t xml:space="preserve"> et al., 2015</w:t>
      </w:r>
      <w:r w:rsidR="00FC29FE" w:rsidRPr="004C1796">
        <w:rPr>
          <w:rFonts w:ascii="Times New Roman" w:hAnsi="Times New Roman" w:cs="Times New Roman"/>
        </w:rPr>
        <w:t>)</w:t>
      </w:r>
      <w:r w:rsidR="00AA4143" w:rsidRPr="004C1796">
        <w:rPr>
          <w:rFonts w:ascii="Times New Roman" w:hAnsi="Times New Roman" w:cs="Times New Roman"/>
        </w:rPr>
        <w:t>, peripheral studies in this space have</w:t>
      </w:r>
      <w:r w:rsidR="008308AC" w:rsidRPr="004C1796">
        <w:rPr>
          <w:rFonts w:ascii="Times New Roman" w:hAnsi="Times New Roman" w:cs="Times New Roman"/>
        </w:rPr>
        <w:t xml:space="preserve"> also </w:t>
      </w:r>
      <w:r w:rsidR="00AA4143" w:rsidRPr="004C1796">
        <w:rPr>
          <w:rFonts w:ascii="Times New Roman" w:hAnsi="Times New Roman" w:cs="Times New Roman"/>
        </w:rPr>
        <w:t xml:space="preserve"> identified social supply </w:t>
      </w:r>
      <w:r w:rsidR="00415FE7" w:rsidRPr="004C1796">
        <w:rPr>
          <w:rFonts w:ascii="Times New Roman" w:hAnsi="Times New Roman" w:cs="Times New Roman"/>
          <w:color w:val="000000"/>
        </w:rPr>
        <w:t>as predominant in</w:t>
      </w:r>
      <w:r w:rsidR="00981F00" w:rsidRPr="004C1796">
        <w:rPr>
          <w:rFonts w:ascii="Times New Roman" w:hAnsi="Times New Roman" w:cs="Times New Roman"/>
          <w:color w:val="000000"/>
        </w:rPr>
        <w:t xml:space="preserve"> </w:t>
      </w:r>
      <w:r w:rsidR="006E6080" w:rsidRPr="004C1796">
        <w:rPr>
          <w:rFonts w:ascii="Times New Roman" w:hAnsi="Times New Roman" w:cs="Times New Roman"/>
          <w:color w:val="000000"/>
        </w:rPr>
        <w:t xml:space="preserve">the majority of </w:t>
      </w:r>
      <w:r w:rsidR="00F242BC" w:rsidRPr="004C1796">
        <w:rPr>
          <w:rFonts w:ascii="Times New Roman" w:hAnsi="Times New Roman" w:cs="Times New Roman"/>
          <w:color w:val="000000"/>
        </w:rPr>
        <w:t xml:space="preserve">cocaine, methamphetamine  as well as ecstasy-related </w:t>
      </w:r>
      <w:r w:rsidR="006E6080" w:rsidRPr="004C1796">
        <w:rPr>
          <w:rFonts w:ascii="Times New Roman" w:hAnsi="Times New Roman" w:cs="Times New Roman"/>
          <w:color w:val="000000"/>
        </w:rPr>
        <w:t>transactions</w:t>
      </w:r>
      <w:r w:rsidR="00AB274B" w:rsidRPr="004C1796">
        <w:rPr>
          <w:rFonts w:ascii="Times New Roman" w:hAnsi="Times New Roman" w:cs="Times New Roman"/>
          <w:color w:val="000000"/>
        </w:rPr>
        <w:t xml:space="preserve"> -</w:t>
      </w:r>
      <w:r w:rsidR="00981F00" w:rsidRPr="004C1796">
        <w:rPr>
          <w:rFonts w:ascii="Times New Roman" w:hAnsi="Times New Roman" w:cs="Times New Roman"/>
          <w:color w:val="000000"/>
        </w:rPr>
        <w:t xml:space="preserve"> a large proportion of which are carried out on a not-for-profit basis (</w:t>
      </w:r>
      <w:r w:rsidR="00FC29FE" w:rsidRPr="004C1796">
        <w:rPr>
          <w:rFonts w:ascii="Times New Roman" w:hAnsi="Times New Roman" w:cs="Times New Roman"/>
          <w:color w:val="000000"/>
        </w:rPr>
        <w:t xml:space="preserve">see </w:t>
      </w:r>
      <w:r w:rsidR="00981F00" w:rsidRPr="004C1796">
        <w:rPr>
          <w:rFonts w:ascii="Times New Roman" w:hAnsi="Times New Roman" w:cs="Times New Roman"/>
          <w:color w:val="000000"/>
        </w:rPr>
        <w:t>Nicholas, 2008).</w:t>
      </w:r>
      <w:r w:rsidR="003421B7" w:rsidRPr="004C1796">
        <w:rPr>
          <w:rFonts w:ascii="Times New Roman" w:hAnsi="Times New Roman" w:cs="Times New Roman"/>
          <w:color w:val="000000"/>
        </w:rPr>
        <w:t xml:space="preserve"> </w:t>
      </w:r>
      <w:r w:rsidR="008242CC" w:rsidRPr="004C1796">
        <w:rPr>
          <w:rFonts w:ascii="Times New Roman" w:hAnsi="Times New Roman" w:cs="Times New Roman"/>
          <w:color w:val="000000"/>
        </w:rPr>
        <w:t>Much like Australia, i</w:t>
      </w:r>
      <w:r w:rsidR="003421B7" w:rsidRPr="004C1796">
        <w:rPr>
          <w:rFonts w:ascii="Times New Roman" w:hAnsi="Times New Roman" w:cs="Times New Roman"/>
          <w:color w:val="000000"/>
        </w:rPr>
        <w:t>n</w:t>
      </w:r>
      <w:r w:rsidR="006E6080" w:rsidRPr="004C1796">
        <w:rPr>
          <w:rFonts w:ascii="Times New Roman" w:hAnsi="Times New Roman" w:cs="Times New Roman"/>
          <w:color w:val="000000"/>
        </w:rPr>
        <w:t xml:space="preserve"> Hong Kong</w:t>
      </w:r>
      <w:r w:rsidR="00695E31" w:rsidRPr="004C1796">
        <w:rPr>
          <w:rFonts w:ascii="Times New Roman" w:hAnsi="Times New Roman" w:cs="Times New Roman"/>
          <w:color w:val="000000"/>
        </w:rPr>
        <w:t xml:space="preserve"> -</w:t>
      </w:r>
      <w:r w:rsidR="003421B7" w:rsidRPr="004C1796">
        <w:rPr>
          <w:rFonts w:ascii="Times New Roman" w:hAnsi="Times New Roman" w:cs="Times New Roman"/>
          <w:color w:val="000000"/>
        </w:rPr>
        <w:t xml:space="preserve"> a context in which cannabis use is comparatively low</w:t>
      </w:r>
      <w:r w:rsidR="009A0537" w:rsidRPr="004C1796">
        <w:rPr>
          <w:rFonts w:ascii="Times New Roman" w:hAnsi="Times New Roman" w:cs="Times New Roman"/>
          <w:color w:val="000000"/>
        </w:rPr>
        <w:t xml:space="preserve"> but use of amphetamine type substances (ATS) </w:t>
      </w:r>
      <w:r w:rsidR="00AE6C28" w:rsidRPr="004C1796">
        <w:rPr>
          <w:rFonts w:ascii="Times New Roman" w:hAnsi="Times New Roman" w:cs="Times New Roman"/>
          <w:color w:val="000000"/>
        </w:rPr>
        <w:t xml:space="preserve">is </w:t>
      </w:r>
      <w:r w:rsidR="009A0537" w:rsidRPr="004C1796">
        <w:rPr>
          <w:rFonts w:ascii="Times New Roman" w:hAnsi="Times New Roman" w:cs="Times New Roman"/>
          <w:color w:val="000000"/>
        </w:rPr>
        <w:t>relatively high</w:t>
      </w:r>
      <w:r w:rsidR="00695E31" w:rsidRPr="004C1796">
        <w:rPr>
          <w:rFonts w:ascii="Times New Roman" w:hAnsi="Times New Roman" w:cs="Times New Roman"/>
          <w:color w:val="000000"/>
        </w:rPr>
        <w:t xml:space="preserve"> -</w:t>
      </w:r>
      <w:r w:rsidR="00F84E70" w:rsidRPr="004C1796">
        <w:rPr>
          <w:rFonts w:ascii="Times New Roman" w:hAnsi="Times New Roman" w:cs="Times New Roman"/>
          <w:color w:val="000000"/>
        </w:rPr>
        <w:t xml:space="preserve"> social supply behaviours have</w:t>
      </w:r>
      <w:r w:rsidR="00BD1472" w:rsidRPr="004C1796">
        <w:rPr>
          <w:rFonts w:ascii="Times New Roman" w:hAnsi="Times New Roman" w:cs="Times New Roman"/>
          <w:color w:val="000000"/>
        </w:rPr>
        <w:t xml:space="preserve"> also</w:t>
      </w:r>
      <w:r w:rsidR="00F84E70" w:rsidRPr="004C1796">
        <w:rPr>
          <w:rFonts w:ascii="Times New Roman" w:hAnsi="Times New Roman" w:cs="Times New Roman"/>
          <w:color w:val="000000"/>
        </w:rPr>
        <w:t xml:space="preserve"> been identified in ecstasy</w:t>
      </w:r>
      <w:r w:rsidR="00221F9E" w:rsidRPr="004C1796">
        <w:rPr>
          <w:rFonts w:ascii="Times New Roman" w:hAnsi="Times New Roman" w:cs="Times New Roman"/>
          <w:color w:val="000000"/>
        </w:rPr>
        <w:t xml:space="preserve"> and methamphetamine</w:t>
      </w:r>
      <w:r w:rsidR="00F84E70" w:rsidRPr="004C1796">
        <w:rPr>
          <w:rFonts w:ascii="Times New Roman" w:hAnsi="Times New Roman" w:cs="Times New Roman"/>
          <w:color w:val="000000"/>
        </w:rPr>
        <w:t xml:space="preserve"> markets. </w:t>
      </w:r>
      <w:r w:rsidR="009A0537" w:rsidRPr="004C1796">
        <w:rPr>
          <w:rFonts w:ascii="Times New Roman" w:hAnsi="Times New Roman" w:cs="Times New Roman"/>
          <w:color w:val="000000"/>
        </w:rPr>
        <w:t xml:space="preserve">In contrast to </w:t>
      </w:r>
      <w:r w:rsidR="00F84E70" w:rsidRPr="004C1796">
        <w:rPr>
          <w:rFonts w:ascii="Times New Roman" w:hAnsi="Times New Roman" w:cs="Times New Roman"/>
          <w:color w:val="000000"/>
        </w:rPr>
        <w:t xml:space="preserve">the Australian context however, Hong Kong </w:t>
      </w:r>
      <w:r w:rsidR="009C062D" w:rsidRPr="004C1796">
        <w:rPr>
          <w:rFonts w:ascii="Times New Roman" w:hAnsi="Times New Roman" w:cs="Times New Roman"/>
          <w:color w:val="000000"/>
        </w:rPr>
        <w:t>exhibits high levels of k</w:t>
      </w:r>
      <w:r w:rsidR="00221F9E" w:rsidRPr="004C1796">
        <w:rPr>
          <w:rFonts w:ascii="Times New Roman" w:hAnsi="Times New Roman" w:cs="Times New Roman"/>
          <w:color w:val="000000"/>
        </w:rPr>
        <w:t>etamine use, particularly among young people</w:t>
      </w:r>
      <w:r w:rsidR="00695E31" w:rsidRPr="004C1796">
        <w:rPr>
          <w:rFonts w:ascii="Times New Roman" w:hAnsi="Times New Roman" w:cs="Times New Roman"/>
          <w:color w:val="000000"/>
        </w:rPr>
        <w:t>,</w:t>
      </w:r>
      <w:r w:rsidR="00221F9E" w:rsidRPr="004C1796">
        <w:rPr>
          <w:rFonts w:ascii="Times New Roman" w:hAnsi="Times New Roman" w:cs="Times New Roman"/>
          <w:color w:val="000000"/>
        </w:rPr>
        <w:t xml:space="preserve"> and </w:t>
      </w:r>
      <w:r w:rsidR="00221F9E" w:rsidRPr="004C1796">
        <w:rPr>
          <w:rFonts w:ascii="Times New Roman" w:hAnsi="Times New Roman" w:cs="Times New Roman"/>
        </w:rPr>
        <w:t>So (2009) o</w:t>
      </w:r>
      <w:r w:rsidR="009A0537" w:rsidRPr="004C1796">
        <w:rPr>
          <w:rFonts w:ascii="Times New Roman" w:hAnsi="Times New Roman" w:cs="Times New Roman"/>
        </w:rPr>
        <w:t>bserves that the number of young people involved in drug supply</w:t>
      </w:r>
      <w:r w:rsidR="00221F9E" w:rsidRPr="004C1796">
        <w:rPr>
          <w:rFonts w:ascii="Times New Roman" w:hAnsi="Times New Roman" w:cs="Times New Roman"/>
        </w:rPr>
        <w:t xml:space="preserve"> has increased, the age at which they commence </w:t>
      </w:r>
      <w:r w:rsidR="009A0537" w:rsidRPr="004C1796">
        <w:rPr>
          <w:rFonts w:ascii="Times New Roman" w:hAnsi="Times New Roman" w:cs="Times New Roman"/>
        </w:rPr>
        <w:t>‘</w:t>
      </w:r>
      <w:r w:rsidR="00221F9E" w:rsidRPr="004C1796">
        <w:rPr>
          <w:rFonts w:ascii="Times New Roman" w:hAnsi="Times New Roman" w:cs="Times New Roman"/>
        </w:rPr>
        <w:t>dealing</w:t>
      </w:r>
      <w:r w:rsidR="009A0537" w:rsidRPr="004C1796">
        <w:rPr>
          <w:rFonts w:ascii="Times New Roman" w:hAnsi="Times New Roman" w:cs="Times New Roman"/>
        </w:rPr>
        <w:t>’</w:t>
      </w:r>
      <w:r w:rsidR="00221F9E" w:rsidRPr="004C1796">
        <w:rPr>
          <w:rFonts w:ascii="Times New Roman" w:hAnsi="Times New Roman" w:cs="Times New Roman"/>
        </w:rPr>
        <w:t xml:space="preserve"> is younger, and </w:t>
      </w:r>
      <w:r w:rsidR="00981C13" w:rsidRPr="004C1796">
        <w:rPr>
          <w:rFonts w:ascii="Times New Roman" w:hAnsi="Times New Roman" w:cs="Times New Roman"/>
        </w:rPr>
        <w:t xml:space="preserve">that </w:t>
      </w:r>
      <w:r w:rsidR="00221F9E" w:rsidRPr="004C1796">
        <w:rPr>
          <w:rFonts w:ascii="Times New Roman" w:hAnsi="Times New Roman" w:cs="Times New Roman"/>
        </w:rPr>
        <w:t xml:space="preserve">many are </w:t>
      </w:r>
      <w:r w:rsidR="009C062D" w:rsidRPr="004C1796">
        <w:rPr>
          <w:rFonts w:ascii="Times New Roman" w:hAnsi="Times New Roman" w:cs="Times New Roman"/>
        </w:rPr>
        <w:t xml:space="preserve">now </w:t>
      </w:r>
      <w:r w:rsidR="00221F9E" w:rsidRPr="004C1796">
        <w:rPr>
          <w:rFonts w:ascii="Times New Roman" w:hAnsi="Times New Roman" w:cs="Times New Roman"/>
        </w:rPr>
        <w:t>selling to friends as a way to cover the costs of their own supply.</w:t>
      </w:r>
      <w:r w:rsidR="00415FE7" w:rsidRPr="004C1796">
        <w:rPr>
          <w:rFonts w:ascii="Times New Roman" w:hAnsi="Times New Roman" w:cs="Times New Roman"/>
        </w:rPr>
        <w:t xml:space="preserve"> Studies undertaken by Joe Laidler (2014; </w:t>
      </w:r>
      <w:r w:rsidR="0087216A" w:rsidRPr="004C1796">
        <w:rPr>
          <w:rFonts w:ascii="Times New Roman" w:hAnsi="Times New Roman" w:cs="Times New Roman"/>
        </w:rPr>
        <w:t>Joe Laidler and Hunt, 2008</w:t>
      </w:r>
      <w:r w:rsidR="00415FE7" w:rsidRPr="004C1796">
        <w:rPr>
          <w:rFonts w:ascii="Times New Roman" w:hAnsi="Times New Roman" w:cs="Times New Roman"/>
        </w:rPr>
        <w:t>) also suggest</w:t>
      </w:r>
      <w:r w:rsidR="00221F9E" w:rsidRPr="004C1796">
        <w:rPr>
          <w:rFonts w:ascii="Times New Roman" w:hAnsi="Times New Roman" w:cs="Times New Roman"/>
        </w:rPr>
        <w:t xml:space="preserve"> that although ecstasy has been typically assoc</w:t>
      </w:r>
      <w:r w:rsidR="008E3EA2" w:rsidRPr="004C1796">
        <w:rPr>
          <w:rFonts w:ascii="Times New Roman" w:hAnsi="Times New Roman" w:cs="Times New Roman"/>
        </w:rPr>
        <w:t xml:space="preserve">iated with dance party settings, </w:t>
      </w:r>
      <w:r w:rsidR="00221F9E" w:rsidRPr="004C1796">
        <w:rPr>
          <w:rFonts w:ascii="Times New Roman" w:hAnsi="Times New Roman" w:cs="Times New Roman"/>
        </w:rPr>
        <w:t xml:space="preserve">ketamine and other psychoactive drugs are used in a range of public and private settings. Given this diversification in </w:t>
      </w:r>
      <w:r w:rsidR="009A0537" w:rsidRPr="004C1796">
        <w:rPr>
          <w:rFonts w:ascii="Times New Roman" w:hAnsi="Times New Roman" w:cs="Times New Roman"/>
        </w:rPr>
        <w:t>backdrops</w:t>
      </w:r>
      <w:r w:rsidR="00221F9E" w:rsidRPr="004C1796">
        <w:rPr>
          <w:rFonts w:ascii="Times New Roman" w:hAnsi="Times New Roman" w:cs="Times New Roman"/>
        </w:rPr>
        <w:t xml:space="preserve"> for consumption, the range of methods of obtaining</w:t>
      </w:r>
      <w:r w:rsidR="009A0537" w:rsidRPr="004C1796">
        <w:rPr>
          <w:rFonts w:ascii="Times New Roman" w:hAnsi="Times New Roman" w:cs="Times New Roman"/>
        </w:rPr>
        <w:t xml:space="preserve"> drugs</w:t>
      </w:r>
      <w:r w:rsidR="00221F9E" w:rsidRPr="004C1796">
        <w:rPr>
          <w:rFonts w:ascii="Times New Roman" w:hAnsi="Times New Roman" w:cs="Times New Roman"/>
        </w:rPr>
        <w:t xml:space="preserve"> have also changed, but friendship networks and relati</w:t>
      </w:r>
      <w:r w:rsidR="002F5E1F" w:rsidRPr="004C1796">
        <w:rPr>
          <w:rFonts w:ascii="Times New Roman" w:hAnsi="Times New Roman" w:cs="Times New Roman"/>
        </w:rPr>
        <w:t>ons in consuming and obtaining</w:t>
      </w:r>
      <w:r w:rsidR="008E3EA2" w:rsidRPr="004C1796">
        <w:rPr>
          <w:rFonts w:ascii="Times New Roman" w:hAnsi="Times New Roman" w:cs="Times New Roman"/>
        </w:rPr>
        <w:t xml:space="preserve"> these substances remain s</w:t>
      </w:r>
      <w:r w:rsidR="00221F9E" w:rsidRPr="004C1796">
        <w:rPr>
          <w:rFonts w:ascii="Times New Roman" w:hAnsi="Times New Roman" w:cs="Times New Roman"/>
        </w:rPr>
        <w:t>alient for recreational users.</w:t>
      </w:r>
      <w:r w:rsidR="00E34796" w:rsidRPr="004C1796">
        <w:rPr>
          <w:rFonts w:ascii="Times New Roman" w:hAnsi="Times New Roman" w:cs="Times New Roman"/>
        </w:rPr>
        <w:t xml:space="preserve"> </w:t>
      </w:r>
      <w:r w:rsidR="00221F9E" w:rsidRPr="004C1796">
        <w:rPr>
          <w:rFonts w:ascii="Times New Roman" w:hAnsi="Times New Roman" w:cs="Times New Roman"/>
        </w:rPr>
        <w:t xml:space="preserve"> </w:t>
      </w:r>
    </w:p>
    <w:p w14:paraId="7DE749B1" w14:textId="77777777" w:rsidR="009139BA" w:rsidRPr="004C1796" w:rsidRDefault="009139BA" w:rsidP="00E7752F">
      <w:pPr>
        <w:spacing w:line="360" w:lineRule="auto"/>
        <w:jc w:val="both"/>
        <w:outlineLvl w:val="0"/>
        <w:rPr>
          <w:rFonts w:ascii="Times New Roman" w:hAnsi="Times New Roman" w:cs="Times New Roman"/>
          <w:i/>
        </w:rPr>
      </w:pPr>
    </w:p>
    <w:p w14:paraId="2D03013D" w14:textId="77777777" w:rsidR="00E72C85" w:rsidRPr="004C1796" w:rsidRDefault="001816FF" w:rsidP="00E7752F">
      <w:pPr>
        <w:spacing w:line="360" w:lineRule="auto"/>
        <w:jc w:val="both"/>
        <w:outlineLvl w:val="0"/>
        <w:rPr>
          <w:rFonts w:ascii="Times New Roman" w:hAnsi="Times New Roman" w:cs="Times New Roman"/>
          <w:i/>
        </w:rPr>
      </w:pPr>
      <w:r w:rsidRPr="004C1796">
        <w:rPr>
          <w:rFonts w:ascii="Times New Roman" w:hAnsi="Times New Roman" w:cs="Times New Roman"/>
          <w:i/>
        </w:rPr>
        <w:t>Emergent</w:t>
      </w:r>
      <w:r w:rsidR="00E72C85" w:rsidRPr="004C1796">
        <w:rPr>
          <w:rFonts w:ascii="Times New Roman" w:hAnsi="Times New Roman" w:cs="Times New Roman"/>
          <w:i/>
        </w:rPr>
        <w:t xml:space="preserve"> social supply </w:t>
      </w:r>
      <w:r w:rsidR="006E21BB" w:rsidRPr="004C1796">
        <w:rPr>
          <w:rFonts w:ascii="Times New Roman" w:hAnsi="Times New Roman" w:cs="Times New Roman"/>
          <w:i/>
        </w:rPr>
        <w:t xml:space="preserve">themes and </w:t>
      </w:r>
      <w:r w:rsidR="00E72C85" w:rsidRPr="004C1796">
        <w:rPr>
          <w:rFonts w:ascii="Times New Roman" w:hAnsi="Times New Roman" w:cs="Times New Roman"/>
          <w:i/>
        </w:rPr>
        <w:t xml:space="preserve">research contexts </w:t>
      </w:r>
    </w:p>
    <w:p w14:paraId="67535767" w14:textId="77777777" w:rsidR="00E72C85" w:rsidRPr="004C1796" w:rsidRDefault="00E72C85" w:rsidP="009873A0">
      <w:pPr>
        <w:spacing w:line="360" w:lineRule="auto"/>
        <w:jc w:val="both"/>
        <w:rPr>
          <w:rFonts w:ascii="Times New Roman" w:hAnsi="Times New Roman" w:cs="Times New Roman"/>
        </w:rPr>
      </w:pPr>
    </w:p>
    <w:p w14:paraId="034CE6E2" w14:textId="77777777" w:rsidR="00354FF1" w:rsidRPr="004C1796" w:rsidRDefault="002F5E1F" w:rsidP="009436F6">
      <w:pPr>
        <w:spacing w:line="360" w:lineRule="auto"/>
        <w:jc w:val="both"/>
        <w:rPr>
          <w:rFonts w:ascii="Times New Roman" w:hAnsi="Times New Roman" w:cs="Times New Roman"/>
        </w:rPr>
      </w:pPr>
      <w:r w:rsidRPr="004C1796">
        <w:rPr>
          <w:rFonts w:ascii="Times New Roman" w:hAnsi="Times New Roman" w:cs="Times New Roman"/>
        </w:rPr>
        <w:t xml:space="preserve">In the US, research focussed on social supply is comparatively less developed than in Europe. </w:t>
      </w:r>
      <w:r w:rsidR="00F05413" w:rsidRPr="004C1796">
        <w:rPr>
          <w:rFonts w:ascii="Times New Roman" w:hAnsi="Times New Roman" w:cs="Times New Roman"/>
        </w:rPr>
        <w:t xml:space="preserve">A number of in-depth ethnographic studies have offered rich insight into the lives of ‘dorm room dealers’ or college students that </w:t>
      </w:r>
      <w:r w:rsidR="00E175FF" w:rsidRPr="004C1796">
        <w:rPr>
          <w:rFonts w:ascii="Times New Roman" w:hAnsi="Times New Roman" w:cs="Times New Roman"/>
        </w:rPr>
        <w:t>engage in ‘social dealing’</w:t>
      </w:r>
      <w:r w:rsidR="00F05413" w:rsidRPr="004C1796">
        <w:rPr>
          <w:rFonts w:ascii="Times New Roman" w:hAnsi="Times New Roman" w:cs="Times New Roman"/>
        </w:rPr>
        <w:t xml:space="preserve"> to friends or acquaintances</w:t>
      </w:r>
      <w:r w:rsidR="00E175FF" w:rsidRPr="004C1796">
        <w:rPr>
          <w:rFonts w:ascii="Times New Roman" w:hAnsi="Times New Roman" w:cs="Times New Roman"/>
        </w:rPr>
        <w:t xml:space="preserve"> in the aim of funding their own drug use or as an act of sociability (see Blum, 1972; Mohamed </w:t>
      </w:r>
      <w:r w:rsidR="00637249" w:rsidRPr="004C1796">
        <w:rPr>
          <w:rFonts w:ascii="Times New Roman" w:hAnsi="Times New Roman" w:cs="Times New Roman"/>
        </w:rPr>
        <w:t xml:space="preserve">&amp; </w:t>
      </w:r>
      <w:r w:rsidR="00E175FF" w:rsidRPr="004C1796">
        <w:rPr>
          <w:rFonts w:ascii="Times New Roman" w:hAnsi="Times New Roman" w:cs="Times New Roman"/>
        </w:rPr>
        <w:t>Fritzvold, 2010; Jacques</w:t>
      </w:r>
      <w:r w:rsidR="00637249" w:rsidRPr="004C1796">
        <w:rPr>
          <w:rFonts w:ascii="Times New Roman" w:hAnsi="Times New Roman" w:cs="Times New Roman"/>
        </w:rPr>
        <w:t xml:space="preserve"> &amp;</w:t>
      </w:r>
      <w:r w:rsidR="00E175FF" w:rsidRPr="004C1796">
        <w:rPr>
          <w:rFonts w:ascii="Times New Roman" w:hAnsi="Times New Roman" w:cs="Times New Roman"/>
        </w:rPr>
        <w:t xml:space="preserve"> Wright, 2015)</w:t>
      </w:r>
      <w:r w:rsidR="005049FC" w:rsidRPr="004C1796">
        <w:rPr>
          <w:rFonts w:ascii="Times New Roman" w:hAnsi="Times New Roman" w:cs="Times New Roman"/>
        </w:rPr>
        <w:t>,</w:t>
      </w:r>
      <w:r w:rsidR="006E21BB" w:rsidRPr="004C1796">
        <w:rPr>
          <w:rFonts w:ascii="Times New Roman" w:hAnsi="Times New Roman" w:cs="Times New Roman"/>
        </w:rPr>
        <w:t xml:space="preserve"> but these studies have tended to avoid conceptual discussion</w:t>
      </w:r>
      <w:r w:rsidR="00E175FF" w:rsidRPr="004C1796">
        <w:rPr>
          <w:rFonts w:ascii="Times New Roman" w:hAnsi="Times New Roman" w:cs="Times New Roman"/>
        </w:rPr>
        <w:t>.</w:t>
      </w:r>
      <w:r w:rsidR="009139BA" w:rsidRPr="004C1796">
        <w:rPr>
          <w:rFonts w:ascii="Times New Roman" w:hAnsi="Times New Roman" w:cs="Times New Roman"/>
        </w:rPr>
        <w:t xml:space="preserve"> </w:t>
      </w:r>
      <w:r w:rsidR="006E21BB" w:rsidRPr="004C1796">
        <w:rPr>
          <w:rFonts w:ascii="Times New Roman" w:hAnsi="Times New Roman" w:cs="Times New Roman"/>
        </w:rPr>
        <w:t xml:space="preserve">Elsewhere in the US, </w:t>
      </w:r>
      <w:r w:rsidR="009A0537" w:rsidRPr="004C1796">
        <w:rPr>
          <w:rFonts w:ascii="Times New Roman" w:hAnsi="Times New Roman" w:cs="Times New Roman"/>
        </w:rPr>
        <w:t>a</w:t>
      </w:r>
      <w:r w:rsidR="005B3F24" w:rsidRPr="004C1796">
        <w:rPr>
          <w:rFonts w:ascii="Times New Roman" w:hAnsi="Times New Roman" w:cs="Times New Roman"/>
        </w:rPr>
        <w:t xml:space="preserve"> trail of publications from Murphy and colleagues </w:t>
      </w:r>
      <w:r w:rsidR="009A0537" w:rsidRPr="004C1796">
        <w:rPr>
          <w:rFonts w:ascii="Times New Roman" w:hAnsi="Times New Roman" w:cs="Times New Roman"/>
        </w:rPr>
        <w:t>which</w:t>
      </w:r>
      <w:r w:rsidR="00842714" w:rsidRPr="004C1796">
        <w:rPr>
          <w:rFonts w:ascii="Times New Roman" w:hAnsi="Times New Roman" w:cs="Times New Roman"/>
        </w:rPr>
        <w:t xml:space="preserve"> investigate drug supply in the San Francisco Bay area (see Murphy et al</w:t>
      </w:r>
      <w:r w:rsidR="009139BA" w:rsidRPr="004C1796">
        <w:rPr>
          <w:rFonts w:ascii="Times New Roman" w:hAnsi="Times New Roman" w:cs="Times New Roman"/>
        </w:rPr>
        <w:t>.,</w:t>
      </w:r>
      <w:r w:rsidR="00842714" w:rsidRPr="004C1796">
        <w:rPr>
          <w:rFonts w:ascii="Times New Roman" w:hAnsi="Times New Roman" w:cs="Times New Roman"/>
        </w:rPr>
        <w:t xml:space="preserve"> 1990</w:t>
      </w:r>
      <w:r w:rsidR="005B3F24" w:rsidRPr="004C1796">
        <w:rPr>
          <w:rFonts w:ascii="Times New Roman" w:hAnsi="Times New Roman" w:cs="Times New Roman"/>
        </w:rPr>
        <w:t xml:space="preserve">; </w:t>
      </w:r>
      <w:r w:rsidR="00BD1472" w:rsidRPr="004C1796">
        <w:rPr>
          <w:rFonts w:ascii="Times New Roman" w:hAnsi="Times New Roman" w:cs="Times New Roman"/>
        </w:rPr>
        <w:t>2004</w:t>
      </w:r>
      <w:r w:rsidR="00842714" w:rsidRPr="004C1796">
        <w:rPr>
          <w:rFonts w:ascii="Times New Roman" w:hAnsi="Times New Roman" w:cs="Times New Roman"/>
        </w:rPr>
        <w:t xml:space="preserve">; </w:t>
      </w:r>
      <w:r w:rsidR="00C22442" w:rsidRPr="004C1796">
        <w:rPr>
          <w:rFonts w:ascii="Times New Roman" w:hAnsi="Times New Roman" w:cs="Times New Roman"/>
        </w:rPr>
        <w:t>Jacinto et al., 2008</w:t>
      </w:r>
      <w:r w:rsidR="005B3F24" w:rsidRPr="004C1796">
        <w:rPr>
          <w:rFonts w:ascii="Times New Roman" w:hAnsi="Times New Roman" w:cs="Times New Roman"/>
        </w:rPr>
        <w:t xml:space="preserve">) have </w:t>
      </w:r>
      <w:r w:rsidR="006E21BB" w:rsidRPr="004C1796">
        <w:rPr>
          <w:rFonts w:ascii="Times New Roman" w:hAnsi="Times New Roman" w:cs="Times New Roman"/>
        </w:rPr>
        <w:t xml:space="preserve">also </w:t>
      </w:r>
      <w:r w:rsidR="005B3F24" w:rsidRPr="004C1796">
        <w:rPr>
          <w:rFonts w:ascii="Times New Roman" w:hAnsi="Times New Roman" w:cs="Times New Roman"/>
        </w:rPr>
        <w:t xml:space="preserve">shed light on social supply practices, </w:t>
      </w:r>
      <w:r w:rsidR="006E21BB" w:rsidRPr="004C1796">
        <w:rPr>
          <w:rFonts w:ascii="Times New Roman" w:hAnsi="Times New Roman" w:cs="Times New Roman"/>
        </w:rPr>
        <w:t xml:space="preserve">but </w:t>
      </w:r>
      <w:r w:rsidR="009A0537" w:rsidRPr="004C1796">
        <w:rPr>
          <w:rFonts w:ascii="Times New Roman" w:hAnsi="Times New Roman" w:cs="Times New Roman"/>
        </w:rPr>
        <w:t xml:space="preserve">until very recently, </w:t>
      </w:r>
      <w:r w:rsidR="005B3F24" w:rsidRPr="004C1796">
        <w:rPr>
          <w:rFonts w:ascii="Times New Roman" w:hAnsi="Times New Roman" w:cs="Times New Roman"/>
        </w:rPr>
        <w:t xml:space="preserve">without labelling them as such. </w:t>
      </w:r>
      <w:r w:rsidR="00842714" w:rsidRPr="004C1796">
        <w:rPr>
          <w:rFonts w:ascii="Times New Roman" w:hAnsi="Times New Roman" w:cs="Times New Roman"/>
        </w:rPr>
        <w:t>In ‘</w:t>
      </w:r>
      <w:r w:rsidR="001C35BC" w:rsidRPr="004C1796">
        <w:rPr>
          <w:rFonts w:ascii="Times New Roman" w:hAnsi="Times New Roman" w:cs="Times New Roman"/>
          <w:i/>
        </w:rPr>
        <w:t>drifting into dealing: b</w:t>
      </w:r>
      <w:r w:rsidR="00842714" w:rsidRPr="004C1796">
        <w:rPr>
          <w:rFonts w:ascii="Times New Roman" w:hAnsi="Times New Roman" w:cs="Times New Roman"/>
          <w:i/>
        </w:rPr>
        <w:t>ecoming a cocaine dealer’</w:t>
      </w:r>
      <w:r w:rsidR="00842714" w:rsidRPr="004C1796">
        <w:rPr>
          <w:rFonts w:ascii="Times New Roman" w:hAnsi="Times New Roman" w:cs="Times New Roman"/>
        </w:rPr>
        <w:t xml:space="preserve"> the authors explored the ways in which a cocaine user could drift from drug use to being known as a source of supply, and almost 13 years later similar narratives emerged in understanding </w:t>
      </w:r>
      <w:r w:rsidR="00DD6A13" w:rsidRPr="004C1796">
        <w:rPr>
          <w:rFonts w:ascii="Times New Roman" w:hAnsi="Times New Roman" w:cs="Times New Roman"/>
        </w:rPr>
        <w:t>initiation into ecstasy sales</w:t>
      </w:r>
      <w:r w:rsidR="00B673C5" w:rsidRPr="004C1796">
        <w:rPr>
          <w:rFonts w:ascii="Times New Roman" w:hAnsi="Times New Roman" w:cs="Times New Roman"/>
        </w:rPr>
        <w:t xml:space="preserve"> (see Murphy et al., 2004</w:t>
      </w:r>
      <w:r w:rsidR="008242CC" w:rsidRPr="004C1796">
        <w:rPr>
          <w:rFonts w:ascii="Times New Roman" w:hAnsi="Times New Roman" w:cs="Times New Roman"/>
        </w:rPr>
        <w:t>)</w:t>
      </w:r>
      <w:r w:rsidR="00DD6A13" w:rsidRPr="004C1796">
        <w:rPr>
          <w:rFonts w:ascii="Times New Roman" w:hAnsi="Times New Roman" w:cs="Times New Roman"/>
        </w:rPr>
        <w:t xml:space="preserve">. </w:t>
      </w:r>
      <w:r w:rsidR="00B673C5" w:rsidRPr="004C1796">
        <w:rPr>
          <w:rFonts w:ascii="Times New Roman" w:hAnsi="Times New Roman" w:cs="Times New Roman"/>
        </w:rPr>
        <w:t>In a</w:t>
      </w:r>
      <w:r w:rsidR="003C49B3" w:rsidRPr="004C1796">
        <w:rPr>
          <w:rFonts w:ascii="Times New Roman" w:hAnsi="Times New Roman" w:cs="Times New Roman"/>
        </w:rPr>
        <w:t xml:space="preserve"> </w:t>
      </w:r>
      <w:r w:rsidR="00BF5E23" w:rsidRPr="004C1796">
        <w:rPr>
          <w:rFonts w:ascii="Times New Roman" w:hAnsi="Times New Roman" w:cs="Times New Roman"/>
        </w:rPr>
        <w:t>recent study</w:t>
      </w:r>
      <w:r w:rsidR="003C49B3" w:rsidRPr="004C1796">
        <w:rPr>
          <w:rFonts w:ascii="Times New Roman" w:hAnsi="Times New Roman" w:cs="Times New Roman"/>
        </w:rPr>
        <w:t xml:space="preserve"> </w:t>
      </w:r>
      <w:r w:rsidR="008242CC" w:rsidRPr="004C1796">
        <w:rPr>
          <w:rFonts w:ascii="Times New Roman" w:hAnsi="Times New Roman" w:cs="Times New Roman"/>
        </w:rPr>
        <w:t>exploring</w:t>
      </w:r>
      <w:r w:rsidRPr="004C1796">
        <w:rPr>
          <w:rFonts w:ascii="Times New Roman" w:hAnsi="Times New Roman" w:cs="Times New Roman"/>
        </w:rPr>
        <w:t xml:space="preserve"> nonmedical prescription s</w:t>
      </w:r>
      <w:r w:rsidR="00B673C5" w:rsidRPr="004C1796">
        <w:rPr>
          <w:rFonts w:ascii="Times New Roman" w:hAnsi="Times New Roman" w:cs="Times New Roman"/>
        </w:rPr>
        <w:t xml:space="preserve">timulant use </w:t>
      </w:r>
      <w:r w:rsidRPr="004C1796">
        <w:rPr>
          <w:rFonts w:ascii="Times New Roman" w:hAnsi="Times New Roman" w:cs="Times New Roman"/>
        </w:rPr>
        <w:t>in the San Francisco Bay Area</w:t>
      </w:r>
      <w:r w:rsidR="00BF5E23" w:rsidRPr="004C1796">
        <w:rPr>
          <w:rFonts w:ascii="Times New Roman" w:hAnsi="Times New Roman" w:cs="Times New Roman"/>
        </w:rPr>
        <w:t xml:space="preserve"> (2017)</w:t>
      </w:r>
      <w:r w:rsidRPr="004C1796">
        <w:rPr>
          <w:rFonts w:ascii="Times New Roman" w:hAnsi="Times New Roman" w:cs="Times New Roman"/>
        </w:rPr>
        <w:t xml:space="preserve">, participants discussed the risks of diverting legitimately prescribed stimulants or obtaining others’ prescription stimulants within social supply networks. </w:t>
      </w:r>
      <w:r w:rsidR="003C49B3" w:rsidRPr="004C1796">
        <w:rPr>
          <w:rFonts w:ascii="Times New Roman" w:hAnsi="Times New Roman" w:cs="Times New Roman"/>
        </w:rPr>
        <w:t>This piece of research</w:t>
      </w:r>
      <w:r w:rsidR="006E21BB" w:rsidRPr="004C1796">
        <w:rPr>
          <w:rFonts w:ascii="Times New Roman" w:hAnsi="Times New Roman" w:cs="Times New Roman"/>
        </w:rPr>
        <w:t xml:space="preserve"> explicitly refers to distribution practices as </w:t>
      </w:r>
      <w:r w:rsidR="003B1D10" w:rsidRPr="004C1796">
        <w:rPr>
          <w:rFonts w:ascii="Times New Roman" w:hAnsi="Times New Roman" w:cs="Times New Roman"/>
        </w:rPr>
        <w:t>‘</w:t>
      </w:r>
      <w:r w:rsidR="006E21BB" w:rsidRPr="004C1796">
        <w:rPr>
          <w:rFonts w:ascii="Times New Roman" w:hAnsi="Times New Roman" w:cs="Times New Roman"/>
        </w:rPr>
        <w:t>social supply</w:t>
      </w:r>
      <w:r w:rsidR="003B1D10" w:rsidRPr="004C1796">
        <w:rPr>
          <w:rFonts w:ascii="Times New Roman" w:hAnsi="Times New Roman" w:cs="Times New Roman"/>
        </w:rPr>
        <w:t>’</w:t>
      </w:r>
      <w:r w:rsidR="006E21BB" w:rsidRPr="004C1796">
        <w:rPr>
          <w:rFonts w:ascii="Times New Roman" w:hAnsi="Times New Roman" w:cs="Times New Roman"/>
        </w:rPr>
        <w:t xml:space="preserve"> and</w:t>
      </w:r>
      <w:r w:rsidR="003C49B3" w:rsidRPr="004C1796">
        <w:rPr>
          <w:rFonts w:ascii="Times New Roman" w:hAnsi="Times New Roman" w:cs="Times New Roman"/>
        </w:rPr>
        <w:t xml:space="preserve"> is </w:t>
      </w:r>
      <w:r w:rsidR="006E21BB" w:rsidRPr="004C1796">
        <w:rPr>
          <w:rFonts w:ascii="Times New Roman" w:hAnsi="Times New Roman" w:cs="Times New Roman"/>
        </w:rPr>
        <w:t xml:space="preserve">also </w:t>
      </w:r>
      <w:r w:rsidR="003C49B3" w:rsidRPr="004C1796">
        <w:rPr>
          <w:rFonts w:ascii="Times New Roman" w:hAnsi="Times New Roman" w:cs="Times New Roman"/>
        </w:rPr>
        <w:t>representative of an emerging research base which has moved beyond</w:t>
      </w:r>
      <w:r w:rsidR="0083641F" w:rsidRPr="004C1796">
        <w:rPr>
          <w:rFonts w:ascii="Times New Roman" w:hAnsi="Times New Roman" w:cs="Times New Roman"/>
        </w:rPr>
        <w:t xml:space="preserve"> analysing the social</w:t>
      </w:r>
      <w:r w:rsidR="003C49B3" w:rsidRPr="004C1796">
        <w:rPr>
          <w:rFonts w:ascii="Times New Roman" w:hAnsi="Times New Roman" w:cs="Times New Roman"/>
        </w:rPr>
        <w:t xml:space="preserve"> supply of </w:t>
      </w:r>
      <w:r w:rsidR="003C49B3" w:rsidRPr="004C1796">
        <w:rPr>
          <w:rFonts w:ascii="Times New Roman" w:hAnsi="Times New Roman" w:cs="Times New Roman"/>
          <w:i/>
        </w:rPr>
        <w:t>recreational drugs</w:t>
      </w:r>
      <w:r w:rsidR="003C49B3" w:rsidRPr="004C1796">
        <w:rPr>
          <w:rFonts w:ascii="Times New Roman" w:hAnsi="Times New Roman" w:cs="Times New Roman"/>
        </w:rPr>
        <w:t xml:space="preserve">. In the </w:t>
      </w:r>
      <w:r w:rsidR="00747524" w:rsidRPr="004C1796">
        <w:rPr>
          <w:rFonts w:ascii="Times New Roman" w:hAnsi="Times New Roman" w:cs="Times New Roman"/>
        </w:rPr>
        <w:t>UK</w:t>
      </w:r>
      <w:r w:rsidR="00BC2AFA" w:rsidRPr="004C1796">
        <w:rPr>
          <w:rFonts w:ascii="Times New Roman" w:hAnsi="Times New Roman" w:cs="Times New Roman"/>
        </w:rPr>
        <w:t xml:space="preserve"> for example</w:t>
      </w:r>
      <w:r w:rsidR="00747524" w:rsidRPr="004C1796">
        <w:rPr>
          <w:rFonts w:ascii="Times New Roman" w:hAnsi="Times New Roman" w:cs="Times New Roman"/>
        </w:rPr>
        <w:t xml:space="preserve">, Coomber </w:t>
      </w:r>
      <w:r w:rsidR="009139BA" w:rsidRPr="004C1796">
        <w:rPr>
          <w:rFonts w:ascii="Times New Roman" w:hAnsi="Times New Roman" w:cs="Times New Roman"/>
        </w:rPr>
        <w:t>et al.</w:t>
      </w:r>
      <w:r w:rsidR="00146CCF" w:rsidRPr="004C1796">
        <w:rPr>
          <w:rFonts w:ascii="Times New Roman" w:hAnsi="Times New Roman" w:cs="Times New Roman"/>
        </w:rPr>
        <w:t xml:space="preserve"> (</w:t>
      </w:r>
      <w:r w:rsidR="009436F6" w:rsidRPr="004C1796">
        <w:rPr>
          <w:rFonts w:ascii="Times New Roman" w:hAnsi="Times New Roman" w:cs="Times New Roman"/>
        </w:rPr>
        <w:t xml:space="preserve">2015) identified the importance of social supply networks in accessing </w:t>
      </w:r>
      <w:r w:rsidR="0083641F" w:rsidRPr="004C1796">
        <w:rPr>
          <w:rFonts w:ascii="Times New Roman" w:hAnsi="Times New Roman" w:cs="Times New Roman"/>
        </w:rPr>
        <w:t xml:space="preserve">steroids and other </w:t>
      </w:r>
      <w:r w:rsidR="009436F6" w:rsidRPr="004C1796">
        <w:rPr>
          <w:rFonts w:ascii="Times New Roman" w:hAnsi="Times New Roman" w:cs="Times New Roman"/>
        </w:rPr>
        <w:t>performance and image enhancing drugs</w:t>
      </w:r>
      <w:r w:rsidR="00170AB2" w:rsidRPr="004C1796">
        <w:rPr>
          <w:rFonts w:ascii="Times New Roman" w:hAnsi="Times New Roman" w:cs="Times New Roman"/>
        </w:rPr>
        <w:t xml:space="preserve"> (PIEDS)</w:t>
      </w:r>
      <w:r w:rsidR="00BC2AFA" w:rsidRPr="004C1796">
        <w:rPr>
          <w:rFonts w:ascii="Times New Roman" w:hAnsi="Times New Roman" w:cs="Times New Roman"/>
        </w:rPr>
        <w:t xml:space="preserve"> in an English city</w:t>
      </w:r>
      <w:r w:rsidR="009436F6" w:rsidRPr="004C1796">
        <w:rPr>
          <w:rFonts w:ascii="Times New Roman" w:hAnsi="Times New Roman" w:cs="Times New Roman"/>
        </w:rPr>
        <w:t xml:space="preserve">. </w:t>
      </w:r>
      <w:r w:rsidR="00BC2AFA" w:rsidRPr="004C1796">
        <w:rPr>
          <w:rFonts w:ascii="Times New Roman" w:hAnsi="Times New Roman" w:cs="Times New Roman"/>
        </w:rPr>
        <w:t xml:space="preserve">These findings have been supported by scholars in the Netherlands </w:t>
      </w:r>
      <w:r w:rsidR="00170AB2" w:rsidRPr="004C1796">
        <w:rPr>
          <w:rFonts w:ascii="Times New Roman" w:hAnsi="Times New Roman" w:cs="Times New Roman"/>
        </w:rPr>
        <w:t xml:space="preserve">who observe </w:t>
      </w:r>
      <w:r w:rsidR="00170AB2" w:rsidRPr="004C1796">
        <w:rPr>
          <w:rFonts w:ascii="Times New Roman" w:eastAsia="Cambria" w:hAnsi="Times New Roman" w:cs="Times New Roman"/>
        </w:rPr>
        <w:t xml:space="preserve">the prevalence of social supply networks </w:t>
      </w:r>
      <w:r w:rsidR="00354FF1" w:rsidRPr="004C1796">
        <w:rPr>
          <w:rFonts w:ascii="Times New Roman" w:eastAsia="Cambria" w:hAnsi="Times New Roman" w:cs="Times New Roman"/>
        </w:rPr>
        <w:t>within bodybuilding subcultures</w:t>
      </w:r>
      <w:r w:rsidR="00170AB2" w:rsidRPr="004C1796">
        <w:rPr>
          <w:rFonts w:ascii="Times New Roman" w:eastAsia="Cambria" w:hAnsi="Times New Roman" w:cs="Times New Roman"/>
        </w:rPr>
        <w:t xml:space="preserve">, illustrating </w:t>
      </w:r>
      <w:r w:rsidR="00354FF1" w:rsidRPr="004C1796">
        <w:rPr>
          <w:rFonts w:ascii="Times New Roman" w:eastAsia="Cambria" w:hAnsi="Times New Roman" w:cs="Times New Roman"/>
        </w:rPr>
        <w:t xml:space="preserve">that for many PIED </w:t>
      </w:r>
      <w:r w:rsidR="00721763" w:rsidRPr="004C1796">
        <w:rPr>
          <w:rFonts w:ascii="Times New Roman" w:eastAsia="Cambria" w:hAnsi="Times New Roman" w:cs="Times New Roman"/>
        </w:rPr>
        <w:t xml:space="preserve">suppliers, </w:t>
      </w:r>
      <w:r w:rsidR="005049FC" w:rsidRPr="004C1796">
        <w:rPr>
          <w:rFonts w:ascii="Times New Roman" w:hAnsi="Times New Roman" w:cs="Times New Roman"/>
        </w:rPr>
        <w:t>profit is not the primary motivation for involvement</w:t>
      </w:r>
      <w:r w:rsidR="00354FF1" w:rsidRPr="004C1796">
        <w:rPr>
          <w:rFonts w:ascii="Times New Roman" w:hAnsi="Times New Roman" w:cs="Times New Roman"/>
        </w:rPr>
        <w:t xml:space="preserve"> in </w:t>
      </w:r>
      <w:r w:rsidR="009139BA" w:rsidRPr="004C1796">
        <w:rPr>
          <w:rFonts w:ascii="Times New Roman" w:hAnsi="Times New Roman" w:cs="Times New Roman"/>
        </w:rPr>
        <w:t>this trade</w:t>
      </w:r>
      <w:r w:rsidR="00637249" w:rsidRPr="004C1796">
        <w:rPr>
          <w:rFonts w:ascii="Times New Roman" w:hAnsi="Times New Roman" w:cs="Times New Roman"/>
        </w:rPr>
        <w:t xml:space="preserve"> (van de Ven &amp;</w:t>
      </w:r>
      <w:r w:rsidR="00D84151" w:rsidRPr="004C1796">
        <w:rPr>
          <w:rFonts w:ascii="Times New Roman" w:hAnsi="Times New Roman" w:cs="Times New Roman"/>
        </w:rPr>
        <w:t xml:space="preserve"> Mulrooney, 2017</w:t>
      </w:r>
      <w:r w:rsidR="00C22442" w:rsidRPr="004C1796">
        <w:rPr>
          <w:rFonts w:ascii="Times New Roman" w:hAnsi="Times New Roman" w:cs="Times New Roman"/>
        </w:rPr>
        <w:t>).</w:t>
      </w:r>
      <w:r w:rsidR="00170AB2" w:rsidRPr="004C1796">
        <w:rPr>
          <w:rFonts w:ascii="Times New Roman" w:hAnsi="Times New Roman" w:cs="Times New Roman"/>
        </w:rPr>
        <w:t xml:space="preserve"> </w:t>
      </w:r>
    </w:p>
    <w:p w14:paraId="3842251F" w14:textId="77777777" w:rsidR="00755DB4" w:rsidRPr="004C1796" w:rsidRDefault="00755DB4">
      <w:pPr>
        <w:rPr>
          <w:rFonts w:ascii="Times New Roman" w:hAnsi="Times New Roman" w:cs="Times New Roman"/>
          <w:b/>
        </w:rPr>
      </w:pPr>
    </w:p>
    <w:p w14:paraId="5C96F8DE" w14:textId="77777777" w:rsidR="006D3414" w:rsidRPr="004C1796" w:rsidRDefault="006D3414">
      <w:pPr>
        <w:rPr>
          <w:rFonts w:ascii="Times New Roman" w:hAnsi="Times New Roman" w:cs="Times New Roman"/>
          <w:b/>
        </w:rPr>
      </w:pPr>
    </w:p>
    <w:p w14:paraId="26D64EFE" w14:textId="77777777" w:rsidR="00755DB4" w:rsidRPr="004C1796" w:rsidRDefault="00755DB4" w:rsidP="00E7752F">
      <w:pPr>
        <w:outlineLvl w:val="0"/>
        <w:rPr>
          <w:rFonts w:ascii="Times New Roman" w:hAnsi="Times New Roman" w:cs="Times New Roman"/>
          <w:b/>
        </w:rPr>
      </w:pPr>
      <w:r w:rsidRPr="004C1796">
        <w:rPr>
          <w:rFonts w:ascii="Times New Roman" w:hAnsi="Times New Roman" w:cs="Times New Roman"/>
          <w:b/>
        </w:rPr>
        <w:t xml:space="preserve">Differentiation and proportionality in </w:t>
      </w:r>
      <w:r w:rsidR="009139BA" w:rsidRPr="004C1796">
        <w:rPr>
          <w:rFonts w:ascii="Times New Roman" w:hAnsi="Times New Roman" w:cs="Times New Roman"/>
          <w:b/>
        </w:rPr>
        <w:t>s</w:t>
      </w:r>
      <w:r w:rsidR="004F5419" w:rsidRPr="004C1796">
        <w:rPr>
          <w:rFonts w:ascii="Times New Roman" w:hAnsi="Times New Roman" w:cs="Times New Roman"/>
          <w:b/>
        </w:rPr>
        <w:t>upply</w:t>
      </w:r>
      <w:r w:rsidRPr="004C1796">
        <w:rPr>
          <w:rFonts w:ascii="Times New Roman" w:hAnsi="Times New Roman" w:cs="Times New Roman"/>
          <w:b/>
        </w:rPr>
        <w:t xml:space="preserve"> </w:t>
      </w:r>
    </w:p>
    <w:p w14:paraId="06A120CC" w14:textId="77777777" w:rsidR="003E36CC" w:rsidRPr="004C1796" w:rsidRDefault="003E36CC">
      <w:pPr>
        <w:rPr>
          <w:rFonts w:ascii="Times New Roman" w:hAnsi="Times New Roman" w:cs="Times New Roman"/>
          <w:b/>
        </w:rPr>
      </w:pPr>
    </w:p>
    <w:p w14:paraId="6E73E043" w14:textId="77777777" w:rsidR="003E36CC" w:rsidRPr="004C1796" w:rsidRDefault="003E36CC" w:rsidP="00E7752F">
      <w:pPr>
        <w:outlineLvl w:val="0"/>
        <w:rPr>
          <w:rFonts w:ascii="Times New Roman" w:hAnsi="Times New Roman" w:cs="Times New Roman"/>
          <w:i/>
        </w:rPr>
      </w:pPr>
      <w:r w:rsidRPr="004C1796">
        <w:rPr>
          <w:rFonts w:ascii="Times New Roman" w:hAnsi="Times New Roman" w:cs="Times New Roman"/>
          <w:i/>
        </w:rPr>
        <w:t xml:space="preserve">Systems that acknowledge </w:t>
      </w:r>
      <w:r w:rsidR="00AE6C28" w:rsidRPr="004C1796">
        <w:rPr>
          <w:rFonts w:ascii="Times New Roman" w:hAnsi="Times New Roman" w:cs="Times New Roman"/>
          <w:i/>
        </w:rPr>
        <w:t xml:space="preserve">and take some steps to accommodate </w:t>
      </w:r>
      <w:r w:rsidR="007C14EE" w:rsidRPr="004C1796">
        <w:rPr>
          <w:rFonts w:ascii="Times New Roman" w:hAnsi="Times New Roman" w:cs="Times New Roman"/>
          <w:i/>
        </w:rPr>
        <w:t xml:space="preserve">supply </w:t>
      </w:r>
      <w:r w:rsidRPr="004C1796">
        <w:rPr>
          <w:rFonts w:ascii="Times New Roman" w:hAnsi="Times New Roman" w:cs="Times New Roman"/>
          <w:i/>
        </w:rPr>
        <w:t xml:space="preserve">differentiation </w:t>
      </w:r>
    </w:p>
    <w:p w14:paraId="6E6F6658" w14:textId="77777777" w:rsidR="00845EC3" w:rsidRPr="004C1796" w:rsidRDefault="00845EC3">
      <w:pPr>
        <w:rPr>
          <w:rFonts w:ascii="Times New Roman" w:hAnsi="Times New Roman" w:cs="Times New Roman"/>
          <w:i/>
        </w:rPr>
      </w:pPr>
    </w:p>
    <w:p w14:paraId="42B62F7C" w14:textId="77777777" w:rsidR="0024759D" w:rsidRPr="004C1796" w:rsidRDefault="006C5C73" w:rsidP="00144A42">
      <w:pPr>
        <w:spacing w:line="360" w:lineRule="auto"/>
        <w:jc w:val="both"/>
        <w:rPr>
          <w:rFonts w:ascii="Times New Roman" w:hAnsi="Times New Roman" w:cs="Times New Roman"/>
        </w:rPr>
      </w:pPr>
      <w:r w:rsidRPr="004C1796">
        <w:rPr>
          <w:rFonts w:ascii="Times New Roman" w:hAnsi="Times New Roman" w:cs="Times New Roman"/>
        </w:rPr>
        <w:t xml:space="preserve">The </w:t>
      </w:r>
      <w:r w:rsidR="00A94008" w:rsidRPr="004C1796">
        <w:rPr>
          <w:rFonts w:ascii="Times New Roman" w:hAnsi="Times New Roman" w:cs="Times New Roman"/>
        </w:rPr>
        <w:t xml:space="preserve">developing international research base presents a </w:t>
      </w:r>
      <w:r w:rsidR="00D128E2" w:rsidRPr="004C1796">
        <w:rPr>
          <w:rFonts w:ascii="Times New Roman" w:hAnsi="Times New Roman" w:cs="Times New Roman"/>
        </w:rPr>
        <w:t>diverse</w:t>
      </w:r>
      <w:r w:rsidR="00A94008" w:rsidRPr="004C1796">
        <w:rPr>
          <w:rFonts w:ascii="Times New Roman" w:hAnsi="Times New Roman" w:cs="Times New Roman"/>
        </w:rPr>
        <w:t xml:space="preserve"> </w:t>
      </w:r>
      <w:r w:rsidR="00DE0591" w:rsidRPr="004C1796">
        <w:rPr>
          <w:rFonts w:ascii="Times New Roman" w:hAnsi="Times New Roman" w:cs="Times New Roman"/>
        </w:rPr>
        <w:t>picture of social supply, oscillating from one that is</w:t>
      </w:r>
      <w:r w:rsidR="009C513C" w:rsidRPr="004C1796">
        <w:rPr>
          <w:rFonts w:ascii="Times New Roman" w:hAnsi="Times New Roman" w:cs="Times New Roman"/>
        </w:rPr>
        <w:t xml:space="preserve"> strongly focussed on cannabis</w:t>
      </w:r>
      <w:r w:rsidR="00307908" w:rsidRPr="004C1796">
        <w:rPr>
          <w:rFonts w:ascii="Times New Roman" w:hAnsi="Times New Roman" w:cs="Times New Roman"/>
        </w:rPr>
        <w:t xml:space="preserve"> cultivation,</w:t>
      </w:r>
      <w:r w:rsidR="009C513C" w:rsidRPr="004C1796">
        <w:rPr>
          <w:rFonts w:ascii="Times New Roman" w:hAnsi="Times New Roman" w:cs="Times New Roman"/>
        </w:rPr>
        <w:t xml:space="preserve"> </w:t>
      </w:r>
      <w:r w:rsidR="008D26D1" w:rsidRPr="004C1796">
        <w:rPr>
          <w:rFonts w:ascii="Times New Roman" w:hAnsi="Times New Roman" w:cs="Times New Roman"/>
        </w:rPr>
        <w:t xml:space="preserve">and </w:t>
      </w:r>
      <w:r w:rsidR="00C429E4" w:rsidRPr="004C1796">
        <w:rPr>
          <w:rFonts w:ascii="Times New Roman" w:hAnsi="Times New Roman" w:cs="Times New Roman"/>
        </w:rPr>
        <w:t xml:space="preserve">the </w:t>
      </w:r>
      <w:r w:rsidR="008D26D1" w:rsidRPr="004C1796">
        <w:rPr>
          <w:rFonts w:ascii="Times New Roman" w:hAnsi="Times New Roman" w:cs="Times New Roman"/>
        </w:rPr>
        <w:t>cultural values that shape</w:t>
      </w:r>
      <w:r w:rsidR="00D46E0C" w:rsidRPr="004C1796">
        <w:rPr>
          <w:rFonts w:ascii="Times New Roman" w:hAnsi="Times New Roman" w:cs="Times New Roman"/>
        </w:rPr>
        <w:t xml:space="preserve"> transactional practices, to one that </w:t>
      </w:r>
      <w:r w:rsidR="009B3306" w:rsidRPr="004C1796">
        <w:rPr>
          <w:rFonts w:ascii="Times New Roman" w:hAnsi="Times New Roman" w:cs="Times New Roman"/>
        </w:rPr>
        <w:t xml:space="preserve">has become dominant in understanding the ways in which </w:t>
      </w:r>
      <w:r w:rsidR="00661F14" w:rsidRPr="004C1796">
        <w:rPr>
          <w:rFonts w:ascii="Times New Roman" w:hAnsi="Times New Roman" w:cs="Times New Roman"/>
        </w:rPr>
        <w:t>recreational substances like ecstasy and ketamine</w:t>
      </w:r>
      <w:r w:rsidR="009B3306" w:rsidRPr="004C1796">
        <w:rPr>
          <w:rFonts w:ascii="Times New Roman" w:hAnsi="Times New Roman" w:cs="Times New Roman"/>
        </w:rPr>
        <w:t xml:space="preserve"> </w:t>
      </w:r>
      <w:r w:rsidR="009B3306" w:rsidRPr="004C1796">
        <w:rPr>
          <w:rFonts w:ascii="Times New Roman" w:hAnsi="Times New Roman" w:cs="Times New Roman"/>
        </w:rPr>
        <w:lastRenderedPageBreak/>
        <w:t>are accessed</w:t>
      </w:r>
      <w:r w:rsidR="00661F14" w:rsidRPr="004C1796">
        <w:rPr>
          <w:rFonts w:ascii="Times New Roman" w:hAnsi="Times New Roman" w:cs="Times New Roman"/>
        </w:rPr>
        <w:t xml:space="preserve">, and increasingly, </w:t>
      </w:r>
      <w:r w:rsidR="00B015F0" w:rsidRPr="004C1796">
        <w:rPr>
          <w:rFonts w:ascii="Times New Roman" w:hAnsi="Times New Roman" w:cs="Times New Roman"/>
        </w:rPr>
        <w:t xml:space="preserve">as central to drug supply networks in </w:t>
      </w:r>
      <w:r w:rsidR="00661F14" w:rsidRPr="004C1796">
        <w:rPr>
          <w:rFonts w:ascii="Times New Roman" w:hAnsi="Times New Roman" w:cs="Times New Roman"/>
        </w:rPr>
        <w:t xml:space="preserve">non-traditional settings such as gyms. </w:t>
      </w:r>
      <w:r w:rsidR="00966A34" w:rsidRPr="004C1796">
        <w:rPr>
          <w:rFonts w:ascii="Times New Roman" w:hAnsi="Times New Roman" w:cs="Times New Roman"/>
        </w:rPr>
        <w:t>The extent to which</w:t>
      </w:r>
      <w:r w:rsidR="00415FE7" w:rsidRPr="004C1796">
        <w:rPr>
          <w:rFonts w:ascii="Times New Roman" w:hAnsi="Times New Roman" w:cs="Times New Roman"/>
        </w:rPr>
        <w:t xml:space="preserve"> </w:t>
      </w:r>
      <w:r w:rsidR="00FE1F04" w:rsidRPr="004C1796">
        <w:rPr>
          <w:rFonts w:ascii="Times New Roman" w:hAnsi="Times New Roman" w:cs="Times New Roman"/>
        </w:rPr>
        <w:t xml:space="preserve">supply </w:t>
      </w:r>
      <w:r w:rsidR="009B0829" w:rsidRPr="004C1796">
        <w:rPr>
          <w:rFonts w:ascii="Times New Roman" w:hAnsi="Times New Roman" w:cs="Times New Roman"/>
        </w:rPr>
        <w:t xml:space="preserve">differentiation </w:t>
      </w:r>
      <w:r w:rsidR="000F4B69" w:rsidRPr="004C1796">
        <w:rPr>
          <w:rFonts w:ascii="Times New Roman" w:hAnsi="Times New Roman" w:cs="Times New Roman"/>
        </w:rPr>
        <w:t xml:space="preserve">and </w:t>
      </w:r>
      <w:r w:rsidR="00483D1E" w:rsidRPr="004C1796">
        <w:rPr>
          <w:rFonts w:ascii="Times New Roman" w:hAnsi="Times New Roman" w:cs="Times New Roman"/>
        </w:rPr>
        <w:t xml:space="preserve">low-level distribution activity such as social supply </w:t>
      </w:r>
      <w:r w:rsidR="009B0829" w:rsidRPr="004C1796">
        <w:rPr>
          <w:rFonts w:ascii="Times New Roman" w:hAnsi="Times New Roman" w:cs="Times New Roman"/>
        </w:rPr>
        <w:t xml:space="preserve">is </w:t>
      </w:r>
      <w:r w:rsidR="00415FE7" w:rsidRPr="004C1796">
        <w:rPr>
          <w:rFonts w:ascii="Times New Roman" w:hAnsi="Times New Roman" w:cs="Times New Roman"/>
        </w:rPr>
        <w:t xml:space="preserve">recognised </w:t>
      </w:r>
      <w:r w:rsidR="00272D08" w:rsidRPr="004C1796">
        <w:rPr>
          <w:rFonts w:ascii="Times New Roman" w:hAnsi="Times New Roman" w:cs="Times New Roman"/>
        </w:rPr>
        <w:t xml:space="preserve">at an international level </w:t>
      </w:r>
      <w:r w:rsidR="009B0829" w:rsidRPr="004C1796">
        <w:rPr>
          <w:rFonts w:ascii="Times New Roman" w:hAnsi="Times New Roman" w:cs="Times New Roman"/>
        </w:rPr>
        <w:t>may be in part related to the degree o</w:t>
      </w:r>
      <w:r w:rsidR="007C14EE" w:rsidRPr="004C1796">
        <w:rPr>
          <w:rFonts w:ascii="Times New Roman" w:hAnsi="Times New Roman" w:cs="Times New Roman"/>
        </w:rPr>
        <w:t>f proportionality exercised at s</w:t>
      </w:r>
      <w:r w:rsidR="009B0829" w:rsidRPr="004C1796">
        <w:rPr>
          <w:rFonts w:ascii="Times New Roman" w:hAnsi="Times New Roman" w:cs="Times New Roman"/>
        </w:rPr>
        <w:t>tate level and how far varying levels of harm and culpability are accepted by</w:t>
      </w:r>
      <w:r w:rsidR="009139BA" w:rsidRPr="004C1796">
        <w:rPr>
          <w:rFonts w:ascii="Times New Roman" w:hAnsi="Times New Roman" w:cs="Times New Roman"/>
        </w:rPr>
        <w:t xml:space="preserve"> the legal system in question. </w:t>
      </w:r>
      <w:r w:rsidR="0059333C" w:rsidRPr="004C1796">
        <w:rPr>
          <w:rFonts w:ascii="Times New Roman" w:hAnsi="Times New Roman" w:cs="Times New Roman"/>
        </w:rPr>
        <w:t>In</w:t>
      </w:r>
      <w:r w:rsidR="001A6484" w:rsidRPr="004C1796">
        <w:rPr>
          <w:rFonts w:ascii="Times New Roman" w:hAnsi="Times New Roman" w:cs="Times New Roman"/>
        </w:rPr>
        <w:t xml:space="preserve"> the UK</w:t>
      </w:r>
      <w:r w:rsidR="00BF100F" w:rsidRPr="004C1796">
        <w:rPr>
          <w:rFonts w:ascii="Times New Roman" w:hAnsi="Times New Roman" w:cs="Times New Roman"/>
        </w:rPr>
        <w:t xml:space="preserve">, </w:t>
      </w:r>
      <w:r w:rsidR="001A6484" w:rsidRPr="004C1796">
        <w:rPr>
          <w:rFonts w:ascii="Times New Roman" w:hAnsi="Times New Roman" w:cs="Times New Roman"/>
        </w:rPr>
        <w:t xml:space="preserve">a </w:t>
      </w:r>
      <w:r w:rsidR="0059333C" w:rsidRPr="004C1796">
        <w:rPr>
          <w:rFonts w:ascii="Times New Roman" w:hAnsi="Times New Roman" w:cs="Times New Roman"/>
        </w:rPr>
        <w:t>context which</w:t>
      </w:r>
      <w:r w:rsidR="00BF100F" w:rsidRPr="004C1796">
        <w:rPr>
          <w:rFonts w:ascii="Times New Roman" w:hAnsi="Times New Roman" w:cs="Times New Roman"/>
        </w:rPr>
        <w:t xml:space="preserve"> purport</w:t>
      </w:r>
      <w:r w:rsidR="001A6484" w:rsidRPr="004C1796">
        <w:rPr>
          <w:rFonts w:ascii="Times New Roman" w:hAnsi="Times New Roman" w:cs="Times New Roman"/>
        </w:rPr>
        <w:t>s</w:t>
      </w:r>
      <w:r w:rsidR="00BF100F" w:rsidRPr="004C1796">
        <w:rPr>
          <w:rFonts w:ascii="Times New Roman" w:hAnsi="Times New Roman" w:cs="Times New Roman"/>
        </w:rPr>
        <w:t xml:space="preserve"> to put</w:t>
      </w:r>
      <w:r w:rsidR="0059333C" w:rsidRPr="004C1796">
        <w:rPr>
          <w:rFonts w:ascii="Times New Roman" w:hAnsi="Times New Roman" w:cs="Times New Roman"/>
        </w:rPr>
        <w:t xml:space="preserve"> pro</w:t>
      </w:r>
      <w:r w:rsidR="00BF100F" w:rsidRPr="004C1796">
        <w:rPr>
          <w:rFonts w:ascii="Times New Roman" w:hAnsi="Times New Roman" w:cs="Times New Roman"/>
        </w:rPr>
        <w:t>portionality at the heart of their</w:t>
      </w:r>
      <w:r w:rsidR="0059333C" w:rsidRPr="004C1796">
        <w:rPr>
          <w:rFonts w:ascii="Times New Roman" w:hAnsi="Times New Roman" w:cs="Times New Roman"/>
        </w:rPr>
        <w:t xml:space="preserve"> justice system (</w:t>
      </w:r>
      <w:r w:rsidR="001816FF" w:rsidRPr="004C1796">
        <w:rPr>
          <w:rFonts w:ascii="Times New Roman" w:hAnsi="Times New Roman" w:cs="Times New Roman"/>
        </w:rPr>
        <w:t>Moyle</w:t>
      </w:r>
      <w:r w:rsidR="00FE1F04" w:rsidRPr="004C1796">
        <w:rPr>
          <w:rFonts w:ascii="Times New Roman" w:hAnsi="Times New Roman" w:cs="Times New Roman"/>
        </w:rPr>
        <w:t>, Coomber &amp; Lowther</w:t>
      </w:r>
      <w:r w:rsidR="001816FF" w:rsidRPr="004C1796">
        <w:rPr>
          <w:rFonts w:ascii="Times New Roman" w:hAnsi="Times New Roman" w:cs="Times New Roman"/>
        </w:rPr>
        <w:t>, 2013</w:t>
      </w:r>
      <w:r w:rsidR="00FF7ABB" w:rsidRPr="004C1796">
        <w:rPr>
          <w:rFonts w:ascii="Times New Roman" w:hAnsi="Times New Roman" w:cs="Times New Roman"/>
        </w:rPr>
        <w:t>), the implementation of sentencing guidelines for drug offe</w:t>
      </w:r>
      <w:r w:rsidR="007B09C3" w:rsidRPr="004C1796">
        <w:rPr>
          <w:rFonts w:ascii="Times New Roman" w:hAnsi="Times New Roman" w:cs="Times New Roman"/>
        </w:rPr>
        <w:t>nces (Sente</w:t>
      </w:r>
      <w:r w:rsidR="00E05AD9" w:rsidRPr="004C1796">
        <w:rPr>
          <w:rFonts w:ascii="Times New Roman" w:hAnsi="Times New Roman" w:cs="Times New Roman"/>
        </w:rPr>
        <w:t>ncing Council, 2012) allow</w:t>
      </w:r>
      <w:r w:rsidR="00BF100F" w:rsidRPr="004C1796">
        <w:rPr>
          <w:rFonts w:ascii="Times New Roman" w:hAnsi="Times New Roman" w:cs="Times New Roman"/>
        </w:rPr>
        <w:t>s</w:t>
      </w:r>
      <w:r w:rsidR="00E05AD9" w:rsidRPr="004C1796">
        <w:rPr>
          <w:rFonts w:ascii="Times New Roman" w:hAnsi="Times New Roman" w:cs="Times New Roman"/>
        </w:rPr>
        <w:t xml:space="preserve"> the court to determine the </w:t>
      </w:r>
      <w:r w:rsidR="00A77519" w:rsidRPr="004C1796">
        <w:rPr>
          <w:rFonts w:ascii="Times New Roman" w:hAnsi="Times New Roman" w:cs="Times New Roman"/>
        </w:rPr>
        <w:t>drug supplier’s</w:t>
      </w:r>
      <w:r w:rsidR="00E05AD9" w:rsidRPr="004C1796">
        <w:rPr>
          <w:rFonts w:ascii="Times New Roman" w:hAnsi="Times New Roman" w:cs="Times New Roman"/>
        </w:rPr>
        <w:t xml:space="preserve"> culpability and harm caused through reference to their </w:t>
      </w:r>
      <w:r w:rsidR="008A5347" w:rsidRPr="004C1796">
        <w:rPr>
          <w:rFonts w:ascii="Times New Roman" w:hAnsi="Times New Roman" w:cs="Times New Roman"/>
        </w:rPr>
        <w:t>‘</w:t>
      </w:r>
      <w:r w:rsidR="00E05AD9" w:rsidRPr="004C1796">
        <w:rPr>
          <w:rFonts w:ascii="Times New Roman" w:hAnsi="Times New Roman" w:cs="Times New Roman"/>
        </w:rPr>
        <w:t>role</w:t>
      </w:r>
      <w:r w:rsidR="008A5347" w:rsidRPr="004C1796">
        <w:rPr>
          <w:rFonts w:ascii="Times New Roman" w:hAnsi="Times New Roman" w:cs="Times New Roman"/>
        </w:rPr>
        <w:t>’</w:t>
      </w:r>
      <w:r w:rsidR="00E05AD9" w:rsidRPr="004C1796">
        <w:rPr>
          <w:rFonts w:ascii="Times New Roman" w:hAnsi="Times New Roman" w:cs="Times New Roman"/>
        </w:rPr>
        <w:t xml:space="preserve"> and quantity of substance</w:t>
      </w:r>
      <w:r w:rsidR="00C15167" w:rsidRPr="004C1796">
        <w:rPr>
          <w:rFonts w:ascii="Times New Roman" w:hAnsi="Times New Roman" w:cs="Times New Roman"/>
        </w:rPr>
        <w:t xml:space="preserve"> supplied. In practice</w:t>
      </w:r>
      <w:r w:rsidR="00BF100F" w:rsidRPr="004C1796">
        <w:rPr>
          <w:rFonts w:ascii="Times New Roman" w:hAnsi="Times New Roman" w:cs="Times New Roman"/>
        </w:rPr>
        <w:t>,</w:t>
      </w:r>
      <w:r w:rsidR="00C15167" w:rsidRPr="004C1796">
        <w:rPr>
          <w:rFonts w:ascii="Times New Roman" w:hAnsi="Times New Roman" w:cs="Times New Roman"/>
        </w:rPr>
        <w:t xml:space="preserve"> an offender could be classified as taking on a ‘lesser’ (e.g. </w:t>
      </w:r>
      <w:r w:rsidR="00C15167" w:rsidRPr="004C1796">
        <w:rPr>
          <w:rFonts w:ascii="Times New Roman" w:eastAsia="Times New Roman" w:hAnsi="Times New Roman" w:cs="Times New Roman"/>
          <w:lang w:eastAsia="en-GB"/>
        </w:rPr>
        <w:t>performs a limited function under direction)</w:t>
      </w:r>
      <w:r w:rsidR="00C15167" w:rsidRPr="004C1796">
        <w:rPr>
          <w:rFonts w:ascii="Times New Roman" w:hAnsi="Times New Roman" w:cs="Times New Roman"/>
        </w:rPr>
        <w:t xml:space="preserve">, ‘significant’ </w:t>
      </w:r>
      <w:r w:rsidR="00BF100F" w:rsidRPr="004C1796">
        <w:rPr>
          <w:rFonts w:ascii="Times New Roman" w:hAnsi="Times New Roman" w:cs="Times New Roman"/>
        </w:rPr>
        <w:t xml:space="preserve">(e.g. operational or management function within a chain) </w:t>
      </w:r>
      <w:r w:rsidR="00C15167" w:rsidRPr="004C1796">
        <w:rPr>
          <w:rFonts w:ascii="Times New Roman" w:hAnsi="Times New Roman" w:cs="Times New Roman"/>
        </w:rPr>
        <w:t xml:space="preserve">or ‘leading’ </w:t>
      </w:r>
      <w:r w:rsidR="00803118" w:rsidRPr="004C1796">
        <w:rPr>
          <w:rFonts w:ascii="Times New Roman" w:hAnsi="Times New Roman" w:cs="Times New Roman"/>
        </w:rPr>
        <w:t xml:space="preserve">supply </w:t>
      </w:r>
      <w:r w:rsidR="00C15167" w:rsidRPr="004C1796">
        <w:rPr>
          <w:rFonts w:ascii="Times New Roman" w:hAnsi="Times New Roman" w:cs="Times New Roman"/>
        </w:rPr>
        <w:t>role</w:t>
      </w:r>
      <w:r w:rsidR="00BF100F" w:rsidRPr="004C1796">
        <w:rPr>
          <w:rFonts w:ascii="Times New Roman" w:hAnsi="Times New Roman" w:cs="Times New Roman"/>
        </w:rPr>
        <w:t xml:space="preserve"> (e.g. directing and organising buying and selling on a commercial scale’)</w:t>
      </w:r>
      <w:r w:rsidR="00C15167" w:rsidRPr="004C1796">
        <w:rPr>
          <w:rFonts w:ascii="Times New Roman" w:hAnsi="Times New Roman" w:cs="Times New Roman"/>
        </w:rPr>
        <w:t>,</w:t>
      </w:r>
      <w:r w:rsidR="00BF100F" w:rsidRPr="004C1796">
        <w:rPr>
          <w:rFonts w:ascii="Times New Roman" w:hAnsi="Times New Roman" w:cs="Times New Roman"/>
        </w:rPr>
        <w:t xml:space="preserve"> and this ‘role’ is then matched</w:t>
      </w:r>
      <w:r w:rsidR="00C15167" w:rsidRPr="004C1796">
        <w:rPr>
          <w:rFonts w:ascii="Times New Roman" w:hAnsi="Times New Roman" w:cs="Times New Roman"/>
        </w:rPr>
        <w:t xml:space="preserve"> with </w:t>
      </w:r>
      <w:r w:rsidR="00BF100F" w:rsidRPr="004C1796">
        <w:rPr>
          <w:rFonts w:ascii="Times New Roman" w:hAnsi="Times New Roman" w:cs="Times New Roman"/>
        </w:rPr>
        <w:t>the appropriate quantity based category</w:t>
      </w:r>
      <w:r w:rsidR="00377402" w:rsidRPr="004C1796">
        <w:rPr>
          <w:rFonts w:ascii="Times New Roman" w:hAnsi="Times New Roman" w:cs="Times New Roman"/>
        </w:rPr>
        <w:t xml:space="preserve"> and a sentence is determined with reference </w:t>
      </w:r>
      <w:r w:rsidR="001A6484" w:rsidRPr="004C1796">
        <w:rPr>
          <w:rFonts w:ascii="Times New Roman" w:hAnsi="Times New Roman" w:cs="Times New Roman"/>
        </w:rPr>
        <w:t xml:space="preserve">to </w:t>
      </w:r>
      <w:r w:rsidR="00BF100F" w:rsidRPr="004C1796">
        <w:rPr>
          <w:rFonts w:ascii="Times New Roman" w:hAnsi="Times New Roman" w:cs="Times New Roman"/>
        </w:rPr>
        <w:t xml:space="preserve">relevant starting points and category ranges. </w:t>
      </w:r>
      <w:r w:rsidR="008A5347" w:rsidRPr="004C1796">
        <w:rPr>
          <w:rFonts w:ascii="Times New Roman" w:hAnsi="Times New Roman" w:cs="Times New Roman"/>
        </w:rPr>
        <w:t>Australia</w:t>
      </w:r>
      <w:r w:rsidR="00622F7D" w:rsidRPr="004C1796">
        <w:rPr>
          <w:rFonts w:ascii="Times New Roman" w:hAnsi="Times New Roman" w:cs="Times New Roman"/>
        </w:rPr>
        <w:t>, like</w:t>
      </w:r>
      <w:r w:rsidR="007F2D52" w:rsidRPr="004C1796">
        <w:rPr>
          <w:rFonts w:ascii="Times New Roman" w:hAnsi="Times New Roman" w:cs="Times New Roman"/>
        </w:rPr>
        <w:t xml:space="preserve"> the UK</w:t>
      </w:r>
      <w:r w:rsidR="00622F7D" w:rsidRPr="004C1796">
        <w:rPr>
          <w:rFonts w:ascii="Times New Roman" w:hAnsi="Times New Roman" w:cs="Times New Roman"/>
        </w:rPr>
        <w:t>,</w:t>
      </w:r>
      <w:r w:rsidR="00966A34" w:rsidRPr="004C1796">
        <w:rPr>
          <w:rFonts w:ascii="Times New Roman" w:hAnsi="Times New Roman" w:cs="Times New Roman"/>
        </w:rPr>
        <w:t xml:space="preserve"> </w:t>
      </w:r>
      <w:r w:rsidR="007320A1" w:rsidRPr="004C1796">
        <w:rPr>
          <w:rFonts w:ascii="Times New Roman" w:eastAsia="Times New Roman" w:hAnsi="Times New Roman" w:cs="Times New Roman"/>
          <w:lang w:eastAsia="en-GB"/>
        </w:rPr>
        <w:t xml:space="preserve">is among a number of </w:t>
      </w:r>
      <w:r w:rsidR="00CF2906" w:rsidRPr="004C1796">
        <w:rPr>
          <w:rFonts w:ascii="Times New Roman" w:hAnsi="Times New Roman" w:cs="Times New Roman"/>
        </w:rPr>
        <w:t xml:space="preserve">countries throughout the world that relies on the identification of </w:t>
      </w:r>
      <w:r w:rsidR="007320A1" w:rsidRPr="004C1796">
        <w:rPr>
          <w:rFonts w:ascii="Times New Roman" w:hAnsi="Times New Roman" w:cs="Times New Roman"/>
        </w:rPr>
        <w:t>‘</w:t>
      </w:r>
      <w:r w:rsidR="00CF2906" w:rsidRPr="004C1796">
        <w:rPr>
          <w:rFonts w:ascii="Times New Roman" w:hAnsi="Times New Roman" w:cs="Times New Roman"/>
        </w:rPr>
        <w:t>threshold quantities</w:t>
      </w:r>
      <w:r w:rsidR="007320A1" w:rsidRPr="004C1796">
        <w:rPr>
          <w:rFonts w:ascii="Times New Roman" w:hAnsi="Times New Roman" w:cs="Times New Roman"/>
        </w:rPr>
        <w:t>’</w:t>
      </w:r>
      <w:r w:rsidR="00CF2906" w:rsidRPr="004C1796">
        <w:rPr>
          <w:rFonts w:ascii="Times New Roman" w:hAnsi="Times New Roman" w:cs="Times New Roman"/>
        </w:rPr>
        <w:t xml:space="preserve"> of </w:t>
      </w:r>
      <w:r w:rsidR="007320A1" w:rsidRPr="004C1796">
        <w:rPr>
          <w:rFonts w:ascii="Times New Roman" w:hAnsi="Times New Roman" w:cs="Times New Roman"/>
        </w:rPr>
        <w:t xml:space="preserve">prospective </w:t>
      </w:r>
      <w:r w:rsidR="00CF2906" w:rsidRPr="004C1796">
        <w:rPr>
          <w:rFonts w:ascii="Times New Roman" w:hAnsi="Times New Roman" w:cs="Times New Roman"/>
        </w:rPr>
        <w:t xml:space="preserve">illicit substances as an indicator of supply offences when </w:t>
      </w:r>
      <w:r w:rsidR="007320A1" w:rsidRPr="004C1796">
        <w:rPr>
          <w:rFonts w:ascii="Times New Roman" w:hAnsi="Times New Roman" w:cs="Times New Roman"/>
        </w:rPr>
        <w:t xml:space="preserve">distinguishing suppliers </w:t>
      </w:r>
      <w:r w:rsidR="00CF2906" w:rsidRPr="004C1796">
        <w:rPr>
          <w:rFonts w:ascii="Times New Roman" w:hAnsi="Times New Roman" w:cs="Times New Roman"/>
        </w:rPr>
        <w:t>from users. State and territory, as well as Commonwealth drug legislation specifies threshold amounts of drug over which offenders are either presumed to possess a drug ‘for the purposes of supply and are liable to sanction as ‘drug traffickers’ (</w:t>
      </w:r>
      <w:r w:rsidR="008A5347" w:rsidRPr="004C1796">
        <w:rPr>
          <w:rFonts w:ascii="Times New Roman" w:hAnsi="Times New Roman" w:cs="Times New Roman"/>
        </w:rPr>
        <w:t xml:space="preserve">of </w:t>
      </w:r>
      <w:r w:rsidR="007320A1" w:rsidRPr="004C1796">
        <w:rPr>
          <w:rFonts w:ascii="Times New Roman" w:hAnsi="Times New Roman" w:cs="Times New Roman"/>
        </w:rPr>
        <w:t>up to 15 years in most states) (Hughes et al</w:t>
      </w:r>
      <w:r w:rsidR="00D76627" w:rsidRPr="004C1796">
        <w:rPr>
          <w:rFonts w:ascii="Times New Roman" w:hAnsi="Times New Roman" w:cs="Times New Roman"/>
        </w:rPr>
        <w:t>.</w:t>
      </w:r>
      <w:r w:rsidR="009139BA" w:rsidRPr="004C1796">
        <w:rPr>
          <w:rFonts w:ascii="Times New Roman" w:hAnsi="Times New Roman" w:cs="Times New Roman"/>
        </w:rPr>
        <w:t>,</w:t>
      </w:r>
      <w:r w:rsidR="007320A1" w:rsidRPr="004C1796">
        <w:rPr>
          <w:rFonts w:ascii="Times New Roman" w:hAnsi="Times New Roman" w:cs="Times New Roman"/>
        </w:rPr>
        <w:t xml:space="preserve"> 2014). </w:t>
      </w:r>
      <w:r w:rsidR="00CF2906" w:rsidRPr="004C1796">
        <w:rPr>
          <w:rFonts w:ascii="Times New Roman" w:hAnsi="Times New Roman" w:cs="Times New Roman"/>
        </w:rPr>
        <w:t xml:space="preserve">The threshold system generally differentiates between a trafficable threshold (to distinguish low level trafficking from possession or personal use), a </w:t>
      </w:r>
      <w:r w:rsidR="00622F7D" w:rsidRPr="004C1796">
        <w:rPr>
          <w:rFonts w:ascii="Times New Roman" w:hAnsi="Times New Roman" w:cs="Times New Roman"/>
        </w:rPr>
        <w:t>‘</w:t>
      </w:r>
      <w:r w:rsidR="00CF2906" w:rsidRPr="004C1796">
        <w:rPr>
          <w:rFonts w:ascii="Times New Roman" w:hAnsi="Times New Roman" w:cs="Times New Roman"/>
        </w:rPr>
        <w:t>commercial</w:t>
      </w:r>
      <w:r w:rsidR="00622F7D" w:rsidRPr="004C1796">
        <w:rPr>
          <w:rFonts w:ascii="Times New Roman" w:hAnsi="Times New Roman" w:cs="Times New Roman"/>
        </w:rPr>
        <w:t>’</w:t>
      </w:r>
      <w:r w:rsidR="00CF2906" w:rsidRPr="004C1796">
        <w:rPr>
          <w:rFonts w:ascii="Times New Roman" w:hAnsi="Times New Roman" w:cs="Times New Roman"/>
        </w:rPr>
        <w:t xml:space="preserve"> threshold and a </w:t>
      </w:r>
      <w:r w:rsidR="00622F7D" w:rsidRPr="004C1796">
        <w:rPr>
          <w:rFonts w:ascii="Times New Roman" w:hAnsi="Times New Roman" w:cs="Times New Roman"/>
        </w:rPr>
        <w:t>‘</w:t>
      </w:r>
      <w:r w:rsidR="00CF2906" w:rsidRPr="004C1796">
        <w:rPr>
          <w:rFonts w:ascii="Times New Roman" w:hAnsi="Times New Roman" w:cs="Times New Roman"/>
        </w:rPr>
        <w:t>large commercial</w:t>
      </w:r>
      <w:r w:rsidR="00622F7D" w:rsidRPr="004C1796">
        <w:rPr>
          <w:rFonts w:ascii="Times New Roman" w:hAnsi="Times New Roman" w:cs="Times New Roman"/>
        </w:rPr>
        <w:t>’</w:t>
      </w:r>
      <w:r w:rsidR="00CF2906" w:rsidRPr="004C1796">
        <w:rPr>
          <w:rFonts w:ascii="Times New Roman" w:hAnsi="Times New Roman" w:cs="Times New Roman"/>
        </w:rPr>
        <w:t xml:space="preserve"> threshold, each imposin</w:t>
      </w:r>
      <w:r w:rsidR="008A5055" w:rsidRPr="004C1796">
        <w:rPr>
          <w:rFonts w:ascii="Times New Roman" w:hAnsi="Times New Roman" w:cs="Times New Roman"/>
        </w:rPr>
        <w:t xml:space="preserve">g increasingly severe penalties. </w:t>
      </w:r>
      <w:r w:rsidR="007C705D" w:rsidRPr="004C1796">
        <w:rPr>
          <w:rFonts w:ascii="Times New Roman" w:hAnsi="Times New Roman" w:cs="Times New Roman"/>
        </w:rPr>
        <w:t>Though</w:t>
      </w:r>
      <w:r w:rsidR="00622F7D" w:rsidRPr="004C1796">
        <w:rPr>
          <w:rFonts w:ascii="Times New Roman" w:hAnsi="Times New Roman" w:cs="Times New Roman"/>
        </w:rPr>
        <w:t xml:space="preserve"> </w:t>
      </w:r>
      <w:r w:rsidR="001F0893" w:rsidRPr="004C1796">
        <w:rPr>
          <w:rFonts w:ascii="Times New Roman" w:hAnsi="Times New Roman" w:cs="Times New Roman"/>
        </w:rPr>
        <w:t>this gradated system is designed to successfully filter out drug users from drug traffickers and impose harsher penalties for more serious offences</w:t>
      </w:r>
      <w:r w:rsidR="00376A14" w:rsidRPr="004C1796">
        <w:rPr>
          <w:rFonts w:ascii="Times New Roman" w:hAnsi="Times New Roman" w:cs="Times New Roman"/>
        </w:rPr>
        <w:t>, thresholds have</w:t>
      </w:r>
      <w:r w:rsidR="0013047B" w:rsidRPr="004C1796">
        <w:rPr>
          <w:rFonts w:ascii="Times New Roman" w:hAnsi="Times New Roman" w:cs="Times New Roman"/>
        </w:rPr>
        <w:t xml:space="preserve"> been criticised for </w:t>
      </w:r>
      <w:r w:rsidR="00E3304E" w:rsidRPr="004C1796">
        <w:rPr>
          <w:rFonts w:ascii="Times New Roman" w:hAnsi="Times New Roman" w:cs="Times New Roman"/>
        </w:rPr>
        <w:t xml:space="preserve">placing </w:t>
      </w:r>
      <w:r w:rsidR="0013047B" w:rsidRPr="004C1796">
        <w:rPr>
          <w:rFonts w:ascii="Times New Roman" w:hAnsi="Times New Roman" w:cs="Times New Roman"/>
        </w:rPr>
        <w:t xml:space="preserve">Australian drug users at risk of unjustified </w:t>
      </w:r>
      <w:r w:rsidR="00E3304E" w:rsidRPr="004C1796">
        <w:rPr>
          <w:rFonts w:ascii="Times New Roman" w:hAnsi="Times New Roman" w:cs="Times New Roman"/>
        </w:rPr>
        <w:t xml:space="preserve">supply </w:t>
      </w:r>
      <w:r w:rsidR="0013047B" w:rsidRPr="004C1796">
        <w:rPr>
          <w:rFonts w:ascii="Times New Roman" w:hAnsi="Times New Roman" w:cs="Times New Roman"/>
        </w:rPr>
        <w:t xml:space="preserve">charge or sanction </w:t>
      </w:r>
      <w:r w:rsidR="00E81FF8" w:rsidRPr="004C1796">
        <w:rPr>
          <w:rFonts w:ascii="Times New Roman" w:hAnsi="Times New Roman" w:cs="Times New Roman"/>
        </w:rPr>
        <w:t>(Hughes et al., 2014)</w:t>
      </w:r>
      <w:r w:rsidR="00E3304E" w:rsidRPr="004C1796">
        <w:rPr>
          <w:rFonts w:ascii="Times New Roman" w:hAnsi="Times New Roman" w:cs="Times New Roman"/>
        </w:rPr>
        <w:t xml:space="preserve"> and of course the nuances of the concept of ‘social supply’, as </w:t>
      </w:r>
      <w:r w:rsidR="007B3AC0" w:rsidRPr="004C1796">
        <w:rPr>
          <w:rFonts w:ascii="Times New Roman" w:hAnsi="Times New Roman" w:cs="Times New Roman"/>
        </w:rPr>
        <w:t>articulated</w:t>
      </w:r>
      <w:r w:rsidR="00E3304E" w:rsidRPr="004C1796">
        <w:rPr>
          <w:rFonts w:ascii="Times New Roman" w:hAnsi="Times New Roman" w:cs="Times New Roman"/>
        </w:rPr>
        <w:t xml:space="preserve"> in this paper and elsewhere, are ignored in such an amount-based classification system.</w:t>
      </w:r>
    </w:p>
    <w:p w14:paraId="62488914" w14:textId="77777777" w:rsidR="001A6484" w:rsidRPr="004C1796" w:rsidRDefault="001A6484" w:rsidP="00144A42">
      <w:pPr>
        <w:spacing w:line="360" w:lineRule="auto"/>
        <w:jc w:val="both"/>
        <w:rPr>
          <w:rFonts w:ascii="Times New Roman" w:hAnsi="Times New Roman" w:cs="Times New Roman"/>
        </w:rPr>
      </w:pPr>
    </w:p>
    <w:p w14:paraId="13BFA6B9" w14:textId="77777777" w:rsidR="00C74CD1" w:rsidRPr="004C1796" w:rsidRDefault="00805653" w:rsidP="00144A42">
      <w:pPr>
        <w:spacing w:line="360" w:lineRule="auto"/>
        <w:jc w:val="both"/>
        <w:rPr>
          <w:rFonts w:ascii="Times New Roman" w:hAnsi="Times New Roman" w:cs="Times New Roman"/>
          <w:lang w:val="en-US"/>
        </w:rPr>
      </w:pPr>
      <w:r w:rsidRPr="004C1796">
        <w:rPr>
          <w:rFonts w:ascii="Times New Roman" w:hAnsi="Times New Roman" w:cs="Times New Roman"/>
        </w:rPr>
        <w:t>In Canada,</w:t>
      </w:r>
      <w:r w:rsidRPr="004C1796">
        <w:rPr>
          <w:rFonts w:ascii="Times New Roman" w:eastAsia="Times New Roman" w:hAnsi="Times New Roman" w:cs="Times New Roman"/>
          <w:lang w:eastAsia="en-GB"/>
        </w:rPr>
        <w:t xml:space="preserve"> </w:t>
      </w:r>
      <w:r w:rsidRPr="004C1796">
        <w:rPr>
          <w:rFonts w:ascii="Times New Roman" w:hAnsi="Times New Roman" w:cs="Times New Roman"/>
        </w:rPr>
        <w:t>i</w:t>
      </w:r>
      <w:r w:rsidR="003613DF" w:rsidRPr="004C1796">
        <w:rPr>
          <w:rFonts w:ascii="Times New Roman" w:hAnsi="Times New Roman" w:cs="Times New Roman"/>
        </w:rPr>
        <w:t>n addition to distinguishing between</w:t>
      </w:r>
      <w:r w:rsidR="00305B0B" w:rsidRPr="004C1796">
        <w:rPr>
          <w:rFonts w:ascii="Times New Roman" w:hAnsi="Times New Roman" w:cs="Times New Roman"/>
        </w:rPr>
        <w:t xml:space="preserve"> “hard drugs” and “soft drugs”</w:t>
      </w:r>
      <w:r w:rsidRPr="004C1796">
        <w:rPr>
          <w:rFonts w:ascii="Times New Roman" w:hAnsi="Times New Roman" w:cs="Times New Roman"/>
        </w:rPr>
        <w:t xml:space="preserve">, </w:t>
      </w:r>
      <w:r w:rsidR="003613DF" w:rsidRPr="004C1796">
        <w:rPr>
          <w:rFonts w:ascii="Times New Roman" w:hAnsi="Times New Roman" w:cs="Times New Roman"/>
        </w:rPr>
        <w:t>some Canadian courts distinguish between different levels of gravity for trafficking offences.</w:t>
      </w:r>
      <w:r w:rsidR="00371671" w:rsidRPr="004C1796">
        <w:rPr>
          <w:rFonts w:ascii="Times New Roman" w:hAnsi="Times New Roman" w:cs="Times New Roman"/>
        </w:rPr>
        <w:t xml:space="preserve"> </w:t>
      </w:r>
      <w:r w:rsidR="003613DF" w:rsidRPr="004C1796">
        <w:rPr>
          <w:rFonts w:ascii="Times New Roman" w:hAnsi="Times New Roman" w:cs="Times New Roman"/>
        </w:rPr>
        <w:t>In increasing order of severity or seriousness for trafficking offences are</w:t>
      </w:r>
      <w:r w:rsidRPr="004C1796">
        <w:rPr>
          <w:rFonts w:ascii="Times New Roman" w:hAnsi="Times New Roman" w:cs="Times New Roman"/>
        </w:rPr>
        <w:t>:</w:t>
      </w:r>
      <w:r w:rsidR="003613DF" w:rsidRPr="004C1796">
        <w:rPr>
          <w:rFonts w:ascii="Times New Roman" w:hAnsi="Times New Roman" w:cs="Times New Roman"/>
        </w:rPr>
        <w:t xml:space="preserve"> </w:t>
      </w:r>
      <w:r w:rsidR="003613DF" w:rsidRPr="004C1796">
        <w:rPr>
          <w:rFonts w:ascii="Times New Roman" w:hAnsi="Times New Roman" w:cs="Times New Roman"/>
        </w:rPr>
        <w:lastRenderedPageBreak/>
        <w:t xml:space="preserve">social sharing, petty retail operations, and </w:t>
      </w:r>
      <w:r w:rsidRPr="004C1796">
        <w:rPr>
          <w:rFonts w:ascii="Times New Roman" w:hAnsi="Times New Roman" w:cs="Times New Roman"/>
        </w:rPr>
        <w:t xml:space="preserve">full-time commercial operations. Factors taken into consideration include the offender’s level of involvement in the drug trade, amount and value of the drug, number of transactions, prior related record, the degree of planning, trafficking in other types of drugs, and commercial versus social trafficking. </w:t>
      </w:r>
      <w:r w:rsidR="00C74CD1" w:rsidRPr="004C1796">
        <w:rPr>
          <w:rFonts w:ascii="Times New Roman" w:hAnsi="Times New Roman" w:cs="Times New Roman"/>
        </w:rPr>
        <w:t xml:space="preserve">Moving to Asia, in Hong Kong, </w:t>
      </w:r>
      <w:r w:rsidR="00C74CD1" w:rsidRPr="004C1796">
        <w:rPr>
          <w:rFonts w:ascii="Times New Roman" w:hAnsi="Times New Roman" w:cs="Times New Roman"/>
          <w:lang w:val="en-US"/>
        </w:rPr>
        <w:t>although drug patterns have taken a dramatic t</w:t>
      </w:r>
      <w:r w:rsidR="008A5347" w:rsidRPr="004C1796">
        <w:rPr>
          <w:rFonts w:ascii="Times New Roman" w:hAnsi="Times New Roman" w:cs="Times New Roman"/>
          <w:lang w:val="en-US"/>
        </w:rPr>
        <w:t>ransformation</w:t>
      </w:r>
      <w:r w:rsidR="00C74CD1" w:rsidRPr="004C1796">
        <w:rPr>
          <w:rFonts w:ascii="Times New Roman" w:hAnsi="Times New Roman" w:cs="Times New Roman"/>
          <w:lang w:val="en-US"/>
        </w:rPr>
        <w:t>, drug policy remains firmly embedded in a prohibitionis</w:t>
      </w:r>
      <w:r w:rsidR="008E0A1E" w:rsidRPr="004C1796">
        <w:rPr>
          <w:rFonts w:ascii="Times New Roman" w:hAnsi="Times New Roman" w:cs="Times New Roman"/>
          <w:lang w:val="en-US"/>
        </w:rPr>
        <w:t xml:space="preserve">t model, with the government’s </w:t>
      </w:r>
      <w:r w:rsidR="00C74CD1" w:rsidRPr="004C1796">
        <w:rPr>
          <w:rFonts w:ascii="Times New Roman" w:hAnsi="Times New Roman" w:cs="Times New Roman"/>
          <w:lang w:val="en-US"/>
        </w:rPr>
        <w:t>first</w:t>
      </w:r>
      <w:r w:rsidR="003F356D" w:rsidRPr="004C1796">
        <w:rPr>
          <w:rFonts w:ascii="Times New Roman" w:hAnsi="Times New Roman" w:cs="Times New Roman"/>
          <w:lang w:val="en-US"/>
        </w:rPr>
        <w:t xml:space="preserve"> public campaign slogan (</w:t>
      </w:r>
      <w:r w:rsidR="006E3455" w:rsidRPr="004C1796">
        <w:rPr>
          <w:rFonts w:ascii="Times New Roman" w:hAnsi="Times New Roman" w:cs="Times New Roman"/>
          <w:lang w:val="en-US"/>
        </w:rPr>
        <w:t>Hong Kong Public Records Office, 1960</w:t>
      </w:r>
      <w:r w:rsidR="003F356D" w:rsidRPr="004C1796">
        <w:rPr>
          <w:rFonts w:ascii="Times New Roman" w:hAnsi="Times New Roman" w:cs="Times New Roman"/>
          <w:lang w:val="en-US"/>
        </w:rPr>
        <w:t>):</w:t>
      </w:r>
      <w:r w:rsidR="00C74CD1" w:rsidRPr="004C1796">
        <w:rPr>
          <w:rFonts w:ascii="Times New Roman" w:hAnsi="Times New Roman" w:cs="Times New Roman"/>
          <w:lang w:val="en-US"/>
        </w:rPr>
        <w:t xml:space="preserve"> “drug addiction means death” echoed in its current stance: “stand firm,</w:t>
      </w:r>
      <w:r w:rsidR="009D0837" w:rsidRPr="004C1796">
        <w:rPr>
          <w:rFonts w:ascii="Times New Roman" w:hAnsi="Times New Roman" w:cs="Times New Roman"/>
          <w:lang w:val="en-US"/>
        </w:rPr>
        <w:t xml:space="preserve"> knock drugs out</w:t>
      </w:r>
      <w:r w:rsidR="00C74CD1" w:rsidRPr="004C1796">
        <w:rPr>
          <w:rFonts w:ascii="Times New Roman" w:hAnsi="Times New Roman" w:cs="Times New Roman"/>
          <w:lang w:val="en-US"/>
        </w:rPr>
        <w:t>”</w:t>
      </w:r>
      <w:r w:rsidR="009D0837" w:rsidRPr="004C1796">
        <w:rPr>
          <w:rFonts w:ascii="Times New Roman" w:hAnsi="Times New Roman" w:cs="Times New Roman"/>
          <w:lang w:val="en-US"/>
        </w:rPr>
        <w:t xml:space="preserve"> (see Leung, 2010).</w:t>
      </w:r>
      <w:r w:rsidR="00C74CD1" w:rsidRPr="004C1796">
        <w:rPr>
          <w:rFonts w:ascii="Times New Roman" w:hAnsi="Times New Roman" w:cs="Times New Roman"/>
          <w:lang w:val="en-US"/>
        </w:rPr>
        <w:t xml:space="preserve"> Despite the government’s overall policy, there is</w:t>
      </w:r>
      <w:r w:rsidR="008A5055" w:rsidRPr="004C1796">
        <w:rPr>
          <w:rFonts w:ascii="Times New Roman" w:hAnsi="Times New Roman" w:cs="Times New Roman"/>
          <w:lang w:val="en-US"/>
        </w:rPr>
        <w:t xml:space="preserve"> however</w:t>
      </w:r>
      <w:r w:rsidR="00C74CD1" w:rsidRPr="004C1796">
        <w:rPr>
          <w:rFonts w:ascii="Times New Roman" w:hAnsi="Times New Roman" w:cs="Times New Roman"/>
          <w:lang w:val="en-US"/>
        </w:rPr>
        <w:t xml:space="preserve"> evidence to suggest that the </w:t>
      </w:r>
      <w:r w:rsidR="00D5244E" w:rsidRPr="004C1796">
        <w:rPr>
          <w:rFonts w:ascii="Times New Roman" w:hAnsi="Times New Roman" w:cs="Times New Roman"/>
          <w:lang w:val="en-US"/>
        </w:rPr>
        <w:t xml:space="preserve">courts have taken into account </w:t>
      </w:r>
      <w:r w:rsidR="00C74CD1" w:rsidRPr="004C1796">
        <w:rPr>
          <w:rFonts w:ascii="Times New Roman" w:hAnsi="Times New Roman" w:cs="Times New Roman"/>
          <w:lang w:val="en-US"/>
        </w:rPr>
        <w:t>the changing nature of the drug market, its consumers, and the ways in which young people obtain their drugs</w:t>
      </w:r>
      <w:r w:rsidR="00D5244E" w:rsidRPr="004C1796">
        <w:rPr>
          <w:rFonts w:ascii="Times New Roman" w:hAnsi="Times New Roman" w:cs="Times New Roman"/>
          <w:lang w:val="en-US"/>
        </w:rPr>
        <w:t xml:space="preserve"> through establishing separate </w:t>
      </w:r>
      <w:r w:rsidR="00AE6C28" w:rsidRPr="004C1796">
        <w:rPr>
          <w:rFonts w:ascii="Times New Roman" w:hAnsi="Times New Roman" w:cs="Times New Roman"/>
          <w:lang w:val="en-US"/>
        </w:rPr>
        <w:t xml:space="preserve">sentencing </w:t>
      </w:r>
      <w:r w:rsidR="00D5244E" w:rsidRPr="004C1796">
        <w:rPr>
          <w:rFonts w:ascii="Times New Roman" w:hAnsi="Times New Roman" w:cs="Times New Roman"/>
          <w:lang w:val="en-US"/>
        </w:rPr>
        <w:t>tariff bands for supply of different substances</w:t>
      </w:r>
      <w:r w:rsidR="00C74CD1" w:rsidRPr="004C1796">
        <w:rPr>
          <w:rFonts w:ascii="Times New Roman" w:hAnsi="Times New Roman" w:cs="Times New Roman"/>
          <w:lang w:val="en-US"/>
        </w:rPr>
        <w:t>.</w:t>
      </w:r>
      <w:r w:rsidR="00692A89" w:rsidRPr="004C1796">
        <w:rPr>
          <w:rFonts w:ascii="Times New Roman" w:hAnsi="Times New Roman" w:cs="Times New Roman"/>
          <w:lang w:val="en-US"/>
        </w:rPr>
        <w:t xml:space="preserve"> </w:t>
      </w:r>
    </w:p>
    <w:p w14:paraId="3A6BD49C" w14:textId="77777777" w:rsidR="003613DF" w:rsidRPr="004C1796" w:rsidRDefault="003613DF" w:rsidP="00805653">
      <w:pPr>
        <w:spacing w:line="360" w:lineRule="auto"/>
        <w:jc w:val="both"/>
        <w:rPr>
          <w:rFonts w:ascii="Times New Roman" w:hAnsi="Times New Roman" w:cs="Times New Roman"/>
        </w:rPr>
      </w:pPr>
    </w:p>
    <w:p w14:paraId="55C83080" w14:textId="77777777" w:rsidR="00BC717C" w:rsidRPr="004C1796" w:rsidRDefault="0063201D" w:rsidP="00E7752F">
      <w:pPr>
        <w:jc w:val="both"/>
        <w:outlineLvl w:val="0"/>
        <w:rPr>
          <w:rFonts w:ascii="Times New Roman" w:hAnsi="Times New Roman" w:cs="Times New Roman"/>
          <w:i/>
        </w:rPr>
      </w:pPr>
      <w:r w:rsidRPr="004C1796">
        <w:rPr>
          <w:rFonts w:ascii="Times New Roman" w:hAnsi="Times New Roman" w:cs="Times New Roman"/>
          <w:i/>
        </w:rPr>
        <w:t>Less Differentiated S</w:t>
      </w:r>
      <w:r w:rsidR="008E0A1E" w:rsidRPr="004C1796">
        <w:rPr>
          <w:rFonts w:ascii="Times New Roman" w:hAnsi="Times New Roman" w:cs="Times New Roman"/>
          <w:i/>
        </w:rPr>
        <w:t>ystems</w:t>
      </w:r>
      <w:r w:rsidR="00CD3D4B" w:rsidRPr="004C1796">
        <w:rPr>
          <w:rFonts w:ascii="Times New Roman" w:hAnsi="Times New Roman" w:cs="Times New Roman"/>
          <w:i/>
        </w:rPr>
        <w:t xml:space="preserve">: </w:t>
      </w:r>
      <w:r w:rsidR="00CD3D4B" w:rsidRPr="004C1796">
        <w:rPr>
          <w:rFonts w:ascii="Times New Roman" w:hAnsi="Times New Roman" w:cs="Times New Roman"/>
          <w:i/>
          <w:lang w:val="en-US"/>
        </w:rPr>
        <w:t>Discretion and Disparity.</w:t>
      </w:r>
    </w:p>
    <w:p w14:paraId="7BF97171" w14:textId="77777777" w:rsidR="008E0A1E" w:rsidRPr="004C1796" w:rsidRDefault="008E0A1E" w:rsidP="003613DF">
      <w:pPr>
        <w:jc w:val="both"/>
        <w:rPr>
          <w:rFonts w:ascii="Times New Roman" w:hAnsi="Times New Roman" w:cs="Times New Roman"/>
        </w:rPr>
      </w:pPr>
    </w:p>
    <w:p w14:paraId="2B81FF2D" w14:textId="77777777" w:rsidR="0024759D" w:rsidRPr="004C1796" w:rsidRDefault="003C7F55" w:rsidP="00CD3D4B">
      <w:pPr>
        <w:spacing w:line="360" w:lineRule="auto"/>
        <w:jc w:val="both"/>
        <w:rPr>
          <w:rFonts w:ascii="Times New Roman" w:hAnsi="Times New Roman" w:cs="Times New Roman"/>
          <w:lang w:val="en-US"/>
        </w:rPr>
      </w:pPr>
      <w:r w:rsidRPr="004C1796">
        <w:rPr>
          <w:rFonts w:ascii="Times New Roman" w:hAnsi="Times New Roman" w:cs="Times New Roman"/>
        </w:rPr>
        <w:t xml:space="preserve">Across Europe there is evidence of wide spectrum of </w:t>
      </w:r>
      <w:r w:rsidR="00FC252F" w:rsidRPr="004C1796">
        <w:rPr>
          <w:rFonts w:ascii="Times New Roman" w:hAnsi="Times New Roman" w:cs="Times New Roman"/>
        </w:rPr>
        <w:t xml:space="preserve">drug laws that deal with drug offences such as possession, supply and transportation in a range of ways. </w:t>
      </w:r>
      <w:r w:rsidR="00F82BCF" w:rsidRPr="004C1796">
        <w:rPr>
          <w:rFonts w:ascii="Times New Roman" w:hAnsi="Times New Roman" w:cs="Times New Roman"/>
          <w:color w:val="000000"/>
        </w:rPr>
        <w:t>Drug use</w:t>
      </w:r>
      <w:r w:rsidR="00B37EDB" w:rsidRPr="004C1796">
        <w:rPr>
          <w:rFonts w:ascii="Times New Roman" w:hAnsi="Times New Roman" w:cs="Times New Roman"/>
          <w:color w:val="000000"/>
        </w:rPr>
        <w:t>,</w:t>
      </w:r>
      <w:r w:rsidR="00F82BCF" w:rsidRPr="004C1796">
        <w:rPr>
          <w:rFonts w:ascii="Times New Roman" w:hAnsi="Times New Roman" w:cs="Times New Roman"/>
          <w:color w:val="000000"/>
        </w:rPr>
        <w:t xml:space="preserve"> </w:t>
      </w:r>
      <w:r w:rsidR="00FC252F" w:rsidRPr="004C1796">
        <w:rPr>
          <w:rFonts w:ascii="Times New Roman" w:hAnsi="Times New Roman" w:cs="Times New Roman"/>
          <w:color w:val="000000"/>
        </w:rPr>
        <w:t>for example</w:t>
      </w:r>
      <w:r w:rsidR="00B37EDB" w:rsidRPr="004C1796">
        <w:rPr>
          <w:rFonts w:ascii="Times New Roman" w:hAnsi="Times New Roman" w:cs="Times New Roman"/>
          <w:color w:val="000000"/>
        </w:rPr>
        <w:t>,</w:t>
      </w:r>
      <w:r w:rsidR="00FC252F" w:rsidRPr="004C1796">
        <w:rPr>
          <w:rFonts w:ascii="Times New Roman" w:hAnsi="Times New Roman" w:cs="Times New Roman"/>
          <w:color w:val="000000"/>
        </w:rPr>
        <w:t xml:space="preserve"> </w:t>
      </w:r>
      <w:r w:rsidR="00F82BCF" w:rsidRPr="004C1796">
        <w:rPr>
          <w:rFonts w:ascii="Times New Roman" w:hAnsi="Times New Roman" w:cs="Times New Roman"/>
          <w:color w:val="000000"/>
        </w:rPr>
        <w:t>is not an off</w:t>
      </w:r>
      <w:r w:rsidR="00496133" w:rsidRPr="004C1796">
        <w:rPr>
          <w:rFonts w:ascii="Times New Roman" w:hAnsi="Times New Roman" w:cs="Times New Roman"/>
          <w:color w:val="000000"/>
        </w:rPr>
        <w:t xml:space="preserve">ence in the Czech Republic, and possession of small quantities </w:t>
      </w:r>
      <w:r w:rsidR="00D10820" w:rsidRPr="004C1796">
        <w:rPr>
          <w:rFonts w:ascii="Times New Roman" w:hAnsi="Times New Roman" w:cs="Times New Roman"/>
          <w:color w:val="000000"/>
        </w:rPr>
        <w:t xml:space="preserve">of any drug </w:t>
      </w:r>
      <w:r w:rsidR="00496133" w:rsidRPr="004C1796">
        <w:rPr>
          <w:rFonts w:ascii="Times New Roman" w:hAnsi="Times New Roman" w:cs="Times New Roman"/>
          <w:color w:val="000000"/>
        </w:rPr>
        <w:t xml:space="preserve">for personal use is a non-criminal </w:t>
      </w:r>
      <w:r w:rsidR="00710BFD" w:rsidRPr="004C1796">
        <w:rPr>
          <w:rFonts w:ascii="Times New Roman" w:hAnsi="Times New Roman" w:cs="Times New Roman"/>
          <w:color w:val="000000"/>
        </w:rPr>
        <w:t xml:space="preserve">(administrative) </w:t>
      </w:r>
      <w:r w:rsidR="00496133" w:rsidRPr="004C1796">
        <w:rPr>
          <w:rFonts w:ascii="Times New Roman" w:hAnsi="Times New Roman" w:cs="Times New Roman"/>
          <w:color w:val="000000"/>
        </w:rPr>
        <w:t xml:space="preserve">offence under the Act of Violations, punishable by a </w:t>
      </w:r>
      <w:r w:rsidR="008A5347" w:rsidRPr="004C1796">
        <w:rPr>
          <w:rFonts w:ascii="Times New Roman" w:hAnsi="Times New Roman" w:cs="Times New Roman"/>
          <w:color w:val="000000"/>
        </w:rPr>
        <w:t>fi</w:t>
      </w:r>
      <w:r w:rsidR="00496133" w:rsidRPr="004C1796">
        <w:rPr>
          <w:rFonts w:ascii="Times New Roman" w:hAnsi="Times New Roman" w:cs="Times New Roman"/>
          <w:color w:val="000000"/>
        </w:rPr>
        <w:t>ne of up to CZK 15 000 (EUR 550)</w:t>
      </w:r>
      <w:r w:rsidR="008A5347" w:rsidRPr="004C1796">
        <w:rPr>
          <w:rFonts w:ascii="Times New Roman" w:hAnsi="Times New Roman" w:cs="Times New Roman"/>
          <w:color w:val="000000"/>
        </w:rPr>
        <w:t xml:space="preserve"> (EMCDDA, 2017</w:t>
      </w:r>
      <w:r w:rsidR="00B61E87" w:rsidRPr="004C1796">
        <w:rPr>
          <w:rFonts w:ascii="Times New Roman" w:hAnsi="Times New Roman" w:cs="Times New Roman"/>
          <w:color w:val="000000"/>
        </w:rPr>
        <w:t>c</w:t>
      </w:r>
      <w:r w:rsidR="008A5347" w:rsidRPr="004C1796">
        <w:rPr>
          <w:rFonts w:ascii="Times New Roman" w:hAnsi="Times New Roman" w:cs="Times New Roman"/>
          <w:color w:val="000000"/>
        </w:rPr>
        <w:t>)</w:t>
      </w:r>
      <w:r w:rsidR="00710BFD" w:rsidRPr="004C1796">
        <w:rPr>
          <w:rFonts w:ascii="Times New Roman" w:hAnsi="Times New Roman" w:cs="Times New Roman"/>
          <w:color w:val="000000"/>
        </w:rPr>
        <w:t>; this applies equally to cultivating cannabis for personal use in small amounts (Belackova &amp; Stefunkova, 2017). Still,</w:t>
      </w:r>
      <w:r w:rsidR="00496133" w:rsidRPr="004C1796">
        <w:rPr>
          <w:rFonts w:ascii="Times New Roman" w:hAnsi="Times New Roman" w:cs="Times New Roman"/>
          <w:color w:val="000000"/>
        </w:rPr>
        <w:t xml:space="preserve"> </w:t>
      </w:r>
      <w:r w:rsidR="00710BFD" w:rsidRPr="004C1796">
        <w:rPr>
          <w:rFonts w:ascii="Times New Roman" w:hAnsi="Times New Roman" w:cs="Times New Roman"/>
          <w:color w:val="000000"/>
        </w:rPr>
        <w:t>t</w:t>
      </w:r>
      <w:r w:rsidR="009F0B85" w:rsidRPr="004C1796">
        <w:rPr>
          <w:rFonts w:ascii="Times New Roman" w:hAnsi="Times New Roman" w:cs="Times New Roman"/>
          <w:color w:val="000000"/>
        </w:rPr>
        <w:t>he penalties for d</w:t>
      </w:r>
      <w:r w:rsidR="001151E5" w:rsidRPr="004C1796">
        <w:rPr>
          <w:rFonts w:ascii="Times New Roman" w:hAnsi="Times New Roman" w:cs="Times New Roman"/>
          <w:color w:val="000000"/>
        </w:rPr>
        <w:t>rug supply</w:t>
      </w:r>
      <w:r w:rsidR="009F0B85" w:rsidRPr="004C1796">
        <w:rPr>
          <w:rFonts w:ascii="Times New Roman" w:hAnsi="Times New Roman" w:cs="Times New Roman"/>
          <w:color w:val="000000"/>
        </w:rPr>
        <w:t xml:space="preserve"> </w:t>
      </w:r>
      <w:r w:rsidR="00B37EDB" w:rsidRPr="004C1796">
        <w:rPr>
          <w:rFonts w:ascii="Times New Roman" w:hAnsi="Times New Roman" w:cs="Times New Roman"/>
          <w:color w:val="000000"/>
        </w:rPr>
        <w:t>range</w:t>
      </w:r>
      <w:r w:rsidR="000537C4" w:rsidRPr="004C1796">
        <w:rPr>
          <w:rFonts w:ascii="Times New Roman" w:hAnsi="Times New Roman" w:cs="Times New Roman"/>
          <w:color w:val="000000"/>
        </w:rPr>
        <w:t xml:space="preserve"> </w:t>
      </w:r>
      <w:r w:rsidR="00496133" w:rsidRPr="004C1796">
        <w:rPr>
          <w:rFonts w:ascii="Times New Roman" w:hAnsi="Times New Roman" w:cs="Times New Roman"/>
          <w:color w:val="000000"/>
        </w:rPr>
        <w:t>from 1-5 to years to 10-</w:t>
      </w:r>
      <w:r w:rsidR="00C239DD" w:rsidRPr="004C1796">
        <w:rPr>
          <w:rFonts w:ascii="Times New Roman" w:hAnsi="Times New Roman" w:cs="Times New Roman"/>
          <w:color w:val="000000"/>
        </w:rPr>
        <w:t>18 years of imprisonment, depending on various specified aggravating circumstances</w:t>
      </w:r>
      <w:r w:rsidR="000537C4" w:rsidRPr="004C1796">
        <w:rPr>
          <w:rFonts w:ascii="Times New Roman" w:hAnsi="Times New Roman" w:cs="Times New Roman"/>
          <w:color w:val="000000"/>
        </w:rPr>
        <w:t xml:space="preserve"> including</w:t>
      </w:r>
      <w:r w:rsidR="00BC717C" w:rsidRPr="004C1796">
        <w:rPr>
          <w:rFonts w:ascii="Times New Roman" w:hAnsi="Times New Roman" w:cs="Times New Roman"/>
        </w:rPr>
        <w:t xml:space="preserve">, frequency of offending, duration of offending and the way the substance had been handled. </w:t>
      </w:r>
      <w:r w:rsidR="000537C4" w:rsidRPr="004C1796">
        <w:rPr>
          <w:rFonts w:ascii="Times New Roman" w:hAnsi="Times New Roman" w:cs="Times New Roman"/>
        </w:rPr>
        <w:t>T</w:t>
      </w:r>
      <w:r w:rsidR="00BC717C" w:rsidRPr="004C1796">
        <w:rPr>
          <w:rFonts w:ascii="Times New Roman" w:hAnsi="Times New Roman" w:cs="Times New Roman"/>
        </w:rPr>
        <w:t>he financial value</w:t>
      </w:r>
      <w:r w:rsidR="000537C4" w:rsidRPr="004C1796">
        <w:rPr>
          <w:rFonts w:ascii="Times New Roman" w:hAnsi="Times New Roman" w:cs="Times New Roman"/>
        </w:rPr>
        <w:t xml:space="preserve"> of the transaction</w:t>
      </w:r>
      <w:r w:rsidR="00BC717C" w:rsidRPr="004C1796">
        <w:rPr>
          <w:rFonts w:ascii="Times New Roman" w:hAnsi="Times New Roman" w:cs="Times New Roman"/>
        </w:rPr>
        <w:t>, and notab</w:t>
      </w:r>
      <w:r w:rsidR="000537C4" w:rsidRPr="004C1796">
        <w:rPr>
          <w:rFonts w:ascii="Times New Roman" w:hAnsi="Times New Roman" w:cs="Times New Roman"/>
        </w:rPr>
        <w:t>ly the financial gain or profit</w:t>
      </w:r>
      <w:r w:rsidR="00BC717C" w:rsidRPr="004C1796">
        <w:rPr>
          <w:rFonts w:ascii="Times New Roman" w:hAnsi="Times New Roman" w:cs="Times New Roman"/>
        </w:rPr>
        <w:t xml:space="preserve"> are </w:t>
      </w:r>
      <w:r w:rsidR="000537C4" w:rsidRPr="004C1796">
        <w:rPr>
          <w:rFonts w:ascii="Times New Roman" w:hAnsi="Times New Roman" w:cs="Times New Roman"/>
        </w:rPr>
        <w:t xml:space="preserve">also </w:t>
      </w:r>
      <w:r w:rsidR="00BC717C" w:rsidRPr="004C1796">
        <w:rPr>
          <w:rFonts w:ascii="Times New Roman" w:hAnsi="Times New Roman" w:cs="Times New Roman"/>
        </w:rPr>
        <w:t>taken into account as well as the number of individuals who had been affected by offending (e.g. the number of individuals the person sold the drug to)</w:t>
      </w:r>
      <w:r w:rsidR="00B7599F" w:rsidRPr="004C1796">
        <w:rPr>
          <w:rFonts w:ascii="Times New Roman" w:hAnsi="Times New Roman" w:cs="Times New Roman"/>
        </w:rPr>
        <w:t xml:space="preserve"> </w:t>
      </w:r>
      <w:r w:rsidR="00BC717C" w:rsidRPr="004C1796">
        <w:rPr>
          <w:rFonts w:ascii="Times New Roman" w:hAnsi="Times New Roman" w:cs="Times New Roman"/>
        </w:rPr>
        <w:fldChar w:fldCharType="begin"/>
      </w:r>
      <w:r w:rsidR="00BC717C" w:rsidRPr="004C1796">
        <w:rPr>
          <w:rFonts w:ascii="Times New Roman" w:hAnsi="Times New Roman" w:cs="Times New Roman"/>
        </w:rPr>
        <w:instrText xml:space="preserve"> ADDIN EN.CITE &lt;EndNote&gt;&lt;Cite&gt;&lt;Author&gt;Zeman&lt;/Author&gt;&lt;Year&gt;2015&lt;/Year&gt;&lt;RecNum&gt;1114&lt;/RecNum&gt;&lt;DisplayText&gt;(Zeman, Stefunkova, &amp;amp; Travnickova, 2015)&lt;/DisplayText&gt;&lt;record&gt;&lt;rec-number&gt;1114&lt;/rec-number&gt;&lt;foreign-keys&gt;&lt;key app="EN" db-id="05st225pxarstqevtvexxfvuef9s0wrdxwer" timestamp="1480046173"&gt;1114&lt;/key&gt;&lt;/foreign-keys&gt;&lt;ref-type name="Report"&gt;27&lt;/ref-type&gt;&lt;contributors&gt;&lt;authors&gt;&lt;author&gt;Zeman, P.&lt;/author&gt;&lt;author&gt;Stefunkova, M.&lt;/author&gt;&lt;author&gt;Travnickova, I.&lt;/author&gt;&lt;/authors&gt;&lt;/contributors&gt;&lt;titles&gt;&lt;title&gt;Drogova kriminalita [Illicit Drug Criminality]&lt;/title&gt;&lt;/titles&gt;&lt;keywords&gt;&lt;keyword&gt;užívání drog, prevalence, postoje, názory, výzkum, průzkum, studie, factum invenio, iksp, legislativa&lt;/keyword&gt;&lt;/keywords&gt;&lt;dates&gt;&lt;year&gt;2015&lt;/year&gt;&lt;pub-dates&gt;&lt;date&gt;2015&lt;/date&gt;&lt;/pub-dates&gt;&lt;/dates&gt;&lt;pub-location&gt;Praha&lt;/pub-location&gt;&lt;publisher&gt;Institute for Criminology and Social Prevention&lt;/publisher&gt;&lt;urls&gt;&lt;related-urls&gt;&lt;url&gt;http://www.ok.cz/iksp/docs/387.pdf&lt;/url&gt;&lt;/related-urls&gt;&lt;/urls&gt;&lt;/record&gt;&lt;/Cite&gt;&lt;/EndNote&gt;</w:instrText>
      </w:r>
      <w:r w:rsidR="00BC717C" w:rsidRPr="004C1796">
        <w:rPr>
          <w:rFonts w:ascii="Times New Roman" w:hAnsi="Times New Roman" w:cs="Times New Roman"/>
        </w:rPr>
        <w:fldChar w:fldCharType="separate"/>
      </w:r>
      <w:r w:rsidR="00BC717C" w:rsidRPr="004C1796">
        <w:rPr>
          <w:rFonts w:ascii="Times New Roman" w:hAnsi="Times New Roman" w:cs="Times New Roman"/>
          <w:noProof/>
        </w:rPr>
        <w:t>(Zeman, Stefunkova, &amp; Travnickova, 2015)</w:t>
      </w:r>
      <w:r w:rsidR="00BC717C" w:rsidRPr="004C1796">
        <w:rPr>
          <w:rFonts w:ascii="Times New Roman" w:hAnsi="Times New Roman" w:cs="Times New Roman"/>
        </w:rPr>
        <w:fldChar w:fldCharType="end"/>
      </w:r>
      <w:r w:rsidR="00BC717C" w:rsidRPr="004C1796">
        <w:rPr>
          <w:rFonts w:ascii="Times New Roman" w:hAnsi="Times New Roman" w:cs="Times New Roman"/>
        </w:rPr>
        <w:t>.</w:t>
      </w:r>
      <w:r w:rsidR="000011C7" w:rsidRPr="004C1796">
        <w:rPr>
          <w:rFonts w:ascii="Times New Roman" w:hAnsi="Times New Roman" w:cs="Times New Roman"/>
        </w:rPr>
        <w:t xml:space="preserve"> Finland provides an example of a context in which supply differentiation is absent due </w:t>
      </w:r>
      <w:r w:rsidR="00252629" w:rsidRPr="004C1796">
        <w:rPr>
          <w:rFonts w:ascii="Times New Roman" w:hAnsi="Times New Roman" w:cs="Times New Roman"/>
        </w:rPr>
        <w:t xml:space="preserve">to </w:t>
      </w:r>
      <w:r w:rsidR="000011C7" w:rsidRPr="004C1796">
        <w:rPr>
          <w:rFonts w:ascii="Times New Roman" w:hAnsi="Times New Roman" w:cs="Times New Roman"/>
        </w:rPr>
        <w:t xml:space="preserve">there being </w:t>
      </w:r>
      <w:r w:rsidR="000537C4" w:rsidRPr="004C1796">
        <w:rPr>
          <w:rFonts w:ascii="Times New Roman" w:hAnsi="Times New Roman" w:cs="Times New Roman"/>
        </w:rPr>
        <w:t>‘</w:t>
      </w:r>
      <w:r w:rsidR="00FC252F" w:rsidRPr="004C1796">
        <w:rPr>
          <w:rFonts w:ascii="Times New Roman" w:eastAsia="Times New Roman" w:hAnsi="Times New Roman" w:cs="Times New Roman"/>
          <w:i/>
          <w:lang w:eastAsia="en-GB"/>
        </w:rPr>
        <w:t>no specific offence of dealing or trafficking</w:t>
      </w:r>
      <w:r w:rsidR="000537C4" w:rsidRPr="004C1796">
        <w:rPr>
          <w:rFonts w:ascii="Times New Roman" w:eastAsia="Times New Roman" w:hAnsi="Times New Roman" w:cs="Times New Roman"/>
          <w:i/>
          <w:lang w:eastAsia="en-GB"/>
        </w:rPr>
        <w:t>’</w:t>
      </w:r>
      <w:r w:rsidR="005F1C4D" w:rsidRPr="004C1796">
        <w:rPr>
          <w:rFonts w:ascii="Times New Roman" w:eastAsia="Times New Roman" w:hAnsi="Times New Roman" w:cs="Times New Roman"/>
          <w:i/>
          <w:lang w:eastAsia="en-GB"/>
        </w:rPr>
        <w:t xml:space="preserve"> </w:t>
      </w:r>
      <w:r w:rsidR="005F1C4D" w:rsidRPr="004C1796">
        <w:rPr>
          <w:rFonts w:ascii="Times New Roman" w:eastAsia="Times New Roman" w:hAnsi="Times New Roman" w:cs="Times New Roman"/>
          <w:lang w:eastAsia="en-GB"/>
        </w:rPr>
        <w:t>(EMCDDA</w:t>
      </w:r>
      <w:r w:rsidR="009139BA" w:rsidRPr="004C1796">
        <w:rPr>
          <w:rFonts w:ascii="Times New Roman" w:eastAsia="Times New Roman" w:hAnsi="Times New Roman" w:cs="Times New Roman"/>
          <w:lang w:eastAsia="en-GB"/>
        </w:rPr>
        <w:t>,</w:t>
      </w:r>
      <w:r w:rsidR="005F1C4D" w:rsidRPr="004C1796">
        <w:rPr>
          <w:rFonts w:ascii="Times New Roman" w:eastAsia="Times New Roman" w:hAnsi="Times New Roman" w:cs="Times New Roman"/>
          <w:lang w:eastAsia="en-GB"/>
        </w:rPr>
        <w:t xml:space="preserve"> 2017</w:t>
      </w:r>
      <w:r w:rsidR="00B61E87" w:rsidRPr="004C1796">
        <w:rPr>
          <w:rFonts w:ascii="Times New Roman" w:eastAsia="Times New Roman" w:hAnsi="Times New Roman" w:cs="Times New Roman"/>
          <w:lang w:eastAsia="en-GB"/>
        </w:rPr>
        <w:t>d</w:t>
      </w:r>
      <w:r w:rsidR="005F1C4D" w:rsidRPr="004C1796">
        <w:rPr>
          <w:rFonts w:ascii="Times New Roman" w:eastAsia="Times New Roman" w:hAnsi="Times New Roman" w:cs="Times New Roman"/>
          <w:lang w:eastAsia="en-GB"/>
        </w:rPr>
        <w:t>)</w:t>
      </w:r>
      <w:r w:rsidR="003C759B" w:rsidRPr="004C1796">
        <w:rPr>
          <w:rFonts w:ascii="Times New Roman" w:eastAsia="Times New Roman" w:hAnsi="Times New Roman" w:cs="Times New Roman"/>
          <w:lang w:eastAsia="en-GB"/>
        </w:rPr>
        <w:t xml:space="preserve"> -</w:t>
      </w:r>
      <w:r w:rsidR="005F1C4D" w:rsidRPr="004C1796">
        <w:rPr>
          <w:rFonts w:ascii="Times New Roman" w:eastAsia="Times New Roman" w:hAnsi="Times New Roman" w:cs="Times New Roman"/>
          <w:lang w:eastAsia="en-GB"/>
        </w:rPr>
        <w:t xml:space="preserve"> with drug offences being split within the categories of ‘drug user offence’, ‘drug offence’ and ‘aggravated drug offence’.</w:t>
      </w:r>
      <w:r w:rsidR="00FC252F" w:rsidRPr="004C1796">
        <w:rPr>
          <w:rFonts w:ascii="Times New Roman" w:eastAsia="Times New Roman" w:hAnsi="Times New Roman" w:cs="Times New Roman"/>
          <w:lang w:eastAsia="en-GB"/>
        </w:rPr>
        <w:t xml:space="preserve"> The penalties for a </w:t>
      </w:r>
      <w:r w:rsidR="000011C7" w:rsidRPr="004C1796">
        <w:rPr>
          <w:rFonts w:ascii="Times New Roman" w:eastAsia="Times New Roman" w:hAnsi="Times New Roman" w:cs="Times New Roman"/>
          <w:lang w:eastAsia="en-GB"/>
        </w:rPr>
        <w:t>‘drug user offence’ begin from a fine to six month</w:t>
      </w:r>
      <w:r w:rsidR="00AE45DD" w:rsidRPr="004C1796">
        <w:rPr>
          <w:rFonts w:ascii="Times New Roman" w:eastAsia="Times New Roman" w:hAnsi="Times New Roman" w:cs="Times New Roman"/>
          <w:lang w:eastAsia="en-GB"/>
        </w:rPr>
        <w:t>’</w:t>
      </w:r>
      <w:r w:rsidR="000011C7" w:rsidRPr="004C1796">
        <w:rPr>
          <w:rFonts w:ascii="Times New Roman" w:eastAsia="Times New Roman" w:hAnsi="Times New Roman" w:cs="Times New Roman"/>
          <w:lang w:eastAsia="en-GB"/>
        </w:rPr>
        <w:t>s imprisonment, while a ‘</w:t>
      </w:r>
      <w:r w:rsidR="00FC252F" w:rsidRPr="004C1796">
        <w:rPr>
          <w:rFonts w:ascii="Times New Roman" w:eastAsia="Times New Roman" w:hAnsi="Times New Roman" w:cs="Times New Roman"/>
          <w:lang w:eastAsia="en-GB"/>
        </w:rPr>
        <w:t>drug offence range</w:t>
      </w:r>
      <w:r w:rsidR="000011C7" w:rsidRPr="004C1796">
        <w:rPr>
          <w:rFonts w:ascii="Times New Roman" w:eastAsia="Times New Roman" w:hAnsi="Times New Roman" w:cs="Times New Roman"/>
          <w:lang w:eastAsia="en-GB"/>
        </w:rPr>
        <w:t>s</w:t>
      </w:r>
      <w:r w:rsidR="00FC252F" w:rsidRPr="004C1796">
        <w:rPr>
          <w:rFonts w:ascii="Times New Roman" w:eastAsia="Times New Roman" w:hAnsi="Times New Roman" w:cs="Times New Roman"/>
          <w:lang w:eastAsia="en-GB"/>
        </w:rPr>
        <w:t xml:space="preserve"> from a fine to a </w:t>
      </w:r>
      <w:r w:rsidR="00FC252F" w:rsidRPr="004C1796">
        <w:rPr>
          <w:rFonts w:ascii="Times New Roman" w:eastAsia="Times New Roman" w:hAnsi="Times New Roman" w:cs="Times New Roman"/>
          <w:lang w:eastAsia="en-GB"/>
        </w:rPr>
        <w:lastRenderedPageBreak/>
        <w:t>maxi</w:t>
      </w:r>
      <w:r w:rsidR="000011C7" w:rsidRPr="004C1796">
        <w:rPr>
          <w:rFonts w:ascii="Times New Roman" w:eastAsia="Times New Roman" w:hAnsi="Times New Roman" w:cs="Times New Roman"/>
          <w:lang w:eastAsia="en-GB"/>
        </w:rPr>
        <w:t>mum of two years’ imprisonment, and an ‘</w:t>
      </w:r>
      <w:r w:rsidR="00FC252F" w:rsidRPr="004C1796">
        <w:rPr>
          <w:rFonts w:ascii="Times New Roman" w:eastAsia="Times New Roman" w:hAnsi="Times New Roman" w:cs="Times New Roman"/>
          <w:lang w:eastAsia="en-GB"/>
        </w:rPr>
        <w:t>aggravated drug offence</w:t>
      </w:r>
      <w:r w:rsidR="000011C7" w:rsidRPr="004C1796">
        <w:rPr>
          <w:rFonts w:ascii="Times New Roman" w:eastAsia="Times New Roman" w:hAnsi="Times New Roman" w:cs="Times New Roman"/>
          <w:lang w:eastAsia="en-GB"/>
        </w:rPr>
        <w:t>’</w:t>
      </w:r>
      <w:r w:rsidR="00FC252F" w:rsidRPr="004C1796">
        <w:rPr>
          <w:rFonts w:ascii="Times New Roman" w:eastAsia="Times New Roman" w:hAnsi="Times New Roman" w:cs="Times New Roman"/>
          <w:lang w:eastAsia="en-GB"/>
        </w:rPr>
        <w:t xml:space="preserve"> </w:t>
      </w:r>
      <w:r w:rsidR="00252629" w:rsidRPr="004C1796">
        <w:rPr>
          <w:rFonts w:ascii="Times New Roman" w:eastAsia="Times New Roman" w:hAnsi="Times New Roman" w:cs="Times New Roman"/>
          <w:lang w:eastAsia="en-GB"/>
        </w:rPr>
        <w:t xml:space="preserve">to be </w:t>
      </w:r>
      <w:r w:rsidR="00FC252F" w:rsidRPr="004C1796">
        <w:rPr>
          <w:rFonts w:ascii="Times New Roman" w:eastAsia="Times New Roman" w:hAnsi="Times New Roman" w:cs="Times New Roman"/>
          <w:lang w:eastAsia="en-GB"/>
        </w:rPr>
        <w:t xml:space="preserve">punishable by 1-10 years’ imprisonment. Aggravating circumstances for a drug offence include the involvement of substances considered as ‘very dangerous’; </w:t>
      </w:r>
      <w:r w:rsidR="00FA5E75" w:rsidRPr="004C1796">
        <w:rPr>
          <w:rFonts w:ascii="Times New Roman" w:hAnsi="Times New Roman" w:cs="Times New Roman"/>
          <w:lang w:val="en-US"/>
        </w:rPr>
        <w:t>if substan</w:t>
      </w:r>
      <w:r w:rsidR="005F1C4D" w:rsidRPr="004C1796">
        <w:rPr>
          <w:rFonts w:ascii="Times New Roman" w:hAnsi="Times New Roman" w:cs="Times New Roman"/>
          <w:lang w:val="en-US"/>
        </w:rPr>
        <w:t>tial financial profit is sought;</w:t>
      </w:r>
      <w:r w:rsidR="00FA5E75" w:rsidRPr="004C1796">
        <w:rPr>
          <w:rFonts w:ascii="Times New Roman" w:hAnsi="Times New Roman" w:cs="Times New Roman"/>
          <w:lang w:val="en-US"/>
        </w:rPr>
        <w:t xml:space="preserve"> </w:t>
      </w:r>
      <w:r w:rsidR="003C759B" w:rsidRPr="004C1796">
        <w:rPr>
          <w:rFonts w:ascii="Times New Roman" w:hAnsi="Times New Roman" w:cs="Times New Roman"/>
          <w:lang w:val="en-US"/>
        </w:rPr>
        <w:t xml:space="preserve">if </w:t>
      </w:r>
      <w:r w:rsidR="00FA5E75" w:rsidRPr="004C1796">
        <w:rPr>
          <w:rFonts w:ascii="Times New Roman" w:hAnsi="Times New Roman" w:cs="Times New Roman"/>
          <w:lang w:val="en-US"/>
        </w:rPr>
        <w:t>the offender act</w:t>
      </w:r>
      <w:r w:rsidR="005F1C4D" w:rsidRPr="004C1796">
        <w:rPr>
          <w:rFonts w:ascii="Times New Roman" w:hAnsi="Times New Roman" w:cs="Times New Roman"/>
          <w:lang w:val="en-US"/>
        </w:rPr>
        <w:t>s as part of an organized group;</w:t>
      </w:r>
      <w:r w:rsidR="00FA5E75" w:rsidRPr="004C1796">
        <w:rPr>
          <w:rFonts w:ascii="Times New Roman" w:hAnsi="Times New Roman" w:cs="Times New Roman"/>
          <w:lang w:val="en-US"/>
        </w:rPr>
        <w:t xml:space="preserve"> </w:t>
      </w:r>
      <w:r w:rsidR="003C759B" w:rsidRPr="004C1796">
        <w:rPr>
          <w:rFonts w:ascii="Times New Roman" w:hAnsi="Times New Roman" w:cs="Times New Roman"/>
          <w:lang w:val="en-US"/>
        </w:rPr>
        <w:t xml:space="preserve">if </w:t>
      </w:r>
      <w:r w:rsidR="00FA5E75" w:rsidRPr="004C1796">
        <w:rPr>
          <w:rFonts w:ascii="Times New Roman" w:hAnsi="Times New Roman" w:cs="Times New Roman"/>
          <w:lang w:val="en-US"/>
        </w:rPr>
        <w:t>the offence causes severe danger for the health or life of several people, or the drugs are distributed to minors or otherwise in an unscrupu</w:t>
      </w:r>
      <w:r w:rsidR="003C759B" w:rsidRPr="004C1796">
        <w:rPr>
          <w:rFonts w:ascii="Times New Roman" w:hAnsi="Times New Roman" w:cs="Times New Roman"/>
          <w:lang w:val="en-US"/>
        </w:rPr>
        <w:t xml:space="preserve">lous manner </w:t>
      </w:r>
      <w:r w:rsidR="005F1C4D" w:rsidRPr="004C1796">
        <w:rPr>
          <w:rFonts w:ascii="Times New Roman" w:hAnsi="Times New Roman" w:cs="Times New Roman"/>
          <w:lang w:val="en-US"/>
        </w:rPr>
        <w:t>(Kainulainen, 2006</w:t>
      </w:r>
      <w:r w:rsidR="00FA5E75" w:rsidRPr="004C1796">
        <w:rPr>
          <w:rFonts w:ascii="Times New Roman" w:hAnsi="Times New Roman" w:cs="Times New Roman"/>
          <w:lang w:val="en-US"/>
        </w:rPr>
        <w:t>)</w:t>
      </w:r>
      <w:r w:rsidR="005F1C4D" w:rsidRPr="004C1796">
        <w:rPr>
          <w:rFonts w:ascii="Times New Roman" w:hAnsi="Times New Roman" w:cs="Times New Roman"/>
          <w:lang w:val="en-US"/>
        </w:rPr>
        <w:t>.</w:t>
      </w:r>
      <w:r w:rsidR="00A04D5D" w:rsidRPr="004C1796">
        <w:rPr>
          <w:rFonts w:ascii="Times New Roman" w:hAnsi="Times New Roman" w:cs="Times New Roman"/>
          <w:lang w:val="en-US"/>
        </w:rPr>
        <w:t xml:space="preserve"> Like Finland, Belgium also </w:t>
      </w:r>
      <w:r w:rsidR="00626DD3" w:rsidRPr="004C1796">
        <w:rPr>
          <w:rFonts w:ascii="Times New Roman" w:hAnsi="Times New Roman" w:cs="Times New Roman"/>
          <w:lang w:val="en-US"/>
        </w:rPr>
        <w:t xml:space="preserve">harnesses ‘aggravating circumstances’ as a means of </w:t>
      </w:r>
      <w:r w:rsidR="00192898" w:rsidRPr="004C1796">
        <w:rPr>
          <w:rFonts w:ascii="Times New Roman" w:hAnsi="Times New Roman" w:cs="Times New Roman"/>
          <w:lang w:val="en-US"/>
        </w:rPr>
        <w:t>distinguishing between supply sentences of more and lesser seriousness.</w:t>
      </w:r>
      <w:r w:rsidR="001271CC" w:rsidRPr="004C1796">
        <w:rPr>
          <w:rFonts w:ascii="Times New Roman" w:hAnsi="Times New Roman" w:cs="Times New Roman"/>
          <w:lang w:val="en-US"/>
        </w:rPr>
        <w:t xml:space="preserve"> F</w:t>
      </w:r>
      <w:r w:rsidR="00A04D5D" w:rsidRPr="004C1796">
        <w:rPr>
          <w:rFonts w:ascii="Times New Roman" w:eastAsia="Times New Roman" w:hAnsi="Times New Roman" w:cs="Times New Roman"/>
          <w:lang w:eastAsia="en-GB"/>
        </w:rPr>
        <w:t xml:space="preserve">or drugs other than cannabis, Belgian law punishes possession, production, import, export or sale without aggravating circumstances with three months’ to five years’ imprisonment </w:t>
      </w:r>
      <w:r w:rsidR="0031562D" w:rsidRPr="004C1796">
        <w:rPr>
          <w:rFonts w:ascii="Times New Roman" w:eastAsia="Times New Roman" w:hAnsi="Times New Roman" w:cs="Times New Roman"/>
          <w:lang w:eastAsia="en-GB"/>
        </w:rPr>
        <w:t xml:space="preserve">with the potential for the term to be </w:t>
      </w:r>
      <w:r w:rsidR="00A04D5D" w:rsidRPr="004C1796">
        <w:rPr>
          <w:rFonts w:ascii="Times New Roman" w:eastAsia="Times New Roman" w:hAnsi="Times New Roman" w:cs="Times New Roman"/>
          <w:lang w:eastAsia="en-GB"/>
        </w:rPr>
        <w:t>in</w:t>
      </w:r>
      <w:r w:rsidR="0031562D" w:rsidRPr="004C1796">
        <w:rPr>
          <w:rFonts w:ascii="Times New Roman" w:eastAsia="Times New Roman" w:hAnsi="Times New Roman" w:cs="Times New Roman"/>
          <w:lang w:eastAsia="en-GB"/>
        </w:rPr>
        <w:t xml:space="preserve">creased to 15 or even 20 years </w:t>
      </w:r>
      <w:r w:rsidR="00A04D5D" w:rsidRPr="004C1796">
        <w:rPr>
          <w:rFonts w:ascii="Times New Roman" w:eastAsia="Times New Roman" w:hAnsi="Times New Roman" w:cs="Times New Roman"/>
          <w:lang w:eastAsia="en-GB"/>
        </w:rPr>
        <w:t>in various specified aggravating circumstances</w:t>
      </w:r>
      <w:r w:rsidR="00B851ED" w:rsidRPr="004C1796">
        <w:rPr>
          <w:rFonts w:ascii="Times New Roman" w:eastAsia="Times New Roman" w:hAnsi="Times New Roman" w:cs="Times New Roman"/>
          <w:lang w:eastAsia="en-GB"/>
        </w:rPr>
        <w:t xml:space="preserve"> (EMCDDA, 2017</w:t>
      </w:r>
      <w:r w:rsidR="00B61E87" w:rsidRPr="004C1796">
        <w:rPr>
          <w:rFonts w:ascii="Times New Roman" w:eastAsia="Times New Roman" w:hAnsi="Times New Roman" w:cs="Times New Roman"/>
          <w:lang w:eastAsia="en-GB"/>
        </w:rPr>
        <w:t>b</w:t>
      </w:r>
      <w:r w:rsidR="00B851ED" w:rsidRPr="004C1796">
        <w:rPr>
          <w:rFonts w:ascii="Times New Roman" w:eastAsia="Times New Roman" w:hAnsi="Times New Roman" w:cs="Times New Roman"/>
          <w:lang w:eastAsia="en-GB"/>
        </w:rPr>
        <w:t>).</w:t>
      </w:r>
    </w:p>
    <w:p w14:paraId="35273664" w14:textId="77777777" w:rsidR="000718A7" w:rsidRPr="004C1796" w:rsidRDefault="000718A7" w:rsidP="000718A7">
      <w:pPr>
        <w:spacing w:line="360" w:lineRule="auto"/>
        <w:jc w:val="both"/>
        <w:rPr>
          <w:rFonts w:ascii="Times New Roman" w:hAnsi="Times New Roman" w:cs="Times New Roman"/>
          <w:lang w:val="en-US"/>
        </w:rPr>
      </w:pPr>
    </w:p>
    <w:p w14:paraId="3C5E7A63" w14:textId="77777777" w:rsidR="001271CC" w:rsidRPr="004C1796" w:rsidRDefault="005F1C4D" w:rsidP="00132DA0">
      <w:pPr>
        <w:spacing w:line="360" w:lineRule="auto"/>
        <w:jc w:val="both"/>
        <w:rPr>
          <w:rFonts w:ascii="Times New Roman" w:hAnsi="Times New Roman" w:cs="Times New Roman"/>
          <w:lang w:val="en-US"/>
        </w:rPr>
      </w:pPr>
      <w:r w:rsidRPr="004C1796">
        <w:rPr>
          <w:rFonts w:ascii="Times New Roman" w:hAnsi="Times New Roman" w:cs="Times New Roman"/>
          <w:lang w:val="en-US"/>
        </w:rPr>
        <w:t xml:space="preserve">In the Netherlands, there is no legislative framework for formally differentiating between different gravities of supply offences and </w:t>
      </w:r>
      <w:r w:rsidRPr="004C1796">
        <w:rPr>
          <w:rFonts w:ascii="Times New Roman" w:eastAsia="Times New Roman" w:hAnsi="Times New Roman" w:cs="Times New Roman"/>
        </w:rPr>
        <w:t>T</w:t>
      </w:r>
      <w:r w:rsidR="00E47912" w:rsidRPr="004C1796">
        <w:rPr>
          <w:rFonts w:ascii="Times New Roman" w:eastAsia="Times New Roman" w:hAnsi="Times New Roman" w:cs="Times New Roman"/>
        </w:rPr>
        <w:t>h</w:t>
      </w:r>
      <w:r w:rsidR="00E47912" w:rsidRPr="004C1796">
        <w:rPr>
          <w:rFonts w:ascii="Times New Roman" w:hAnsi="Times New Roman" w:cs="Times New Roman"/>
          <w:color w:val="000000"/>
        </w:rPr>
        <w:t>e Opium Act</w:t>
      </w:r>
      <w:r w:rsidR="00353EA1" w:rsidRPr="004C1796">
        <w:rPr>
          <w:rFonts w:ascii="Times New Roman" w:hAnsi="Times New Roman" w:cs="Times New Roman"/>
          <w:color w:val="000000"/>
        </w:rPr>
        <w:t xml:space="preserve"> (1976)</w:t>
      </w:r>
      <w:r w:rsidR="00E47912" w:rsidRPr="004C1796">
        <w:rPr>
          <w:rFonts w:ascii="Times New Roman" w:hAnsi="Times New Roman" w:cs="Times New Roman"/>
          <w:color w:val="000000"/>
        </w:rPr>
        <w:t xml:space="preserve"> sets out that supplying drugs (possession, cultivation or manufacture, import or export) is punishable, depending on the quantity and type of drug involved, by up to 12 y</w:t>
      </w:r>
      <w:r w:rsidR="00B61E87" w:rsidRPr="004C1796">
        <w:rPr>
          <w:rFonts w:ascii="Times New Roman" w:hAnsi="Times New Roman" w:cs="Times New Roman"/>
          <w:color w:val="000000"/>
        </w:rPr>
        <w:t>ears’ imprisonment (EMCDDA, 2017f</w:t>
      </w:r>
      <w:r w:rsidR="00E47912" w:rsidRPr="004C1796">
        <w:rPr>
          <w:rFonts w:ascii="Times New Roman" w:hAnsi="Times New Roman" w:cs="Times New Roman"/>
          <w:color w:val="000000"/>
        </w:rPr>
        <w:t xml:space="preserve">). </w:t>
      </w:r>
      <w:r w:rsidR="00353EA1" w:rsidRPr="004C1796">
        <w:rPr>
          <w:rFonts w:ascii="Times New Roman" w:hAnsi="Times New Roman" w:cs="Times New Roman"/>
          <w:color w:val="000000"/>
        </w:rPr>
        <w:t xml:space="preserve">Much like the system used prior to the implementation of sentencing guidelines in </w:t>
      </w:r>
      <w:r w:rsidR="007F2D52" w:rsidRPr="004C1796">
        <w:rPr>
          <w:rFonts w:ascii="Times New Roman" w:hAnsi="Times New Roman" w:cs="Times New Roman"/>
          <w:color w:val="000000"/>
        </w:rPr>
        <w:t xml:space="preserve">the UK </w:t>
      </w:r>
      <w:r w:rsidR="00776AB9" w:rsidRPr="004C1796">
        <w:rPr>
          <w:rFonts w:ascii="Times New Roman" w:hAnsi="Times New Roman" w:cs="Times New Roman"/>
          <w:color w:val="000000"/>
        </w:rPr>
        <w:t>(2012)</w:t>
      </w:r>
      <w:r w:rsidR="00353EA1" w:rsidRPr="004C1796">
        <w:rPr>
          <w:rFonts w:ascii="Times New Roman" w:hAnsi="Times New Roman" w:cs="Times New Roman"/>
          <w:color w:val="000000"/>
        </w:rPr>
        <w:t xml:space="preserve">, </w:t>
      </w:r>
      <w:r w:rsidR="00582D52" w:rsidRPr="004C1796">
        <w:rPr>
          <w:rFonts w:ascii="Times New Roman" w:eastAsia="Times New Roman" w:hAnsi="Times New Roman" w:cs="Times New Roman"/>
        </w:rPr>
        <w:t xml:space="preserve">the </w:t>
      </w:r>
      <w:r w:rsidR="00582D52" w:rsidRPr="004C1796">
        <w:rPr>
          <w:rFonts w:ascii="Times New Roman" w:hAnsi="Times New Roman" w:cs="Times New Roman"/>
        </w:rPr>
        <w:t xml:space="preserve">wide </w:t>
      </w:r>
      <w:r w:rsidR="00582D52" w:rsidRPr="004C1796">
        <w:rPr>
          <w:rFonts w:ascii="Times New Roman" w:hAnsi="Times New Roman" w:cs="Times New Roman"/>
          <w:i/>
        </w:rPr>
        <w:t>discretionary</w:t>
      </w:r>
      <w:r w:rsidR="00582D52" w:rsidRPr="004C1796">
        <w:rPr>
          <w:rFonts w:ascii="Times New Roman" w:hAnsi="Times New Roman" w:cs="Times New Roman"/>
        </w:rPr>
        <w:t xml:space="preserve"> power of the police, prosecutors, and judges </w:t>
      </w:r>
      <w:r w:rsidR="000010B2" w:rsidRPr="004C1796">
        <w:rPr>
          <w:rFonts w:ascii="Times New Roman" w:hAnsi="Times New Roman" w:cs="Times New Roman"/>
        </w:rPr>
        <w:t xml:space="preserve">thus </w:t>
      </w:r>
      <w:r w:rsidR="00582D52" w:rsidRPr="004C1796">
        <w:rPr>
          <w:rFonts w:ascii="Times New Roman" w:hAnsi="Times New Roman" w:cs="Times New Roman"/>
        </w:rPr>
        <w:t>plays an important role in the prosecution and sentencing of drug production and trafficking offences in the Netherlands.</w:t>
      </w:r>
      <w:r w:rsidR="00A04D5D" w:rsidRPr="004C1796">
        <w:rPr>
          <w:rFonts w:ascii="Times New Roman" w:hAnsi="Times New Roman" w:cs="Times New Roman"/>
        </w:rPr>
        <w:t xml:space="preserve"> </w:t>
      </w:r>
      <w:r w:rsidR="00E34796" w:rsidRPr="004C1796">
        <w:rPr>
          <w:rFonts w:ascii="Times New Roman" w:hAnsi="Times New Roman" w:cs="Times New Roman"/>
        </w:rPr>
        <w:t>In neighbouring Germany</w:t>
      </w:r>
      <w:r w:rsidR="007D6FEF" w:rsidRPr="004C1796">
        <w:rPr>
          <w:rFonts w:ascii="Times New Roman" w:hAnsi="Times New Roman" w:cs="Times New Roman"/>
        </w:rPr>
        <w:t>,</w:t>
      </w:r>
      <w:r w:rsidR="000718A7" w:rsidRPr="004C1796">
        <w:rPr>
          <w:rFonts w:ascii="Times New Roman" w:hAnsi="Times New Roman" w:cs="Times New Roman"/>
        </w:rPr>
        <w:t xml:space="preserve"> </w:t>
      </w:r>
      <w:r w:rsidR="003E36CC" w:rsidRPr="004C1796">
        <w:rPr>
          <w:rFonts w:ascii="Times New Roman" w:hAnsi="Times New Roman" w:cs="Times New Roman"/>
        </w:rPr>
        <w:t>u</w:t>
      </w:r>
      <w:r w:rsidR="000718A7" w:rsidRPr="004C1796">
        <w:rPr>
          <w:rFonts w:ascii="Times New Roman" w:hAnsi="Times New Roman" w:cs="Times New Roman"/>
        </w:rPr>
        <w:t>nauthorised possession of drugs is a criminal offence punishable by up to five years in prison</w:t>
      </w:r>
      <w:r w:rsidR="001326F6" w:rsidRPr="004C1796">
        <w:rPr>
          <w:rFonts w:ascii="Times New Roman" w:hAnsi="Times New Roman" w:cs="Times New Roman"/>
        </w:rPr>
        <w:t>. Likewise,</w:t>
      </w:r>
      <w:r w:rsidR="000718A7" w:rsidRPr="004C1796">
        <w:rPr>
          <w:rFonts w:ascii="Times New Roman" w:hAnsi="Times New Roman" w:cs="Times New Roman"/>
        </w:rPr>
        <w:t xml:space="preserve"> the illicit supply, cultivation and manufacture of narcotic drugs carry penalties of up to five years’ imprisonment</w:t>
      </w:r>
      <w:r w:rsidR="001326F6" w:rsidRPr="004C1796">
        <w:rPr>
          <w:rFonts w:ascii="Times New Roman" w:hAnsi="Times New Roman" w:cs="Times New Roman"/>
        </w:rPr>
        <w:t xml:space="preserve"> (EMCDDA, 2017</w:t>
      </w:r>
      <w:r w:rsidR="00B61E87" w:rsidRPr="004C1796">
        <w:rPr>
          <w:rFonts w:ascii="Times New Roman" w:hAnsi="Times New Roman" w:cs="Times New Roman"/>
        </w:rPr>
        <w:t>e</w:t>
      </w:r>
      <w:r w:rsidR="001326F6" w:rsidRPr="004C1796">
        <w:rPr>
          <w:rFonts w:ascii="Times New Roman" w:hAnsi="Times New Roman" w:cs="Times New Roman"/>
        </w:rPr>
        <w:t>)</w:t>
      </w:r>
      <w:r w:rsidR="00A04D5D" w:rsidRPr="004C1796">
        <w:rPr>
          <w:rFonts w:ascii="Times New Roman" w:hAnsi="Times New Roman" w:cs="Times New Roman"/>
        </w:rPr>
        <w:t>, however, t</w:t>
      </w:r>
      <w:r w:rsidR="000718A7" w:rsidRPr="004C1796">
        <w:rPr>
          <w:rFonts w:ascii="Times New Roman" w:hAnsi="Times New Roman" w:cs="Times New Roman"/>
        </w:rPr>
        <w:t>his increases to 15 years if ther</w:t>
      </w:r>
      <w:r w:rsidR="00A04D5D" w:rsidRPr="004C1796">
        <w:rPr>
          <w:rFonts w:ascii="Times New Roman" w:hAnsi="Times New Roman" w:cs="Times New Roman"/>
        </w:rPr>
        <w:t>e are aggravating circumstances. Examples of these aggravating circumstances</w:t>
      </w:r>
      <w:r w:rsidR="000718A7" w:rsidRPr="004C1796">
        <w:rPr>
          <w:rFonts w:ascii="Times New Roman" w:hAnsi="Times New Roman" w:cs="Times New Roman"/>
        </w:rPr>
        <w:t xml:space="preserve"> include ‘not insignificant’ quantities of narcotic drugs; an adult supplying narcotics </w:t>
      </w:r>
      <w:r w:rsidR="00710BFD" w:rsidRPr="004C1796">
        <w:rPr>
          <w:rFonts w:ascii="Times New Roman" w:hAnsi="Times New Roman" w:cs="Times New Roman"/>
        </w:rPr>
        <w:t>to a person under the age of 18 (both setting the minimum sentence at one year of imprisonment)</w:t>
      </w:r>
      <w:r w:rsidR="000718A7" w:rsidRPr="004C1796">
        <w:rPr>
          <w:rFonts w:ascii="Times New Roman" w:hAnsi="Times New Roman" w:cs="Times New Roman"/>
        </w:rPr>
        <w:t xml:space="preserve"> a person trafficking narcotics ‘professionally’ or as a member of a gang</w:t>
      </w:r>
      <w:r w:rsidR="006C49B8" w:rsidRPr="004C1796">
        <w:rPr>
          <w:rFonts w:ascii="Times New Roman" w:hAnsi="Times New Roman" w:cs="Times New Roman"/>
        </w:rPr>
        <w:t xml:space="preserve"> (minimum sentence two years)</w:t>
      </w:r>
      <w:r w:rsidR="000718A7" w:rsidRPr="004C1796">
        <w:rPr>
          <w:rFonts w:ascii="Times New Roman" w:hAnsi="Times New Roman" w:cs="Times New Roman"/>
        </w:rPr>
        <w:t>; or carrying a weapon when committing a serious drug-related offence</w:t>
      </w:r>
      <w:r w:rsidR="006C49B8" w:rsidRPr="004C1796">
        <w:rPr>
          <w:rFonts w:ascii="Times New Roman" w:hAnsi="Times New Roman" w:cs="Times New Roman"/>
        </w:rPr>
        <w:t xml:space="preserve"> (minimum sentence five years)</w:t>
      </w:r>
      <w:r w:rsidR="000718A7" w:rsidRPr="004C1796">
        <w:rPr>
          <w:rFonts w:ascii="Times New Roman" w:hAnsi="Times New Roman" w:cs="Times New Roman"/>
        </w:rPr>
        <w:t xml:space="preserve"> (EMCDDA, 2017</w:t>
      </w:r>
      <w:r w:rsidR="00B61E87" w:rsidRPr="004C1796">
        <w:rPr>
          <w:rFonts w:ascii="Times New Roman" w:hAnsi="Times New Roman" w:cs="Times New Roman"/>
        </w:rPr>
        <w:t>e</w:t>
      </w:r>
      <w:r w:rsidR="000718A7" w:rsidRPr="004C1796">
        <w:rPr>
          <w:rFonts w:ascii="Times New Roman" w:hAnsi="Times New Roman" w:cs="Times New Roman"/>
        </w:rPr>
        <w:t>).</w:t>
      </w:r>
      <w:r w:rsidR="007E04D9" w:rsidRPr="004C1796">
        <w:rPr>
          <w:rFonts w:ascii="Times New Roman" w:hAnsi="Times New Roman" w:cs="Times New Roman"/>
        </w:rPr>
        <w:t xml:space="preserve"> Nonetheless, there are</w:t>
      </w:r>
      <w:r w:rsidR="000718A7" w:rsidRPr="004C1796">
        <w:rPr>
          <w:rFonts w:ascii="Times New Roman" w:hAnsi="Times New Roman" w:cs="Times New Roman"/>
        </w:rPr>
        <w:t xml:space="preserve"> remarkable regional diffe</w:t>
      </w:r>
      <w:r w:rsidR="00B7599F" w:rsidRPr="004C1796">
        <w:rPr>
          <w:rFonts w:ascii="Times New Roman" w:hAnsi="Times New Roman" w:cs="Times New Roman"/>
        </w:rPr>
        <w:t xml:space="preserve">rences in these official rules </w:t>
      </w:r>
      <w:r w:rsidR="000718A7" w:rsidRPr="004C1796">
        <w:rPr>
          <w:rFonts w:ascii="Times New Roman" w:hAnsi="Times New Roman" w:cs="Times New Roman"/>
        </w:rPr>
        <w:t xml:space="preserve">and </w:t>
      </w:r>
      <w:r w:rsidR="00E34796" w:rsidRPr="004C1796">
        <w:rPr>
          <w:rFonts w:ascii="Times New Roman" w:hAnsi="Times New Roman" w:cs="Times New Roman"/>
          <w:lang w:val="en-US"/>
        </w:rPr>
        <w:t xml:space="preserve">the differences are even </w:t>
      </w:r>
      <w:r w:rsidR="00A04D5D" w:rsidRPr="004C1796">
        <w:rPr>
          <w:rFonts w:ascii="Times New Roman" w:hAnsi="Times New Roman" w:cs="Times New Roman"/>
          <w:lang w:val="en-US"/>
        </w:rPr>
        <w:t xml:space="preserve">greater </w:t>
      </w:r>
      <w:r w:rsidR="00E34796" w:rsidRPr="004C1796">
        <w:rPr>
          <w:rFonts w:ascii="Times New Roman" w:hAnsi="Times New Roman" w:cs="Times New Roman"/>
          <w:lang w:val="en-US"/>
        </w:rPr>
        <w:t xml:space="preserve">when looking at law enforcement practice (which is facilitated by the </w:t>
      </w:r>
      <w:r w:rsidR="00E34796" w:rsidRPr="004C1796">
        <w:rPr>
          <w:rFonts w:ascii="Times New Roman" w:hAnsi="Times New Roman" w:cs="Times New Roman"/>
          <w:lang w:val="en-US"/>
        </w:rPr>
        <w:lastRenderedPageBreak/>
        <w:t>aforementioned larg</w:t>
      </w:r>
      <w:r w:rsidR="004663F9" w:rsidRPr="004C1796">
        <w:rPr>
          <w:rFonts w:ascii="Times New Roman" w:hAnsi="Times New Roman" w:cs="Times New Roman"/>
          <w:lang w:val="en-US"/>
        </w:rPr>
        <w:t>e ranges of possible sentences).</w:t>
      </w:r>
      <w:r w:rsidR="00E34796" w:rsidRPr="004C1796">
        <w:rPr>
          <w:rFonts w:ascii="Times New Roman" w:hAnsi="Times New Roman" w:cs="Times New Roman"/>
          <w:lang w:val="en-US"/>
        </w:rPr>
        <w:t xml:space="preserve"> Bavaria</w:t>
      </w:r>
      <w:r w:rsidR="004663F9" w:rsidRPr="004C1796">
        <w:rPr>
          <w:rFonts w:ascii="Times New Roman" w:hAnsi="Times New Roman" w:cs="Times New Roman"/>
          <w:lang w:val="en-US"/>
        </w:rPr>
        <w:t xml:space="preserve"> for example</w:t>
      </w:r>
      <w:r w:rsidR="00E34796" w:rsidRPr="004C1796">
        <w:rPr>
          <w:rFonts w:ascii="Times New Roman" w:hAnsi="Times New Roman" w:cs="Times New Roman"/>
          <w:lang w:val="en-US"/>
        </w:rPr>
        <w:t xml:space="preserve"> is known as the </w:t>
      </w:r>
      <w:r w:rsidR="00E34796" w:rsidRPr="004C1796">
        <w:rPr>
          <w:rFonts w:ascii="Times New Roman" w:hAnsi="Times New Roman" w:cs="Times New Roman"/>
          <w:i/>
          <w:lang w:val="en-US"/>
        </w:rPr>
        <w:t>Bundesland</w:t>
      </w:r>
      <w:r w:rsidR="00E34796" w:rsidRPr="004C1796">
        <w:rPr>
          <w:rFonts w:ascii="Times New Roman" w:hAnsi="Times New Roman" w:cs="Times New Roman"/>
          <w:lang w:val="en-US"/>
        </w:rPr>
        <w:t xml:space="preserve"> with the tou</w:t>
      </w:r>
      <w:r w:rsidR="00AE6C28" w:rsidRPr="004C1796">
        <w:rPr>
          <w:rFonts w:ascii="Times New Roman" w:hAnsi="Times New Roman" w:cs="Times New Roman"/>
          <w:lang w:val="en-US"/>
        </w:rPr>
        <w:t>ghest enforcement of drug offenc</w:t>
      </w:r>
      <w:r w:rsidR="00E34796" w:rsidRPr="004C1796">
        <w:rPr>
          <w:rFonts w:ascii="Times New Roman" w:hAnsi="Times New Roman" w:cs="Times New Roman"/>
          <w:lang w:val="en-US"/>
        </w:rPr>
        <w:t>es, regarding both police search practices and levels of punishment (Reuband</w:t>
      </w:r>
      <w:r w:rsidR="000D780D" w:rsidRPr="004C1796">
        <w:rPr>
          <w:rFonts w:ascii="Times New Roman" w:hAnsi="Times New Roman" w:cs="Times New Roman"/>
          <w:lang w:val="en-US"/>
        </w:rPr>
        <w:t>,</w:t>
      </w:r>
      <w:r w:rsidR="00E34796" w:rsidRPr="004C1796">
        <w:rPr>
          <w:rFonts w:ascii="Times New Roman" w:hAnsi="Times New Roman" w:cs="Times New Roman"/>
          <w:lang w:val="en-US"/>
        </w:rPr>
        <w:t xml:space="preserve"> 2007). Here, as well as in some other mainly rural regions, even the possession of small amounts might lead to a sentence, e.g., if the court presumes that there is an intention to distribute the drug, or if minors are involved. On the other hand, in some big cities, </w:t>
      </w:r>
      <w:r w:rsidR="002D78F8" w:rsidRPr="004C1796">
        <w:rPr>
          <w:rFonts w:ascii="Times New Roman" w:hAnsi="Times New Roman" w:cs="Times New Roman"/>
          <w:lang w:val="en-US"/>
        </w:rPr>
        <w:t xml:space="preserve">such as </w:t>
      </w:r>
      <w:r w:rsidR="00E34796" w:rsidRPr="004C1796">
        <w:rPr>
          <w:rFonts w:ascii="Times New Roman" w:hAnsi="Times New Roman" w:cs="Times New Roman"/>
          <w:lang w:val="en-US"/>
        </w:rPr>
        <w:t>Berlin, cannabis use can nearly be regarded</w:t>
      </w:r>
      <w:r w:rsidR="006A54BD" w:rsidRPr="004C1796">
        <w:rPr>
          <w:rFonts w:ascii="Times New Roman" w:hAnsi="Times New Roman" w:cs="Times New Roman"/>
          <w:lang w:val="en-US"/>
        </w:rPr>
        <w:t xml:space="preserve"> as decriminalized in practice and a</w:t>
      </w:r>
      <w:r w:rsidR="00E34796" w:rsidRPr="004C1796">
        <w:rPr>
          <w:rFonts w:ascii="Times New Roman" w:hAnsi="Times New Roman" w:cs="Times New Roman"/>
          <w:lang w:val="en-US"/>
        </w:rPr>
        <w:t xml:space="preserve">s a consequence, differences in the prosecution and sentencing of supply offenses </w:t>
      </w:r>
      <w:r w:rsidR="000718A7" w:rsidRPr="004C1796">
        <w:rPr>
          <w:rFonts w:ascii="Times New Roman" w:hAnsi="Times New Roman" w:cs="Times New Roman"/>
          <w:lang w:val="en-US"/>
        </w:rPr>
        <w:t>can be attributed to</w:t>
      </w:r>
      <w:r w:rsidR="00E34796" w:rsidRPr="004C1796">
        <w:rPr>
          <w:rFonts w:ascii="Times New Roman" w:hAnsi="Times New Roman" w:cs="Times New Roman"/>
          <w:lang w:val="en-US"/>
        </w:rPr>
        <w:t xml:space="preserve"> </w:t>
      </w:r>
      <w:r w:rsidR="00E34796" w:rsidRPr="004C1796">
        <w:rPr>
          <w:rFonts w:ascii="Times New Roman" w:hAnsi="Times New Roman" w:cs="Times New Roman"/>
          <w:i/>
          <w:lang w:val="en-US"/>
        </w:rPr>
        <w:t>regional</w:t>
      </w:r>
      <w:r w:rsidR="00E34796" w:rsidRPr="004C1796">
        <w:rPr>
          <w:rFonts w:ascii="Times New Roman" w:hAnsi="Times New Roman" w:cs="Times New Roman"/>
          <w:lang w:val="en-US"/>
        </w:rPr>
        <w:t xml:space="preserve"> </w:t>
      </w:r>
      <w:r w:rsidR="001326F6" w:rsidRPr="004C1796">
        <w:rPr>
          <w:rFonts w:ascii="Times New Roman" w:hAnsi="Times New Roman" w:cs="Times New Roman"/>
          <w:lang w:val="en-US"/>
        </w:rPr>
        <w:t>variances</w:t>
      </w:r>
      <w:r w:rsidR="00E34796" w:rsidRPr="004C1796">
        <w:rPr>
          <w:rFonts w:ascii="Times New Roman" w:hAnsi="Times New Roman" w:cs="Times New Roman"/>
          <w:lang w:val="en-US"/>
        </w:rPr>
        <w:t>.</w:t>
      </w:r>
    </w:p>
    <w:p w14:paraId="0F89FC90" w14:textId="77777777" w:rsidR="00CD3D4B" w:rsidRPr="004C1796" w:rsidRDefault="00CD3D4B" w:rsidP="00132DA0">
      <w:pPr>
        <w:spacing w:line="360" w:lineRule="auto"/>
        <w:jc w:val="both"/>
        <w:rPr>
          <w:rFonts w:ascii="Times New Roman" w:hAnsi="Times New Roman" w:cs="Times New Roman"/>
          <w:lang w:val="en-US"/>
        </w:rPr>
      </w:pPr>
    </w:p>
    <w:p w14:paraId="3BAAD690" w14:textId="77777777" w:rsidR="00CD3D4B" w:rsidRPr="004C1796" w:rsidRDefault="00CD3D4B" w:rsidP="00132DA0">
      <w:pPr>
        <w:spacing w:line="360" w:lineRule="auto"/>
        <w:jc w:val="both"/>
        <w:rPr>
          <w:rFonts w:ascii="Times New Roman" w:hAnsi="Times New Roman" w:cs="Times New Roman"/>
          <w:lang w:val="en-US"/>
        </w:rPr>
      </w:pPr>
      <w:r w:rsidRPr="004C1796">
        <w:rPr>
          <w:rFonts w:ascii="Times New Roman" w:hAnsi="Times New Roman" w:cs="Times New Roman"/>
          <w:i/>
          <w:lang w:val="en-US"/>
        </w:rPr>
        <w:t>Blanket policies and Disproportionality</w:t>
      </w:r>
    </w:p>
    <w:p w14:paraId="23F61946" w14:textId="77777777" w:rsidR="001271CC" w:rsidRPr="004C1796" w:rsidRDefault="001271CC" w:rsidP="00132DA0">
      <w:pPr>
        <w:spacing w:line="360" w:lineRule="auto"/>
        <w:jc w:val="both"/>
        <w:rPr>
          <w:rFonts w:ascii="Times New Roman" w:hAnsi="Times New Roman" w:cs="Times New Roman"/>
          <w:lang w:val="en-US"/>
        </w:rPr>
      </w:pPr>
    </w:p>
    <w:p w14:paraId="3334466E" w14:textId="4BC2AF89" w:rsidR="00132DA0" w:rsidRPr="004C1796" w:rsidRDefault="003E2347" w:rsidP="00132DA0">
      <w:pPr>
        <w:spacing w:line="360" w:lineRule="auto"/>
        <w:jc w:val="both"/>
        <w:rPr>
          <w:rFonts w:ascii="Times New Roman" w:hAnsi="Times New Roman" w:cs="Times New Roman"/>
          <w:lang w:val="en-US"/>
        </w:rPr>
      </w:pPr>
      <w:r w:rsidRPr="004C1796">
        <w:rPr>
          <w:rFonts w:ascii="Times New Roman" w:hAnsi="Times New Roman" w:cs="Times New Roman"/>
          <w:lang w:val="en-US"/>
        </w:rPr>
        <w:t xml:space="preserve">Despite </w:t>
      </w:r>
      <w:r w:rsidR="00A3068E" w:rsidRPr="004C1796">
        <w:rPr>
          <w:rFonts w:ascii="Times New Roman" w:hAnsi="Times New Roman" w:cs="Times New Roman"/>
          <w:lang w:val="en-US"/>
        </w:rPr>
        <w:t>the emergence of</w:t>
      </w:r>
      <w:r w:rsidRPr="004C1796">
        <w:rPr>
          <w:rFonts w:ascii="Times New Roman" w:hAnsi="Times New Roman" w:cs="Times New Roman"/>
          <w:lang w:val="en-US"/>
        </w:rPr>
        <w:t xml:space="preserve"> liberal </w:t>
      </w:r>
      <w:r w:rsidR="008E0FFD" w:rsidRPr="004C1796">
        <w:rPr>
          <w:rFonts w:ascii="Times New Roman" w:hAnsi="Times New Roman" w:cs="Times New Roman"/>
          <w:lang w:val="en-US"/>
        </w:rPr>
        <w:t xml:space="preserve">state </w:t>
      </w:r>
      <w:r w:rsidRPr="004C1796">
        <w:rPr>
          <w:rFonts w:ascii="Times New Roman" w:hAnsi="Times New Roman" w:cs="Times New Roman"/>
          <w:lang w:val="en-US"/>
        </w:rPr>
        <w:t>policies</w:t>
      </w:r>
      <w:r w:rsidR="008E0FFD" w:rsidRPr="004C1796">
        <w:rPr>
          <w:rFonts w:ascii="Times New Roman" w:hAnsi="Times New Roman" w:cs="Times New Roman"/>
          <w:lang w:val="en-US"/>
        </w:rPr>
        <w:t xml:space="preserve"> relating to the legalization of medicinal or recreational use of cannabis i</w:t>
      </w:r>
      <w:r w:rsidR="0099295A" w:rsidRPr="004C1796">
        <w:rPr>
          <w:rFonts w:ascii="Times New Roman" w:hAnsi="Times New Roman" w:cs="Times New Roman"/>
          <w:lang w:val="en-US"/>
        </w:rPr>
        <w:t>n the United States</w:t>
      </w:r>
      <w:r w:rsidR="00F13EB1" w:rsidRPr="004C1796">
        <w:rPr>
          <w:rFonts w:ascii="Times New Roman" w:hAnsi="Times New Roman" w:cs="Times New Roman"/>
          <w:lang w:val="en-US"/>
        </w:rPr>
        <w:t xml:space="preserve"> (see</w:t>
      </w:r>
      <w:r w:rsidR="00637249" w:rsidRPr="004C1796">
        <w:rPr>
          <w:rFonts w:ascii="Times New Roman" w:hAnsi="Times New Roman" w:cs="Times New Roman"/>
          <w:lang w:val="en-US"/>
        </w:rPr>
        <w:t xml:space="preserve"> Eastwood, Fox, &amp; Rosmarin</w:t>
      </w:r>
      <w:r w:rsidR="00345131" w:rsidRPr="004C1796">
        <w:rPr>
          <w:rFonts w:ascii="Times New Roman" w:hAnsi="Times New Roman" w:cs="Times New Roman"/>
          <w:lang w:val="en-US"/>
        </w:rPr>
        <w:t xml:space="preserve"> al., 2016)</w:t>
      </w:r>
      <w:r w:rsidR="008E0FFD" w:rsidRPr="004C1796">
        <w:rPr>
          <w:rFonts w:ascii="Times New Roman" w:hAnsi="Times New Roman" w:cs="Times New Roman"/>
          <w:lang w:val="en-US"/>
        </w:rPr>
        <w:t xml:space="preserve"> </w:t>
      </w:r>
      <w:r w:rsidR="00AC47D6" w:rsidRPr="004C1796">
        <w:rPr>
          <w:rFonts w:ascii="Times New Roman" w:hAnsi="Times New Roman" w:cs="Times New Roman"/>
          <w:i/>
          <w:lang w:val="en-US"/>
        </w:rPr>
        <w:t>federal</w:t>
      </w:r>
      <w:r w:rsidR="00AC47D6" w:rsidRPr="004C1796">
        <w:rPr>
          <w:rFonts w:ascii="Times New Roman" w:hAnsi="Times New Roman" w:cs="Times New Roman"/>
          <w:lang w:val="en-US"/>
        </w:rPr>
        <w:t xml:space="preserve"> sentencing regimes</w:t>
      </w:r>
      <w:r w:rsidR="008E0FFD" w:rsidRPr="004C1796">
        <w:rPr>
          <w:rFonts w:ascii="Times New Roman" w:hAnsi="Times New Roman" w:cs="Times New Roman"/>
          <w:lang w:val="en-US"/>
        </w:rPr>
        <w:t xml:space="preserve">, shaped by a history of </w:t>
      </w:r>
      <w:r w:rsidR="00D3005E" w:rsidRPr="004C1796">
        <w:rPr>
          <w:rFonts w:ascii="Times New Roman" w:hAnsi="Times New Roman" w:cs="Times New Roman"/>
          <w:lang w:val="en-US"/>
        </w:rPr>
        <w:t>deterrent sentencing policy</w:t>
      </w:r>
      <w:r w:rsidR="002916A7" w:rsidRPr="004C1796">
        <w:rPr>
          <w:rFonts w:ascii="Times New Roman" w:hAnsi="Times New Roman" w:cs="Times New Roman"/>
          <w:lang w:val="en-US"/>
        </w:rPr>
        <w:t xml:space="preserve"> -</w:t>
      </w:r>
      <w:r w:rsidR="00D3005E" w:rsidRPr="004C1796">
        <w:rPr>
          <w:rFonts w:ascii="Times New Roman" w:hAnsi="Times New Roman" w:cs="Times New Roman"/>
          <w:lang w:val="en-US"/>
        </w:rPr>
        <w:t xml:space="preserve"> including the implementation of mandatory minimum </w:t>
      </w:r>
      <w:r w:rsidR="00744850" w:rsidRPr="004C1796">
        <w:rPr>
          <w:rFonts w:ascii="Times New Roman" w:hAnsi="Times New Roman" w:cs="Times New Roman"/>
          <w:lang w:val="en-US"/>
        </w:rPr>
        <w:t>sentence</w:t>
      </w:r>
      <w:r w:rsidR="002916A7" w:rsidRPr="004C1796">
        <w:rPr>
          <w:rFonts w:ascii="Times New Roman" w:hAnsi="Times New Roman" w:cs="Times New Roman"/>
          <w:lang w:val="en-US"/>
        </w:rPr>
        <w:t>s -</w:t>
      </w:r>
      <w:r w:rsidR="00744850" w:rsidRPr="004C1796">
        <w:rPr>
          <w:rFonts w:ascii="Times New Roman" w:hAnsi="Times New Roman" w:cs="Times New Roman"/>
          <w:lang w:val="en-US"/>
        </w:rPr>
        <w:t xml:space="preserve"> have resulted in</w:t>
      </w:r>
      <w:r w:rsidR="00AC47D6" w:rsidRPr="004C1796">
        <w:rPr>
          <w:rFonts w:ascii="Times New Roman" w:hAnsi="Times New Roman" w:cs="Times New Roman"/>
          <w:lang w:val="en-US"/>
        </w:rPr>
        <w:t xml:space="preserve"> deeply disproportionate</w:t>
      </w:r>
      <w:r w:rsidR="00744850" w:rsidRPr="004C1796">
        <w:rPr>
          <w:rFonts w:ascii="Times New Roman" w:hAnsi="Times New Roman" w:cs="Times New Roman"/>
          <w:lang w:val="en-US"/>
        </w:rPr>
        <w:t xml:space="preserve"> sentences</w:t>
      </w:r>
      <w:r w:rsidR="00AC47D6" w:rsidRPr="004C1796">
        <w:rPr>
          <w:rFonts w:ascii="Times New Roman" w:hAnsi="Times New Roman" w:cs="Times New Roman"/>
          <w:lang w:val="en-US"/>
        </w:rPr>
        <w:t>, encouraging</w:t>
      </w:r>
      <w:r w:rsidR="00292498" w:rsidRPr="004C1796">
        <w:rPr>
          <w:rFonts w:ascii="Times New Roman" w:hAnsi="Times New Roman" w:cs="Times New Roman"/>
          <w:lang w:val="en-US"/>
        </w:rPr>
        <w:t xml:space="preserve"> </w:t>
      </w:r>
      <w:r w:rsidR="00595418" w:rsidRPr="004C1796">
        <w:rPr>
          <w:rFonts w:ascii="Times New Roman" w:hAnsi="Times New Roman" w:cs="Times New Roman"/>
          <w:lang w:val="en-US"/>
        </w:rPr>
        <w:t>racial disparity</w:t>
      </w:r>
      <w:r w:rsidR="00AC47D6" w:rsidRPr="004C1796">
        <w:rPr>
          <w:rFonts w:ascii="Times New Roman" w:hAnsi="Times New Roman" w:cs="Times New Roman"/>
          <w:lang w:val="en-US"/>
        </w:rPr>
        <w:t xml:space="preserve"> in sentencing and feeding</w:t>
      </w:r>
      <w:r w:rsidR="00595418" w:rsidRPr="004C1796">
        <w:rPr>
          <w:rFonts w:ascii="Times New Roman" w:hAnsi="Times New Roman" w:cs="Times New Roman"/>
          <w:lang w:val="en-US"/>
        </w:rPr>
        <w:t xml:space="preserve"> </w:t>
      </w:r>
      <w:r w:rsidR="00217CF9" w:rsidRPr="004C1796">
        <w:rPr>
          <w:rFonts w:ascii="Times New Roman" w:hAnsi="Times New Roman" w:cs="Times New Roman"/>
          <w:lang w:val="en-US"/>
        </w:rPr>
        <w:t>mass incarceration (</w:t>
      </w:r>
      <w:r w:rsidR="008E126C" w:rsidRPr="004C1796">
        <w:rPr>
          <w:rFonts w:ascii="Times New Roman" w:hAnsi="Times New Roman" w:cs="Times New Roman"/>
          <w:lang w:val="en-US"/>
        </w:rPr>
        <w:t>Porter and Wright,</w:t>
      </w:r>
      <w:r w:rsidR="000E690D" w:rsidRPr="004C1796">
        <w:rPr>
          <w:rFonts w:ascii="Times New Roman" w:hAnsi="Times New Roman" w:cs="Times New Roman"/>
          <w:lang w:val="en-US"/>
        </w:rPr>
        <w:t xml:space="preserve"> 2011</w:t>
      </w:r>
      <w:r w:rsidR="00217CF9" w:rsidRPr="004C1796">
        <w:rPr>
          <w:rFonts w:ascii="Times New Roman" w:hAnsi="Times New Roman" w:cs="Times New Roman"/>
          <w:lang w:val="en-US"/>
        </w:rPr>
        <w:t>).</w:t>
      </w:r>
      <w:r w:rsidR="00AC47D6" w:rsidRPr="004C1796">
        <w:rPr>
          <w:rFonts w:ascii="Times New Roman" w:hAnsi="Times New Roman" w:cs="Times New Roman"/>
          <w:lang w:val="en-US"/>
        </w:rPr>
        <w:t xml:space="preserve"> </w:t>
      </w:r>
      <w:r w:rsidR="007E04D9" w:rsidRPr="004C1796">
        <w:rPr>
          <w:rFonts w:ascii="Times New Roman" w:hAnsi="Times New Roman" w:cs="Times New Roman"/>
          <w:lang w:val="en-US"/>
        </w:rPr>
        <w:t>Th</w:t>
      </w:r>
      <w:r w:rsidR="00AC47D6" w:rsidRPr="004C1796">
        <w:rPr>
          <w:rFonts w:ascii="Times New Roman" w:hAnsi="Times New Roman" w:cs="Times New Roman"/>
          <w:lang w:val="en-US"/>
        </w:rPr>
        <w:t>reshold sentencing</w:t>
      </w:r>
      <w:r w:rsidR="007F306F" w:rsidRPr="004C1796">
        <w:rPr>
          <w:rFonts w:ascii="Times New Roman" w:hAnsi="Times New Roman" w:cs="Times New Roman"/>
          <w:lang w:val="en-US"/>
        </w:rPr>
        <w:t xml:space="preserve"> exists for ‘trafficking offences’ and sentencers are led by tariffs that prescribe the maximum fine and prison sentence for a particu</w:t>
      </w:r>
      <w:r w:rsidR="00693A77" w:rsidRPr="004C1796">
        <w:rPr>
          <w:rFonts w:ascii="Times New Roman" w:hAnsi="Times New Roman" w:cs="Times New Roman"/>
          <w:lang w:val="en-US"/>
        </w:rPr>
        <w:t xml:space="preserve">lar schedule of substance. In practice, they read in the following way: for a first offence </w:t>
      </w:r>
      <w:r w:rsidR="00F748AD" w:rsidRPr="004C1796">
        <w:rPr>
          <w:rFonts w:ascii="Times New Roman" w:hAnsi="Times New Roman" w:cs="Times New Roman"/>
          <w:lang w:val="en-US"/>
        </w:rPr>
        <w:t xml:space="preserve">of trafficking </w:t>
      </w:r>
      <w:r w:rsidR="00FC653F" w:rsidRPr="004C1796">
        <w:rPr>
          <w:rFonts w:ascii="Times New Roman" w:hAnsi="Times New Roman" w:cs="Times New Roman"/>
          <w:lang w:val="en-US"/>
        </w:rPr>
        <w:t>LSD</w:t>
      </w:r>
      <w:r w:rsidR="00C709BC" w:rsidRPr="004C1796">
        <w:rPr>
          <w:rFonts w:ascii="Times New Roman" w:hAnsi="Times New Roman" w:cs="Times New Roman"/>
          <w:lang w:val="en-US"/>
        </w:rPr>
        <w:t xml:space="preserve"> (Schedule I)</w:t>
      </w:r>
      <w:r w:rsidR="005A00DF" w:rsidRPr="004C1796">
        <w:rPr>
          <w:rFonts w:ascii="Times New Roman" w:hAnsi="Times New Roman" w:cs="Times New Roman"/>
          <w:lang w:val="en-US"/>
        </w:rPr>
        <w:t>,</w:t>
      </w:r>
      <w:r w:rsidR="00FC653F" w:rsidRPr="004C1796">
        <w:rPr>
          <w:rFonts w:ascii="Times New Roman" w:hAnsi="Times New Roman" w:cs="Times New Roman"/>
          <w:lang w:val="en-US"/>
        </w:rPr>
        <w:t xml:space="preserve"> </w:t>
      </w:r>
      <w:r w:rsidR="00F748AD" w:rsidRPr="004C1796">
        <w:rPr>
          <w:rFonts w:ascii="Times New Roman" w:hAnsi="Times New Roman" w:cs="Times New Roman"/>
          <w:lang w:val="en-US"/>
        </w:rPr>
        <w:t xml:space="preserve">the supplier would be </w:t>
      </w:r>
      <w:r w:rsidR="00C709BC" w:rsidRPr="004C1796">
        <w:rPr>
          <w:rFonts w:ascii="Times New Roman" w:hAnsi="Times New Roman" w:cs="Times New Roman"/>
          <w:lang w:val="en-US"/>
        </w:rPr>
        <w:t>sentenced according to quantity c</w:t>
      </w:r>
      <w:r w:rsidR="00F748AD" w:rsidRPr="004C1796">
        <w:rPr>
          <w:rFonts w:ascii="Times New Roman" w:hAnsi="Times New Roman" w:cs="Times New Roman"/>
          <w:lang w:val="en-US"/>
        </w:rPr>
        <w:t>ategories of ‘</w:t>
      </w:r>
      <w:r w:rsidR="000D2155" w:rsidRPr="004C1796">
        <w:rPr>
          <w:rFonts w:ascii="Times New Roman" w:hAnsi="Times New Roman" w:cs="Times New Roman"/>
          <w:lang w:val="en-US"/>
        </w:rPr>
        <w:t xml:space="preserve">1-9 grams </w:t>
      </w:r>
      <w:r w:rsidR="00F748AD" w:rsidRPr="004C1796">
        <w:rPr>
          <w:rFonts w:ascii="Times New Roman" w:hAnsi="Times New Roman" w:cs="Times New Roman"/>
          <w:lang w:val="en-US"/>
        </w:rPr>
        <w:t>mixture’</w:t>
      </w:r>
      <w:r w:rsidR="00C709BC" w:rsidRPr="004C1796">
        <w:rPr>
          <w:rFonts w:ascii="Times New Roman" w:hAnsi="Times New Roman" w:cs="Times New Roman"/>
          <w:lang w:val="en-US"/>
        </w:rPr>
        <w:t xml:space="preserve">, receiving a </w:t>
      </w:r>
      <w:r w:rsidR="00F748AD" w:rsidRPr="004C1796">
        <w:rPr>
          <w:rFonts w:ascii="Times New Roman" w:hAnsi="Times New Roman" w:cs="Times New Roman"/>
          <w:lang w:val="en-US"/>
        </w:rPr>
        <w:t>maximum penalty of ‘</w:t>
      </w:r>
      <w:r w:rsidR="000D2155" w:rsidRPr="004C1796">
        <w:rPr>
          <w:rFonts w:ascii="Times New Roman" w:hAnsi="Times New Roman" w:cs="Times New Roman"/>
          <w:lang w:val="en-US"/>
        </w:rPr>
        <w:t>not less than 5 years and not more than 40</w:t>
      </w:r>
      <w:r w:rsidR="00F748AD" w:rsidRPr="004C1796">
        <w:rPr>
          <w:rFonts w:ascii="Times New Roman" w:hAnsi="Times New Roman" w:cs="Times New Roman"/>
          <w:lang w:val="en-US"/>
        </w:rPr>
        <w:t xml:space="preserve"> years’ imprisonment</w:t>
      </w:r>
      <w:r w:rsidR="001326F6" w:rsidRPr="004C1796">
        <w:rPr>
          <w:rFonts w:ascii="Times New Roman" w:hAnsi="Times New Roman" w:cs="Times New Roman"/>
          <w:lang w:val="en-US"/>
        </w:rPr>
        <w:t>,</w:t>
      </w:r>
      <w:r w:rsidR="00F748AD" w:rsidRPr="004C1796">
        <w:rPr>
          <w:rFonts w:ascii="Times New Roman" w:hAnsi="Times New Roman" w:cs="Times New Roman"/>
          <w:lang w:val="en-US"/>
        </w:rPr>
        <w:t xml:space="preserve"> or</w:t>
      </w:r>
      <w:r w:rsidR="00977079" w:rsidRPr="004C1796">
        <w:rPr>
          <w:rFonts w:ascii="Times New Roman" w:hAnsi="Times New Roman" w:cs="Times New Roman"/>
          <w:lang w:val="en-US"/>
        </w:rPr>
        <w:t xml:space="preserve"> for ‘</w:t>
      </w:r>
      <w:r w:rsidR="00E41C4B" w:rsidRPr="004C1796">
        <w:rPr>
          <w:rFonts w:ascii="Times New Roman" w:hAnsi="Times New Roman" w:cs="Times New Roman"/>
          <w:lang w:val="en-US"/>
        </w:rPr>
        <w:t>10 grams or more’</w:t>
      </w:r>
      <w:r w:rsidR="00C709BC" w:rsidRPr="004C1796">
        <w:rPr>
          <w:rFonts w:ascii="Times New Roman" w:hAnsi="Times New Roman" w:cs="Times New Roman"/>
          <w:lang w:val="en-US"/>
        </w:rPr>
        <w:t>, punishable by ‘not less than 10 years and not more than life’</w:t>
      </w:r>
      <w:r w:rsidR="00977079" w:rsidRPr="004C1796">
        <w:rPr>
          <w:rFonts w:ascii="Times New Roman" w:hAnsi="Times New Roman" w:cs="Times New Roman"/>
          <w:lang w:val="en-US"/>
        </w:rPr>
        <w:t xml:space="preserve"> imprisonment</w:t>
      </w:r>
      <w:r w:rsidR="00C709BC" w:rsidRPr="004C1796">
        <w:rPr>
          <w:rFonts w:ascii="Times New Roman" w:hAnsi="Times New Roman" w:cs="Times New Roman"/>
          <w:lang w:val="en-US"/>
        </w:rPr>
        <w:t xml:space="preserve"> (DEA, 2017). </w:t>
      </w:r>
      <w:r w:rsidR="00132DA0" w:rsidRPr="004C1796">
        <w:rPr>
          <w:rFonts w:ascii="Times New Roman" w:hAnsi="Times New Roman" w:cs="Times New Roman"/>
        </w:rPr>
        <w:t>This system allows for prosecutors to make highly discretionary and consequential decisions which clearly affect sen</w:t>
      </w:r>
      <w:r w:rsidR="00FD59B6" w:rsidRPr="004C1796">
        <w:rPr>
          <w:rFonts w:ascii="Times New Roman" w:hAnsi="Times New Roman" w:cs="Times New Roman"/>
        </w:rPr>
        <w:t xml:space="preserve">tence severity (Kim, Spohn &amp; Hedberg, </w:t>
      </w:r>
      <w:r w:rsidR="00132DA0" w:rsidRPr="004C1796">
        <w:rPr>
          <w:rFonts w:ascii="Times New Roman" w:hAnsi="Times New Roman" w:cs="Times New Roman"/>
        </w:rPr>
        <w:t>2015)</w:t>
      </w:r>
      <w:r w:rsidR="001271CC" w:rsidRPr="004C1796">
        <w:rPr>
          <w:rFonts w:ascii="Times New Roman" w:hAnsi="Times New Roman" w:cs="Times New Roman"/>
        </w:rPr>
        <w:t xml:space="preserve"> </w:t>
      </w:r>
      <w:r w:rsidR="007E04D9" w:rsidRPr="004C1796">
        <w:rPr>
          <w:rFonts w:ascii="Times New Roman" w:hAnsi="Times New Roman" w:cs="Times New Roman"/>
        </w:rPr>
        <w:t xml:space="preserve">whilst also encouraging </w:t>
      </w:r>
      <w:r w:rsidR="00132DA0" w:rsidRPr="004C1796">
        <w:rPr>
          <w:rFonts w:ascii="Times New Roman" w:hAnsi="Times New Roman" w:cs="Times New Roman"/>
        </w:rPr>
        <w:t>disparity</w:t>
      </w:r>
      <w:r w:rsidR="007E04D9" w:rsidRPr="004C1796">
        <w:rPr>
          <w:rFonts w:ascii="Times New Roman" w:hAnsi="Times New Roman" w:cs="Times New Roman"/>
        </w:rPr>
        <w:t xml:space="preserve"> and disproportionality</w:t>
      </w:r>
      <w:r w:rsidR="00132DA0" w:rsidRPr="004C1796">
        <w:rPr>
          <w:rFonts w:ascii="Times New Roman" w:hAnsi="Times New Roman" w:cs="Times New Roman"/>
        </w:rPr>
        <w:t xml:space="preserve"> in</w:t>
      </w:r>
      <w:r w:rsidR="0086689E" w:rsidRPr="004C1796">
        <w:rPr>
          <w:rFonts w:ascii="Times New Roman" w:hAnsi="Times New Roman" w:cs="Times New Roman"/>
        </w:rPr>
        <w:t xml:space="preserve"> the sentencing process (see</w:t>
      </w:r>
      <w:r w:rsidR="00132DA0" w:rsidRPr="004C1796">
        <w:rPr>
          <w:rFonts w:ascii="Times New Roman" w:hAnsi="Times New Roman" w:cs="Times New Roman"/>
        </w:rPr>
        <w:t xml:space="preserve"> Spohn </w:t>
      </w:r>
      <w:r w:rsidR="0024204B" w:rsidRPr="004C1796">
        <w:rPr>
          <w:rFonts w:ascii="Times New Roman" w:hAnsi="Times New Roman" w:cs="Times New Roman"/>
        </w:rPr>
        <w:t>&amp;</w:t>
      </w:r>
      <w:r w:rsidR="007875B4" w:rsidRPr="004C1796">
        <w:rPr>
          <w:rFonts w:ascii="Times New Roman" w:hAnsi="Times New Roman" w:cs="Times New Roman"/>
        </w:rPr>
        <w:t xml:space="preserve"> </w:t>
      </w:r>
      <w:r w:rsidR="00132DA0" w:rsidRPr="004C1796">
        <w:rPr>
          <w:rFonts w:ascii="Times New Roman" w:hAnsi="Times New Roman" w:cs="Times New Roman"/>
        </w:rPr>
        <w:t>Fornango, 2009).</w:t>
      </w:r>
    </w:p>
    <w:p w14:paraId="777EC60B" w14:textId="77777777" w:rsidR="00755DB4" w:rsidRPr="004C1796" w:rsidRDefault="00755DB4">
      <w:pPr>
        <w:rPr>
          <w:rFonts w:ascii="Times New Roman" w:hAnsi="Times New Roman" w:cs="Times New Roman"/>
          <w:b/>
        </w:rPr>
      </w:pPr>
    </w:p>
    <w:p w14:paraId="55809D44" w14:textId="77777777" w:rsidR="00755DB4" w:rsidRPr="004C1796" w:rsidRDefault="00A26550" w:rsidP="00E7752F">
      <w:pPr>
        <w:outlineLvl w:val="0"/>
        <w:rPr>
          <w:rFonts w:ascii="Times New Roman" w:hAnsi="Times New Roman" w:cs="Times New Roman"/>
          <w:b/>
        </w:rPr>
      </w:pPr>
      <w:r w:rsidRPr="004C1796">
        <w:rPr>
          <w:rFonts w:ascii="Times New Roman" w:hAnsi="Times New Roman" w:cs="Times New Roman"/>
          <w:b/>
        </w:rPr>
        <w:t>Social Supply in sentencing and legal practice</w:t>
      </w:r>
    </w:p>
    <w:p w14:paraId="421E0A8D" w14:textId="77777777" w:rsidR="0015632F" w:rsidRPr="004C1796" w:rsidRDefault="0015632F">
      <w:pPr>
        <w:rPr>
          <w:rFonts w:ascii="Times New Roman" w:hAnsi="Times New Roman" w:cs="Times New Roman"/>
          <w:b/>
        </w:rPr>
      </w:pPr>
    </w:p>
    <w:p w14:paraId="15879CB1" w14:textId="77777777" w:rsidR="00D6274F" w:rsidRPr="004C1796" w:rsidRDefault="00D6274F">
      <w:pPr>
        <w:rPr>
          <w:rFonts w:ascii="Times New Roman" w:hAnsi="Times New Roman" w:cs="Times New Roman"/>
          <w:b/>
        </w:rPr>
      </w:pPr>
    </w:p>
    <w:p w14:paraId="0E92E122" w14:textId="77777777" w:rsidR="007C4C36" w:rsidRPr="004C1796" w:rsidRDefault="003C759B" w:rsidP="007C4C36">
      <w:pPr>
        <w:spacing w:line="360" w:lineRule="auto"/>
        <w:jc w:val="both"/>
        <w:rPr>
          <w:rFonts w:ascii="Times New Roman" w:hAnsi="Times New Roman" w:cs="Times New Roman"/>
        </w:rPr>
      </w:pPr>
      <w:r w:rsidRPr="004C1796">
        <w:rPr>
          <w:rFonts w:ascii="Times New Roman" w:hAnsi="Times New Roman" w:cs="Times New Roman"/>
        </w:rPr>
        <w:t>As we have seen, d</w:t>
      </w:r>
      <w:r w:rsidR="000537C4" w:rsidRPr="004C1796">
        <w:rPr>
          <w:rFonts w:ascii="Times New Roman" w:hAnsi="Times New Roman" w:cs="Times New Roman"/>
        </w:rPr>
        <w:t>ifferent international contexts accommodate differentiation in sentencing for drug supply at varying levels</w:t>
      </w:r>
      <w:r w:rsidR="00DC17AE" w:rsidRPr="004C1796">
        <w:rPr>
          <w:rFonts w:ascii="Times New Roman" w:hAnsi="Times New Roman" w:cs="Times New Roman"/>
        </w:rPr>
        <w:t>,</w:t>
      </w:r>
      <w:r w:rsidR="000537C4" w:rsidRPr="004C1796">
        <w:rPr>
          <w:rFonts w:ascii="Times New Roman" w:hAnsi="Times New Roman" w:cs="Times New Roman"/>
        </w:rPr>
        <w:t xml:space="preserve"> ranging from systems in which </w:t>
      </w:r>
      <w:r w:rsidR="000537C4" w:rsidRPr="004C1796">
        <w:rPr>
          <w:rFonts w:ascii="Times New Roman" w:hAnsi="Times New Roman" w:cs="Times New Roman"/>
        </w:rPr>
        <w:lastRenderedPageBreak/>
        <w:t>culpability is assessed through regard to an offender</w:t>
      </w:r>
      <w:r w:rsidR="00F82E0A" w:rsidRPr="004C1796">
        <w:rPr>
          <w:rFonts w:ascii="Times New Roman" w:hAnsi="Times New Roman" w:cs="Times New Roman"/>
        </w:rPr>
        <w:t>’</w:t>
      </w:r>
      <w:r w:rsidR="000537C4" w:rsidRPr="004C1796">
        <w:rPr>
          <w:rFonts w:ascii="Times New Roman" w:hAnsi="Times New Roman" w:cs="Times New Roman"/>
        </w:rPr>
        <w:t xml:space="preserve">s </w:t>
      </w:r>
      <w:r w:rsidR="00BF35D3" w:rsidRPr="004C1796">
        <w:rPr>
          <w:rFonts w:ascii="Times New Roman" w:hAnsi="Times New Roman" w:cs="Times New Roman"/>
        </w:rPr>
        <w:t xml:space="preserve">‘role’ </w:t>
      </w:r>
      <w:r w:rsidR="000537C4" w:rsidRPr="004C1796">
        <w:rPr>
          <w:rFonts w:ascii="Times New Roman" w:hAnsi="Times New Roman" w:cs="Times New Roman"/>
        </w:rPr>
        <w:t>(</w:t>
      </w:r>
      <w:r w:rsidR="007F2D52" w:rsidRPr="004C1796">
        <w:rPr>
          <w:rFonts w:ascii="Times New Roman" w:hAnsi="Times New Roman" w:cs="Times New Roman"/>
        </w:rPr>
        <w:t>UK</w:t>
      </w:r>
      <w:r w:rsidR="000537C4" w:rsidRPr="004C1796">
        <w:rPr>
          <w:rFonts w:ascii="Times New Roman" w:hAnsi="Times New Roman" w:cs="Times New Roman"/>
        </w:rPr>
        <w:t>)</w:t>
      </w:r>
      <w:r w:rsidR="00BF35D3" w:rsidRPr="004C1796">
        <w:rPr>
          <w:rFonts w:ascii="Times New Roman" w:hAnsi="Times New Roman" w:cs="Times New Roman"/>
        </w:rPr>
        <w:t>,</w:t>
      </w:r>
      <w:r w:rsidR="000537C4" w:rsidRPr="004C1796">
        <w:rPr>
          <w:rFonts w:ascii="Times New Roman" w:hAnsi="Times New Roman" w:cs="Times New Roman"/>
        </w:rPr>
        <w:t xml:space="preserve"> to contexts in which supply </w:t>
      </w:r>
      <w:r w:rsidR="007E04D9" w:rsidRPr="004C1796">
        <w:rPr>
          <w:rFonts w:ascii="Times New Roman" w:hAnsi="Times New Roman" w:cs="Times New Roman"/>
        </w:rPr>
        <w:t xml:space="preserve">offences do not exist </w:t>
      </w:r>
      <w:r w:rsidR="000537C4" w:rsidRPr="004C1796">
        <w:rPr>
          <w:rFonts w:ascii="Times New Roman" w:hAnsi="Times New Roman" w:cs="Times New Roman"/>
        </w:rPr>
        <w:t>(Finland)</w:t>
      </w:r>
      <w:r w:rsidR="00DC17AE" w:rsidRPr="004C1796">
        <w:rPr>
          <w:rFonts w:ascii="Times New Roman" w:hAnsi="Times New Roman" w:cs="Times New Roman"/>
        </w:rPr>
        <w:t>,</w:t>
      </w:r>
      <w:r w:rsidR="000537C4" w:rsidRPr="004C1796">
        <w:rPr>
          <w:rFonts w:ascii="Times New Roman" w:hAnsi="Times New Roman" w:cs="Times New Roman"/>
        </w:rPr>
        <w:t xml:space="preserve"> or the courts hold wide discretionary power (Netherlands</w:t>
      </w:r>
      <w:r w:rsidR="00DC17AE" w:rsidRPr="004C1796">
        <w:rPr>
          <w:rFonts w:ascii="Times New Roman" w:hAnsi="Times New Roman" w:cs="Times New Roman"/>
        </w:rPr>
        <w:t>/US</w:t>
      </w:r>
      <w:r w:rsidR="000537C4" w:rsidRPr="004C1796">
        <w:rPr>
          <w:rFonts w:ascii="Times New Roman" w:hAnsi="Times New Roman" w:cs="Times New Roman"/>
        </w:rPr>
        <w:t xml:space="preserve">). </w:t>
      </w:r>
      <w:r w:rsidR="00BF35D3" w:rsidRPr="004C1796">
        <w:rPr>
          <w:rFonts w:ascii="Times New Roman" w:hAnsi="Times New Roman" w:cs="Times New Roman"/>
        </w:rPr>
        <w:t xml:space="preserve">Perhaps unsurprisingly, the degree to which proportionality and </w:t>
      </w:r>
      <w:r w:rsidR="007E04D9" w:rsidRPr="004C1796">
        <w:rPr>
          <w:rFonts w:ascii="Times New Roman" w:hAnsi="Times New Roman" w:cs="Times New Roman"/>
        </w:rPr>
        <w:t xml:space="preserve">supply </w:t>
      </w:r>
      <w:r w:rsidR="00BF35D3" w:rsidRPr="004C1796">
        <w:rPr>
          <w:rFonts w:ascii="Times New Roman" w:hAnsi="Times New Roman" w:cs="Times New Roman"/>
        </w:rPr>
        <w:t xml:space="preserve">differentiation is </w:t>
      </w:r>
      <w:r w:rsidR="007E04D9" w:rsidRPr="004C1796">
        <w:rPr>
          <w:rFonts w:ascii="Times New Roman" w:hAnsi="Times New Roman" w:cs="Times New Roman"/>
        </w:rPr>
        <w:t>acknowledged</w:t>
      </w:r>
      <w:r w:rsidR="00BF35D3" w:rsidRPr="004C1796">
        <w:rPr>
          <w:rFonts w:ascii="Times New Roman" w:hAnsi="Times New Roman" w:cs="Times New Roman"/>
        </w:rPr>
        <w:t xml:space="preserve"> </w:t>
      </w:r>
      <w:r w:rsidR="00DC2411" w:rsidRPr="004C1796">
        <w:rPr>
          <w:rFonts w:ascii="Times New Roman" w:hAnsi="Times New Roman" w:cs="Times New Roman"/>
        </w:rPr>
        <w:t xml:space="preserve">shapes the extent to which </w:t>
      </w:r>
      <w:r w:rsidR="00FB03B4" w:rsidRPr="004C1796">
        <w:rPr>
          <w:rFonts w:ascii="Times New Roman" w:hAnsi="Times New Roman" w:cs="Times New Roman"/>
        </w:rPr>
        <w:t>‘soc</w:t>
      </w:r>
      <w:r w:rsidR="00450AD6" w:rsidRPr="004C1796">
        <w:rPr>
          <w:rFonts w:ascii="Times New Roman" w:hAnsi="Times New Roman" w:cs="Times New Roman"/>
        </w:rPr>
        <w:t>ial supply’ (or activities that</w:t>
      </w:r>
      <w:r w:rsidR="00FB03B4" w:rsidRPr="004C1796">
        <w:rPr>
          <w:rFonts w:ascii="Times New Roman" w:hAnsi="Times New Roman" w:cs="Times New Roman"/>
        </w:rPr>
        <w:t xml:space="preserve"> could be described as such) are recognised within sentencing practices. </w:t>
      </w:r>
      <w:r w:rsidR="007D6C29" w:rsidRPr="004C1796">
        <w:rPr>
          <w:rFonts w:ascii="Times New Roman" w:hAnsi="Times New Roman" w:cs="Times New Roman"/>
        </w:rPr>
        <w:t>In</w:t>
      </w:r>
      <w:r w:rsidR="007F2D52" w:rsidRPr="004C1796">
        <w:rPr>
          <w:rFonts w:ascii="Times New Roman" w:hAnsi="Times New Roman" w:cs="Times New Roman"/>
        </w:rPr>
        <w:t xml:space="preserve"> the UK</w:t>
      </w:r>
      <w:r w:rsidR="007D6C29" w:rsidRPr="004C1796">
        <w:rPr>
          <w:rFonts w:ascii="Times New Roman" w:hAnsi="Times New Roman" w:cs="Times New Roman"/>
        </w:rPr>
        <w:t>, the Sentencing Council currently do</w:t>
      </w:r>
      <w:r w:rsidR="009139BA" w:rsidRPr="004C1796">
        <w:rPr>
          <w:rFonts w:ascii="Times New Roman" w:hAnsi="Times New Roman" w:cs="Times New Roman"/>
        </w:rPr>
        <w:t>es</w:t>
      </w:r>
      <w:r w:rsidR="007D6C29" w:rsidRPr="004C1796">
        <w:rPr>
          <w:rFonts w:ascii="Times New Roman" w:hAnsi="Times New Roman" w:cs="Times New Roman"/>
        </w:rPr>
        <w:t xml:space="preserve"> not</w:t>
      </w:r>
      <w:r w:rsidR="00450AD6" w:rsidRPr="004C1796">
        <w:rPr>
          <w:rFonts w:ascii="Times New Roman" w:hAnsi="Times New Roman" w:cs="Times New Roman"/>
        </w:rPr>
        <w:t xml:space="preserve"> explicitly</w:t>
      </w:r>
      <w:r w:rsidR="007D6C29" w:rsidRPr="004C1796">
        <w:rPr>
          <w:rFonts w:ascii="Times New Roman" w:hAnsi="Times New Roman" w:cs="Times New Roman"/>
        </w:rPr>
        <w:t xml:space="preserve"> </w:t>
      </w:r>
      <w:r w:rsidR="00E65F59" w:rsidRPr="004C1796">
        <w:rPr>
          <w:rFonts w:ascii="Times New Roman" w:hAnsi="Times New Roman" w:cs="Times New Roman"/>
        </w:rPr>
        <w:t xml:space="preserve">include </w:t>
      </w:r>
      <w:r w:rsidR="00450AD6" w:rsidRPr="004C1796">
        <w:rPr>
          <w:rFonts w:ascii="Times New Roman" w:hAnsi="Times New Roman" w:cs="Times New Roman"/>
        </w:rPr>
        <w:t>‘</w:t>
      </w:r>
      <w:r w:rsidR="00E65F59" w:rsidRPr="004C1796">
        <w:rPr>
          <w:rFonts w:ascii="Times New Roman" w:hAnsi="Times New Roman" w:cs="Times New Roman"/>
        </w:rPr>
        <w:t>social supply</w:t>
      </w:r>
      <w:r w:rsidR="00450AD6" w:rsidRPr="004C1796">
        <w:rPr>
          <w:rFonts w:ascii="Times New Roman" w:hAnsi="Times New Roman" w:cs="Times New Roman"/>
        </w:rPr>
        <w:t>’</w:t>
      </w:r>
      <w:r w:rsidR="007C4C36" w:rsidRPr="004C1796">
        <w:rPr>
          <w:rFonts w:ascii="Times New Roman" w:hAnsi="Times New Roman" w:cs="Times New Roman"/>
        </w:rPr>
        <w:t xml:space="preserve"> within the</w:t>
      </w:r>
      <w:r w:rsidR="00DC17AE" w:rsidRPr="004C1796">
        <w:rPr>
          <w:rFonts w:ascii="Times New Roman" w:hAnsi="Times New Roman" w:cs="Times New Roman"/>
        </w:rPr>
        <w:t xml:space="preserve"> ambit of their role categories. However, during a consultation </w:t>
      </w:r>
      <w:r w:rsidR="00587E09" w:rsidRPr="004C1796">
        <w:rPr>
          <w:rFonts w:ascii="Times New Roman" w:hAnsi="Times New Roman" w:cs="Times New Roman"/>
        </w:rPr>
        <w:t>preceding</w:t>
      </w:r>
      <w:r w:rsidR="00DC17AE" w:rsidRPr="004C1796">
        <w:rPr>
          <w:rFonts w:ascii="Times New Roman" w:hAnsi="Times New Roman" w:cs="Times New Roman"/>
        </w:rPr>
        <w:t xml:space="preserve"> the implementation of the new sentencing guidelines,</w:t>
      </w:r>
      <w:r w:rsidR="007C4C36" w:rsidRPr="004C1796">
        <w:rPr>
          <w:rFonts w:ascii="Times New Roman" w:hAnsi="Times New Roman" w:cs="Times New Roman"/>
        </w:rPr>
        <w:t xml:space="preserve"> they </w:t>
      </w:r>
      <w:r w:rsidR="009C7E87" w:rsidRPr="004C1796">
        <w:rPr>
          <w:rFonts w:ascii="Times New Roman" w:hAnsi="Times New Roman" w:cs="Times New Roman"/>
        </w:rPr>
        <w:t xml:space="preserve">note the </w:t>
      </w:r>
      <w:r w:rsidR="00884450" w:rsidRPr="004C1796">
        <w:rPr>
          <w:rFonts w:ascii="Times New Roman" w:hAnsi="Times New Roman" w:cs="Times New Roman"/>
        </w:rPr>
        <w:t>‘</w:t>
      </w:r>
      <w:r w:rsidR="009C7E87" w:rsidRPr="004C1796">
        <w:rPr>
          <w:rFonts w:ascii="Times New Roman" w:hAnsi="Times New Roman" w:cs="Times New Roman"/>
        </w:rPr>
        <w:t>frequency</w:t>
      </w:r>
      <w:r w:rsidR="00212315" w:rsidRPr="004C1796">
        <w:rPr>
          <w:rFonts w:ascii="Times New Roman" w:hAnsi="Times New Roman" w:cs="Times New Roman"/>
        </w:rPr>
        <w:t xml:space="preserve"> in which</w:t>
      </w:r>
      <w:r w:rsidR="009C7E87" w:rsidRPr="004C1796">
        <w:rPr>
          <w:rFonts w:ascii="Times New Roman" w:hAnsi="Times New Roman" w:cs="Times New Roman"/>
        </w:rPr>
        <w:t xml:space="preserve"> the term is</w:t>
      </w:r>
      <w:r w:rsidR="00212315" w:rsidRPr="004C1796">
        <w:rPr>
          <w:rFonts w:ascii="Times New Roman" w:hAnsi="Times New Roman" w:cs="Times New Roman"/>
        </w:rPr>
        <w:t xml:space="preserve"> used to ‘discuss’ the role of an offender in a supply offence’ and instead</w:t>
      </w:r>
      <w:r w:rsidR="007C4C36" w:rsidRPr="004C1796">
        <w:rPr>
          <w:rFonts w:ascii="Times New Roman" w:hAnsi="Times New Roman" w:cs="Times New Roman"/>
        </w:rPr>
        <w:t xml:space="preserve"> include ‘</w:t>
      </w:r>
      <w:r w:rsidR="007C4C36" w:rsidRPr="004C1796">
        <w:rPr>
          <w:rFonts w:ascii="Times New Roman" w:hAnsi="Times New Roman" w:cs="Times New Roman"/>
          <w:i/>
        </w:rPr>
        <w:t>absence of any financial gain, for example joint purchase for no profit, or sharing minimal quantity between peers on non-commercial basis</w:t>
      </w:r>
      <w:r w:rsidR="007C4C36" w:rsidRPr="004C1796">
        <w:rPr>
          <w:rFonts w:ascii="Times New Roman" w:hAnsi="Times New Roman" w:cs="Times New Roman"/>
        </w:rPr>
        <w:t xml:space="preserve">’ in their </w:t>
      </w:r>
      <w:r w:rsidR="00DC17AE" w:rsidRPr="004C1796">
        <w:rPr>
          <w:rFonts w:ascii="Times New Roman" w:hAnsi="Times New Roman" w:cs="Times New Roman"/>
        </w:rPr>
        <w:t xml:space="preserve">matrices’ </w:t>
      </w:r>
      <w:r w:rsidR="007C4C36" w:rsidRPr="004C1796">
        <w:rPr>
          <w:rFonts w:ascii="Times New Roman" w:hAnsi="Times New Roman" w:cs="Times New Roman"/>
        </w:rPr>
        <w:t>lesser role category</w:t>
      </w:r>
      <w:r w:rsidR="00212315" w:rsidRPr="004C1796">
        <w:rPr>
          <w:rFonts w:ascii="Times New Roman" w:hAnsi="Times New Roman" w:cs="Times New Roman"/>
        </w:rPr>
        <w:t xml:space="preserve"> (Sentencing Council, 2012: 11)</w:t>
      </w:r>
      <w:r w:rsidR="007C4C36" w:rsidRPr="004C1796">
        <w:rPr>
          <w:rFonts w:ascii="Times New Roman" w:hAnsi="Times New Roman" w:cs="Times New Roman"/>
        </w:rPr>
        <w:t xml:space="preserve">. Detailing their </w:t>
      </w:r>
      <w:r w:rsidR="00F01A69" w:rsidRPr="004C1796">
        <w:rPr>
          <w:rFonts w:ascii="Times New Roman" w:hAnsi="Times New Roman" w:cs="Times New Roman"/>
        </w:rPr>
        <w:t>decision not to include</w:t>
      </w:r>
      <w:r w:rsidR="007C4C36" w:rsidRPr="004C1796">
        <w:rPr>
          <w:rFonts w:ascii="Times New Roman" w:hAnsi="Times New Roman" w:cs="Times New Roman"/>
        </w:rPr>
        <w:t xml:space="preserve"> ‘social supplier</w:t>
      </w:r>
      <w:r w:rsidR="00F01A69" w:rsidRPr="004C1796">
        <w:rPr>
          <w:rFonts w:ascii="Times New Roman" w:hAnsi="Times New Roman" w:cs="Times New Roman"/>
        </w:rPr>
        <w:t>s</w:t>
      </w:r>
      <w:r w:rsidR="007C4C36" w:rsidRPr="004C1796">
        <w:rPr>
          <w:rFonts w:ascii="Times New Roman" w:hAnsi="Times New Roman" w:cs="Times New Roman"/>
        </w:rPr>
        <w:t>’</w:t>
      </w:r>
      <w:r w:rsidR="0086689E" w:rsidRPr="004C1796">
        <w:rPr>
          <w:rFonts w:ascii="Times New Roman" w:hAnsi="Times New Roman" w:cs="Times New Roman"/>
        </w:rPr>
        <w:t xml:space="preserve"> as a role</w:t>
      </w:r>
      <w:r w:rsidR="007C4C36" w:rsidRPr="004C1796">
        <w:rPr>
          <w:rFonts w:ascii="Times New Roman" w:hAnsi="Times New Roman" w:cs="Times New Roman"/>
        </w:rPr>
        <w:t xml:space="preserve"> within the definitive sentencing guidelines</w:t>
      </w:r>
      <w:r w:rsidR="00212315" w:rsidRPr="004C1796">
        <w:rPr>
          <w:rFonts w:ascii="Times New Roman" w:hAnsi="Times New Roman" w:cs="Times New Roman"/>
        </w:rPr>
        <w:t>,</w:t>
      </w:r>
      <w:r w:rsidR="007C4C36" w:rsidRPr="004C1796">
        <w:rPr>
          <w:rFonts w:ascii="Times New Roman" w:hAnsi="Times New Roman" w:cs="Times New Roman"/>
        </w:rPr>
        <w:t xml:space="preserve"> the Sentencing Council (2011)</w:t>
      </w:r>
      <w:r w:rsidR="00F01A69" w:rsidRPr="004C1796">
        <w:rPr>
          <w:rFonts w:ascii="Times New Roman" w:hAnsi="Times New Roman" w:cs="Times New Roman"/>
        </w:rPr>
        <w:t xml:space="preserve"> label</w:t>
      </w:r>
      <w:r w:rsidR="00884450" w:rsidRPr="004C1796">
        <w:rPr>
          <w:rFonts w:ascii="Times New Roman" w:hAnsi="Times New Roman" w:cs="Times New Roman"/>
        </w:rPr>
        <w:t xml:space="preserve"> the</w:t>
      </w:r>
      <w:r w:rsidR="00F01A69" w:rsidRPr="004C1796">
        <w:rPr>
          <w:rFonts w:ascii="Times New Roman" w:hAnsi="Times New Roman" w:cs="Times New Roman"/>
        </w:rPr>
        <w:t xml:space="preserve"> term</w:t>
      </w:r>
      <w:r w:rsidR="007C4C36" w:rsidRPr="004C1796">
        <w:rPr>
          <w:rFonts w:ascii="Times New Roman" w:hAnsi="Times New Roman" w:cs="Times New Roman"/>
        </w:rPr>
        <w:t xml:space="preserve"> </w:t>
      </w:r>
      <w:r w:rsidR="0074636E" w:rsidRPr="004C1796">
        <w:rPr>
          <w:rFonts w:ascii="Times New Roman" w:hAnsi="Times New Roman" w:cs="Times New Roman"/>
        </w:rPr>
        <w:t>‘highly problematic’ and</w:t>
      </w:r>
      <w:r w:rsidR="00F01A69" w:rsidRPr="004C1796">
        <w:rPr>
          <w:rFonts w:ascii="Times New Roman" w:hAnsi="Times New Roman" w:cs="Times New Roman"/>
        </w:rPr>
        <w:t xml:space="preserve"> provide the following </w:t>
      </w:r>
      <w:r w:rsidR="007C4C36" w:rsidRPr="004C1796">
        <w:rPr>
          <w:rFonts w:ascii="Times New Roman" w:hAnsi="Times New Roman" w:cs="Times New Roman"/>
        </w:rPr>
        <w:t>state</w:t>
      </w:r>
      <w:r w:rsidR="00F01A69" w:rsidRPr="004C1796">
        <w:rPr>
          <w:rFonts w:ascii="Times New Roman" w:hAnsi="Times New Roman" w:cs="Times New Roman"/>
        </w:rPr>
        <w:t>ment</w:t>
      </w:r>
      <w:r w:rsidR="007C4C36" w:rsidRPr="004C1796">
        <w:rPr>
          <w:rFonts w:ascii="Times New Roman" w:hAnsi="Times New Roman" w:cs="Times New Roman"/>
        </w:rPr>
        <w:t xml:space="preserve"> </w:t>
      </w:r>
      <w:r w:rsidR="00F01A69" w:rsidRPr="004C1796">
        <w:rPr>
          <w:rFonts w:ascii="Times New Roman" w:hAnsi="Times New Roman" w:cs="Times New Roman"/>
        </w:rPr>
        <w:t xml:space="preserve">explaining its exclusion </w:t>
      </w:r>
      <w:r w:rsidR="00A46363" w:rsidRPr="004C1796">
        <w:rPr>
          <w:rFonts w:ascii="Times New Roman" w:hAnsi="Times New Roman" w:cs="Times New Roman"/>
        </w:rPr>
        <w:t>(p.</w:t>
      </w:r>
      <w:r w:rsidR="009139BA" w:rsidRPr="004C1796">
        <w:rPr>
          <w:rFonts w:ascii="Times New Roman" w:hAnsi="Times New Roman" w:cs="Times New Roman"/>
        </w:rPr>
        <w:t xml:space="preserve"> </w:t>
      </w:r>
      <w:r w:rsidR="00A46363" w:rsidRPr="004C1796">
        <w:rPr>
          <w:rFonts w:ascii="Times New Roman" w:hAnsi="Times New Roman" w:cs="Times New Roman"/>
        </w:rPr>
        <w:t>35)</w:t>
      </w:r>
      <w:r w:rsidR="00F01A69" w:rsidRPr="004C1796">
        <w:rPr>
          <w:rFonts w:ascii="Times New Roman" w:hAnsi="Times New Roman" w:cs="Times New Roman"/>
        </w:rPr>
        <w:t>:</w:t>
      </w:r>
      <w:r w:rsidR="00587E09" w:rsidRPr="004C1796">
        <w:rPr>
          <w:rFonts w:ascii="Times New Roman" w:hAnsi="Times New Roman" w:cs="Times New Roman"/>
        </w:rPr>
        <w:t xml:space="preserve"> </w:t>
      </w:r>
    </w:p>
    <w:p w14:paraId="33D39CFC" w14:textId="77777777" w:rsidR="0015632F" w:rsidRPr="004C1796" w:rsidRDefault="00FB03B4" w:rsidP="000537C4">
      <w:pPr>
        <w:spacing w:line="360" w:lineRule="auto"/>
        <w:jc w:val="both"/>
        <w:rPr>
          <w:rFonts w:ascii="Times New Roman" w:hAnsi="Times New Roman" w:cs="Times New Roman"/>
        </w:rPr>
      </w:pPr>
      <w:r w:rsidRPr="004C1796">
        <w:rPr>
          <w:rFonts w:ascii="Times New Roman" w:hAnsi="Times New Roman" w:cs="Times New Roman"/>
        </w:rPr>
        <w:t xml:space="preserve"> </w:t>
      </w:r>
    </w:p>
    <w:p w14:paraId="583A3BE6" w14:textId="77777777" w:rsidR="007C4C36" w:rsidRPr="004C1796" w:rsidRDefault="007C4C36" w:rsidP="009C7E87">
      <w:pPr>
        <w:ind w:left="567" w:right="567"/>
        <w:jc w:val="both"/>
        <w:rPr>
          <w:rFonts w:ascii="Times New Roman" w:hAnsi="Times New Roman" w:cs="Times New Roman"/>
        </w:rPr>
      </w:pPr>
      <w:r w:rsidRPr="004C1796">
        <w:rPr>
          <w:rFonts w:ascii="Times New Roman" w:hAnsi="Times New Roman" w:cs="Times New Roman"/>
        </w:rPr>
        <w:t>The term can be applied to those selling drugs to friends, where the supply is commercial but the recipients are known. It is also sometimes applied to those o</w:t>
      </w:r>
      <w:r w:rsidR="00212315" w:rsidRPr="004C1796">
        <w:rPr>
          <w:rFonts w:ascii="Times New Roman" w:hAnsi="Times New Roman" w:cs="Times New Roman"/>
        </w:rPr>
        <w:t>ff</w:t>
      </w:r>
      <w:r w:rsidRPr="004C1796">
        <w:rPr>
          <w:rFonts w:ascii="Times New Roman" w:hAnsi="Times New Roman" w:cs="Times New Roman"/>
        </w:rPr>
        <w:t xml:space="preserve">enders who supply for no gain, for example by conducting a joint purchase with friends. The Council’s aim is to draw a distinction in role, and therefore in culpability, between the commercial supplier providing a regular supply for not insignificant financial gain, and the person who provides small amounts of the drug to friends for no financial gain whatsoever, for example by conducting a shared purchase. In order to maintain this distinction throughout, the terms “social supply” and “social supplier” have been avoided so that it </w:t>
      </w:r>
      <w:r w:rsidR="00212315" w:rsidRPr="004C1796">
        <w:rPr>
          <w:rFonts w:ascii="Times New Roman" w:hAnsi="Times New Roman" w:cs="Times New Roman"/>
        </w:rPr>
        <w:t>is always clear which type of off</w:t>
      </w:r>
      <w:r w:rsidRPr="004C1796">
        <w:rPr>
          <w:rFonts w:ascii="Times New Roman" w:hAnsi="Times New Roman" w:cs="Times New Roman"/>
        </w:rPr>
        <w:t xml:space="preserve">ender is being referred to. </w:t>
      </w:r>
    </w:p>
    <w:p w14:paraId="4D18C3EA" w14:textId="77777777" w:rsidR="009139BA" w:rsidRPr="004C1796" w:rsidRDefault="009139BA" w:rsidP="0019522B">
      <w:pPr>
        <w:spacing w:line="360" w:lineRule="auto"/>
        <w:jc w:val="both"/>
        <w:rPr>
          <w:rFonts w:ascii="Times New Roman" w:hAnsi="Times New Roman" w:cs="Times New Roman"/>
        </w:rPr>
      </w:pPr>
    </w:p>
    <w:p w14:paraId="4A20CE49" w14:textId="77777777" w:rsidR="00A46363" w:rsidRPr="004C1796" w:rsidRDefault="0019522B" w:rsidP="0019522B">
      <w:pPr>
        <w:spacing w:line="360" w:lineRule="auto"/>
        <w:jc w:val="both"/>
        <w:rPr>
          <w:rFonts w:ascii="Times New Roman" w:hAnsi="Times New Roman" w:cs="Times New Roman"/>
          <w:lang w:val="en-US"/>
        </w:rPr>
      </w:pPr>
      <w:r w:rsidRPr="004C1796">
        <w:rPr>
          <w:rFonts w:ascii="Times New Roman" w:hAnsi="Times New Roman" w:cs="Times New Roman"/>
        </w:rPr>
        <w:t>Much like the picture emanating from</w:t>
      </w:r>
      <w:r w:rsidR="007F2D52" w:rsidRPr="004C1796">
        <w:rPr>
          <w:rFonts w:ascii="Times New Roman" w:hAnsi="Times New Roman" w:cs="Times New Roman"/>
        </w:rPr>
        <w:t xml:space="preserve"> the UK</w:t>
      </w:r>
      <w:r w:rsidRPr="004C1796">
        <w:rPr>
          <w:rFonts w:ascii="Times New Roman" w:hAnsi="Times New Roman" w:cs="Times New Roman"/>
        </w:rPr>
        <w:t>,</w:t>
      </w:r>
      <w:r w:rsidRPr="004C1796">
        <w:rPr>
          <w:rFonts w:ascii="Times New Roman" w:hAnsi="Times New Roman" w:cs="Times New Roman"/>
          <w:b/>
        </w:rPr>
        <w:t xml:space="preserve"> </w:t>
      </w:r>
      <w:r w:rsidRPr="004C1796">
        <w:rPr>
          <w:rFonts w:ascii="Times New Roman" w:hAnsi="Times New Roman" w:cs="Times New Roman"/>
        </w:rPr>
        <w:t>there has been a willingness to</w:t>
      </w:r>
      <w:r w:rsidR="00E02B6D" w:rsidRPr="004C1796">
        <w:rPr>
          <w:rFonts w:ascii="Times New Roman" w:hAnsi="Times New Roman" w:cs="Times New Roman"/>
        </w:rPr>
        <w:t>, effectively,</w:t>
      </w:r>
      <w:r w:rsidRPr="004C1796">
        <w:rPr>
          <w:rFonts w:ascii="Times New Roman" w:hAnsi="Times New Roman" w:cs="Times New Roman"/>
        </w:rPr>
        <w:t xml:space="preserve"> acknowledge and/or incorporate social supply within sentencing practices in Hong Kong. </w:t>
      </w:r>
      <w:r w:rsidRPr="004C1796">
        <w:rPr>
          <w:rFonts w:ascii="Times New Roman" w:hAnsi="Times New Roman" w:cs="Times New Roman"/>
          <w:lang w:val="en-US"/>
        </w:rPr>
        <w:t>In HKSAR vs Hii Siew Cheng (2007), the court’s new sentencing guidelines (with</w:t>
      </w:r>
      <w:r w:rsidR="00884450" w:rsidRPr="004C1796">
        <w:rPr>
          <w:rFonts w:ascii="Times New Roman" w:hAnsi="Times New Roman" w:cs="Times New Roman"/>
          <w:lang w:val="en-US"/>
        </w:rPr>
        <w:t xml:space="preserve"> bands based on weight) recognis</w:t>
      </w:r>
      <w:r w:rsidRPr="004C1796">
        <w:rPr>
          <w:rFonts w:ascii="Times New Roman" w:hAnsi="Times New Roman" w:cs="Times New Roman"/>
          <w:lang w:val="en-US"/>
        </w:rPr>
        <w:t>ed the difference between traff</w:t>
      </w:r>
      <w:r w:rsidR="00450AD6" w:rsidRPr="004C1796">
        <w:rPr>
          <w:rFonts w:ascii="Times New Roman" w:hAnsi="Times New Roman" w:cs="Times New Roman"/>
          <w:lang w:val="en-US"/>
        </w:rPr>
        <w:t xml:space="preserve">ickers of ecstasy and ketamine </w:t>
      </w:r>
      <w:r w:rsidRPr="004C1796">
        <w:rPr>
          <w:rFonts w:ascii="Times New Roman" w:hAnsi="Times New Roman" w:cs="Times New Roman"/>
          <w:lang w:val="en-US"/>
        </w:rPr>
        <w:t>who visit entertainment sites</w:t>
      </w:r>
      <w:r w:rsidR="00450AD6" w:rsidRPr="004C1796">
        <w:rPr>
          <w:rFonts w:ascii="Times New Roman" w:hAnsi="Times New Roman" w:cs="Times New Roman"/>
          <w:lang w:val="en-US"/>
        </w:rPr>
        <w:t>,</w:t>
      </w:r>
      <w:r w:rsidRPr="004C1796">
        <w:rPr>
          <w:rFonts w:ascii="Times New Roman" w:hAnsi="Times New Roman" w:cs="Times New Roman"/>
          <w:lang w:val="en-US"/>
        </w:rPr>
        <w:t xml:space="preserve"> and </w:t>
      </w:r>
      <w:r w:rsidRPr="004C1796">
        <w:rPr>
          <w:rFonts w:ascii="Times New Roman" w:hAnsi="Times New Roman" w:cs="Times New Roman"/>
          <w:i/>
          <w:lang w:val="en-US"/>
        </w:rPr>
        <w:t>“small time pushers of drugs, often with a mere handful of table</w:t>
      </w:r>
      <w:r w:rsidR="00450AD6" w:rsidRPr="004C1796">
        <w:rPr>
          <w:rFonts w:ascii="Times New Roman" w:hAnsi="Times New Roman" w:cs="Times New Roman"/>
          <w:i/>
          <w:lang w:val="en-US"/>
        </w:rPr>
        <w:t>t</w:t>
      </w:r>
      <w:r w:rsidRPr="004C1796">
        <w:rPr>
          <w:rFonts w:ascii="Times New Roman" w:hAnsi="Times New Roman" w:cs="Times New Roman"/>
          <w:i/>
          <w:lang w:val="en-US"/>
        </w:rPr>
        <w:t>s to supply to others, who shouldered the responsibility for taking young people off the rails</w:t>
      </w:r>
      <w:r w:rsidRPr="004C1796">
        <w:rPr>
          <w:rFonts w:ascii="Times New Roman" w:hAnsi="Times New Roman" w:cs="Times New Roman"/>
          <w:lang w:val="en-US"/>
        </w:rPr>
        <w:t>.” In clarifying its position on “social trafficking,” the court mad</w:t>
      </w:r>
      <w:r w:rsidR="00587E09" w:rsidRPr="004C1796">
        <w:rPr>
          <w:rFonts w:ascii="Times New Roman" w:hAnsi="Times New Roman" w:cs="Times New Roman"/>
          <w:lang w:val="en-US"/>
        </w:rPr>
        <w:t>e reference to instances where</w:t>
      </w:r>
      <w:r w:rsidR="007E04D9" w:rsidRPr="004C1796">
        <w:rPr>
          <w:rFonts w:ascii="Times New Roman" w:hAnsi="Times New Roman" w:cs="Times New Roman"/>
          <w:lang w:val="en-US"/>
        </w:rPr>
        <w:t xml:space="preserve"> a ketamine or ecstasy user </w:t>
      </w:r>
      <w:r w:rsidRPr="004C1796">
        <w:rPr>
          <w:rFonts w:ascii="Times New Roman" w:hAnsi="Times New Roman" w:cs="Times New Roman"/>
          <w:lang w:val="en-US"/>
        </w:rPr>
        <w:t>with no</w:t>
      </w:r>
      <w:r w:rsidR="00450AD6" w:rsidRPr="004C1796">
        <w:rPr>
          <w:rFonts w:ascii="Times New Roman" w:hAnsi="Times New Roman" w:cs="Times New Roman"/>
          <w:lang w:val="en-US"/>
        </w:rPr>
        <w:t xml:space="preserve"> prior trafficking convictions caught </w:t>
      </w:r>
      <w:r w:rsidRPr="004C1796">
        <w:rPr>
          <w:rFonts w:ascii="Times New Roman" w:hAnsi="Times New Roman" w:cs="Times New Roman"/>
          <w:lang w:val="en-US"/>
        </w:rPr>
        <w:t>supplying a cl</w:t>
      </w:r>
      <w:r w:rsidR="00F01A69" w:rsidRPr="004C1796">
        <w:rPr>
          <w:rFonts w:ascii="Times New Roman" w:hAnsi="Times New Roman" w:cs="Times New Roman"/>
          <w:lang w:val="en-US"/>
        </w:rPr>
        <w:t xml:space="preserve">ose friend (who was a </w:t>
      </w:r>
      <w:r w:rsidR="00F01A69" w:rsidRPr="004C1796">
        <w:rPr>
          <w:rFonts w:ascii="Times New Roman" w:hAnsi="Times New Roman" w:cs="Times New Roman"/>
          <w:lang w:val="en-US"/>
        </w:rPr>
        <w:lastRenderedPageBreak/>
        <w:t xml:space="preserve">drug user) </w:t>
      </w:r>
      <w:r w:rsidRPr="004C1796">
        <w:rPr>
          <w:rFonts w:ascii="Times New Roman" w:hAnsi="Times New Roman" w:cs="Times New Roman"/>
          <w:lang w:val="en-US"/>
        </w:rPr>
        <w:t>might</w:t>
      </w:r>
      <w:r w:rsidR="00AD5604" w:rsidRPr="004C1796">
        <w:rPr>
          <w:rFonts w:ascii="Times New Roman" w:hAnsi="Times New Roman" w:cs="Times New Roman"/>
          <w:lang w:val="en-US"/>
        </w:rPr>
        <w:t xml:space="preserve"> instead </w:t>
      </w:r>
      <w:r w:rsidRPr="004C1796">
        <w:rPr>
          <w:rFonts w:ascii="Times New Roman" w:hAnsi="Times New Roman" w:cs="Times New Roman"/>
          <w:lang w:val="en-US"/>
        </w:rPr>
        <w:t xml:space="preserve">be considered for a non-custodial sentence. </w:t>
      </w:r>
      <w:r w:rsidR="007D70CD" w:rsidRPr="004C1796">
        <w:rPr>
          <w:rFonts w:ascii="Times New Roman" w:hAnsi="Times New Roman" w:cs="Times New Roman"/>
        </w:rPr>
        <w:t>In New Z</w:t>
      </w:r>
      <w:r w:rsidR="00DC17AE" w:rsidRPr="004C1796">
        <w:rPr>
          <w:rFonts w:ascii="Times New Roman" w:hAnsi="Times New Roman" w:cs="Times New Roman"/>
        </w:rPr>
        <w:t xml:space="preserve">ealand, </w:t>
      </w:r>
      <w:r w:rsidR="00587E09" w:rsidRPr="004C1796">
        <w:rPr>
          <w:rFonts w:ascii="Times New Roman" w:hAnsi="Times New Roman" w:cs="Times New Roman"/>
        </w:rPr>
        <w:t xml:space="preserve">despite </w:t>
      </w:r>
      <w:r w:rsidR="00DC17AE" w:rsidRPr="004C1796">
        <w:rPr>
          <w:rFonts w:ascii="Times New Roman" w:hAnsi="Times New Roman" w:cs="Times New Roman"/>
        </w:rPr>
        <w:t>a notable</w:t>
      </w:r>
      <w:r w:rsidR="007D70CD" w:rsidRPr="004C1796">
        <w:rPr>
          <w:rFonts w:ascii="Times New Roman" w:hAnsi="Times New Roman" w:cs="Times New Roman"/>
        </w:rPr>
        <w:t xml:space="preserve"> a</w:t>
      </w:r>
      <w:r w:rsidR="00587E09" w:rsidRPr="004C1796">
        <w:rPr>
          <w:rFonts w:ascii="Times New Roman" w:hAnsi="Times New Roman" w:cs="Times New Roman"/>
        </w:rPr>
        <w:t>bsence of research on social supply</w:t>
      </w:r>
      <w:r w:rsidR="007D70CD" w:rsidRPr="004C1796">
        <w:rPr>
          <w:rFonts w:ascii="Times New Roman" w:hAnsi="Times New Roman" w:cs="Times New Roman"/>
        </w:rPr>
        <w:t>,</w:t>
      </w:r>
      <w:r w:rsidR="004E7567" w:rsidRPr="004C1796">
        <w:rPr>
          <w:rFonts w:ascii="Times New Roman" w:hAnsi="Times New Roman" w:cs="Times New Roman"/>
        </w:rPr>
        <w:t xml:space="preserve"> </w:t>
      </w:r>
      <w:r w:rsidR="0026125D" w:rsidRPr="004C1796">
        <w:rPr>
          <w:rFonts w:ascii="Times New Roman" w:hAnsi="Times New Roman" w:cs="Times New Roman"/>
        </w:rPr>
        <w:t xml:space="preserve">there have been repeated calls for </w:t>
      </w:r>
      <w:r w:rsidR="00587E09" w:rsidRPr="004C1796">
        <w:rPr>
          <w:rFonts w:ascii="Times New Roman" w:hAnsi="Times New Roman" w:cs="Times New Roman"/>
        </w:rPr>
        <w:t xml:space="preserve">it </w:t>
      </w:r>
      <w:r w:rsidR="0026125D" w:rsidRPr="004C1796">
        <w:rPr>
          <w:rFonts w:ascii="Times New Roman" w:hAnsi="Times New Roman" w:cs="Times New Roman"/>
        </w:rPr>
        <w:t xml:space="preserve">to be recognised as a </w:t>
      </w:r>
      <w:r w:rsidR="00633C04" w:rsidRPr="004C1796">
        <w:rPr>
          <w:rFonts w:ascii="Times New Roman" w:hAnsi="Times New Roman" w:cs="Times New Roman"/>
        </w:rPr>
        <w:t>distinct type of offending</w:t>
      </w:r>
      <w:r w:rsidR="00587E09" w:rsidRPr="004C1796">
        <w:rPr>
          <w:rFonts w:ascii="Times New Roman" w:hAnsi="Times New Roman" w:cs="Times New Roman"/>
        </w:rPr>
        <w:t xml:space="preserve"> in the criminal courts</w:t>
      </w:r>
      <w:r w:rsidR="00C90860" w:rsidRPr="004C1796">
        <w:rPr>
          <w:rFonts w:ascii="Times New Roman" w:hAnsi="Times New Roman" w:cs="Times New Roman"/>
        </w:rPr>
        <w:t>.</w:t>
      </w:r>
      <w:r w:rsidR="00D71BED" w:rsidRPr="004C1796">
        <w:rPr>
          <w:rFonts w:ascii="Times New Roman" w:hAnsi="Times New Roman" w:cs="Times New Roman"/>
        </w:rPr>
        <w:t xml:space="preserve"> </w:t>
      </w:r>
      <w:r w:rsidR="00DB0BF0" w:rsidRPr="004C1796">
        <w:rPr>
          <w:rFonts w:ascii="Times New Roman" w:hAnsi="Times New Roman" w:cs="Times New Roman"/>
        </w:rPr>
        <w:t xml:space="preserve">In 2010, as part of their review of the Misuse of Drugs Act (1975) </w:t>
      </w:r>
      <w:r w:rsidR="00F01A69" w:rsidRPr="004C1796">
        <w:rPr>
          <w:rFonts w:ascii="Times New Roman" w:hAnsi="Times New Roman" w:cs="Times New Roman"/>
        </w:rPr>
        <w:t>The New Zealand L</w:t>
      </w:r>
      <w:r w:rsidR="00C33E38" w:rsidRPr="004C1796">
        <w:rPr>
          <w:rFonts w:ascii="Times New Roman" w:hAnsi="Times New Roman" w:cs="Times New Roman"/>
        </w:rPr>
        <w:t>aw Commission</w:t>
      </w:r>
      <w:r w:rsidR="00DB0BF0" w:rsidRPr="004C1796">
        <w:rPr>
          <w:rFonts w:ascii="Times New Roman" w:hAnsi="Times New Roman" w:cs="Times New Roman"/>
        </w:rPr>
        <w:t xml:space="preserve"> (2010) </w:t>
      </w:r>
      <w:r w:rsidR="00F01A69" w:rsidRPr="004C1796">
        <w:rPr>
          <w:rFonts w:ascii="Times New Roman" w:hAnsi="Times New Roman" w:cs="Times New Roman"/>
        </w:rPr>
        <w:t>call</w:t>
      </w:r>
      <w:r w:rsidR="00B60851" w:rsidRPr="004C1796">
        <w:rPr>
          <w:rFonts w:ascii="Times New Roman" w:hAnsi="Times New Roman" w:cs="Times New Roman"/>
        </w:rPr>
        <w:t>ed</w:t>
      </w:r>
      <w:r w:rsidR="00F01A69" w:rsidRPr="004C1796">
        <w:rPr>
          <w:rFonts w:ascii="Times New Roman" w:hAnsi="Times New Roman" w:cs="Times New Roman"/>
        </w:rPr>
        <w:t xml:space="preserve"> for a delineation in penalties for certain supply offences, </w:t>
      </w:r>
      <w:r w:rsidR="00A46363" w:rsidRPr="004C1796">
        <w:rPr>
          <w:rFonts w:ascii="Times New Roman" w:hAnsi="Times New Roman" w:cs="Times New Roman"/>
        </w:rPr>
        <w:t>suggest</w:t>
      </w:r>
      <w:r w:rsidR="00F01A69" w:rsidRPr="004C1796">
        <w:rPr>
          <w:rFonts w:ascii="Times New Roman" w:hAnsi="Times New Roman" w:cs="Times New Roman"/>
        </w:rPr>
        <w:t>ing</w:t>
      </w:r>
      <w:r w:rsidR="00A46363" w:rsidRPr="004C1796">
        <w:rPr>
          <w:rFonts w:ascii="Times New Roman" w:hAnsi="Times New Roman" w:cs="Times New Roman"/>
        </w:rPr>
        <w:t xml:space="preserve"> there is ‘a class of supply that should be carved out for separate treatment’. They go on:</w:t>
      </w:r>
    </w:p>
    <w:p w14:paraId="67969E09" w14:textId="77777777" w:rsidR="00A46363" w:rsidRPr="004C1796" w:rsidRDefault="00A46363" w:rsidP="00A46363">
      <w:pPr>
        <w:widowControl w:val="0"/>
        <w:tabs>
          <w:tab w:val="left" w:pos="220"/>
          <w:tab w:val="left" w:pos="720"/>
        </w:tabs>
        <w:autoSpaceDE w:val="0"/>
        <w:autoSpaceDN w:val="0"/>
        <w:adjustRightInd w:val="0"/>
        <w:spacing w:after="240" w:line="340" w:lineRule="atLeast"/>
        <w:ind w:left="720"/>
        <w:rPr>
          <w:rFonts w:ascii="Times New Roman" w:hAnsi="Times New Roman" w:cs="Times New Roman"/>
          <w:color w:val="000000"/>
        </w:rPr>
      </w:pPr>
      <w:r w:rsidRPr="004C1796">
        <w:rPr>
          <w:rFonts w:ascii="Times New Roman" w:hAnsi="Times New Roman" w:cs="Times New Roman"/>
          <w:color w:val="000000"/>
          <w:szCs w:val="29"/>
        </w:rPr>
        <w:t xml:space="preserve">This class of supply is “social supply”, where supply is of a very low level, among friends or acquaintances, without profit or with a very small profit, and with no significant element of commerciality. </w:t>
      </w:r>
      <w:r w:rsidRPr="004C1796">
        <w:rPr>
          <w:rFonts w:ascii="MS Mincho" w:eastAsia="MS Mincho" w:hAnsi="MS Mincho" w:cs="MS Mincho"/>
          <w:color w:val="000000"/>
        </w:rPr>
        <w:t> </w:t>
      </w:r>
    </w:p>
    <w:p w14:paraId="18399F1B" w14:textId="77777777" w:rsidR="00A46363" w:rsidRPr="004C1796" w:rsidRDefault="00A46363" w:rsidP="00C33E38">
      <w:pPr>
        <w:widowControl w:val="0"/>
        <w:tabs>
          <w:tab w:val="left" w:pos="220"/>
          <w:tab w:val="left" w:pos="720"/>
        </w:tabs>
        <w:autoSpaceDE w:val="0"/>
        <w:autoSpaceDN w:val="0"/>
        <w:adjustRightInd w:val="0"/>
        <w:spacing w:after="240" w:line="340" w:lineRule="atLeast"/>
        <w:rPr>
          <w:rFonts w:ascii="Times New Roman" w:hAnsi="Times New Roman" w:cs="Times New Roman"/>
        </w:rPr>
      </w:pPr>
      <w:r w:rsidRPr="004C1796">
        <w:rPr>
          <w:rFonts w:ascii="Times New Roman" w:hAnsi="Times New Roman" w:cs="Times New Roman"/>
        </w:rPr>
        <w:tab/>
      </w:r>
      <w:r w:rsidRPr="004C1796">
        <w:rPr>
          <w:rFonts w:ascii="Times New Roman" w:hAnsi="Times New Roman" w:cs="Times New Roman"/>
        </w:rPr>
        <w:tab/>
        <w:t>(N</w:t>
      </w:r>
      <w:r w:rsidR="00C9126B" w:rsidRPr="004C1796">
        <w:rPr>
          <w:rFonts w:ascii="Times New Roman" w:hAnsi="Times New Roman" w:cs="Times New Roman"/>
        </w:rPr>
        <w:t xml:space="preserve">ew </w:t>
      </w:r>
      <w:r w:rsidRPr="004C1796">
        <w:rPr>
          <w:rFonts w:ascii="Times New Roman" w:hAnsi="Times New Roman" w:cs="Times New Roman"/>
        </w:rPr>
        <w:t>Z</w:t>
      </w:r>
      <w:r w:rsidR="00C9126B" w:rsidRPr="004C1796">
        <w:rPr>
          <w:rFonts w:ascii="Times New Roman" w:hAnsi="Times New Roman" w:cs="Times New Roman"/>
        </w:rPr>
        <w:t xml:space="preserve">ealand Law Commission, 2010: </w:t>
      </w:r>
      <w:r w:rsidRPr="004C1796">
        <w:rPr>
          <w:rFonts w:ascii="Times New Roman" w:hAnsi="Times New Roman" w:cs="Times New Roman"/>
        </w:rPr>
        <w:t xml:space="preserve">195) </w:t>
      </w:r>
    </w:p>
    <w:p w14:paraId="75998E7F" w14:textId="77777777" w:rsidR="0026125D" w:rsidRPr="004C1796" w:rsidRDefault="00C6032F" w:rsidP="00935CA7">
      <w:pPr>
        <w:widowControl w:val="0"/>
        <w:tabs>
          <w:tab w:val="left" w:pos="220"/>
          <w:tab w:val="left" w:pos="720"/>
        </w:tabs>
        <w:autoSpaceDE w:val="0"/>
        <w:autoSpaceDN w:val="0"/>
        <w:adjustRightInd w:val="0"/>
        <w:spacing w:after="240" w:line="360" w:lineRule="auto"/>
        <w:jc w:val="both"/>
        <w:rPr>
          <w:rFonts w:ascii="Times New Roman" w:hAnsi="Times New Roman" w:cs="Times New Roman"/>
        </w:rPr>
      </w:pPr>
      <w:r w:rsidRPr="004C1796">
        <w:rPr>
          <w:rFonts w:ascii="Times New Roman" w:hAnsi="Times New Roman" w:cs="Times New Roman"/>
        </w:rPr>
        <w:t>Joined more recently by the New Zealand Drug Foundation (2017)</w:t>
      </w:r>
      <w:r w:rsidR="00A51F52" w:rsidRPr="004C1796">
        <w:rPr>
          <w:rFonts w:ascii="Times New Roman" w:hAnsi="Times New Roman" w:cs="Times New Roman"/>
        </w:rPr>
        <w:t>, the New Zealand Law Commission</w:t>
      </w:r>
      <w:r w:rsidRPr="004C1796">
        <w:rPr>
          <w:rFonts w:ascii="Times New Roman" w:hAnsi="Times New Roman" w:cs="Times New Roman"/>
        </w:rPr>
        <w:t xml:space="preserve"> </w:t>
      </w:r>
      <w:r w:rsidR="00A46363" w:rsidRPr="004C1796">
        <w:rPr>
          <w:rFonts w:ascii="Times New Roman" w:hAnsi="Times New Roman" w:cs="Times New Roman"/>
        </w:rPr>
        <w:t xml:space="preserve">call for a presumption against custody and removal of </w:t>
      </w:r>
      <w:r w:rsidR="00A51F52" w:rsidRPr="004C1796">
        <w:rPr>
          <w:rFonts w:ascii="Times New Roman" w:hAnsi="Times New Roman" w:cs="Times New Roman"/>
        </w:rPr>
        <w:t>penalties for this offence</w:t>
      </w:r>
      <w:r w:rsidR="00DC17AE" w:rsidRPr="004C1796">
        <w:rPr>
          <w:rFonts w:ascii="Times New Roman" w:hAnsi="Times New Roman" w:cs="Times New Roman"/>
        </w:rPr>
        <w:t>,</w:t>
      </w:r>
      <w:r w:rsidR="00A51F52" w:rsidRPr="004C1796">
        <w:rPr>
          <w:rFonts w:ascii="Times New Roman" w:hAnsi="Times New Roman" w:cs="Times New Roman"/>
        </w:rPr>
        <w:t xml:space="preserve"> stressing that the absence of any significant commerciality makes its criminality more analogous to possession (N</w:t>
      </w:r>
      <w:r w:rsidR="00C9126B" w:rsidRPr="004C1796">
        <w:rPr>
          <w:rFonts w:ascii="Times New Roman" w:hAnsi="Times New Roman" w:cs="Times New Roman"/>
        </w:rPr>
        <w:t xml:space="preserve">ew </w:t>
      </w:r>
      <w:r w:rsidR="00A51F52" w:rsidRPr="004C1796">
        <w:rPr>
          <w:rFonts w:ascii="Times New Roman" w:hAnsi="Times New Roman" w:cs="Times New Roman"/>
        </w:rPr>
        <w:t>Z</w:t>
      </w:r>
      <w:r w:rsidR="00C9126B" w:rsidRPr="004C1796">
        <w:rPr>
          <w:rFonts w:ascii="Times New Roman" w:hAnsi="Times New Roman" w:cs="Times New Roman"/>
        </w:rPr>
        <w:t>ealand</w:t>
      </w:r>
      <w:r w:rsidR="00A51F52" w:rsidRPr="004C1796">
        <w:rPr>
          <w:rFonts w:ascii="Times New Roman" w:hAnsi="Times New Roman" w:cs="Times New Roman"/>
        </w:rPr>
        <w:t xml:space="preserve"> Law Commission, 2010:</w:t>
      </w:r>
      <w:r w:rsidR="00686D43" w:rsidRPr="004C1796">
        <w:rPr>
          <w:rFonts w:ascii="Times New Roman" w:hAnsi="Times New Roman" w:cs="Times New Roman"/>
        </w:rPr>
        <w:t xml:space="preserve"> </w:t>
      </w:r>
      <w:r w:rsidR="00A51F52" w:rsidRPr="004C1796">
        <w:rPr>
          <w:rFonts w:ascii="Times New Roman" w:hAnsi="Times New Roman" w:cs="Times New Roman"/>
        </w:rPr>
        <w:t>194)</w:t>
      </w:r>
      <w:r w:rsidRPr="004C1796">
        <w:rPr>
          <w:rFonts w:ascii="Times New Roman" w:hAnsi="Times New Roman" w:cs="Times New Roman"/>
        </w:rPr>
        <w:t xml:space="preserve">. Going beyond a critique of the current </w:t>
      </w:r>
      <w:r w:rsidR="002527FF" w:rsidRPr="004C1796">
        <w:rPr>
          <w:rFonts w:ascii="Times New Roman" w:hAnsi="Times New Roman" w:cs="Times New Roman"/>
        </w:rPr>
        <w:t xml:space="preserve">sentencing </w:t>
      </w:r>
      <w:r w:rsidR="00DC17AE" w:rsidRPr="004C1796">
        <w:rPr>
          <w:rFonts w:ascii="Times New Roman" w:hAnsi="Times New Roman" w:cs="Times New Roman"/>
        </w:rPr>
        <w:t>apparatus</w:t>
      </w:r>
      <w:r w:rsidRPr="004C1796">
        <w:rPr>
          <w:rFonts w:ascii="Times New Roman" w:hAnsi="Times New Roman" w:cs="Times New Roman"/>
        </w:rPr>
        <w:t xml:space="preserve">, suggestions are presented for a separate offence in which a </w:t>
      </w:r>
      <w:r w:rsidR="00C33E38" w:rsidRPr="004C1796">
        <w:rPr>
          <w:rFonts w:ascii="Times New Roman" w:hAnsi="Times New Roman" w:cs="Times New Roman"/>
          <w:color w:val="000000"/>
        </w:rPr>
        <w:t>presumption</w:t>
      </w:r>
      <w:r w:rsidRPr="004C1796">
        <w:rPr>
          <w:rFonts w:ascii="Times New Roman" w:hAnsi="Times New Roman" w:cs="Times New Roman"/>
          <w:color w:val="000000"/>
        </w:rPr>
        <w:t xml:space="preserve"> against custody</w:t>
      </w:r>
      <w:r w:rsidR="00587E09" w:rsidRPr="004C1796">
        <w:rPr>
          <w:rFonts w:ascii="Times New Roman" w:hAnsi="Times New Roman" w:cs="Times New Roman"/>
          <w:color w:val="000000"/>
        </w:rPr>
        <w:t xml:space="preserve"> could apply when</w:t>
      </w:r>
      <w:r w:rsidR="00C33E38" w:rsidRPr="004C1796">
        <w:rPr>
          <w:rFonts w:ascii="Times New Roman" w:hAnsi="Times New Roman" w:cs="Times New Roman"/>
          <w:color w:val="000000"/>
        </w:rPr>
        <w:t xml:space="preserve"> the judge was satisfied that the following circumstances existed: </w:t>
      </w:r>
      <w:r w:rsidRPr="004C1796">
        <w:rPr>
          <w:rFonts w:ascii="Times New Roman" w:hAnsi="Times New Roman" w:cs="Times New Roman"/>
          <w:color w:val="000000"/>
        </w:rPr>
        <w:t>‘</w:t>
      </w:r>
      <w:r w:rsidR="00C33E38" w:rsidRPr="004C1796">
        <w:rPr>
          <w:rFonts w:ascii="Times New Roman" w:hAnsi="Times New Roman" w:cs="Times New Roman"/>
          <w:color w:val="000000"/>
        </w:rPr>
        <w:t>1)</w:t>
      </w:r>
      <w:r w:rsidRPr="004C1796">
        <w:rPr>
          <w:rFonts w:ascii="Times New Roman" w:hAnsi="Times New Roman" w:cs="Times New Roman"/>
          <w:color w:val="000000"/>
        </w:rPr>
        <w:t xml:space="preserve"> </w:t>
      </w:r>
      <w:r w:rsidR="00C33E38" w:rsidRPr="004C1796">
        <w:rPr>
          <w:rFonts w:ascii="Times New Roman" w:hAnsi="Times New Roman" w:cs="Times New Roman"/>
          <w:color w:val="000000"/>
        </w:rPr>
        <w:t xml:space="preserve">the supply was in small quantities; 2) the offender was also using the drugs; </w:t>
      </w:r>
      <w:r w:rsidR="00C33E38" w:rsidRPr="004C1796">
        <w:rPr>
          <w:rFonts w:ascii="Times New Roman" w:eastAsia="MS Mincho" w:hAnsi="Times New Roman" w:cs="Times New Roman"/>
          <w:color w:val="000000"/>
        </w:rPr>
        <w:t xml:space="preserve">3) </w:t>
      </w:r>
      <w:r w:rsidR="00C33E38" w:rsidRPr="004C1796">
        <w:rPr>
          <w:rFonts w:ascii="Times New Roman" w:hAnsi="Times New Roman" w:cs="Times New Roman"/>
          <w:color w:val="000000"/>
        </w:rPr>
        <w:t xml:space="preserve">the supply was to friends or acquaintances; </w:t>
      </w:r>
      <w:r w:rsidR="00C33E38" w:rsidRPr="004C1796">
        <w:rPr>
          <w:rFonts w:ascii="Times New Roman" w:eastAsia="MS Mincho" w:hAnsi="Times New Roman" w:cs="Times New Roman"/>
          <w:color w:val="000000"/>
        </w:rPr>
        <w:t>4)</w:t>
      </w:r>
      <w:r w:rsidRPr="004C1796">
        <w:rPr>
          <w:rFonts w:ascii="Times New Roman" w:eastAsia="MS Mincho" w:hAnsi="Times New Roman" w:cs="Times New Roman"/>
          <w:color w:val="000000"/>
        </w:rPr>
        <w:t xml:space="preserve"> </w:t>
      </w:r>
      <w:r w:rsidR="00C33E38" w:rsidRPr="004C1796">
        <w:rPr>
          <w:rFonts w:ascii="Times New Roman" w:hAnsi="Times New Roman" w:cs="Times New Roman"/>
          <w:color w:val="000000"/>
        </w:rPr>
        <w:t>the offending was not motivated by profit</w:t>
      </w:r>
      <w:r w:rsidRPr="004C1796">
        <w:rPr>
          <w:rFonts w:ascii="Times New Roman" w:hAnsi="Times New Roman" w:cs="Times New Roman"/>
          <w:color w:val="000000"/>
        </w:rPr>
        <w:t>’ (</w:t>
      </w:r>
      <w:r w:rsidR="0019522B" w:rsidRPr="004C1796">
        <w:rPr>
          <w:rFonts w:ascii="Times New Roman" w:hAnsi="Times New Roman" w:cs="Times New Roman"/>
          <w:color w:val="000000"/>
        </w:rPr>
        <w:t xml:space="preserve">New </w:t>
      </w:r>
      <w:r w:rsidR="00686D43" w:rsidRPr="004C1796">
        <w:rPr>
          <w:rFonts w:ascii="Times New Roman" w:hAnsi="Times New Roman" w:cs="Times New Roman"/>
          <w:color w:val="000000"/>
        </w:rPr>
        <w:t>Zealand L</w:t>
      </w:r>
      <w:r w:rsidR="00EE3AD8" w:rsidRPr="004C1796">
        <w:rPr>
          <w:rFonts w:ascii="Times New Roman" w:hAnsi="Times New Roman" w:cs="Times New Roman"/>
          <w:color w:val="000000"/>
        </w:rPr>
        <w:t xml:space="preserve">aw Commission, 2010: </w:t>
      </w:r>
      <w:r w:rsidR="0019522B" w:rsidRPr="004C1796">
        <w:rPr>
          <w:rFonts w:ascii="Times New Roman" w:hAnsi="Times New Roman" w:cs="Times New Roman"/>
          <w:color w:val="000000"/>
        </w:rPr>
        <w:t>195</w:t>
      </w:r>
      <w:r w:rsidRPr="004C1796">
        <w:rPr>
          <w:rFonts w:ascii="Times New Roman" w:hAnsi="Times New Roman" w:cs="Times New Roman"/>
          <w:color w:val="000000"/>
        </w:rPr>
        <w:t>)</w:t>
      </w:r>
      <w:r w:rsidR="00C33E38" w:rsidRPr="004C1796">
        <w:rPr>
          <w:rFonts w:ascii="Times New Roman" w:hAnsi="Times New Roman" w:cs="Times New Roman"/>
          <w:color w:val="000000"/>
        </w:rPr>
        <w:t>.</w:t>
      </w:r>
      <w:r w:rsidR="0019522B" w:rsidRPr="004C1796">
        <w:rPr>
          <w:rFonts w:ascii="Times New Roman" w:hAnsi="Times New Roman" w:cs="Times New Roman"/>
          <w:color w:val="000000"/>
        </w:rPr>
        <w:t xml:space="preserve"> </w:t>
      </w:r>
      <w:r w:rsidR="00587E09" w:rsidRPr="004C1796">
        <w:rPr>
          <w:rFonts w:ascii="Times New Roman" w:hAnsi="Times New Roman" w:cs="Times New Roman"/>
          <w:color w:val="000000"/>
        </w:rPr>
        <w:t>Notwithstanding</w:t>
      </w:r>
      <w:r w:rsidR="0019522B" w:rsidRPr="004C1796">
        <w:rPr>
          <w:rFonts w:ascii="Times New Roman" w:hAnsi="Times New Roman" w:cs="Times New Roman"/>
          <w:color w:val="000000"/>
        </w:rPr>
        <w:t xml:space="preserve"> these</w:t>
      </w:r>
      <w:r w:rsidR="007E04D9" w:rsidRPr="004C1796">
        <w:rPr>
          <w:rFonts w:ascii="Times New Roman" w:hAnsi="Times New Roman" w:cs="Times New Roman"/>
          <w:color w:val="000000"/>
        </w:rPr>
        <w:t xml:space="preserve"> progressive</w:t>
      </w:r>
      <w:r w:rsidR="0019522B" w:rsidRPr="004C1796">
        <w:rPr>
          <w:rFonts w:ascii="Times New Roman" w:hAnsi="Times New Roman" w:cs="Times New Roman"/>
          <w:color w:val="000000"/>
        </w:rPr>
        <w:t xml:space="preserve"> </w:t>
      </w:r>
      <w:r w:rsidR="00E02B6D" w:rsidRPr="004C1796">
        <w:rPr>
          <w:rFonts w:ascii="Times New Roman" w:hAnsi="Times New Roman" w:cs="Times New Roman"/>
          <w:color w:val="000000"/>
        </w:rPr>
        <w:t xml:space="preserve">(in terms of proportionality) </w:t>
      </w:r>
      <w:r w:rsidR="0019522B" w:rsidRPr="004C1796">
        <w:rPr>
          <w:rFonts w:ascii="Times New Roman" w:hAnsi="Times New Roman" w:cs="Times New Roman"/>
          <w:color w:val="000000"/>
        </w:rPr>
        <w:t>recommendations, it i</w:t>
      </w:r>
      <w:r w:rsidR="00805D90" w:rsidRPr="004C1796">
        <w:rPr>
          <w:rFonts w:ascii="Times New Roman" w:hAnsi="Times New Roman" w:cs="Times New Roman"/>
          <w:color w:val="000000"/>
        </w:rPr>
        <w:t>s suggested that the concept is yet to have</w:t>
      </w:r>
      <w:r w:rsidR="0019522B" w:rsidRPr="004C1796">
        <w:rPr>
          <w:rFonts w:ascii="Times New Roman" w:hAnsi="Times New Roman" w:cs="Times New Roman"/>
          <w:color w:val="000000"/>
        </w:rPr>
        <w:t xml:space="preserve"> penetrated legal practice in New Z</w:t>
      </w:r>
      <w:r w:rsidR="00F01A69" w:rsidRPr="004C1796">
        <w:rPr>
          <w:rFonts w:ascii="Times New Roman" w:hAnsi="Times New Roman" w:cs="Times New Roman"/>
          <w:color w:val="000000"/>
        </w:rPr>
        <w:t>ealand</w:t>
      </w:r>
      <w:r w:rsidR="00805D90" w:rsidRPr="004C1796">
        <w:rPr>
          <w:rFonts w:ascii="Times New Roman" w:hAnsi="Times New Roman" w:cs="Times New Roman"/>
          <w:color w:val="000000"/>
        </w:rPr>
        <w:t xml:space="preserve"> (Personal communication, New Zealand Drug Foundation, 2017)</w:t>
      </w:r>
      <w:r w:rsidR="00F01A69" w:rsidRPr="004C1796">
        <w:rPr>
          <w:rFonts w:ascii="Times New Roman" w:hAnsi="Times New Roman" w:cs="Times New Roman"/>
          <w:color w:val="000000"/>
        </w:rPr>
        <w:t xml:space="preserve"> and more research is required in order to gain an understanding of how social supply offences are dealt with in criminal justice settings</w:t>
      </w:r>
      <w:r w:rsidR="0083524D" w:rsidRPr="004C1796">
        <w:rPr>
          <w:rFonts w:ascii="Times New Roman" w:hAnsi="Times New Roman" w:cs="Times New Roman"/>
          <w:color w:val="000000"/>
        </w:rPr>
        <w:t xml:space="preserve"> in this country</w:t>
      </w:r>
      <w:r w:rsidR="00F01A69" w:rsidRPr="004C1796">
        <w:rPr>
          <w:rFonts w:ascii="Times New Roman" w:hAnsi="Times New Roman" w:cs="Times New Roman"/>
          <w:color w:val="000000"/>
        </w:rPr>
        <w:t xml:space="preserve">. </w:t>
      </w:r>
    </w:p>
    <w:p w14:paraId="1EFC871D" w14:textId="77777777" w:rsidR="00A26550" w:rsidRPr="004C1796" w:rsidRDefault="00A26550" w:rsidP="00E7752F">
      <w:pPr>
        <w:spacing w:line="360" w:lineRule="auto"/>
        <w:jc w:val="both"/>
        <w:outlineLvl w:val="0"/>
        <w:rPr>
          <w:rFonts w:ascii="Times New Roman" w:hAnsi="Times New Roman" w:cs="Times New Roman"/>
          <w:i/>
          <w:lang w:val="en-US"/>
        </w:rPr>
      </w:pPr>
      <w:r w:rsidRPr="004C1796">
        <w:rPr>
          <w:rFonts w:ascii="Times New Roman" w:hAnsi="Times New Roman" w:cs="Times New Roman"/>
          <w:i/>
          <w:lang w:val="en-US"/>
        </w:rPr>
        <w:t>Informal, ‘ad hoc’</w:t>
      </w:r>
      <w:r w:rsidR="00F3406A" w:rsidRPr="004C1796">
        <w:rPr>
          <w:rFonts w:ascii="Times New Roman" w:hAnsi="Times New Roman" w:cs="Times New Roman"/>
          <w:i/>
          <w:lang w:val="en-US"/>
        </w:rPr>
        <w:t xml:space="preserve"> identifications</w:t>
      </w:r>
      <w:r w:rsidRPr="004C1796">
        <w:rPr>
          <w:rFonts w:ascii="Times New Roman" w:hAnsi="Times New Roman" w:cs="Times New Roman"/>
          <w:i/>
          <w:lang w:val="en-US"/>
        </w:rPr>
        <w:t xml:space="preserve"> of social supply</w:t>
      </w:r>
    </w:p>
    <w:p w14:paraId="58D82971" w14:textId="77777777" w:rsidR="00A26550" w:rsidRPr="004C1796" w:rsidRDefault="00A26550" w:rsidP="003B5905">
      <w:pPr>
        <w:spacing w:line="360" w:lineRule="auto"/>
        <w:jc w:val="both"/>
        <w:rPr>
          <w:rFonts w:ascii="Times New Roman" w:hAnsi="Times New Roman" w:cs="Times New Roman"/>
          <w:lang w:val="en-US"/>
        </w:rPr>
      </w:pPr>
    </w:p>
    <w:p w14:paraId="77BABFF2" w14:textId="77777777" w:rsidR="0001359D" w:rsidRPr="004C1796" w:rsidRDefault="00DF68B8" w:rsidP="00C1797A">
      <w:pPr>
        <w:spacing w:line="360" w:lineRule="auto"/>
        <w:jc w:val="both"/>
        <w:rPr>
          <w:rFonts w:ascii="Times New Roman" w:hAnsi="Times New Roman" w:cs="Times New Roman"/>
        </w:rPr>
      </w:pPr>
      <w:r w:rsidRPr="004C1796">
        <w:rPr>
          <w:rFonts w:ascii="Times New Roman" w:hAnsi="Times New Roman" w:cs="Times New Roman"/>
          <w:lang w:val="en-US"/>
        </w:rPr>
        <w:t xml:space="preserve">Alongside systems that </w:t>
      </w:r>
      <w:r w:rsidR="000D780D" w:rsidRPr="004C1796">
        <w:rPr>
          <w:rFonts w:ascii="Times New Roman" w:hAnsi="Times New Roman" w:cs="Times New Roman"/>
          <w:lang w:val="en-US"/>
        </w:rPr>
        <w:t xml:space="preserve">actively attempt </w:t>
      </w:r>
      <w:r w:rsidRPr="004C1796">
        <w:rPr>
          <w:rFonts w:ascii="Times New Roman" w:hAnsi="Times New Roman" w:cs="Times New Roman"/>
          <w:lang w:val="en-US"/>
        </w:rPr>
        <w:t>to incorporate social supply into sentencing frameworks, or as a new offence, there is also evidence of contexts where social supply is recognised and dealt with informally by sentencers who</w:t>
      </w:r>
      <w:r w:rsidR="008E2F8C" w:rsidRPr="004C1796">
        <w:rPr>
          <w:rFonts w:ascii="Times New Roman" w:hAnsi="Times New Roman" w:cs="Times New Roman"/>
          <w:lang w:val="en-US"/>
        </w:rPr>
        <w:t>, in many cases,</w:t>
      </w:r>
      <w:r w:rsidRPr="004C1796">
        <w:rPr>
          <w:rFonts w:ascii="Times New Roman" w:hAnsi="Times New Roman" w:cs="Times New Roman"/>
          <w:lang w:val="en-US"/>
        </w:rPr>
        <w:t xml:space="preserve"> </w:t>
      </w:r>
      <w:r w:rsidRPr="004C1796">
        <w:rPr>
          <w:rFonts w:ascii="Times New Roman" w:hAnsi="Times New Roman" w:cs="Times New Roman"/>
        </w:rPr>
        <w:t>are well acquainted with working with</w:t>
      </w:r>
      <w:r w:rsidR="00E02B6D" w:rsidRPr="004C1796">
        <w:rPr>
          <w:rFonts w:ascii="Times New Roman" w:hAnsi="Times New Roman" w:cs="Times New Roman"/>
        </w:rPr>
        <w:t xml:space="preserve"> </w:t>
      </w:r>
      <w:r w:rsidR="00692A89" w:rsidRPr="004C1796">
        <w:rPr>
          <w:rFonts w:ascii="Times New Roman" w:hAnsi="Times New Roman" w:cs="Times New Roman"/>
        </w:rPr>
        <w:t>these types of</w:t>
      </w:r>
      <w:r w:rsidR="00176D78" w:rsidRPr="004C1796">
        <w:rPr>
          <w:rFonts w:ascii="Times New Roman" w:hAnsi="Times New Roman" w:cs="Times New Roman"/>
        </w:rPr>
        <w:t xml:space="preserve"> offenders</w:t>
      </w:r>
      <w:r w:rsidR="00692A89" w:rsidRPr="004C1796">
        <w:rPr>
          <w:rFonts w:ascii="Times New Roman" w:hAnsi="Times New Roman" w:cs="Times New Roman"/>
        </w:rPr>
        <w:t>.</w:t>
      </w:r>
      <w:r w:rsidR="007C25D9" w:rsidRPr="004C1796">
        <w:rPr>
          <w:rFonts w:ascii="Times New Roman" w:hAnsi="Times New Roman" w:cs="Times New Roman"/>
        </w:rPr>
        <w:t xml:space="preserve"> I</w:t>
      </w:r>
      <w:r w:rsidR="00692A89" w:rsidRPr="004C1796">
        <w:rPr>
          <w:rFonts w:ascii="Times New Roman" w:hAnsi="Times New Roman" w:cs="Times New Roman"/>
        </w:rPr>
        <w:t xml:space="preserve">n </w:t>
      </w:r>
      <w:r w:rsidR="00692A89" w:rsidRPr="004C1796">
        <w:rPr>
          <w:rFonts w:ascii="Times New Roman" w:hAnsi="Times New Roman" w:cs="Times New Roman"/>
          <w:i/>
        </w:rPr>
        <w:t>R v Angus Edward Lloyd-Smith</w:t>
      </w:r>
      <w:r w:rsidR="00EC6596" w:rsidRPr="004C1796">
        <w:rPr>
          <w:rFonts w:ascii="Times New Roman" w:hAnsi="Times New Roman" w:cs="Times New Roman"/>
        </w:rPr>
        <w:t xml:space="preserve"> [2015] </w:t>
      </w:r>
      <w:r w:rsidR="00F01A69" w:rsidRPr="004C1796">
        <w:rPr>
          <w:rFonts w:ascii="Times New Roman" w:hAnsi="Times New Roman" w:cs="Times New Roman"/>
        </w:rPr>
        <w:t>(</w:t>
      </w:r>
      <w:r w:rsidR="00EE3AD8" w:rsidRPr="004C1796">
        <w:rPr>
          <w:rFonts w:ascii="Times New Roman" w:hAnsi="Times New Roman" w:cs="Times New Roman"/>
        </w:rPr>
        <w:t>Adelaide District Court</w:t>
      </w:r>
      <w:r w:rsidR="005C79FB" w:rsidRPr="004C1796">
        <w:rPr>
          <w:rFonts w:ascii="Times New Roman" w:hAnsi="Times New Roman" w:cs="Times New Roman"/>
        </w:rPr>
        <w:t>, Australia</w:t>
      </w:r>
      <w:r w:rsidR="00F01A69" w:rsidRPr="004C1796">
        <w:rPr>
          <w:rFonts w:ascii="Times New Roman" w:hAnsi="Times New Roman" w:cs="Times New Roman"/>
        </w:rPr>
        <w:t>)</w:t>
      </w:r>
      <w:r w:rsidR="00EE3AD8" w:rsidRPr="004C1796">
        <w:rPr>
          <w:rFonts w:ascii="Times New Roman" w:hAnsi="Times New Roman" w:cs="Times New Roman"/>
        </w:rPr>
        <w:t>, the</w:t>
      </w:r>
      <w:r w:rsidR="00692A89" w:rsidRPr="004C1796">
        <w:rPr>
          <w:rFonts w:ascii="Times New Roman" w:hAnsi="Times New Roman" w:cs="Times New Roman"/>
        </w:rPr>
        <w:t xml:space="preserve"> defendant plead</w:t>
      </w:r>
      <w:r w:rsidR="00252629" w:rsidRPr="004C1796">
        <w:rPr>
          <w:rFonts w:ascii="Times New Roman" w:hAnsi="Times New Roman" w:cs="Times New Roman"/>
        </w:rPr>
        <w:t>ed</w:t>
      </w:r>
      <w:r w:rsidR="00692A89" w:rsidRPr="004C1796">
        <w:rPr>
          <w:rFonts w:ascii="Times New Roman" w:hAnsi="Times New Roman" w:cs="Times New Roman"/>
        </w:rPr>
        <w:t xml:space="preserve"> guilty </w:t>
      </w:r>
      <w:r w:rsidR="00692A89" w:rsidRPr="004C1796">
        <w:rPr>
          <w:rFonts w:ascii="Times New Roman" w:hAnsi="Times New Roman" w:cs="Times New Roman"/>
        </w:rPr>
        <w:lastRenderedPageBreak/>
        <w:t>to the offence of trafficking in a controlled drug, with maximum penalty of imprisonment for 10 years or a fine of $55,000 or both. The Judge suspended the sentence, and contextualised this outcome explaining that while it was a very serious matter, and that though the defendant was guilty of importing 500g of Methylone (often sold as MDMA), he ‘</w:t>
      </w:r>
      <w:r w:rsidR="00692A89" w:rsidRPr="004C1796">
        <w:rPr>
          <w:rFonts w:ascii="Times New Roman" w:hAnsi="Times New Roman" w:cs="Times New Roman"/>
          <w:i/>
        </w:rPr>
        <w:t>was not seeking to profit financially by doing this, but rather there was a small group of people’ [friends] to whom the drug would be distributed ‘at cost or in exchange for drinks and a meal’</w:t>
      </w:r>
      <w:r w:rsidR="00692A89" w:rsidRPr="004C1796">
        <w:rPr>
          <w:rFonts w:ascii="Times New Roman" w:hAnsi="Times New Roman" w:cs="Times New Roman"/>
        </w:rPr>
        <w:t>.</w:t>
      </w:r>
      <w:r w:rsidR="003E36CC" w:rsidRPr="004C1796">
        <w:rPr>
          <w:rFonts w:ascii="Times New Roman" w:hAnsi="Times New Roman" w:cs="Times New Roman"/>
        </w:rPr>
        <w:t xml:space="preserve"> </w:t>
      </w:r>
      <w:r w:rsidR="00AE01EB" w:rsidRPr="004C1796">
        <w:rPr>
          <w:rFonts w:ascii="Times New Roman" w:hAnsi="Times New Roman" w:cs="Times New Roman"/>
        </w:rPr>
        <w:t>In New South Wales</w:t>
      </w:r>
      <w:r w:rsidR="00252629" w:rsidRPr="004C1796">
        <w:rPr>
          <w:rFonts w:ascii="Times New Roman" w:hAnsi="Times New Roman" w:cs="Times New Roman"/>
        </w:rPr>
        <w:t xml:space="preserve"> (Australia)</w:t>
      </w:r>
      <w:r w:rsidR="00AE01EB" w:rsidRPr="004C1796">
        <w:rPr>
          <w:rFonts w:ascii="Times New Roman" w:hAnsi="Times New Roman" w:cs="Times New Roman"/>
        </w:rPr>
        <w:t xml:space="preserve">, in another case concerning a social supplier </w:t>
      </w:r>
      <w:r w:rsidR="007C25D9" w:rsidRPr="004C1796">
        <w:rPr>
          <w:rFonts w:ascii="Times New Roman" w:hAnsi="Times New Roman" w:cs="Times New Roman"/>
        </w:rPr>
        <w:t xml:space="preserve">- </w:t>
      </w:r>
      <w:r w:rsidR="00AE01EB" w:rsidRPr="004C1796">
        <w:rPr>
          <w:rFonts w:ascii="Times New Roman" w:hAnsi="Times New Roman" w:cs="Times New Roman"/>
        </w:rPr>
        <w:t>who on this occasion had been caught in possession of 20 ecstasy tablets and a small amount of cannabis that he intended to use himself and supply to friends</w:t>
      </w:r>
      <w:r w:rsidR="007C25D9" w:rsidRPr="004C1796">
        <w:rPr>
          <w:rFonts w:ascii="Times New Roman" w:hAnsi="Times New Roman" w:cs="Times New Roman"/>
        </w:rPr>
        <w:t xml:space="preserve"> -</w:t>
      </w:r>
      <w:r w:rsidR="00AE01EB" w:rsidRPr="004C1796">
        <w:rPr>
          <w:rFonts w:ascii="Times New Roman" w:hAnsi="Times New Roman" w:cs="Times New Roman"/>
        </w:rPr>
        <w:t xml:space="preserve"> the </w:t>
      </w:r>
      <w:r w:rsidR="00AE01EB" w:rsidRPr="004C1796">
        <w:rPr>
          <w:rFonts w:ascii="Times New Roman" w:eastAsia="Times New Roman" w:hAnsi="Times New Roman" w:cs="Times New Roman"/>
        </w:rPr>
        <w:t>Judge afforded the respondent a 25% discount for his early guilty plea and noted that the objective seriousness of the offence was at the ‘very lowest end of the scale’, and that he ‘had not intended to profit from what he did’ (R V Oliver James Tama Mauger [2012] NSWCCA).</w:t>
      </w:r>
      <w:r w:rsidR="00AE01EB" w:rsidRPr="004C1796">
        <w:rPr>
          <w:rFonts w:ascii="Times New Roman" w:hAnsi="Times New Roman" w:cs="Times New Roman"/>
        </w:rPr>
        <w:t xml:space="preserve"> </w:t>
      </w:r>
      <w:r w:rsidR="00EE3AD8" w:rsidRPr="004C1796">
        <w:rPr>
          <w:rFonts w:ascii="Times New Roman" w:hAnsi="Times New Roman" w:cs="Times New Roman"/>
        </w:rPr>
        <w:t xml:space="preserve">Cases like these </w:t>
      </w:r>
      <w:r w:rsidR="007D70CD" w:rsidRPr="004C1796">
        <w:rPr>
          <w:rFonts w:ascii="Times New Roman" w:hAnsi="Times New Roman" w:cs="Times New Roman"/>
        </w:rPr>
        <w:t xml:space="preserve">show </w:t>
      </w:r>
      <w:r w:rsidR="00377402" w:rsidRPr="004C1796">
        <w:rPr>
          <w:rFonts w:ascii="Times New Roman" w:hAnsi="Times New Roman" w:cs="Times New Roman"/>
        </w:rPr>
        <w:t xml:space="preserve">that there is currently </w:t>
      </w:r>
      <w:r w:rsidR="00596745" w:rsidRPr="004C1796">
        <w:rPr>
          <w:rFonts w:ascii="Times New Roman" w:hAnsi="Times New Roman" w:cs="Times New Roman"/>
        </w:rPr>
        <w:t>no formal framework for working with social supply offences across jurisdictions in Australia</w:t>
      </w:r>
      <w:r w:rsidR="000C4BAD" w:rsidRPr="004C1796">
        <w:rPr>
          <w:rFonts w:ascii="Times New Roman" w:hAnsi="Times New Roman" w:cs="Times New Roman"/>
        </w:rPr>
        <w:t>,</w:t>
      </w:r>
      <w:r w:rsidR="00596745" w:rsidRPr="004C1796">
        <w:rPr>
          <w:rFonts w:ascii="Times New Roman" w:hAnsi="Times New Roman" w:cs="Times New Roman"/>
        </w:rPr>
        <w:t xml:space="preserve"> and in this respect, sentencing outcomes for social supply offences are dependent on the </w:t>
      </w:r>
      <w:r w:rsidR="00596745" w:rsidRPr="004C1796">
        <w:rPr>
          <w:rFonts w:ascii="Times New Roman" w:hAnsi="Times New Roman" w:cs="Times New Roman"/>
          <w:i/>
        </w:rPr>
        <w:t>discretion</w:t>
      </w:r>
      <w:r w:rsidR="00596745" w:rsidRPr="004C1796">
        <w:rPr>
          <w:rFonts w:ascii="Times New Roman" w:hAnsi="Times New Roman" w:cs="Times New Roman"/>
        </w:rPr>
        <w:t xml:space="preserve"> of the </w:t>
      </w:r>
      <w:r w:rsidR="007D70CD" w:rsidRPr="004C1796">
        <w:rPr>
          <w:rFonts w:ascii="Times New Roman" w:hAnsi="Times New Roman" w:cs="Times New Roman"/>
        </w:rPr>
        <w:t>sentencers</w:t>
      </w:r>
      <w:r w:rsidR="00596745" w:rsidRPr="004C1796">
        <w:rPr>
          <w:rFonts w:ascii="Times New Roman" w:hAnsi="Times New Roman" w:cs="Times New Roman"/>
        </w:rPr>
        <w:t xml:space="preserve">. </w:t>
      </w:r>
      <w:r w:rsidR="003B5905" w:rsidRPr="004C1796">
        <w:rPr>
          <w:rFonts w:ascii="Times New Roman" w:hAnsi="Times New Roman" w:cs="Times New Roman"/>
        </w:rPr>
        <w:t xml:space="preserve">‘Informal’ acknowledgement of social supply </w:t>
      </w:r>
      <w:r w:rsidR="00BD0444" w:rsidRPr="004C1796">
        <w:rPr>
          <w:rFonts w:ascii="Times New Roman" w:hAnsi="Times New Roman" w:cs="Times New Roman"/>
        </w:rPr>
        <w:t xml:space="preserve">as witnessed in the Australian context </w:t>
      </w:r>
      <w:r w:rsidR="003B5905" w:rsidRPr="004C1796">
        <w:rPr>
          <w:rFonts w:ascii="Times New Roman" w:hAnsi="Times New Roman" w:cs="Times New Roman"/>
        </w:rPr>
        <w:t>can als</w:t>
      </w:r>
      <w:r w:rsidR="00A44A8A" w:rsidRPr="004C1796">
        <w:rPr>
          <w:rFonts w:ascii="Times New Roman" w:hAnsi="Times New Roman" w:cs="Times New Roman"/>
        </w:rPr>
        <w:t xml:space="preserve">o be found in the Netherlands. </w:t>
      </w:r>
      <w:r w:rsidR="00DD35FC" w:rsidRPr="004C1796">
        <w:rPr>
          <w:rFonts w:ascii="Times New Roman" w:hAnsi="Times New Roman" w:cs="Times New Roman"/>
        </w:rPr>
        <w:t>Though</w:t>
      </w:r>
      <w:r w:rsidR="00891EE2" w:rsidRPr="004C1796">
        <w:rPr>
          <w:rFonts w:ascii="Times New Roman" w:hAnsi="Times New Roman" w:cs="Times New Roman"/>
        </w:rPr>
        <w:t xml:space="preserve"> social supply</w:t>
      </w:r>
      <w:r w:rsidR="005B35A2" w:rsidRPr="004C1796">
        <w:rPr>
          <w:rFonts w:ascii="Times New Roman" w:hAnsi="Times New Roman" w:cs="Times New Roman"/>
        </w:rPr>
        <w:t xml:space="preserve"> is not formally recognised within Dutch sentencing guideline</w:t>
      </w:r>
      <w:r w:rsidR="00891EE2" w:rsidRPr="004C1796">
        <w:rPr>
          <w:rFonts w:ascii="Times New Roman" w:hAnsi="Times New Roman" w:cs="Times New Roman"/>
        </w:rPr>
        <w:t>s</w:t>
      </w:r>
      <w:r w:rsidR="000C4BAD" w:rsidRPr="004C1796">
        <w:rPr>
          <w:rFonts w:ascii="Times New Roman" w:hAnsi="Times New Roman" w:cs="Times New Roman"/>
        </w:rPr>
        <w:t>,</w:t>
      </w:r>
      <w:r w:rsidR="005B35A2" w:rsidRPr="004C1796">
        <w:rPr>
          <w:rFonts w:ascii="Times New Roman" w:hAnsi="Times New Roman" w:cs="Times New Roman"/>
        </w:rPr>
        <w:t xml:space="preserve"> </w:t>
      </w:r>
      <w:r w:rsidR="003B5905" w:rsidRPr="004C1796">
        <w:rPr>
          <w:rFonts w:ascii="Times New Roman" w:eastAsia="Times New Roman" w:hAnsi="Times New Roman" w:cs="Times New Roman"/>
        </w:rPr>
        <w:t>exceptions can be found in which social supply</w:t>
      </w:r>
      <w:r w:rsidR="00F232DA" w:rsidRPr="004C1796">
        <w:rPr>
          <w:rFonts w:ascii="Times New Roman" w:eastAsia="Times New Roman" w:hAnsi="Times New Roman" w:cs="Times New Roman"/>
        </w:rPr>
        <w:t xml:space="preserve"> characteristics</w:t>
      </w:r>
      <w:r w:rsidR="003B5905" w:rsidRPr="004C1796">
        <w:rPr>
          <w:rFonts w:ascii="Times New Roman" w:eastAsia="Times New Roman" w:hAnsi="Times New Roman" w:cs="Times New Roman"/>
        </w:rPr>
        <w:t xml:space="preserve"> seem to be considered.</w:t>
      </w:r>
      <w:r w:rsidR="000C4BAD" w:rsidRPr="004C1796">
        <w:rPr>
          <w:rFonts w:ascii="Times New Roman" w:eastAsia="Times New Roman" w:hAnsi="Times New Roman" w:cs="Times New Roman"/>
        </w:rPr>
        <w:t xml:space="preserve"> For example, </w:t>
      </w:r>
      <w:r w:rsidR="00EE3AD8" w:rsidRPr="004C1796">
        <w:rPr>
          <w:rFonts w:ascii="Times New Roman" w:eastAsia="Times New Roman" w:hAnsi="Times New Roman" w:cs="Times New Roman"/>
        </w:rPr>
        <w:t>in determining the</w:t>
      </w:r>
      <w:r w:rsidR="003B5905" w:rsidRPr="004C1796">
        <w:rPr>
          <w:rFonts w:ascii="Times New Roman" w:eastAsia="Times New Roman" w:hAnsi="Times New Roman" w:cs="Times New Roman"/>
        </w:rPr>
        <w:t xml:space="preserve"> sentence</w:t>
      </w:r>
      <w:r w:rsidR="000C4BAD" w:rsidRPr="004C1796">
        <w:rPr>
          <w:rFonts w:ascii="Times New Roman" w:eastAsia="Times New Roman" w:hAnsi="Times New Roman" w:cs="Times New Roman"/>
        </w:rPr>
        <w:t xml:space="preserve"> for a male sentenced to eight months of imprisonment (of which six were conditional) for the supply of ‘hard drugs’ (cocaine, ecstasy and hemp),</w:t>
      </w:r>
      <w:r w:rsidR="003B5905" w:rsidRPr="004C1796">
        <w:rPr>
          <w:rFonts w:ascii="Times New Roman" w:eastAsia="Times New Roman" w:hAnsi="Times New Roman" w:cs="Times New Roman"/>
        </w:rPr>
        <w:t xml:space="preserve"> the cour</w:t>
      </w:r>
      <w:r w:rsidR="00EE3AD8" w:rsidRPr="004C1796">
        <w:rPr>
          <w:rFonts w:ascii="Times New Roman" w:eastAsia="Times New Roman" w:hAnsi="Times New Roman" w:cs="Times New Roman"/>
        </w:rPr>
        <w:t>t took into consideration that the defendant</w:t>
      </w:r>
      <w:r w:rsidR="000C4BAD" w:rsidRPr="004C1796">
        <w:rPr>
          <w:rFonts w:ascii="Times New Roman" w:eastAsia="Times New Roman" w:hAnsi="Times New Roman" w:cs="Times New Roman"/>
        </w:rPr>
        <w:t xml:space="preserve"> was not a professional dealer as</w:t>
      </w:r>
      <w:r w:rsidR="003B5905" w:rsidRPr="004C1796">
        <w:rPr>
          <w:rFonts w:ascii="Times New Roman" w:eastAsia="Times New Roman" w:hAnsi="Times New Roman" w:cs="Times New Roman"/>
        </w:rPr>
        <w:t xml:space="preserve"> </w:t>
      </w:r>
      <w:r w:rsidR="000C4BAD" w:rsidRPr="004C1796">
        <w:rPr>
          <w:rFonts w:ascii="Times New Roman" w:eastAsia="Times New Roman" w:hAnsi="Times New Roman" w:cs="Times New Roman"/>
        </w:rPr>
        <w:t>t</w:t>
      </w:r>
      <w:r w:rsidR="003B5905" w:rsidRPr="004C1796">
        <w:rPr>
          <w:rFonts w:ascii="Times New Roman" w:eastAsia="Times New Roman" w:hAnsi="Times New Roman" w:cs="Times New Roman"/>
        </w:rPr>
        <w:t xml:space="preserve">he drug transactions were described as “a service to friends” of which the dealer only made </w:t>
      </w:r>
      <w:r w:rsidR="003B5905" w:rsidRPr="004C1796">
        <w:rPr>
          <w:rFonts w:ascii="Times New Roman" w:eastAsia="Times New Roman" w:hAnsi="Times New Roman" w:cs="Times New Roman"/>
          <w:i/>
        </w:rPr>
        <w:t>minimal profits</w:t>
      </w:r>
      <w:r w:rsidR="003B5905" w:rsidRPr="004C1796">
        <w:rPr>
          <w:rFonts w:ascii="Times New Roman" w:eastAsia="Times New Roman" w:hAnsi="Times New Roman" w:cs="Times New Roman"/>
        </w:rPr>
        <w:t xml:space="preserve"> (“low profit margins”) (PZC, 2016). </w:t>
      </w:r>
    </w:p>
    <w:p w14:paraId="52629655" w14:textId="77777777" w:rsidR="007E04D9" w:rsidRPr="004C1796" w:rsidRDefault="007E04D9" w:rsidP="00E7752F">
      <w:pPr>
        <w:spacing w:line="360" w:lineRule="auto"/>
        <w:jc w:val="both"/>
        <w:outlineLvl w:val="0"/>
        <w:rPr>
          <w:rFonts w:ascii="Times New Roman" w:hAnsi="Times New Roman" w:cs="Times New Roman"/>
          <w:i/>
        </w:rPr>
      </w:pPr>
    </w:p>
    <w:p w14:paraId="2B2E189E" w14:textId="77777777" w:rsidR="00AE0E01" w:rsidRPr="004C1796" w:rsidRDefault="007F4BA2" w:rsidP="00E7752F">
      <w:pPr>
        <w:spacing w:line="360" w:lineRule="auto"/>
        <w:jc w:val="both"/>
        <w:outlineLvl w:val="0"/>
        <w:rPr>
          <w:rFonts w:ascii="Times New Roman" w:hAnsi="Times New Roman" w:cs="Times New Roman"/>
          <w:i/>
        </w:rPr>
      </w:pPr>
      <w:r w:rsidRPr="004C1796">
        <w:rPr>
          <w:rFonts w:ascii="Times New Roman" w:hAnsi="Times New Roman" w:cs="Times New Roman"/>
          <w:i/>
        </w:rPr>
        <w:t xml:space="preserve">Less developed </w:t>
      </w:r>
      <w:r w:rsidR="004B02BC" w:rsidRPr="004C1796">
        <w:rPr>
          <w:rFonts w:ascii="Times New Roman" w:hAnsi="Times New Roman" w:cs="Times New Roman"/>
          <w:i/>
        </w:rPr>
        <w:t>accommodation of social supply characteristics</w:t>
      </w:r>
    </w:p>
    <w:p w14:paraId="227321CB" w14:textId="77777777" w:rsidR="00AE0E01" w:rsidRPr="004C1796" w:rsidRDefault="00AE0E01" w:rsidP="00AE0E01">
      <w:pPr>
        <w:rPr>
          <w:rFonts w:ascii="Times New Roman" w:hAnsi="Times New Roman" w:cs="Times New Roman"/>
        </w:rPr>
      </w:pPr>
    </w:p>
    <w:p w14:paraId="35E42BA8" w14:textId="77777777" w:rsidR="0040425F" w:rsidRPr="004C1796" w:rsidRDefault="00DD35FC" w:rsidP="00554604">
      <w:pPr>
        <w:spacing w:line="360" w:lineRule="auto"/>
        <w:jc w:val="both"/>
        <w:rPr>
          <w:rFonts w:ascii="Times New Roman" w:hAnsi="Times New Roman" w:cs="Times New Roman"/>
          <w:lang w:val="en-US"/>
        </w:rPr>
      </w:pPr>
      <w:r w:rsidRPr="004C1796">
        <w:rPr>
          <w:rFonts w:ascii="Times New Roman" w:eastAsia="Times New Roman" w:hAnsi="Times New Roman" w:cs="Times New Roman"/>
          <w:color w:val="000000"/>
          <w:shd w:val="clear" w:color="auto" w:fill="FFFFFF"/>
          <w:lang w:eastAsia="en-GB"/>
        </w:rPr>
        <w:t>While</w:t>
      </w:r>
      <w:r w:rsidR="005B35A2" w:rsidRPr="004C1796">
        <w:rPr>
          <w:rFonts w:ascii="Times New Roman" w:eastAsia="Times New Roman" w:hAnsi="Times New Roman" w:cs="Times New Roman"/>
          <w:color w:val="000000"/>
          <w:shd w:val="clear" w:color="auto" w:fill="FFFFFF"/>
          <w:lang w:eastAsia="en-GB"/>
        </w:rPr>
        <w:t xml:space="preserve"> there is evidence of </w:t>
      </w:r>
      <w:r w:rsidR="00A32B95" w:rsidRPr="004C1796">
        <w:rPr>
          <w:rFonts w:ascii="Times New Roman" w:eastAsia="Times New Roman" w:hAnsi="Times New Roman" w:cs="Times New Roman"/>
          <w:color w:val="000000"/>
          <w:shd w:val="clear" w:color="auto" w:fill="FFFFFF"/>
          <w:lang w:eastAsia="en-GB"/>
        </w:rPr>
        <w:t xml:space="preserve">an </w:t>
      </w:r>
      <w:r w:rsidR="005B35A2" w:rsidRPr="004C1796">
        <w:rPr>
          <w:rFonts w:ascii="Times New Roman" w:eastAsia="Times New Roman" w:hAnsi="Times New Roman" w:cs="Times New Roman"/>
          <w:color w:val="000000"/>
          <w:shd w:val="clear" w:color="auto" w:fill="FFFFFF"/>
          <w:lang w:eastAsia="en-GB"/>
        </w:rPr>
        <w:t xml:space="preserve">acceptance of social supply, or at least </w:t>
      </w:r>
      <w:r w:rsidR="00A32B95" w:rsidRPr="004C1796">
        <w:rPr>
          <w:rFonts w:ascii="Times New Roman" w:eastAsia="Times New Roman" w:hAnsi="Times New Roman" w:cs="Times New Roman"/>
          <w:color w:val="000000"/>
          <w:shd w:val="clear" w:color="auto" w:fill="FFFFFF"/>
          <w:lang w:eastAsia="en-GB"/>
        </w:rPr>
        <w:t>discretionary actions that attempt to</w:t>
      </w:r>
      <w:r w:rsidR="00714085" w:rsidRPr="004C1796">
        <w:rPr>
          <w:rFonts w:ascii="Times New Roman" w:eastAsia="Times New Roman" w:hAnsi="Times New Roman" w:cs="Times New Roman"/>
          <w:color w:val="000000"/>
          <w:shd w:val="clear" w:color="auto" w:fill="FFFFFF"/>
          <w:lang w:eastAsia="en-GB"/>
        </w:rPr>
        <w:t xml:space="preserve"> a</w:t>
      </w:r>
      <w:r w:rsidR="0095351B" w:rsidRPr="004C1796">
        <w:rPr>
          <w:rFonts w:ascii="Times New Roman" w:eastAsia="Times New Roman" w:hAnsi="Times New Roman" w:cs="Times New Roman"/>
          <w:color w:val="000000"/>
          <w:shd w:val="clear" w:color="auto" w:fill="FFFFFF"/>
          <w:lang w:eastAsia="en-GB"/>
        </w:rPr>
        <w:t xml:space="preserve">ccommodate its characteristics </w:t>
      </w:r>
      <w:r w:rsidR="00714085" w:rsidRPr="004C1796">
        <w:rPr>
          <w:rFonts w:ascii="Times New Roman" w:eastAsia="Times New Roman" w:hAnsi="Times New Roman" w:cs="Times New Roman"/>
          <w:color w:val="000000"/>
          <w:shd w:val="clear" w:color="auto" w:fill="FFFFFF"/>
          <w:lang w:eastAsia="en-GB"/>
        </w:rPr>
        <w:t>i</w:t>
      </w:r>
      <w:r w:rsidR="00FB65D0" w:rsidRPr="004C1796">
        <w:rPr>
          <w:rFonts w:ascii="Times New Roman" w:eastAsia="Times New Roman" w:hAnsi="Times New Roman" w:cs="Times New Roman"/>
          <w:color w:val="000000"/>
          <w:shd w:val="clear" w:color="auto" w:fill="FFFFFF"/>
          <w:lang w:eastAsia="en-GB"/>
        </w:rPr>
        <w:t>n many international contexts, the term social supply</w:t>
      </w:r>
      <w:r w:rsidR="009A4C2F" w:rsidRPr="004C1796">
        <w:rPr>
          <w:rFonts w:ascii="Times New Roman" w:eastAsia="Times New Roman" w:hAnsi="Times New Roman" w:cs="Times New Roman"/>
          <w:color w:val="000000"/>
          <w:shd w:val="clear" w:color="auto" w:fill="FFFFFF"/>
          <w:lang w:eastAsia="en-GB"/>
        </w:rPr>
        <w:t xml:space="preserve"> is </w:t>
      </w:r>
      <w:r w:rsidR="00252629" w:rsidRPr="004C1796">
        <w:rPr>
          <w:rFonts w:ascii="Times New Roman" w:eastAsia="Times New Roman" w:hAnsi="Times New Roman" w:cs="Times New Roman"/>
          <w:color w:val="000000"/>
          <w:shd w:val="clear" w:color="auto" w:fill="FFFFFF"/>
          <w:lang w:eastAsia="en-GB"/>
        </w:rPr>
        <w:t xml:space="preserve">largely </w:t>
      </w:r>
      <w:r w:rsidR="009A4C2F" w:rsidRPr="004C1796">
        <w:rPr>
          <w:rFonts w:ascii="Times New Roman" w:eastAsia="Times New Roman" w:hAnsi="Times New Roman" w:cs="Times New Roman"/>
          <w:color w:val="000000"/>
          <w:shd w:val="clear" w:color="auto" w:fill="FFFFFF"/>
          <w:lang w:eastAsia="en-GB"/>
        </w:rPr>
        <w:t>unrecognised in legal practice</w:t>
      </w:r>
      <w:r w:rsidR="000821FF" w:rsidRPr="004C1796">
        <w:rPr>
          <w:rFonts w:ascii="Times New Roman" w:eastAsia="Times New Roman" w:hAnsi="Times New Roman" w:cs="Times New Roman"/>
          <w:color w:val="000000"/>
          <w:shd w:val="clear" w:color="auto" w:fill="FFFFFF"/>
          <w:lang w:eastAsia="en-GB"/>
        </w:rPr>
        <w:t xml:space="preserve"> </w:t>
      </w:r>
      <w:r w:rsidR="00DB7496" w:rsidRPr="004C1796">
        <w:rPr>
          <w:rFonts w:ascii="Times New Roman" w:eastAsia="Times New Roman" w:hAnsi="Times New Roman" w:cs="Times New Roman"/>
          <w:color w:val="000000"/>
          <w:shd w:val="clear" w:color="auto" w:fill="FFFFFF"/>
          <w:lang w:eastAsia="en-GB"/>
        </w:rPr>
        <w:t>as well as</w:t>
      </w:r>
      <w:r w:rsidR="009A4C2F" w:rsidRPr="004C1796">
        <w:rPr>
          <w:rFonts w:ascii="Times New Roman" w:eastAsia="Times New Roman" w:hAnsi="Times New Roman" w:cs="Times New Roman"/>
          <w:color w:val="000000"/>
          <w:shd w:val="clear" w:color="auto" w:fill="FFFFFF"/>
          <w:lang w:eastAsia="en-GB"/>
        </w:rPr>
        <w:t xml:space="preserve"> at a broader discursive level.</w:t>
      </w:r>
      <w:r w:rsidR="00A731B4" w:rsidRPr="004C1796">
        <w:rPr>
          <w:rFonts w:ascii="Times New Roman" w:eastAsia="Times New Roman" w:hAnsi="Times New Roman" w:cs="Times New Roman"/>
          <w:color w:val="000000"/>
          <w:shd w:val="clear" w:color="auto" w:fill="FFFFFF"/>
          <w:lang w:eastAsia="en-GB"/>
        </w:rPr>
        <w:t xml:space="preserve"> </w:t>
      </w:r>
      <w:r w:rsidRPr="004C1796">
        <w:rPr>
          <w:rFonts w:ascii="Times New Roman" w:eastAsia="Times New Roman" w:hAnsi="Times New Roman" w:cs="Times New Roman"/>
          <w:color w:val="000000"/>
          <w:shd w:val="clear" w:color="auto" w:fill="FFFFFF"/>
          <w:lang w:eastAsia="en-GB"/>
        </w:rPr>
        <w:t>In Belgium for example, t</w:t>
      </w:r>
      <w:r w:rsidR="007F4BA2" w:rsidRPr="004C1796">
        <w:rPr>
          <w:rFonts w:ascii="Times New Roman" w:eastAsia="Times New Roman" w:hAnsi="Times New Roman" w:cs="Times New Roman"/>
          <w:color w:val="000000"/>
          <w:shd w:val="clear" w:color="auto" w:fill="FFFFFF"/>
          <w:lang w:eastAsia="en-GB"/>
        </w:rPr>
        <w:t>he term 'social supply' is generally not used</w:t>
      </w:r>
      <w:r w:rsidRPr="004C1796">
        <w:rPr>
          <w:rFonts w:ascii="Times New Roman" w:eastAsia="Times New Roman" w:hAnsi="Times New Roman" w:cs="Times New Roman"/>
          <w:color w:val="000000"/>
          <w:shd w:val="clear" w:color="auto" w:fill="FFFFFF"/>
          <w:lang w:eastAsia="en-GB"/>
        </w:rPr>
        <w:t xml:space="preserve"> and although</w:t>
      </w:r>
      <w:r w:rsidR="007F4BA2" w:rsidRPr="004C1796">
        <w:rPr>
          <w:rFonts w:ascii="Times New Roman" w:eastAsia="Times New Roman" w:hAnsi="Times New Roman" w:cs="Times New Roman"/>
          <w:color w:val="000000"/>
          <w:shd w:val="clear" w:color="auto" w:fill="FFFFFF"/>
          <w:lang w:eastAsia="en-GB"/>
        </w:rPr>
        <w:t> </w:t>
      </w:r>
      <w:r w:rsidRPr="004C1796">
        <w:rPr>
          <w:rFonts w:ascii="Times New Roman" w:eastAsia="Times New Roman" w:hAnsi="Times New Roman" w:cs="Times New Roman"/>
          <w:lang w:eastAsia="en-GB"/>
        </w:rPr>
        <w:t>t</w:t>
      </w:r>
      <w:r w:rsidR="007F4BA2" w:rsidRPr="004C1796">
        <w:rPr>
          <w:rFonts w:ascii="Times New Roman" w:eastAsia="Times New Roman" w:hAnsi="Times New Roman" w:cs="Times New Roman"/>
          <w:lang w:eastAsia="en-GB"/>
        </w:rPr>
        <w:t xml:space="preserve">here is some provision for Belgian cannabis suppliers to be </w:t>
      </w:r>
      <w:r w:rsidR="007F4BA2" w:rsidRPr="004C1796">
        <w:rPr>
          <w:rFonts w:ascii="Times New Roman" w:eastAsia="Times New Roman" w:hAnsi="Times New Roman" w:cs="Times New Roman"/>
          <w:color w:val="000000"/>
          <w:shd w:val="clear" w:color="auto" w:fill="FFFFFF"/>
          <w:lang w:eastAsia="en-GB"/>
        </w:rPr>
        <w:t>distinguished as selling cannabis 'to c</w:t>
      </w:r>
      <w:r w:rsidRPr="004C1796">
        <w:rPr>
          <w:rFonts w:ascii="Times New Roman" w:eastAsia="Times New Roman" w:hAnsi="Times New Roman" w:cs="Times New Roman"/>
          <w:color w:val="000000"/>
          <w:shd w:val="clear" w:color="auto" w:fill="FFFFFF"/>
          <w:lang w:eastAsia="en-GB"/>
        </w:rPr>
        <w:t>over the costs of the own use'</w:t>
      </w:r>
      <w:r w:rsidR="007F4BA2" w:rsidRPr="004C1796">
        <w:rPr>
          <w:rFonts w:ascii="Times New Roman" w:eastAsia="Times New Roman" w:hAnsi="Times New Roman" w:cs="Times New Roman"/>
          <w:color w:val="000000"/>
          <w:shd w:val="clear" w:color="auto" w:fill="FFFFFF"/>
          <w:lang w:eastAsia="en-GB"/>
        </w:rPr>
        <w:t xml:space="preserve">, this ‘tolerance </w:t>
      </w:r>
      <w:r w:rsidR="007F4BA2" w:rsidRPr="004C1796">
        <w:rPr>
          <w:rFonts w:ascii="Times New Roman" w:eastAsia="Times New Roman" w:hAnsi="Times New Roman" w:cs="Times New Roman"/>
          <w:color w:val="000000"/>
          <w:shd w:val="clear" w:color="auto" w:fill="FFFFFF"/>
          <w:lang w:eastAsia="en-GB"/>
        </w:rPr>
        <w:lastRenderedPageBreak/>
        <w:t xml:space="preserve">model’ only applies to </w:t>
      </w:r>
      <w:r w:rsidR="007F4BA2" w:rsidRPr="004C1796">
        <w:rPr>
          <w:rFonts w:ascii="Times New Roman" w:eastAsia="Times New Roman" w:hAnsi="Times New Roman" w:cs="Times New Roman"/>
          <w:i/>
          <w:color w:val="000000"/>
          <w:shd w:val="clear" w:color="auto" w:fill="FFFFFF"/>
          <w:lang w:eastAsia="en-GB"/>
        </w:rPr>
        <w:t>cannabis,</w:t>
      </w:r>
      <w:r w:rsidR="00BA3AD2" w:rsidRPr="004C1796">
        <w:rPr>
          <w:rFonts w:ascii="Times New Roman" w:eastAsia="Times New Roman" w:hAnsi="Times New Roman" w:cs="Times New Roman"/>
          <w:color w:val="000000"/>
          <w:shd w:val="clear" w:color="auto" w:fill="FFFFFF"/>
          <w:lang w:eastAsia="en-GB"/>
        </w:rPr>
        <w:t xml:space="preserve"> and does not extend to any other illegal drugs</w:t>
      </w:r>
      <w:r w:rsidR="00743062" w:rsidRPr="004C1796">
        <w:rPr>
          <w:rFonts w:ascii="Times New Roman" w:eastAsia="Times New Roman" w:hAnsi="Times New Roman" w:cs="Times New Roman"/>
          <w:color w:val="000000"/>
          <w:shd w:val="clear" w:color="auto" w:fill="FFFFFF"/>
          <w:lang w:eastAsia="en-GB"/>
        </w:rPr>
        <w:t>. In practice</w:t>
      </w:r>
      <w:r w:rsidR="00884450" w:rsidRPr="004C1796">
        <w:rPr>
          <w:rFonts w:ascii="Times New Roman" w:eastAsia="Times New Roman" w:hAnsi="Times New Roman" w:cs="Times New Roman"/>
          <w:color w:val="000000"/>
          <w:shd w:val="clear" w:color="auto" w:fill="FFFFFF"/>
          <w:lang w:eastAsia="en-GB"/>
        </w:rPr>
        <w:t>,</w:t>
      </w:r>
      <w:r w:rsidR="00743062" w:rsidRPr="004C1796">
        <w:rPr>
          <w:rFonts w:ascii="Times New Roman" w:eastAsia="Times New Roman" w:hAnsi="Times New Roman" w:cs="Times New Roman"/>
          <w:color w:val="000000"/>
          <w:shd w:val="clear" w:color="auto" w:fill="FFFFFF"/>
          <w:lang w:eastAsia="en-GB"/>
        </w:rPr>
        <w:t xml:space="preserve"> this means that </w:t>
      </w:r>
      <w:r w:rsidR="007F4BA2" w:rsidRPr="004C1796">
        <w:rPr>
          <w:rFonts w:ascii="Times New Roman" w:eastAsia="Times New Roman" w:hAnsi="Times New Roman" w:cs="Times New Roman"/>
          <w:color w:val="000000"/>
          <w:shd w:val="clear" w:color="auto" w:fill="FFFFFF"/>
          <w:lang w:eastAsia="en-GB"/>
        </w:rPr>
        <w:t xml:space="preserve">no distinction is made between 'minor' and 'major' sales of MDMA or other </w:t>
      </w:r>
      <w:r w:rsidR="00743062" w:rsidRPr="004C1796">
        <w:rPr>
          <w:rFonts w:ascii="Times New Roman" w:eastAsia="Times New Roman" w:hAnsi="Times New Roman" w:cs="Times New Roman"/>
          <w:color w:val="000000"/>
          <w:shd w:val="clear" w:color="auto" w:fill="FFFFFF"/>
          <w:lang w:eastAsia="en-GB"/>
        </w:rPr>
        <w:t xml:space="preserve">recreational </w:t>
      </w:r>
      <w:r w:rsidR="007F4BA2" w:rsidRPr="004C1796">
        <w:rPr>
          <w:rFonts w:ascii="Times New Roman" w:eastAsia="Times New Roman" w:hAnsi="Times New Roman" w:cs="Times New Roman"/>
          <w:color w:val="000000"/>
          <w:shd w:val="clear" w:color="auto" w:fill="FFFFFF"/>
          <w:lang w:eastAsia="en-GB"/>
        </w:rPr>
        <w:t>drugs</w:t>
      </w:r>
      <w:r w:rsidR="00BA3AD2" w:rsidRPr="004C1796">
        <w:rPr>
          <w:rFonts w:ascii="Times New Roman" w:eastAsia="Times New Roman" w:hAnsi="Times New Roman" w:cs="Times New Roman"/>
          <w:color w:val="000000"/>
          <w:shd w:val="clear" w:color="auto" w:fill="FFFFFF"/>
          <w:lang w:eastAsia="en-GB"/>
        </w:rPr>
        <w:t xml:space="preserve">. </w:t>
      </w:r>
      <w:r w:rsidR="007D678A" w:rsidRPr="004C1796">
        <w:rPr>
          <w:rFonts w:ascii="Times New Roman" w:eastAsia="Times New Roman" w:hAnsi="Times New Roman" w:cs="Times New Roman"/>
          <w:color w:val="000000"/>
          <w:shd w:val="clear" w:color="auto" w:fill="FFFFFF"/>
          <w:lang w:eastAsia="en-GB"/>
        </w:rPr>
        <w:t xml:space="preserve">A similar picture is reported in Finland </w:t>
      </w:r>
      <w:r w:rsidR="002C4DC1" w:rsidRPr="004C1796">
        <w:rPr>
          <w:rFonts w:ascii="Times New Roman" w:eastAsia="Times New Roman" w:hAnsi="Times New Roman" w:cs="Times New Roman"/>
          <w:color w:val="000000"/>
          <w:shd w:val="clear" w:color="auto" w:fill="FFFFFF"/>
          <w:lang w:eastAsia="en-GB"/>
        </w:rPr>
        <w:t xml:space="preserve">and Canada </w:t>
      </w:r>
      <w:r w:rsidR="007D678A" w:rsidRPr="004C1796">
        <w:rPr>
          <w:rFonts w:ascii="Times New Roman" w:eastAsia="Times New Roman" w:hAnsi="Times New Roman" w:cs="Times New Roman"/>
          <w:color w:val="000000"/>
          <w:shd w:val="clear" w:color="auto" w:fill="FFFFFF"/>
          <w:lang w:eastAsia="en-GB"/>
        </w:rPr>
        <w:t xml:space="preserve">where there is </w:t>
      </w:r>
      <w:r w:rsidR="007D678A" w:rsidRPr="004C1796">
        <w:rPr>
          <w:rFonts w:ascii="Times New Roman" w:hAnsi="Times New Roman" w:cs="Times New Roman"/>
          <w:lang w:val="en-US"/>
        </w:rPr>
        <w:t xml:space="preserve">not a clear conception of social supply in </w:t>
      </w:r>
      <w:r w:rsidR="005B59A6" w:rsidRPr="004C1796">
        <w:rPr>
          <w:rFonts w:ascii="Times New Roman" w:hAnsi="Times New Roman" w:cs="Times New Roman"/>
          <w:lang w:val="en-US"/>
        </w:rPr>
        <w:t xml:space="preserve">drug </w:t>
      </w:r>
      <w:r w:rsidR="002C4DC1" w:rsidRPr="004C1796">
        <w:rPr>
          <w:rFonts w:ascii="Times New Roman" w:hAnsi="Times New Roman" w:cs="Times New Roman"/>
          <w:lang w:val="en-US"/>
        </w:rPr>
        <w:t xml:space="preserve">legislation but some of the </w:t>
      </w:r>
      <w:r w:rsidR="00610984" w:rsidRPr="004C1796">
        <w:rPr>
          <w:rFonts w:ascii="Times New Roman" w:hAnsi="Times New Roman" w:cs="Times New Roman"/>
          <w:lang w:val="en-US"/>
        </w:rPr>
        <w:t>features</w:t>
      </w:r>
      <w:r w:rsidR="002C4DC1" w:rsidRPr="004C1796">
        <w:rPr>
          <w:rFonts w:ascii="Times New Roman" w:hAnsi="Times New Roman" w:cs="Times New Roman"/>
          <w:lang w:val="en-US"/>
        </w:rPr>
        <w:t xml:space="preserve"> that we might consider as characteristic of social supply can be used in mitigation. </w:t>
      </w:r>
      <w:r w:rsidR="005444CB" w:rsidRPr="004C1796">
        <w:rPr>
          <w:rFonts w:ascii="Times New Roman" w:hAnsi="Times New Roman" w:cs="Times New Roman"/>
          <w:lang w:val="en-US"/>
        </w:rPr>
        <w:t>For Canadian</w:t>
      </w:r>
      <w:r w:rsidR="00554604" w:rsidRPr="004C1796">
        <w:rPr>
          <w:rFonts w:ascii="Times New Roman" w:hAnsi="Times New Roman" w:cs="Times New Roman"/>
          <w:lang w:val="en-US"/>
        </w:rPr>
        <w:t xml:space="preserve"> drug users</w:t>
      </w:r>
      <w:r w:rsidR="005444CB" w:rsidRPr="004C1796">
        <w:rPr>
          <w:rFonts w:ascii="Times New Roman" w:hAnsi="Times New Roman" w:cs="Times New Roman"/>
          <w:lang w:val="en-US"/>
        </w:rPr>
        <w:t xml:space="preserve">, </w:t>
      </w:r>
      <w:r w:rsidR="002C4DC1" w:rsidRPr="004C1796">
        <w:rPr>
          <w:rFonts w:ascii="Times New Roman" w:hAnsi="Times New Roman" w:cs="Times New Roman"/>
        </w:rPr>
        <w:t>the predominance of non-commercial, small-scale, social sharing and supply</w:t>
      </w:r>
      <w:r w:rsidR="005444CB" w:rsidRPr="004C1796">
        <w:rPr>
          <w:rFonts w:ascii="Times New Roman" w:hAnsi="Times New Roman" w:cs="Times New Roman"/>
        </w:rPr>
        <w:t xml:space="preserve"> of cannabis</w:t>
      </w:r>
      <w:r w:rsidR="002C4DC1" w:rsidRPr="004C1796">
        <w:rPr>
          <w:rFonts w:ascii="Times New Roman" w:hAnsi="Times New Roman" w:cs="Times New Roman"/>
        </w:rPr>
        <w:t xml:space="preserve"> is accommodated by discretionary measures that reduce the burden on the courts</w:t>
      </w:r>
      <w:r w:rsidR="00743062" w:rsidRPr="004C1796">
        <w:rPr>
          <w:rFonts w:ascii="Times New Roman" w:hAnsi="Times New Roman" w:cs="Times New Roman"/>
        </w:rPr>
        <w:t xml:space="preserve"> in </w:t>
      </w:r>
      <w:r w:rsidR="00700597" w:rsidRPr="004C1796">
        <w:rPr>
          <w:rFonts w:ascii="Times New Roman" w:hAnsi="Times New Roman" w:cs="Times New Roman"/>
        </w:rPr>
        <w:t>relation to this particular drug</w:t>
      </w:r>
      <w:r w:rsidR="00554604" w:rsidRPr="004C1796">
        <w:rPr>
          <w:rFonts w:ascii="Times New Roman" w:hAnsi="Times New Roman" w:cs="Times New Roman"/>
        </w:rPr>
        <w:t>, however</w:t>
      </w:r>
      <w:r w:rsidR="00743062" w:rsidRPr="004C1796">
        <w:rPr>
          <w:rFonts w:ascii="Times New Roman" w:hAnsi="Times New Roman" w:cs="Times New Roman"/>
        </w:rPr>
        <w:t>, mirroring the picture outlined in Belgium,</w:t>
      </w:r>
      <w:r w:rsidR="00554604" w:rsidRPr="004C1796">
        <w:rPr>
          <w:rFonts w:ascii="Times New Roman" w:hAnsi="Times New Roman" w:cs="Times New Roman"/>
        </w:rPr>
        <w:t xml:space="preserve"> there are no provisions for</w:t>
      </w:r>
      <w:r w:rsidR="00743062" w:rsidRPr="004C1796">
        <w:rPr>
          <w:rFonts w:ascii="Times New Roman" w:hAnsi="Times New Roman" w:cs="Times New Roman"/>
        </w:rPr>
        <w:t xml:space="preserve"> other recreational drug users</w:t>
      </w:r>
      <w:r w:rsidR="002C4DC1" w:rsidRPr="004C1796">
        <w:rPr>
          <w:rFonts w:ascii="Times New Roman" w:hAnsi="Times New Roman" w:cs="Times New Roman"/>
        </w:rPr>
        <w:t xml:space="preserve">. In Finland, </w:t>
      </w:r>
      <w:r w:rsidR="007D678A" w:rsidRPr="004C1796">
        <w:rPr>
          <w:rFonts w:ascii="Times New Roman" w:hAnsi="Times New Roman" w:cs="Times New Roman"/>
          <w:lang w:val="en-US"/>
        </w:rPr>
        <w:t xml:space="preserve">it is stated in the Criminal Law that motives of an offender (as well as malignancy and dangerousness of an offence) should be taken </w:t>
      </w:r>
      <w:r w:rsidR="00E02B6D" w:rsidRPr="004C1796">
        <w:rPr>
          <w:rFonts w:ascii="Times New Roman" w:hAnsi="Times New Roman" w:cs="Times New Roman"/>
          <w:lang w:val="en-US"/>
        </w:rPr>
        <w:t xml:space="preserve">into </w:t>
      </w:r>
      <w:r w:rsidR="007D678A" w:rsidRPr="004C1796">
        <w:rPr>
          <w:rFonts w:ascii="Times New Roman" w:hAnsi="Times New Roman" w:cs="Times New Roman"/>
          <w:lang w:val="en-US"/>
        </w:rPr>
        <w:t xml:space="preserve">account when imposing a sentence. So, in practice, a person sharing or giving away a small amount of cannabis would most likely receive somewhat milder sanctions than in </w:t>
      </w:r>
      <w:r w:rsidR="00743062" w:rsidRPr="004C1796">
        <w:rPr>
          <w:rFonts w:ascii="Times New Roman" w:hAnsi="Times New Roman" w:cs="Times New Roman"/>
          <w:lang w:val="en-US"/>
        </w:rPr>
        <w:t xml:space="preserve">a </w:t>
      </w:r>
      <w:r w:rsidR="007D678A" w:rsidRPr="004C1796">
        <w:rPr>
          <w:rFonts w:ascii="Times New Roman" w:hAnsi="Times New Roman" w:cs="Times New Roman"/>
          <w:lang w:val="en-US"/>
        </w:rPr>
        <w:t xml:space="preserve">case when a person is </w:t>
      </w:r>
      <w:r w:rsidR="007D678A" w:rsidRPr="004C1796">
        <w:rPr>
          <w:rFonts w:ascii="Times New Roman" w:hAnsi="Times New Roman" w:cs="Times New Roman"/>
          <w:i/>
          <w:lang w:val="en-US"/>
        </w:rPr>
        <w:t>selling</w:t>
      </w:r>
      <w:r w:rsidR="007D678A" w:rsidRPr="004C1796">
        <w:rPr>
          <w:rFonts w:ascii="Times New Roman" w:hAnsi="Times New Roman" w:cs="Times New Roman"/>
          <w:lang w:val="en-US"/>
        </w:rPr>
        <w:t xml:space="preserve"> the same amount of cannabis</w:t>
      </w:r>
      <w:r w:rsidR="00174229" w:rsidRPr="004C1796">
        <w:rPr>
          <w:rFonts w:ascii="Times New Roman" w:hAnsi="Times New Roman" w:cs="Times New Roman"/>
          <w:lang w:val="en-US"/>
        </w:rPr>
        <w:t xml:space="preserve"> (Kainulainen, 2006). </w:t>
      </w:r>
      <w:r w:rsidR="00554604" w:rsidRPr="004C1796">
        <w:rPr>
          <w:rFonts w:ascii="Times New Roman" w:hAnsi="Times New Roman" w:cs="Times New Roman"/>
          <w:lang w:val="en-US"/>
        </w:rPr>
        <w:t>In Germany</w:t>
      </w:r>
      <w:r w:rsidR="00D660BC" w:rsidRPr="004C1796">
        <w:rPr>
          <w:rFonts w:ascii="Times New Roman" w:hAnsi="Times New Roman" w:cs="Times New Roman"/>
          <w:lang w:val="en-US"/>
        </w:rPr>
        <w:t xml:space="preserve"> and the Czech Republic</w:t>
      </w:r>
      <w:r w:rsidR="00554604" w:rsidRPr="004C1796">
        <w:rPr>
          <w:rFonts w:ascii="Times New Roman" w:hAnsi="Times New Roman" w:cs="Times New Roman"/>
          <w:lang w:val="en-US"/>
        </w:rPr>
        <w:t xml:space="preserve">, similar themes are observed in that there are no special regulations for social supply offenses vs. profit-oriented sale (except for the vague term of “commercial” dealing mentioned above). However, courts would usually impose sanctions in relation to the severity of the case (regarding profits, regularity etc.) </w:t>
      </w:r>
      <w:r w:rsidR="00D660BC" w:rsidRPr="004C1796">
        <w:rPr>
          <w:rFonts w:ascii="Times New Roman" w:hAnsi="Times New Roman" w:cs="Times New Roman"/>
          <w:lang w:val="en-US"/>
        </w:rPr>
        <w:t xml:space="preserve">and in </w:t>
      </w:r>
      <w:r w:rsidR="00D660BC" w:rsidRPr="004C1796">
        <w:rPr>
          <w:rFonts w:ascii="Times New Roman" w:hAnsi="Times New Roman" w:cs="Times New Roman"/>
          <w:color w:val="222222"/>
          <w:lang w:eastAsia="en-GB"/>
        </w:rPr>
        <w:t xml:space="preserve">sentencing can take into consideration lower severity and social harmfulness of such acts. </w:t>
      </w:r>
      <w:r w:rsidR="00D660BC" w:rsidRPr="004C1796">
        <w:rPr>
          <w:rFonts w:ascii="Times New Roman" w:hAnsi="Times New Roman" w:cs="Times New Roman"/>
          <w:lang w:val="en-US"/>
        </w:rPr>
        <w:t>In this respect</w:t>
      </w:r>
      <w:r w:rsidR="00554604" w:rsidRPr="004C1796">
        <w:rPr>
          <w:rFonts w:ascii="Times New Roman" w:hAnsi="Times New Roman" w:cs="Times New Roman"/>
          <w:lang w:val="en-US"/>
        </w:rPr>
        <w:t>,</w:t>
      </w:r>
      <w:r w:rsidR="00D660BC" w:rsidRPr="004C1796">
        <w:rPr>
          <w:rFonts w:ascii="Times New Roman" w:hAnsi="Times New Roman" w:cs="Times New Roman"/>
          <w:lang w:val="en-US"/>
        </w:rPr>
        <w:t xml:space="preserve"> in these neighbouring countries, German and Czech citizens cannot expect any</w:t>
      </w:r>
      <w:r w:rsidR="00CE6B94" w:rsidRPr="004C1796">
        <w:rPr>
          <w:rFonts w:ascii="Times New Roman" w:hAnsi="Times New Roman" w:cs="Times New Roman"/>
          <w:lang w:val="en-US"/>
        </w:rPr>
        <w:t xml:space="preserve"> explicit</w:t>
      </w:r>
      <w:r w:rsidR="00D660BC" w:rsidRPr="004C1796">
        <w:rPr>
          <w:rFonts w:ascii="Times New Roman" w:hAnsi="Times New Roman" w:cs="Times New Roman"/>
          <w:lang w:val="en-US"/>
        </w:rPr>
        <w:t xml:space="preserve"> </w:t>
      </w:r>
      <w:r w:rsidR="00CE6B94" w:rsidRPr="004C1796">
        <w:rPr>
          <w:rFonts w:ascii="Times New Roman" w:hAnsi="Times New Roman" w:cs="Times New Roman"/>
          <w:lang w:val="en-US"/>
        </w:rPr>
        <w:t xml:space="preserve">legal </w:t>
      </w:r>
      <w:r w:rsidR="000B00E4" w:rsidRPr="004C1796">
        <w:rPr>
          <w:rFonts w:ascii="Times New Roman" w:hAnsi="Times New Roman" w:cs="Times New Roman"/>
          <w:lang w:val="en-US"/>
        </w:rPr>
        <w:t>provisions for social supply,</w:t>
      </w:r>
      <w:r w:rsidR="00D6274F" w:rsidRPr="004C1796">
        <w:rPr>
          <w:rFonts w:ascii="Times New Roman" w:hAnsi="Times New Roman" w:cs="Times New Roman"/>
          <w:lang w:val="en-US"/>
        </w:rPr>
        <w:t xml:space="preserve"> </w:t>
      </w:r>
      <w:r w:rsidR="00D6274F" w:rsidRPr="004C1796">
        <w:rPr>
          <w:rFonts w:ascii="Times New Roman" w:hAnsi="Times New Roman" w:cs="Times New Roman"/>
          <w:i/>
          <w:lang w:val="en-US"/>
        </w:rPr>
        <w:t>but</w:t>
      </w:r>
      <w:r w:rsidR="00D6274F" w:rsidRPr="004C1796">
        <w:rPr>
          <w:rFonts w:ascii="Times New Roman" w:hAnsi="Times New Roman" w:cs="Times New Roman"/>
          <w:lang w:val="en-US"/>
        </w:rPr>
        <w:t xml:space="preserve"> if their offending circumstances are judged as less severe, harmful and their responsibility less, this should be recognised in determining their punishment.</w:t>
      </w:r>
    </w:p>
    <w:p w14:paraId="0D6BADBE" w14:textId="77777777" w:rsidR="007E04D9" w:rsidRPr="004C1796" w:rsidRDefault="007E04D9" w:rsidP="0040425F">
      <w:pPr>
        <w:spacing w:line="360" w:lineRule="auto"/>
        <w:jc w:val="both"/>
        <w:rPr>
          <w:rFonts w:ascii="Times New Roman" w:eastAsia="Times New Roman" w:hAnsi="Times New Roman" w:cs="Times New Roman"/>
          <w:color w:val="000000"/>
          <w:shd w:val="clear" w:color="auto" w:fill="FFFFFF"/>
          <w:lang w:eastAsia="en-GB"/>
        </w:rPr>
      </w:pPr>
    </w:p>
    <w:p w14:paraId="76F5001A" w14:textId="77777777" w:rsidR="0040425F" w:rsidRPr="004C1796" w:rsidRDefault="007A3108" w:rsidP="0040425F">
      <w:pPr>
        <w:spacing w:line="360" w:lineRule="auto"/>
        <w:jc w:val="both"/>
        <w:rPr>
          <w:rFonts w:ascii="Times New Roman" w:hAnsi="Times New Roman" w:cs="Times New Roman"/>
          <w:lang w:val="en-US"/>
        </w:rPr>
      </w:pPr>
      <w:r w:rsidRPr="004C1796">
        <w:rPr>
          <w:rFonts w:ascii="Times New Roman" w:eastAsia="Times New Roman" w:hAnsi="Times New Roman" w:cs="Times New Roman"/>
          <w:color w:val="000000"/>
          <w:shd w:val="clear" w:color="auto" w:fill="FFFFFF"/>
          <w:lang w:eastAsia="en-GB"/>
        </w:rPr>
        <w:t>P</w:t>
      </w:r>
      <w:r w:rsidR="0040425F" w:rsidRPr="004C1796">
        <w:rPr>
          <w:rFonts w:ascii="Times New Roman" w:eastAsia="Times New Roman" w:hAnsi="Times New Roman" w:cs="Times New Roman"/>
          <w:color w:val="000000"/>
          <w:shd w:val="clear" w:color="auto" w:fill="FFFFFF"/>
          <w:lang w:eastAsia="en-GB"/>
        </w:rPr>
        <w:t>erhaps the best example of conceptual absence and its consequences comes from the United States, where despite observations of ‘friend dealing’ and socially situated distribution behaviours (Jacques and Wright, 2014; Blum, 1972), the term ‘social supply’ has not taken hold as a descriptor for social,</w:t>
      </w:r>
      <w:r w:rsidR="00686D43" w:rsidRPr="004C1796">
        <w:rPr>
          <w:rFonts w:ascii="Times New Roman" w:eastAsia="Times New Roman" w:hAnsi="Times New Roman" w:cs="Times New Roman"/>
          <w:color w:val="000000"/>
          <w:shd w:val="clear" w:color="auto" w:fill="FFFFFF"/>
          <w:lang w:eastAsia="en-GB"/>
        </w:rPr>
        <w:t xml:space="preserve"> non-profit motivated dealing. </w:t>
      </w:r>
      <w:r w:rsidR="0040425F" w:rsidRPr="004C1796">
        <w:rPr>
          <w:rFonts w:ascii="Times New Roman" w:eastAsia="Times New Roman" w:hAnsi="Times New Roman" w:cs="Times New Roman"/>
          <w:color w:val="000000"/>
          <w:shd w:val="clear" w:color="auto" w:fill="FFFFFF"/>
          <w:lang w:eastAsia="en-GB"/>
        </w:rPr>
        <w:t>Discursive familiarity with the social supply concept is highly underdeveloped</w:t>
      </w:r>
      <w:r w:rsidR="00EB26FD" w:rsidRPr="004C1796">
        <w:rPr>
          <w:rFonts w:ascii="Times New Roman" w:eastAsia="Times New Roman" w:hAnsi="Times New Roman" w:cs="Times New Roman"/>
          <w:color w:val="000000"/>
          <w:shd w:val="clear" w:color="auto" w:fill="FFFFFF"/>
          <w:lang w:eastAsia="en-GB"/>
        </w:rPr>
        <w:t xml:space="preserve"> in this context</w:t>
      </w:r>
      <w:r w:rsidR="0040425F" w:rsidRPr="004C1796">
        <w:rPr>
          <w:rFonts w:ascii="Times New Roman" w:eastAsia="Times New Roman" w:hAnsi="Times New Roman" w:cs="Times New Roman"/>
          <w:color w:val="000000"/>
          <w:shd w:val="clear" w:color="auto" w:fill="FFFFFF"/>
          <w:lang w:eastAsia="en-GB"/>
        </w:rPr>
        <w:t xml:space="preserve"> to the extent that, when questioned about the utility of the concept, those working in </w:t>
      </w:r>
      <w:r w:rsidR="0040425F" w:rsidRPr="004C1796">
        <w:rPr>
          <w:rFonts w:ascii="Times New Roman" w:hAnsi="Times New Roman" w:cs="Times New Roman"/>
        </w:rPr>
        <w:t>public defender offices at county and federal levels admitted that they ‘</w:t>
      </w:r>
      <w:r w:rsidR="0040425F" w:rsidRPr="004C1796">
        <w:rPr>
          <w:rFonts w:ascii="Times New Roman" w:hAnsi="Times New Roman" w:cs="Times New Roman"/>
          <w:i/>
        </w:rPr>
        <w:t>had never heard of it’ (</w:t>
      </w:r>
      <w:r w:rsidR="0040425F" w:rsidRPr="004C1796">
        <w:rPr>
          <w:rFonts w:ascii="Times New Roman" w:hAnsi="Times New Roman" w:cs="Times New Roman"/>
        </w:rPr>
        <w:t>Personal Communication, 2017</w:t>
      </w:r>
      <w:r w:rsidR="0040425F" w:rsidRPr="004C1796">
        <w:rPr>
          <w:rFonts w:ascii="Times New Roman" w:hAnsi="Times New Roman" w:cs="Times New Roman"/>
          <w:i/>
        </w:rPr>
        <w:t>)</w:t>
      </w:r>
      <w:r w:rsidR="0040425F" w:rsidRPr="004C1796">
        <w:rPr>
          <w:rFonts w:ascii="Times New Roman" w:hAnsi="Times New Roman" w:cs="Times New Roman"/>
        </w:rPr>
        <w:t xml:space="preserve">. In practice, as previously discussed, Federal drug law prescribes different sentencing tariffs and </w:t>
      </w:r>
      <w:r w:rsidR="0040425F" w:rsidRPr="004C1796">
        <w:rPr>
          <w:rFonts w:ascii="Times New Roman" w:hAnsi="Times New Roman" w:cs="Times New Roman"/>
          <w:lang w:val="en-US"/>
        </w:rPr>
        <w:t xml:space="preserve">penalties for </w:t>
      </w:r>
      <w:r w:rsidR="0040425F" w:rsidRPr="004C1796">
        <w:rPr>
          <w:rFonts w:ascii="Times New Roman" w:hAnsi="Times New Roman" w:cs="Times New Roman"/>
          <w:lang w:val="en-US"/>
        </w:rPr>
        <w:lastRenderedPageBreak/>
        <w:t xml:space="preserve">distinct types of drugs and specific quantities, but they do not differentiate types of </w:t>
      </w:r>
      <w:r w:rsidR="0040425F" w:rsidRPr="004C1796">
        <w:rPr>
          <w:rFonts w:ascii="Times New Roman" w:hAnsi="Times New Roman" w:cs="Times New Roman"/>
          <w:i/>
          <w:lang w:val="en-US"/>
        </w:rPr>
        <w:t>supply</w:t>
      </w:r>
      <w:r w:rsidR="0040425F" w:rsidRPr="004C1796">
        <w:rPr>
          <w:rFonts w:ascii="Times New Roman" w:hAnsi="Times New Roman" w:cs="Times New Roman"/>
          <w:lang w:val="en-US"/>
        </w:rPr>
        <w:t xml:space="preserve">. In this respect, there is </w:t>
      </w:r>
      <w:r w:rsidR="00884450" w:rsidRPr="004C1796">
        <w:rPr>
          <w:rFonts w:ascii="Times New Roman" w:hAnsi="Times New Roman" w:cs="Times New Roman"/>
          <w:lang w:val="en-US"/>
        </w:rPr>
        <w:t>‘</w:t>
      </w:r>
      <w:r w:rsidR="0040425F" w:rsidRPr="004C1796">
        <w:rPr>
          <w:rFonts w:ascii="Times New Roman" w:hAnsi="Times New Roman" w:cs="Times New Roman"/>
          <w:lang w:val="en-US"/>
        </w:rPr>
        <w:t>inordinate ambiguity</w:t>
      </w:r>
      <w:r w:rsidR="00884450" w:rsidRPr="004C1796">
        <w:rPr>
          <w:rFonts w:ascii="Times New Roman" w:hAnsi="Times New Roman" w:cs="Times New Roman"/>
          <w:lang w:val="en-US"/>
        </w:rPr>
        <w:t>’</w:t>
      </w:r>
      <w:r w:rsidR="0040425F" w:rsidRPr="004C1796">
        <w:rPr>
          <w:rFonts w:ascii="Times New Roman" w:hAnsi="Times New Roman" w:cs="Times New Roman"/>
          <w:lang w:val="en-US"/>
        </w:rPr>
        <w:t xml:space="preserve"> in defining “trafficking” regarding Schedule I and II drugs for which no quantity-based parameters exist, including prescription stimulants, and legislation does not specifically distinguish betwe</w:t>
      </w:r>
      <w:r w:rsidR="00884450" w:rsidRPr="004C1796">
        <w:rPr>
          <w:rFonts w:ascii="Times New Roman" w:hAnsi="Times New Roman" w:cs="Times New Roman"/>
          <w:lang w:val="en-US"/>
        </w:rPr>
        <w:t>en “dealing” and “social supply</w:t>
      </w:r>
      <w:r w:rsidR="0040425F" w:rsidRPr="004C1796">
        <w:rPr>
          <w:rFonts w:ascii="Times New Roman" w:hAnsi="Times New Roman" w:cs="Times New Roman"/>
          <w:lang w:val="en-US"/>
        </w:rPr>
        <w:t>”</w:t>
      </w:r>
      <w:r w:rsidR="00884450" w:rsidRPr="004C1796">
        <w:rPr>
          <w:rFonts w:ascii="Times New Roman" w:hAnsi="Times New Roman" w:cs="Times New Roman"/>
          <w:lang w:val="en-US"/>
        </w:rPr>
        <w:t xml:space="preserve"> (Murphy et al., forthcoming)</w:t>
      </w:r>
      <w:r w:rsidR="0040425F" w:rsidRPr="004C1796">
        <w:rPr>
          <w:rFonts w:ascii="Times New Roman" w:hAnsi="Times New Roman" w:cs="Times New Roman"/>
          <w:lang w:val="en-US"/>
        </w:rPr>
        <w:t xml:space="preserve"> Taking the example of a college student who gives a friend a few free Adderall (a </w:t>
      </w:r>
      <w:r w:rsidR="00E02B6D" w:rsidRPr="004C1796">
        <w:rPr>
          <w:rFonts w:ascii="Times New Roman" w:hAnsi="Times New Roman" w:cs="Times New Roman"/>
          <w:lang w:val="en-US"/>
        </w:rPr>
        <w:t xml:space="preserve">prescription </w:t>
      </w:r>
      <w:r w:rsidR="0040425F" w:rsidRPr="004C1796">
        <w:rPr>
          <w:rFonts w:ascii="Times New Roman" w:hAnsi="Times New Roman" w:cs="Times New Roman"/>
          <w:lang w:val="en-US"/>
        </w:rPr>
        <w:t xml:space="preserve">stimulant </w:t>
      </w:r>
      <w:r w:rsidR="00E02B6D" w:rsidRPr="004C1796">
        <w:rPr>
          <w:rFonts w:ascii="Times New Roman" w:hAnsi="Times New Roman" w:cs="Times New Roman"/>
          <w:lang w:val="en-US"/>
        </w:rPr>
        <w:t xml:space="preserve">diverted for, and </w:t>
      </w:r>
      <w:r w:rsidR="0040425F" w:rsidRPr="004C1796">
        <w:rPr>
          <w:rFonts w:ascii="Times New Roman" w:hAnsi="Times New Roman" w:cs="Times New Roman"/>
          <w:lang w:val="en-US"/>
        </w:rPr>
        <w:t>used as</w:t>
      </w:r>
      <w:r w:rsidR="00E02B6D" w:rsidRPr="004C1796">
        <w:rPr>
          <w:rFonts w:ascii="Times New Roman" w:hAnsi="Times New Roman" w:cs="Times New Roman"/>
          <w:lang w:val="en-US"/>
        </w:rPr>
        <w:t>,</w:t>
      </w:r>
      <w:r w:rsidR="0040425F" w:rsidRPr="004C1796">
        <w:rPr>
          <w:rFonts w:ascii="Times New Roman" w:hAnsi="Times New Roman" w:cs="Times New Roman"/>
          <w:lang w:val="en-US"/>
        </w:rPr>
        <w:t xml:space="preserve"> a ‘study drug’), </w:t>
      </w:r>
      <w:r w:rsidR="007E04D9" w:rsidRPr="004C1796">
        <w:rPr>
          <w:rFonts w:ascii="Times New Roman" w:hAnsi="Times New Roman" w:cs="Times New Roman"/>
          <w:lang w:val="en-US"/>
        </w:rPr>
        <w:t>it is suggested that federal</w:t>
      </w:r>
      <w:r w:rsidR="0040425F" w:rsidRPr="004C1796">
        <w:rPr>
          <w:rFonts w:ascii="Times New Roman" w:hAnsi="Times New Roman" w:cs="Times New Roman"/>
          <w:lang w:val="en-US"/>
        </w:rPr>
        <w:t xml:space="preserve"> law</w:t>
      </w:r>
      <w:r w:rsidR="0064141D" w:rsidRPr="004C1796">
        <w:rPr>
          <w:rFonts w:ascii="Times New Roman" w:hAnsi="Times New Roman" w:cs="Times New Roman"/>
          <w:lang w:val="en-US"/>
        </w:rPr>
        <w:t>s work in such a way that this social supplier</w:t>
      </w:r>
      <w:r w:rsidR="0040425F" w:rsidRPr="004C1796">
        <w:rPr>
          <w:rFonts w:ascii="Times New Roman" w:hAnsi="Times New Roman" w:cs="Times New Roman"/>
          <w:lang w:val="en-US"/>
        </w:rPr>
        <w:t xml:space="preserve"> could conceivably receive the same penalty as a first-time offender who sold four hundred grams of cocaine (</w:t>
      </w:r>
      <w:r w:rsidR="00F13EB1" w:rsidRPr="004C1796">
        <w:rPr>
          <w:rFonts w:ascii="Times New Roman" w:hAnsi="Times New Roman" w:cs="Times New Roman"/>
          <w:lang w:val="en-US"/>
        </w:rPr>
        <w:t xml:space="preserve">see </w:t>
      </w:r>
      <w:r w:rsidR="0040425F" w:rsidRPr="004C1796">
        <w:rPr>
          <w:rFonts w:ascii="Times New Roman" w:hAnsi="Times New Roman" w:cs="Times New Roman"/>
          <w:lang w:val="en-US"/>
        </w:rPr>
        <w:t>Murphy et al.</w:t>
      </w:r>
      <w:r w:rsidR="00686D43" w:rsidRPr="004C1796">
        <w:rPr>
          <w:rFonts w:ascii="Times New Roman" w:hAnsi="Times New Roman" w:cs="Times New Roman"/>
          <w:lang w:val="en-US"/>
        </w:rPr>
        <w:t>,</w:t>
      </w:r>
      <w:r w:rsidR="00884450" w:rsidRPr="004C1796">
        <w:rPr>
          <w:rFonts w:ascii="Times New Roman" w:hAnsi="Times New Roman" w:cs="Times New Roman"/>
          <w:lang w:val="en-US"/>
        </w:rPr>
        <w:t xml:space="preserve"> forthcoming</w:t>
      </w:r>
      <w:r w:rsidR="0040425F" w:rsidRPr="004C1796">
        <w:rPr>
          <w:rFonts w:ascii="Times New Roman" w:hAnsi="Times New Roman" w:cs="Times New Roman"/>
          <w:lang w:val="en-US"/>
        </w:rPr>
        <w:t xml:space="preserve">). </w:t>
      </w:r>
    </w:p>
    <w:p w14:paraId="3011DA7C" w14:textId="77777777" w:rsidR="007F4BA2" w:rsidRPr="004C1796" w:rsidRDefault="007F4BA2" w:rsidP="007D678A">
      <w:pPr>
        <w:spacing w:line="360" w:lineRule="auto"/>
        <w:jc w:val="both"/>
        <w:rPr>
          <w:rFonts w:ascii="Times New Roman" w:hAnsi="Times New Roman" w:cs="Times New Roman"/>
          <w:lang w:val="en-US"/>
        </w:rPr>
      </w:pPr>
    </w:p>
    <w:p w14:paraId="37F79666" w14:textId="77777777" w:rsidR="00DD4850" w:rsidRPr="004C1796" w:rsidRDefault="00DD4850" w:rsidP="00E7752F">
      <w:pPr>
        <w:outlineLvl w:val="0"/>
        <w:rPr>
          <w:rFonts w:ascii="Times New Roman" w:hAnsi="Times New Roman" w:cs="Times New Roman"/>
          <w:b/>
        </w:rPr>
      </w:pPr>
      <w:r w:rsidRPr="004C1796">
        <w:rPr>
          <w:rFonts w:ascii="Times New Roman" w:hAnsi="Times New Roman" w:cs="Times New Roman"/>
          <w:b/>
        </w:rPr>
        <w:t>Discussion</w:t>
      </w:r>
    </w:p>
    <w:p w14:paraId="3051883E" w14:textId="77777777" w:rsidR="00B60DB6" w:rsidRPr="004C1796" w:rsidRDefault="00B60DB6" w:rsidP="00B60DB6">
      <w:pPr>
        <w:spacing w:line="360" w:lineRule="auto"/>
        <w:jc w:val="both"/>
        <w:rPr>
          <w:rFonts w:ascii="Times New Roman" w:hAnsi="Times New Roman" w:cs="Times New Roman"/>
        </w:rPr>
      </w:pPr>
    </w:p>
    <w:p w14:paraId="42E48D69" w14:textId="77777777" w:rsidR="002618B9" w:rsidRPr="004C1796" w:rsidRDefault="005E07B5" w:rsidP="00B60DB6">
      <w:pPr>
        <w:spacing w:line="360" w:lineRule="auto"/>
        <w:jc w:val="both"/>
        <w:rPr>
          <w:rFonts w:ascii="Times New Roman" w:hAnsi="Times New Roman" w:cs="Times New Roman"/>
        </w:rPr>
      </w:pPr>
      <w:r w:rsidRPr="004C1796">
        <w:rPr>
          <w:rFonts w:ascii="Times New Roman" w:hAnsi="Times New Roman" w:cs="Times New Roman"/>
        </w:rPr>
        <w:t xml:space="preserve">From </w:t>
      </w:r>
      <w:r w:rsidR="007458C3" w:rsidRPr="004C1796">
        <w:rPr>
          <w:rFonts w:ascii="Times New Roman" w:hAnsi="Times New Roman" w:cs="Times New Roman"/>
        </w:rPr>
        <w:t xml:space="preserve">Europe, to North America, </w:t>
      </w:r>
      <w:r w:rsidR="00B60DB6" w:rsidRPr="004C1796">
        <w:rPr>
          <w:rFonts w:ascii="Times New Roman" w:hAnsi="Times New Roman" w:cs="Times New Roman"/>
        </w:rPr>
        <w:t>Hong Kong</w:t>
      </w:r>
      <w:r w:rsidR="007458C3" w:rsidRPr="004C1796">
        <w:rPr>
          <w:rFonts w:ascii="Times New Roman" w:hAnsi="Times New Roman" w:cs="Times New Roman"/>
        </w:rPr>
        <w:t xml:space="preserve"> and Australia</w:t>
      </w:r>
      <w:r w:rsidR="00B60DB6" w:rsidRPr="004C1796">
        <w:rPr>
          <w:rFonts w:ascii="Times New Roman" w:hAnsi="Times New Roman" w:cs="Times New Roman"/>
        </w:rPr>
        <w:t>, empirical research suggests that there is a distinctive socially situated supply practice, separate from commercially motivated dealing that is commonly observed in drug using populations. While researchers have agreed on some of the ke</w:t>
      </w:r>
      <w:r w:rsidR="007A2658" w:rsidRPr="004C1796">
        <w:rPr>
          <w:rFonts w:ascii="Times New Roman" w:hAnsi="Times New Roman" w:cs="Times New Roman"/>
        </w:rPr>
        <w:t>y features of social supply (i.e</w:t>
      </w:r>
      <w:r w:rsidR="00B60DB6" w:rsidRPr="004C1796">
        <w:rPr>
          <w:rFonts w:ascii="Times New Roman" w:hAnsi="Times New Roman" w:cs="Times New Roman"/>
        </w:rPr>
        <w:t>. largely as not-for-profit distribution to non-strangers), in many ways, the parameters or scope of social supply in particular countries are shaped by the</w:t>
      </w:r>
      <w:r w:rsidR="009E3657" w:rsidRPr="004C1796">
        <w:rPr>
          <w:rFonts w:ascii="Times New Roman" w:hAnsi="Times New Roman" w:cs="Times New Roman"/>
        </w:rPr>
        <w:t xml:space="preserve"> nature of the</w:t>
      </w:r>
      <w:r w:rsidR="00B60DB6" w:rsidRPr="004C1796">
        <w:rPr>
          <w:rFonts w:ascii="Times New Roman" w:hAnsi="Times New Roman" w:cs="Times New Roman"/>
        </w:rPr>
        <w:t xml:space="preserve"> research conducted in such areas. Across Europe and in Canada for example, social supply is synonymous with the cultural values of cannabis subculture, and this is reflected in formal sentencing systems (see Belgium and Canada) where there is the possibility of dispensation for low-level</w:t>
      </w:r>
      <w:r w:rsidR="00B159EA" w:rsidRPr="004C1796">
        <w:rPr>
          <w:rFonts w:ascii="Times New Roman" w:hAnsi="Times New Roman" w:cs="Times New Roman"/>
        </w:rPr>
        <w:t xml:space="preserve"> social supply characteristics - </w:t>
      </w:r>
      <w:r w:rsidR="00B60DB6" w:rsidRPr="004C1796">
        <w:rPr>
          <w:rFonts w:ascii="Times New Roman" w:hAnsi="Times New Roman" w:cs="Times New Roman"/>
        </w:rPr>
        <w:t>but only for those who use cannabis. Providing sentencers with mitigation tools that reduces the severity of sentences for the inevitably high volume of cannabis offences is progressive</w:t>
      </w:r>
      <w:r w:rsidR="00E02B6D" w:rsidRPr="004C1796">
        <w:rPr>
          <w:rFonts w:ascii="Times New Roman" w:hAnsi="Times New Roman" w:cs="Times New Roman"/>
        </w:rPr>
        <w:t xml:space="preserve"> from the standard perspective of proportional sentencing</w:t>
      </w:r>
      <w:r w:rsidR="00B60DB6" w:rsidRPr="004C1796">
        <w:rPr>
          <w:rFonts w:ascii="Times New Roman" w:hAnsi="Times New Roman" w:cs="Times New Roman"/>
        </w:rPr>
        <w:t xml:space="preserve">. However, it is now argued that the contemporary recreational drug landscape goes </w:t>
      </w:r>
      <w:r w:rsidR="00B60DB6" w:rsidRPr="004C1796">
        <w:rPr>
          <w:rFonts w:ascii="Times New Roman" w:hAnsi="Times New Roman" w:cs="Times New Roman"/>
          <w:i/>
        </w:rPr>
        <w:t>beyond</w:t>
      </w:r>
      <w:r w:rsidR="00B60DB6" w:rsidRPr="004C1796">
        <w:rPr>
          <w:rFonts w:ascii="Times New Roman" w:hAnsi="Times New Roman" w:cs="Times New Roman"/>
        </w:rPr>
        <w:t xml:space="preserve"> the normalisation of cannabis use and supply (Coomber et al., 2015), and data here suggests </w:t>
      </w:r>
      <w:r w:rsidR="0082401A" w:rsidRPr="004C1796">
        <w:rPr>
          <w:rFonts w:ascii="Times New Roman" w:hAnsi="Times New Roman" w:cs="Times New Roman"/>
        </w:rPr>
        <w:t xml:space="preserve">that </w:t>
      </w:r>
      <w:r w:rsidR="00B60DB6" w:rsidRPr="004C1796">
        <w:rPr>
          <w:rFonts w:ascii="Times New Roman" w:hAnsi="Times New Roman" w:cs="Times New Roman"/>
        </w:rPr>
        <w:t xml:space="preserve">social supply extends to small scale social distribution of other recreational substances such </w:t>
      </w:r>
      <w:r w:rsidR="0082401A" w:rsidRPr="004C1796">
        <w:rPr>
          <w:rFonts w:ascii="Times New Roman" w:hAnsi="Times New Roman" w:cs="Times New Roman"/>
        </w:rPr>
        <w:t xml:space="preserve">as </w:t>
      </w:r>
      <w:r w:rsidR="00B60DB6" w:rsidRPr="004C1796">
        <w:rPr>
          <w:rFonts w:ascii="Times New Roman" w:hAnsi="Times New Roman" w:cs="Times New Roman"/>
        </w:rPr>
        <w:t xml:space="preserve">ecstasy, cocaine, methamphetamine, and </w:t>
      </w:r>
      <w:r w:rsidR="00DA1CF1" w:rsidRPr="004C1796">
        <w:rPr>
          <w:rFonts w:ascii="Times New Roman" w:hAnsi="Times New Roman" w:cs="Times New Roman"/>
        </w:rPr>
        <w:t>k</w:t>
      </w:r>
      <w:r w:rsidR="00DE27E1" w:rsidRPr="004C1796">
        <w:rPr>
          <w:rFonts w:ascii="Times New Roman" w:hAnsi="Times New Roman" w:cs="Times New Roman"/>
        </w:rPr>
        <w:t>etamine (for example). With the</w:t>
      </w:r>
      <w:r w:rsidR="002618B9" w:rsidRPr="004C1796">
        <w:rPr>
          <w:rFonts w:ascii="Times New Roman" w:hAnsi="Times New Roman" w:cs="Times New Roman"/>
        </w:rPr>
        <w:t xml:space="preserve"> East, South East Asia and Oceania containing the largest amount of </w:t>
      </w:r>
      <w:r w:rsidR="00DE27E1" w:rsidRPr="004C1796">
        <w:rPr>
          <w:rFonts w:ascii="Times New Roman" w:hAnsi="Times New Roman" w:cs="Times New Roman"/>
        </w:rPr>
        <w:t xml:space="preserve">ATS </w:t>
      </w:r>
      <w:r w:rsidR="002618B9" w:rsidRPr="004C1796">
        <w:rPr>
          <w:rFonts w:ascii="Times New Roman" w:hAnsi="Times New Roman" w:cs="Times New Roman"/>
        </w:rPr>
        <w:t>users worldwide</w:t>
      </w:r>
      <w:r w:rsidR="005F019C" w:rsidRPr="004C1796">
        <w:rPr>
          <w:rFonts w:ascii="Times New Roman" w:hAnsi="Times New Roman" w:cs="Times New Roman"/>
        </w:rPr>
        <w:t xml:space="preserve"> (UNODC, 2015)</w:t>
      </w:r>
      <w:r w:rsidR="00DE27E1" w:rsidRPr="004C1796">
        <w:rPr>
          <w:rFonts w:ascii="Times New Roman" w:hAnsi="Times New Roman" w:cs="Times New Roman"/>
        </w:rPr>
        <w:t>,</w:t>
      </w:r>
      <w:r w:rsidR="002618B9" w:rsidRPr="004C1796">
        <w:rPr>
          <w:rFonts w:ascii="Times New Roman" w:hAnsi="Times New Roman" w:cs="Times New Roman"/>
        </w:rPr>
        <w:t xml:space="preserve"> </w:t>
      </w:r>
      <w:r w:rsidR="00311AD8" w:rsidRPr="004C1796">
        <w:rPr>
          <w:rFonts w:ascii="Times New Roman" w:hAnsi="Times New Roman" w:cs="Times New Roman"/>
        </w:rPr>
        <w:t xml:space="preserve">bolstered by continuing increases in recorded use </w:t>
      </w:r>
      <w:r w:rsidR="00B331E1" w:rsidRPr="004C1796">
        <w:rPr>
          <w:rFonts w:ascii="Times New Roman" w:hAnsi="Times New Roman" w:cs="Times New Roman"/>
        </w:rPr>
        <w:t xml:space="preserve">of stimulants </w:t>
      </w:r>
      <w:r w:rsidR="00311AD8" w:rsidRPr="004C1796">
        <w:rPr>
          <w:rFonts w:ascii="Times New Roman" w:hAnsi="Times New Roman" w:cs="Times New Roman"/>
        </w:rPr>
        <w:t>in Europe and beyond (EMCDDA, 2017</w:t>
      </w:r>
      <w:r w:rsidR="00E70A8E" w:rsidRPr="004C1796">
        <w:rPr>
          <w:rFonts w:ascii="Times New Roman" w:hAnsi="Times New Roman" w:cs="Times New Roman"/>
        </w:rPr>
        <w:t>a</w:t>
      </w:r>
      <w:r w:rsidR="00311AD8" w:rsidRPr="004C1796">
        <w:rPr>
          <w:rFonts w:ascii="Times New Roman" w:hAnsi="Times New Roman" w:cs="Times New Roman"/>
        </w:rPr>
        <w:t>)</w:t>
      </w:r>
      <w:r w:rsidR="00F12DFA" w:rsidRPr="004C1796">
        <w:rPr>
          <w:rFonts w:ascii="Times New Roman" w:hAnsi="Times New Roman" w:cs="Times New Roman"/>
        </w:rPr>
        <w:t xml:space="preserve">, </w:t>
      </w:r>
      <w:r w:rsidR="002618B9" w:rsidRPr="004C1796">
        <w:rPr>
          <w:rFonts w:ascii="Times New Roman" w:hAnsi="Times New Roman" w:cs="Times New Roman"/>
        </w:rPr>
        <w:t>it is</w:t>
      </w:r>
      <w:r w:rsidR="005F019C" w:rsidRPr="004C1796">
        <w:rPr>
          <w:rFonts w:ascii="Times New Roman" w:hAnsi="Times New Roman" w:cs="Times New Roman"/>
        </w:rPr>
        <w:t xml:space="preserve"> all the more</w:t>
      </w:r>
      <w:r w:rsidR="002618B9" w:rsidRPr="004C1796">
        <w:rPr>
          <w:rFonts w:ascii="Times New Roman" w:hAnsi="Times New Roman" w:cs="Times New Roman"/>
        </w:rPr>
        <w:t xml:space="preserve"> pertinent that the development of the social supply concept is not limited to its </w:t>
      </w:r>
      <w:r w:rsidR="002618B9" w:rsidRPr="004C1796">
        <w:rPr>
          <w:rFonts w:ascii="Times New Roman" w:hAnsi="Times New Roman" w:cs="Times New Roman"/>
        </w:rPr>
        <w:lastRenderedPageBreak/>
        <w:t>traditional association with cannabis subculture</w:t>
      </w:r>
      <w:r w:rsidR="00F12DFA" w:rsidRPr="004C1796">
        <w:rPr>
          <w:rFonts w:ascii="Times New Roman" w:hAnsi="Times New Roman" w:cs="Times New Roman"/>
        </w:rPr>
        <w:t xml:space="preserve"> and </w:t>
      </w:r>
      <w:r w:rsidR="002618B9" w:rsidRPr="004C1796">
        <w:rPr>
          <w:rFonts w:ascii="Times New Roman" w:hAnsi="Times New Roman" w:cs="Times New Roman"/>
        </w:rPr>
        <w:t xml:space="preserve">is instead understood as embedded in </w:t>
      </w:r>
      <w:r w:rsidR="002618B9" w:rsidRPr="004C1796">
        <w:rPr>
          <w:rFonts w:ascii="Times New Roman" w:hAnsi="Times New Roman" w:cs="Times New Roman"/>
          <w:i/>
        </w:rPr>
        <w:t>wider</w:t>
      </w:r>
      <w:r w:rsidR="002618B9" w:rsidRPr="004C1796">
        <w:rPr>
          <w:rFonts w:ascii="Times New Roman" w:hAnsi="Times New Roman" w:cs="Times New Roman"/>
        </w:rPr>
        <w:t xml:space="preserve"> recreational drug using practices (Coomber et al., 2015</w:t>
      </w:r>
      <w:r w:rsidR="00884450" w:rsidRPr="004C1796">
        <w:rPr>
          <w:rFonts w:ascii="Times New Roman" w:hAnsi="Times New Roman" w:cs="Times New Roman"/>
        </w:rPr>
        <w:t>; Moyle et al., 2013</w:t>
      </w:r>
      <w:r w:rsidR="002618B9" w:rsidRPr="004C1796">
        <w:rPr>
          <w:rFonts w:ascii="Times New Roman" w:hAnsi="Times New Roman" w:cs="Times New Roman"/>
        </w:rPr>
        <w:t>).</w:t>
      </w:r>
      <w:r w:rsidR="00B60DB6" w:rsidRPr="004C1796">
        <w:rPr>
          <w:rFonts w:ascii="Times New Roman" w:hAnsi="Times New Roman" w:cs="Times New Roman"/>
        </w:rPr>
        <w:t xml:space="preserve"> </w:t>
      </w:r>
    </w:p>
    <w:p w14:paraId="5511DBA5" w14:textId="77777777" w:rsidR="00F45ED1" w:rsidRPr="004C1796" w:rsidRDefault="00F45ED1" w:rsidP="006F4CD8">
      <w:pPr>
        <w:spacing w:line="360" w:lineRule="auto"/>
        <w:jc w:val="both"/>
        <w:rPr>
          <w:rFonts w:ascii="Times New Roman" w:hAnsi="Times New Roman" w:cs="Times New Roman"/>
        </w:rPr>
      </w:pPr>
    </w:p>
    <w:p w14:paraId="2924355D" w14:textId="77777777" w:rsidR="00563D4A" w:rsidRPr="004C1796" w:rsidRDefault="00B60DB6" w:rsidP="001D33C7">
      <w:pPr>
        <w:spacing w:line="360" w:lineRule="auto"/>
        <w:jc w:val="both"/>
        <w:rPr>
          <w:rFonts w:ascii="Times New Roman" w:hAnsi="Times New Roman" w:cs="Times New Roman"/>
        </w:rPr>
      </w:pPr>
      <w:r w:rsidRPr="004C1796">
        <w:rPr>
          <w:rFonts w:ascii="Times New Roman" w:hAnsi="Times New Roman" w:cs="Times New Roman"/>
        </w:rPr>
        <w:t xml:space="preserve">The </w:t>
      </w:r>
      <w:r w:rsidR="002F144C" w:rsidRPr="004C1796">
        <w:rPr>
          <w:rFonts w:ascii="Times New Roman" w:hAnsi="Times New Roman" w:cs="Times New Roman"/>
        </w:rPr>
        <w:t>extent to which</w:t>
      </w:r>
      <w:r w:rsidR="00166D3B" w:rsidRPr="004C1796">
        <w:rPr>
          <w:rFonts w:ascii="Times New Roman" w:hAnsi="Times New Roman" w:cs="Times New Roman"/>
        </w:rPr>
        <w:t xml:space="preserve"> social supply is accommodated within sentencing guidelines is </w:t>
      </w:r>
      <w:r w:rsidR="00360F34" w:rsidRPr="004C1796">
        <w:rPr>
          <w:rFonts w:ascii="Times New Roman" w:hAnsi="Times New Roman" w:cs="Times New Roman"/>
        </w:rPr>
        <w:t xml:space="preserve">tied up with </w:t>
      </w:r>
      <w:r w:rsidR="00271A28" w:rsidRPr="004C1796">
        <w:rPr>
          <w:rFonts w:ascii="Times New Roman" w:hAnsi="Times New Roman" w:cs="Times New Roman"/>
        </w:rPr>
        <w:t xml:space="preserve">the wider drug supply sentencing </w:t>
      </w:r>
      <w:r w:rsidR="008A53B2" w:rsidRPr="004C1796">
        <w:rPr>
          <w:rFonts w:ascii="Times New Roman" w:hAnsi="Times New Roman" w:cs="Times New Roman"/>
        </w:rPr>
        <w:t>apparatus and how far that recognises difference or opera</w:t>
      </w:r>
      <w:r w:rsidR="00453C77" w:rsidRPr="004C1796">
        <w:rPr>
          <w:rFonts w:ascii="Times New Roman" w:hAnsi="Times New Roman" w:cs="Times New Roman"/>
        </w:rPr>
        <w:t>tionalises proportionality.</w:t>
      </w:r>
      <w:r w:rsidR="00563D4A" w:rsidRPr="004C1796">
        <w:rPr>
          <w:rFonts w:ascii="Times New Roman" w:hAnsi="Times New Roman" w:cs="Times New Roman"/>
        </w:rPr>
        <w:t xml:space="preserve"> Proportionate sentencing frameworks for drug offences are characterised by distinguishing between the type of drugs and the scale of the illicit activity, as well as the role and moti</w:t>
      </w:r>
      <w:r w:rsidR="00AD7B8C" w:rsidRPr="004C1796">
        <w:rPr>
          <w:rFonts w:ascii="Times New Roman" w:hAnsi="Times New Roman" w:cs="Times New Roman"/>
        </w:rPr>
        <w:t>vation of the offender (Lai, 201</w:t>
      </w:r>
      <w:r w:rsidR="00563D4A" w:rsidRPr="004C1796">
        <w:rPr>
          <w:rFonts w:ascii="Times New Roman" w:hAnsi="Times New Roman" w:cs="Times New Roman"/>
        </w:rPr>
        <w:t>2).</w:t>
      </w:r>
      <w:r w:rsidR="00346728" w:rsidRPr="004C1796">
        <w:rPr>
          <w:rFonts w:ascii="Times New Roman" w:hAnsi="Times New Roman" w:cs="Times New Roman"/>
        </w:rPr>
        <w:t xml:space="preserve"> </w:t>
      </w:r>
      <w:r w:rsidR="008E7300" w:rsidRPr="004C1796">
        <w:rPr>
          <w:rFonts w:ascii="Times New Roman" w:hAnsi="Times New Roman" w:cs="Times New Roman"/>
        </w:rPr>
        <w:t xml:space="preserve">Though support has been growing for </w:t>
      </w:r>
      <w:r w:rsidR="00902F61" w:rsidRPr="004C1796">
        <w:rPr>
          <w:rFonts w:ascii="Times New Roman" w:hAnsi="Times New Roman" w:cs="Times New Roman"/>
        </w:rPr>
        <w:t>a new approach to decriminalisation</w:t>
      </w:r>
      <w:r w:rsidR="008E7300" w:rsidRPr="004C1796">
        <w:rPr>
          <w:rFonts w:ascii="Times New Roman" w:hAnsi="Times New Roman" w:cs="Times New Roman"/>
        </w:rPr>
        <w:t xml:space="preserve"> </w:t>
      </w:r>
      <w:r w:rsidR="00936DC3" w:rsidRPr="004C1796">
        <w:rPr>
          <w:rFonts w:ascii="Times New Roman" w:hAnsi="Times New Roman" w:cs="Times New Roman"/>
        </w:rPr>
        <w:t xml:space="preserve">which </w:t>
      </w:r>
      <w:r w:rsidR="00453C77" w:rsidRPr="004C1796">
        <w:rPr>
          <w:rFonts w:ascii="Times New Roman" w:hAnsi="Times New Roman" w:cs="Times New Roman"/>
        </w:rPr>
        <w:t>demonstrates</w:t>
      </w:r>
      <w:r w:rsidR="006F588C" w:rsidRPr="004C1796">
        <w:rPr>
          <w:rFonts w:ascii="Times New Roman" w:hAnsi="Times New Roman" w:cs="Times New Roman"/>
        </w:rPr>
        <w:t xml:space="preserve"> some of this</w:t>
      </w:r>
      <w:r w:rsidR="00936DC3" w:rsidRPr="004C1796">
        <w:rPr>
          <w:rFonts w:ascii="Times New Roman" w:hAnsi="Times New Roman" w:cs="Times New Roman"/>
        </w:rPr>
        <w:t xml:space="preserve"> ‘</w:t>
      </w:r>
      <w:r w:rsidR="00453C77" w:rsidRPr="004C1796">
        <w:rPr>
          <w:rFonts w:ascii="Times New Roman" w:hAnsi="Times New Roman" w:cs="Times New Roman"/>
        </w:rPr>
        <w:t>nuance</w:t>
      </w:r>
      <w:r w:rsidR="00936DC3" w:rsidRPr="004C1796">
        <w:rPr>
          <w:rFonts w:ascii="Times New Roman" w:hAnsi="Times New Roman" w:cs="Times New Roman"/>
        </w:rPr>
        <w:t>’</w:t>
      </w:r>
      <w:r w:rsidR="00453C77" w:rsidRPr="004C1796">
        <w:rPr>
          <w:rFonts w:ascii="Times New Roman" w:hAnsi="Times New Roman" w:cs="Times New Roman"/>
        </w:rPr>
        <w:t xml:space="preserve"> wh</w:t>
      </w:r>
      <w:r w:rsidR="00936DC3" w:rsidRPr="004C1796">
        <w:rPr>
          <w:rFonts w:ascii="Times New Roman" w:hAnsi="Times New Roman" w:cs="Times New Roman"/>
        </w:rPr>
        <w:t>en i</w:t>
      </w:r>
      <w:r w:rsidR="00453C77" w:rsidRPr="004C1796">
        <w:rPr>
          <w:rFonts w:ascii="Times New Roman" w:hAnsi="Times New Roman" w:cs="Times New Roman"/>
        </w:rPr>
        <w:t>t comes to punishing those involved in supplying d</w:t>
      </w:r>
      <w:r w:rsidR="007F2D52" w:rsidRPr="004C1796">
        <w:rPr>
          <w:rFonts w:ascii="Times New Roman" w:hAnsi="Times New Roman" w:cs="Times New Roman"/>
        </w:rPr>
        <w:t>rugs (Global Commission on Drug Policy</w:t>
      </w:r>
      <w:r w:rsidR="00453C77" w:rsidRPr="004C1796">
        <w:rPr>
          <w:rFonts w:ascii="Times New Roman" w:hAnsi="Times New Roman" w:cs="Times New Roman"/>
        </w:rPr>
        <w:t>, 2016</w:t>
      </w:r>
      <w:r w:rsidR="00C424AB" w:rsidRPr="004C1796">
        <w:rPr>
          <w:rFonts w:ascii="Times New Roman" w:hAnsi="Times New Roman" w:cs="Times New Roman"/>
        </w:rPr>
        <w:t>: 24</w:t>
      </w:r>
      <w:r w:rsidR="00453C77" w:rsidRPr="004C1796">
        <w:rPr>
          <w:rFonts w:ascii="Times New Roman" w:hAnsi="Times New Roman" w:cs="Times New Roman"/>
        </w:rPr>
        <w:t>), data here shows a disparate pic</w:t>
      </w:r>
      <w:r w:rsidR="00C424AB" w:rsidRPr="004C1796">
        <w:rPr>
          <w:rFonts w:ascii="Times New Roman" w:hAnsi="Times New Roman" w:cs="Times New Roman"/>
        </w:rPr>
        <w:t>ture in terms of how courts deal with</w:t>
      </w:r>
      <w:r w:rsidR="00453C77" w:rsidRPr="004C1796">
        <w:rPr>
          <w:rFonts w:ascii="Times New Roman" w:hAnsi="Times New Roman" w:cs="Times New Roman"/>
        </w:rPr>
        <w:t xml:space="preserve"> supply offences at an international level.</w:t>
      </w:r>
      <w:r w:rsidR="00995E4A" w:rsidRPr="004C1796">
        <w:rPr>
          <w:rFonts w:ascii="Times New Roman" w:hAnsi="Times New Roman" w:cs="Times New Roman"/>
        </w:rPr>
        <w:t xml:space="preserve"> In the UK, New Zealand and Hong Kong, </w:t>
      </w:r>
      <w:r w:rsidR="003E3852" w:rsidRPr="004C1796">
        <w:rPr>
          <w:rFonts w:ascii="Times New Roman" w:hAnsi="Times New Roman" w:cs="Times New Roman"/>
        </w:rPr>
        <w:t xml:space="preserve">social supply is an established discursive concept, recognised at policy level. While the concept itself is not yet </w:t>
      </w:r>
      <w:r w:rsidR="006F588C" w:rsidRPr="004C1796">
        <w:rPr>
          <w:rFonts w:ascii="Times New Roman" w:hAnsi="Times New Roman" w:cs="Times New Roman"/>
        </w:rPr>
        <w:t xml:space="preserve">explicitly </w:t>
      </w:r>
      <w:r w:rsidR="003E3852" w:rsidRPr="004C1796">
        <w:rPr>
          <w:rFonts w:ascii="Times New Roman" w:hAnsi="Times New Roman" w:cs="Times New Roman"/>
        </w:rPr>
        <w:t xml:space="preserve">embedded in sentencing frameworks </w:t>
      </w:r>
      <w:r w:rsidR="006F588C" w:rsidRPr="004C1796">
        <w:rPr>
          <w:rFonts w:ascii="Times New Roman" w:hAnsi="Times New Roman" w:cs="Times New Roman"/>
        </w:rPr>
        <w:t xml:space="preserve">or established </w:t>
      </w:r>
      <w:r w:rsidR="003E3852" w:rsidRPr="004C1796">
        <w:rPr>
          <w:rFonts w:ascii="Times New Roman" w:hAnsi="Times New Roman" w:cs="Times New Roman"/>
        </w:rPr>
        <w:t xml:space="preserve">as a separate offence, </w:t>
      </w:r>
      <w:r w:rsidR="006F588C" w:rsidRPr="004C1796">
        <w:rPr>
          <w:rFonts w:ascii="Times New Roman" w:hAnsi="Times New Roman" w:cs="Times New Roman"/>
        </w:rPr>
        <w:t>the</w:t>
      </w:r>
      <w:r w:rsidR="002A1BC6" w:rsidRPr="004C1796">
        <w:rPr>
          <w:rFonts w:ascii="Times New Roman" w:hAnsi="Times New Roman" w:cs="Times New Roman"/>
        </w:rPr>
        <w:t xml:space="preserve"> narrative is nonetheless developed enough that it is visible in public consultation documents</w:t>
      </w:r>
      <w:r w:rsidR="00884450" w:rsidRPr="004C1796">
        <w:rPr>
          <w:rFonts w:ascii="Times New Roman" w:hAnsi="Times New Roman" w:cs="Times New Roman"/>
        </w:rPr>
        <w:t xml:space="preserve"> (UK, N</w:t>
      </w:r>
      <w:r w:rsidR="005A374A" w:rsidRPr="004C1796">
        <w:rPr>
          <w:rFonts w:ascii="Times New Roman" w:hAnsi="Times New Roman" w:cs="Times New Roman"/>
        </w:rPr>
        <w:t>ew Zealand</w:t>
      </w:r>
      <w:r w:rsidR="00884450" w:rsidRPr="004C1796">
        <w:rPr>
          <w:rFonts w:ascii="Times New Roman" w:hAnsi="Times New Roman" w:cs="Times New Roman"/>
        </w:rPr>
        <w:t>)</w:t>
      </w:r>
      <w:r w:rsidR="0064141D" w:rsidRPr="004C1796">
        <w:rPr>
          <w:rFonts w:ascii="Times New Roman" w:hAnsi="Times New Roman" w:cs="Times New Roman"/>
        </w:rPr>
        <w:t>, court cases</w:t>
      </w:r>
      <w:r w:rsidR="002A1BC6" w:rsidRPr="004C1796">
        <w:rPr>
          <w:rFonts w:ascii="Times New Roman" w:hAnsi="Times New Roman" w:cs="Times New Roman"/>
        </w:rPr>
        <w:t xml:space="preserve"> (UK/</w:t>
      </w:r>
      <w:r w:rsidR="005E07B5" w:rsidRPr="004C1796">
        <w:rPr>
          <w:rFonts w:ascii="Times New Roman" w:hAnsi="Times New Roman" w:cs="Times New Roman"/>
        </w:rPr>
        <w:t>Australia/</w:t>
      </w:r>
      <w:r w:rsidR="00884450" w:rsidRPr="004C1796">
        <w:rPr>
          <w:rFonts w:ascii="Times New Roman" w:hAnsi="Times New Roman" w:cs="Times New Roman"/>
        </w:rPr>
        <w:t>Canada</w:t>
      </w:r>
      <w:r w:rsidR="002A1BC6" w:rsidRPr="004C1796">
        <w:rPr>
          <w:rFonts w:ascii="Times New Roman" w:hAnsi="Times New Roman" w:cs="Times New Roman"/>
        </w:rPr>
        <w:t>)</w:t>
      </w:r>
      <w:r w:rsidR="0064141D" w:rsidRPr="004C1796">
        <w:rPr>
          <w:rFonts w:ascii="Times New Roman" w:hAnsi="Times New Roman" w:cs="Times New Roman"/>
        </w:rPr>
        <w:t xml:space="preserve"> (see Moyle et al., 2013)</w:t>
      </w:r>
      <w:r w:rsidR="002A1BC6" w:rsidRPr="004C1796">
        <w:rPr>
          <w:rFonts w:ascii="Times New Roman" w:hAnsi="Times New Roman" w:cs="Times New Roman"/>
        </w:rPr>
        <w:t>, and supported at a wider level by NGO’s and charities</w:t>
      </w:r>
      <w:r w:rsidR="007F2D52" w:rsidRPr="004C1796">
        <w:rPr>
          <w:rFonts w:ascii="Times New Roman" w:hAnsi="Times New Roman" w:cs="Times New Roman"/>
        </w:rPr>
        <w:t xml:space="preserve"> (e.g.</w:t>
      </w:r>
      <w:r w:rsidR="00E75DD7" w:rsidRPr="004C1796">
        <w:rPr>
          <w:rFonts w:ascii="Times New Roman" w:hAnsi="Times New Roman" w:cs="Times New Roman"/>
        </w:rPr>
        <w:t xml:space="preserve"> G</w:t>
      </w:r>
      <w:r w:rsidR="007F2D52" w:rsidRPr="004C1796">
        <w:rPr>
          <w:rFonts w:ascii="Times New Roman" w:hAnsi="Times New Roman" w:cs="Times New Roman"/>
        </w:rPr>
        <w:t xml:space="preserve">lobal </w:t>
      </w:r>
      <w:r w:rsidR="00E75DD7" w:rsidRPr="004C1796">
        <w:rPr>
          <w:rFonts w:ascii="Times New Roman" w:hAnsi="Times New Roman" w:cs="Times New Roman"/>
        </w:rPr>
        <w:t>P</w:t>
      </w:r>
      <w:r w:rsidR="007F2D52" w:rsidRPr="004C1796">
        <w:rPr>
          <w:rFonts w:ascii="Times New Roman" w:hAnsi="Times New Roman" w:cs="Times New Roman"/>
        </w:rPr>
        <w:t xml:space="preserve">olicy </w:t>
      </w:r>
      <w:r w:rsidR="00E75DD7" w:rsidRPr="004C1796">
        <w:rPr>
          <w:rFonts w:ascii="Times New Roman" w:hAnsi="Times New Roman" w:cs="Times New Roman"/>
        </w:rPr>
        <w:t>C</w:t>
      </w:r>
      <w:r w:rsidR="007F2D52" w:rsidRPr="004C1796">
        <w:rPr>
          <w:rFonts w:ascii="Times New Roman" w:hAnsi="Times New Roman" w:cs="Times New Roman"/>
        </w:rPr>
        <w:t>ommission on Drug Policy; Release, 2009</w:t>
      </w:r>
      <w:r w:rsidR="00346728" w:rsidRPr="004C1796">
        <w:rPr>
          <w:rFonts w:ascii="Times New Roman" w:hAnsi="Times New Roman" w:cs="Times New Roman"/>
        </w:rPr>
        <w:t>; New Zealand Drug Foundation, 2017</w:t>
      </w:r>
      <w:r w:rsidR="00E75DD7" w:rsidRPr="004C1796">
        <w:rPr>
          <w:rFonts w:ascii="Times New Roman" w:hAnsi="Times New Roman" w:cs="Times New Roman"/>
        </w:rPr>
        <w:t>)</w:t>
      </w:r>
      <w:r w:rsidR="007F2D52" w:rsidRPr="004C1796">
        <w:rPr>
          <w:rFonts w:ascii="Times New Roman" w:hAnsi="Times New Roman" w:cs="Times New Roman"/>
        </w:rPr>
        <w:t>. In the UK</w:t>
      </w:r>
      <w:r w:rsidR="002A1BC6" w:rsidRPr="004C1796">
        <w:rPr>
          <w:rFonts w:ascii="Times New Roman" w:hAnsi="Times New Roman" w:cs="Times New Roman"/>
        </w:rPr>
        <w:t>, sentencing guidelines clearly distinguish between different gravities of supply offences and well-known social supply characteristics are embedded in the ‘lesser role’ category</w:t>
      </w:r>
      <w:r w:rsidR="00FC0CFB" w:rsidRPr="004C1796">
        <w:rPr>
          <w:rFonts w:ascii="Times New Roman" w:hAnsi="Times New Roman" w:cs="Times New Roman"/>
        </w:rPr>
        <w:t>,</w:t>
      </w:r>
      <w:r w:rsidR="00C90030" w:rsidRPr="004C1796">
        <w:rPr>
          <w:rFonts w:ascii="Times New Roman" w:hAnsi="Times New Roman" w:cs="Times New Roman"/>
        </w:rPr>
        <w:t xml:space="preserve"> and in Hong Kon</w:t>
      </w:r>
      <w:r w:rsidR="00DA7530" w:rsidRPr="004C1796">
        <w:rPr>
          <w:rFonts w:ascii="Times New Roman" w:hAnsi="Times New Roman" w:cs="Times New Roman"/>
        </w:rPr>
        <w:t>g</w:t>
      </w:r>
      <w:r w:rsidR="007F2D52" w:rsidRPr="004C1796">
        <w:rPr>
          <w:rFonts w:ascii="Times New Roman" w:hAnsi="Times New Roman" w:cs="Times New Roman"/>
        </w:rPr>
        <w:t xml:space="preserve"> and Canada</w:t>
      </w:r>
      <w:r w:rsidR="00FD59B6" w:rsidRPr="004C1796">
        <w:rPr>
          <w:rFonts w:ascii="Times New Roman" w:hAnsi="Times New Roman" w:cs="Times New Roman"/>
        </w:rPr>
        <w:t>, the c</w:t>
      </w:r>
      <w:r w:rsidR="00DA7530" w:rsidRPr="004C1796">
        <w:rPr>
          <w:rFonts w:ascii="Times New Roman" w:hAnsi="Times New Roman" w:cs="Times New Roman"/>
        </w:rPr>
        <w:t>ourts now recognise ‘social trafficking’ as a</w:t>
      </w:r>
      <w:r w:rsidR="0070089B" w:rsidRPr="004C1796">
        <w:rPr>
          <w:rFonts w:ascii="Times New Roman" w:hAnsi="Times New Roman" w:cs="Times New Roman"/>
        </w:rPr>
        <w:t xml:space="preserve"> potentially mitigating offence. </w:t>
      </w:r>
      <w:r w:rsidR="00DA6E4B" w:rsidRPr="004C1796">
        <w:rPr>
          <w:rFonts w:ascii="Times New Roman" w:hAnsi="Times New Roman" w:cs="Times New Roman"/>
        </w:rPr>
        <w:t>There are issues with these approaches, not least in regard to the use of threshold quantities to establish ‘harm’ (Sent</w:t>
      </w:r>
      <w:r w:rsidR="00B73960" w:rsidRPr="004C1796">
        <w:rPr>
          <w:rFonts w:ascii="Times New Roman" w:hAnsi="Times New Roman" w:cs="Times New Roman"/>
        </w:rPr>
        <w:t>encing guidelines Council, 2012; Harris, 2011</w:t>
      </w:r>
      <w:r w:rsidR="00B94C13" w:rsidRPr="004C1796">
        <w:rPr>
          <w:rFonts w:ascii="Times New Roman" w:hAnsi="Times New Roman" w:cs="Times New Roman"/>
        </w:rPr>
        <w:t>)</w:t>
      </w:r>
      <w:r w:rsidR="00B041E2" w:rsidRPr="004C1796">
        <w:rPr>
          <w:rFonts w:ascii="Times New Roman" w:hAnsi="Times New Roman" w:cs="Times New Roman"/>
        </w:rPr>
        <w:t xml:space="preserve">, but regardless, they remain comparatively </w:t>
      </w:r>
      <w:r w:rsidR="00F246D4" w:rsidRPr="004C1796">
        <w:rPr>
          <w:rFonts w:ascii="Times New Roman" w:hAnsi="Times New Roman" w:cs="Times New Roman"/>
        </w:rPr>
        <w:t>forward-looking</w:t>
      </w:r>
      <w:r w:rsidR="00B041E2" w:rsidRPr="004C1796">
        <w:rPr>
          <w:rFonts w:ascii="Times New Roman" w:hAnsi="Times New Roman" w:cs="Times New Roman"/>
        </w:rPr>
        <w:t xml:space="preserve"> </w:t>
      </w:r>
      <w:r w:rsidR="0075513B" w:rsidRPr="004C1796">
        <w:rPr>
          <w:rFonts w:ascii="Times New Roman" w:hAnsi="Times New Roman" w:cs="Times New Roman"/>
        </w:rPr>
        <w:t>when set against the remainder of the country profiles</w:t>
      </w:r>
      <w:r w:rsidR="00563D4A" w:rsidRPr="004C1796">
        <w:rPr>
          <w:rFonts w:ascii="Times New Roman" w:hAnsi="Times New Roman" w:cs="Times New Roman"/>
        </w:rPr>
        <w:t>.</w:t>
      </w:r>
    </w:p>
    <w:p w14:paraId="6D200441" w14:textId="77777777" w:rsidR="00563D4A" w:rsidRPr="004C1796" w:rsidRDefault="00563D4A" w:rsidP="001D33C7">
      <w:pPr>
        <w:spacing w:line="360" w:lineRule="auto"/>
        <w:jc w:val="both"/>
        <w:rPr>
          <w:rFonts w:ascii="Times New Roman" w:hAnsi="Times New Roman" w:cs="Times New Roman"/>
        </w:rPr>
      </w:pPr>
    </w:p>
    <w:p w14:paraId="005018CB" w14:textId="43D64391" w:rsidR="00CE4052" w:rsidRPr="004C1796" w:rsidRDefault="00DF28C6" w:rsidP="001D33C7">
      <w:pPr>
        <w:spacing w:line="360" w:lineRule="auto"/>
        <w:jc w:val="both"/>
        <w:rPr>
          <w:rFonts w:ascii="Times New Roman" w:hAnsi="Times New Roman" w:cs="Times New Roman"/>
        </w:rPr>
      </w:pPr>
      <w:r w:rsidRPr="004C1796">
        <w:rPr>
          <w:rFonts w:ascii="Times New Roman" w:hAnsi="Times New Roman" w:cs="Times New Roman"/>
        </w:rPr>
        <w:t xml:space="preserve">In countries where social supply is less conceptually developed sentencers negotiate supply </w:t>
      </w:r>
      <w:r w:rsidR="00B331E1" w:rsidRPr="004C1796">
        <w:rPr>
          <w:rFonts w:ascii="Times New Roman" w:hAnsi="Times New Roman" w:cs="Times New Roman"/>
        </w:rPr>
        <w:t>differentiation through</w:t>
      </w:r>
      <w:r w:rsidR="00347CB2" w:rsidRPr="004C1796">
        <w:rPr>
          <w:rFonts w:ascii="Times New Roman" w:hAnsi="Times New Roman" w:cs="Times New Roman"/>
        </w:rPr>
        <w:t xml:space="preserve"> </w:t>
      </w:r>
      <w:r w:rsidRPr="004C1796">
        <w:rPr>
          <w:rFonts w:ascii="Times New Roman" w:hAnsi="Times New Roman" w:cs="Times New Roman"/>
        </w:rPr>
        <w:t>a range of different strategies</w:t>
      </w:r>
      <w:r w:rsidR="004A4747" w:rsidRPr="004C1796">
        <w:rPr>
          <w:rFonts w:ascii="Times New Roman" w:hAnsi="Times New Roman" w:cs="Times New Roman"/>
        </w:rPr>
        <w:t>.</w:t>
      </w:r>
      <w:r w:rsidRPr="004C1796">
        <w:rPr>
          <w:rFonts w:ascii="Times New Roman" w:hAnsi="Times New Roman" w:cs="Times New Roman"/>
        </w:rPr>
        <w:t xml:space="preserve"> </w:t>
      </w:r>
      <w:r w:rsidR="00D35E6C" w:rsidRPr="004C1796">
        <w:rPr>
          <w:rFonts w:ascii="Times New Roman" w:hAnsi="Times New Roman" w:cs="Times New Roman"/>
        </w:rPr>
        <w:t>In Finland,</w:t>
      </w:r>
      <w:r w:rsidR="00CC775F" w:rsidRPr="004C1796">
        <w:rPr>
          <w:rFonts w:ascii="Times New Roman" w:hAnsi="Times New Roman" w:cs="Times New Roman"/>
        </w:rPr>
        <w:t xml:space="preserve"> Belgium</w:t>
      </w:r>
      <w:r w:rsidR="00FD59B6" w:rsidRPr="004C1796">
        <w:rPr>
          <w:rFonts w:ascii="Times New Roman" w:hAnsi="Times New Roman" w:cs="Times New Roman"/>
        </w:rPr>
        <w:t>, Germany</w:t>
      </w:r>
      <w:r w:rsidR="00CC775F" w:rsidRPr="004C1796">
        <w:rPr>
          <w:rFonts w:ascii="Times New Roman" w:hAnsi="Times New Roman" w:cs="Times New Roman"/>
        </w:rPr>
        <w:t xml:space="preserve"> and the Czech Republic </w:t>
      </w:r>
      <w:r w:rsidR="004818C4" w:rsidRPr="004C1796">
        <w:rPr>
          <w:rFonts w:ascii="Times New Roman" w:hAnsi="Times New Roman" w:cs="Times New Roman"/>
        </w:rPr>
        <w:t xml:space="preserve">for example, </w:t>
      </w:r>
      <w:r w:rsidR="00CC775F" w:rsidRPr="004C1796">
        <w:rPr>
          <w:rFonts w:ascii="Times New Roman" w:hAnsi="Times New Roman" w:cs="Times New Roman"/>
        </w:rPr>
        <w:t xml:space="preserve">aggravating circumstances are used to distinguish between more and less serious supply offences. Though this enables sentencers to </w:t>
      </w:r>
      <w:r w:rsidR="002B7A3D" w:rsidRPr="004C1796">
        <w:rPr>
          <w:rFonts w:ascii="Times New Roman" w:hAnsi="Times New Roman" w:cs="Times New Roman"/>
        </w:rPr>
        <w:t xml:space="preserve">impose </w:t>
      </w:r>
      <w:r w:rsidR="00CC775F" w:rsidRPr="004C1796">
        <w:rPr>
          <w:rFonts w:ascii="Times New Roman" w:hAnsi="Times New Roman" w:cs="Times New Roman"/>
        </w:rPr>
        <w:t xml:space="preserve">longer sentences for more culpable or dangerous suppliers, it tends not to </w:t>
      </w:r>
      <w:r w:rsidR="002B7A3D" w:rsidRPr="004C1796">
        <w:rPr>
          <w:rFonts w:ascii="Times New Roman" w:hAnsi="Times New Roman" w:cs="Times New Roman"/>
        </w:rPr>
        <w:t>distinguish</w:t>
      </w:r>
      <w:r w:rsidR="00CC775F" w:rsidRPr="004C1796">
        <w:rPr>
          <w:rFonts w:ascii="Times New Roman" w:hAnsi="Times New Roman" w:cs="Times New Roman"/>
        </w:rPr>
        <w:t xml:space="preserve"> </w:t>
      </w:r>
      <w:r w:rsidR="002B7A3D" w:rsidRPr="004C1796">
        <w:rPr>
          <w:rFonts w:ascii="Times New Roman" w:hAnsi="Times New Roman" w:cs="Times New Roman"/>
        </w:rPr>
        <w:t xml:space="preserve">lower-level supply offences and </w:t>
      </w:r>
      <w:r w:rsidR="00CC775F" w:rsidRPr="004C1796">
        <w:rPr>
          <w:rFonts w:ascii="Times New Roman" w:hAnsi="Times New Roman" w:cs="Times New Roman"/>
        </w:rPr>
        <w:t xml:space="preserve">in this </w:t>
      </w:r>
      <w:r w:rsidR="002B7A3D" w:rsidRPr="004C1796">
        <w:rPr>
          <w:rFonts w:ascii="Times New Roman" w:hAnsi="Times New Roman" w:cs="Times New Roman"/>
        </w:rPr>
        <w:t xml:space="preserve">respect, social supply </w:t>
      </w:r>
      <w:r w:rsidR="002B7A3D" w:rsidRPr="004C1796">
        <w:rPr>
          <w:rFonts w:ascii="Times New Roman" w:hAnsi="Times New Roman" w:cs="Times New Roman"/>
        </w:rPr>
        <w:lastRenderedPageBreak/>
        <w:t>offences are</w:t>
      </w:r>
      <w:r w:rsidR="00B61E87" w:rsidRPr="004C1796">
        <w:rPr>
          <w:rFonts w:ascii="Times New Roman" w:hAnsi="Times New Roman" w:cs="Times New Roman"/>
        </w:rPr>
        <w:t xml:space="preserve"> still</w:t>
      </w:r>
      <w:r w:rsidR="00E01FCC" w:rsidRPr="004C1796">
        <w:rPr>
          <w:rFonts w:ascii="Times New Roman" w:hAnsi="Times New Roman" w:cs="Times New Roman"/>
        </w:rPr>
        <w:t xml:space="preserve"> punished</w:t>
      </w:r>
      <w:r w:rsidR="00492C7F" w:rsidRPr="004C1796">
        <w:rPr>
          <w:rFonts w:ascii="Times New Roman" w:hAnsi="Times New Roman" w:cs="Times New Roman"/>
        </w:rPr>
        <w:t xml:space="preserve"> through arbitrary</w:t>
      </w:r>
      <w:r w:rsidR="00E01FCC" w:rsidRPr="004C1796">
        <w:rPr>
          <w:rFonts w:ascii="Times New Roman" w:hAnsi="Times New Roman" w:cs="Times New Roman"/>
        </w:rPr>
        <w:t xml:space="preserve"> </w:t>
      </w:r>
      <w:r w:rsidR="00492C7F" w:rsidRPr="004C1796">
        <w:rPr>
          <w:rFonts w:ascii="Times New Roman" w:hAnsi="Times New Roman" w:cs="Times New Roman"/>
        </w:rPr>
        <w:t xml:space="preserve">prison </w:t>
      </w:r>
      <w:r w:rsidR="00E01FCC" w:rsidRPr="004C1796">
        <w:rPr>
          <w:rFonts w:ascii="Times New Roman" w:hAnsi="Times New Roman" w:cs="Times New Roman"/>
        </w:rPr>
        <w:t xml:space="preserve">sentencing bands, </w:t>
      </w:r>
      <w:r w:rsidR="00492C7F" w:rsidRPr="004C1796">
        <w:rPr>
          <w:rFonts w:ascii="Times New Roman" w:hAnsi="Times New Roman" w:cs="Times New Roman"/>
        </w:rPr>
        <w:t xml:space="preserve">often </w:t>
      </w:r>
      <w:r w:rsidR="00E01FCC" w:rsidRPr="004C1796">
        <w:rPr>
          <w:rFonts w:ascii="Times New Roman" w:hAnsi="Times New Roman" w:cs="Times New Roman"/>
        </w:rPr>
        <w:t xml:space="preserve">without </w:t>
      </w:r>
      <w:r w:rsidR="002B7A3D" w:rsidRPr="004C1796">
        <w:rPr>
          <w:rFonts w:ascii="Times New Roman" w:hAnsi="Times New Roman" w:cs="Times New Roman"/>
        </w:rPr>
        <w:t xml:space="preserve">meaningful </w:t>
      </w:r>
      <w:r w:rsidR="00E01FCC" w:rsidRPr="004C1796">
        <w:rPr>
          <w:rFonts w:ascii="Times New Roman" w:hAnsi="Times New Roman" w:cs="Times New Roman"/>
        </w:rPr>
        <w:t>provision for sentence discounts.</w:t>
      </w:r>
      <w:r w:rsidR="00DD65D4" w:rsidRPr="004C1796">
        <w:rPr>
          <w:rFonts w:ascii="Times New Roman" w:hAnsi="Times New Roman" w:cs="Times New Roman"/>
        </w:rPr>
        <w:t xml:space="preserve"> In these systems, </w:t>
      </w:r>
      <w:r w:rsidR="00DD65D4" w:rsidRPr="004C1796">
        <w:rPr>
          <w:rFonts w:ascii="Times New Roman" w:hAnsi="Times New Roman" w:cs="Times New Roman"/>
          <w:i/>
        </w:rPr>
        <w:t>judicial discretion</w:t>
      </w:r>
      <w:r w:rsidR="00DD65D4" w:rsidRPr="004C1796">
        <w:rPr>
          <w:rFonts w:ascii="Times New Roman" w:hAnsi="Times New Roman" w:cs="Times New Roman"/>
        </w:rPr>
        <w:t xml:space="preserve"> becomes the mechanism in which individual sentences are selected</w:t>
      </w:r>
      <w:r w:rsidR="0082401A" w:rsidRPr="004C1796">
        <w:rPr>
          <w:rFonts w:ascii="Times New Roman" w:hAnsi="Times New Roman" w:cs="Times New Roman"/>
        </w:rPr>
        <w:t>,</w:t>
      </w:r>
      <w:r w:rsidR="00DD65D4" w:rsidRPr="004C1796">
        <w:rPr>
          <w:rFonts w:ascii="Times New Roman" w:hAnsi="Times New Roman" w:cs="Times New Roman"/>
        </w:rPr>
        <w:t xml:space="preserve"> </w:t>
      </w:r>
      <w:r w:rsidR="004A0288" w:rsidRPr="004C1796">
        <w:rPr>
          <w:rFonts w:ascii="Times New Roman" w:hAnsi="Times New Roman" w:cs="Times New Roman"/>
        </w:rPr>
        <w:t>reduced harm and culpability are noted</w:t>
      </w:r>
      <w:r w:rsidR="0082401A" w:rsidRPr="004C1796">
        <w:rPr>
          <w:rFonts w:ascii="Times New Roman" w:hAnsi="Times New Roman" w:cs="Times New Roman"/>
        </w:rPr>
        <w:t>,</w:t>
      </w:r>
      <w:r w:rsidR="004A0288" w:rsidRPr="004C1796">
        <w:rPr>
          <w:rFonts w:ascii="Times New Roman" w:hAnsi="Times New Roman" w:cs="Times New Roman"/>
        </w:rPr>
        <w:t xml:space="preserve"> </w:t>
      </w:r>
      <w:r w:rsidR="00DD65D4" w:rsidRPr="004C1796">
        <w:rPr>
          <w:rFonts w:ascii="Times New Roman" w:hAnsi="Times New Roman" w:cs="Times New Roman"/>
        </w:rPr>
        <w:t xml:space="preserve">and </w:t>
      </w:r>
      <w:r w:rsidR="002B7A3D" w:rsidRPr="004C1796">
        <w:rPr>
          <w:rFonts w:ascii="Times New Roman" w:hAnsi="Times New Roman" w:cs="Times New Roman"/>
        </w:rPr>
        <w:t xml:space="preserve">some </w:t>
      </w:r>
      <w:r w:rsidR="00DD65D4" w:rsidRPr="004C1796">
        <w:rPr>
          <w:rFonts w:ascii="Times New Roman" w:hAnsi="Times New Roman" w:cs="Times New Roman"/>
        </w:rPr>
        <w:t xml:space="preserve">gradation </w:t>
      </w:r>
      <w:r w:rsidR="00492C7F" w:rsidRPr="004C1796">
        <w:rPr>
          <w:rFonts w:ascii="Times New Roman" w:hAnsi="Times New Roman" w:cs="Times New Roman"/>
        </w:rPr>
        <w:t>can occur</w:t>
      </w:r>
      <w:r w:rsidR="00DD65D4" w:rsidRPr="004C1796">
        <w:rPr>
          <w:rFonts w:ascii="Times New Roman" w:hAnsi="Times New Roman" w:cs="Times New Roman"/>
        </w:rPr>
        <w:t>.</w:t>
      </w:r>
      <w:r w:rsidR="00562388" w:rsidRPr="004C1796">
        <w:rPr>
          <w:rFonts w:ascii="Times New Roman" w:hAnsi="Times New Roman" w:cs="Times New Roman"/>
        </w:rPr>
        <w:t xml:space="preserve"> </w:t>
      </w:r>
      <w:r w:rsidR="00713081" w:rsidRPr="004C1796">
        <w:rPr>
          <w:rFonts w:ascii="Times New Roman" w:hAnsi="Times New Roman" w:cs="Times New Roman"/>
        </w:rPr>
        <w:t>Moving to</w:t>
      </w:r>
      <w:r w:rsidR="00CC4A7F" w:rsidRPr="004C1796">
        <w:rPr>
          <w:rFonts w:ascii="Times New Roman" w:hAnsi="Times New Roman" w:cs="Times New Roman"/>
        </w:rPr>
        <w:t xml:space="preserve"> Australia and the Netherlands</w:t>
      </w:r>
      <w:r w:rsidR="00492C7F" w:rsidRPr="004C1796">
        <w:rPr>
          <w:rFonts w:ascii="Times New Roman" w:hAnsi="Times New Roman" w:cs="Times New Roman"/>
        </w:rPr>
        <w:t>,</w:t>
      </w:r>
      <w:r w:rsidR="00CC4A7F" w:rsidRPr="004C1796">
        <w:rPr>
          <w:rFonts w:ascii="Times New Roman" w:hAnsi="Times New Roman" w:cs="Times New Roman"/>
        </w:rPr>
        <w:t xml:space="preserve"> data suggests that there are cases where the Judiciary recognise the characteristics of social supply or minimally commercial supply (Coomber </w:t>
      </w:r>
      <w:r w:rsidR="006C2F28" w:rsidRPr="004C1796">
        <w:rPr>
          <w:rFonts w:ascii="Times New Roman" w:hAnsi="Times New Roman" w:cs="Times New Roman"/>
        </w:rPr>
        <w:t xml:space="preserve">&amp; </w:t>
      </w:r>
      <w:r w:rsidR="00CC4A7F" w:rsidRPr="004C1796">
        <w:rPr>
          <w:rFonts w:ascii="Times New Roman" w:hAnsi="Times New Roman" w:cs="Times New Roman"/>
        </w:rPr>
        <w:t xml:space="preserve">Moyle, 2014) and </w:t>
      </w:r>
      <w:r w:rsidR="002B7A3D" w:rsidRPr="004C1796">
        <w:rPr>
          <w:rFonts w:ascii="Times New Roman" w:hAnsi="Times New Roman" w:cs="Times New Roman"/>
        </w:rPr>
        <w:t>punishment is</w:t>
      </w:r>
      <w:r w:rsidR="00CC4A7F" w:rsidRPr="004C1796">
        <w:rPr>
          <w:rFonts w:ascii="Times New Roman" w:hAnsi="Times New Roman" w:cs="Times New Roman"/>
        </w:rPr>
        <w:t xml:space="preserve"> reduced accordingly. </w:t>
      </w:r>
      <w:r w:rsidR="002456FF" w:rsidRPr="004C1796">
        <w:rPr>
          <w:rFonts w:ascii="Times New Roman" w:hAnsi="Times New Roman" w:cs="Times New Roman"/>
        </w:rPr>
        <w:t>Though some offenders may benefit from a magistrate or judge’s recognition of such supply attributes or ‘guideline cases’, t</w:t>
      </w:r>
      <w:r w:rsidR="00CC4A7F" w:rsidRPr="004C1796">
        <w:rPr>
          <w:rFonts w:ascii="Times New Roman" w:hAnsi="Times New Roman" w:cs="Times New Roman"/>
        </w:rPr>
        <w:t>here are</w:t>
      </w:r>
      <w:r w:rsidR="00902AF9" w:rsidRPr="004C1796">
        <w:rPr>
          <w:rFonts w:ascii="Times New Roman" w:hAnsi="Times New Roman" w:cs="Times New Roman"/>
        </w:rPr>
        <w:t xml:space="preserve"> however</w:t>
      </w:r>
      <w:r w:rsidR="00CC4A7F" w:rsidRPr="004C1796">
        <w:rPr>
          <w:rFonts w:ascii="Times New Roman" w:hAnsi="Times New Roman" w:cs="Times New Roman"/>
        </w:rPr>
        <w:t xml:space="preserve"> obvious challenges with discretionary systems relating to inconsistency in sentencing</w:t>
      </w:r>
      <w:r w:rsidR="00831AD8" w:rsidRPr="004C1796">
        <w:rPr>
          <w:rFonts w:ascii="Times New Roman" w:hAnsi="Times New Roman" w:cs="Times New Roman"/>
        </w:rPr>
        <w:t xml:space="preserve">. </w:t>
      </w:r>
      <w:r w:rsidR="001612E5" w:rsidRPr="004C1796">
        <w:rPr>
          <w:rFonts w:ascii="Times New Roman" w:hAnsi="Times New Roman" w:cs="Times New Roman"/>
        </w:rPr>
        <w:t xml:space="preserve">While in cases where there is an absence of </w:t>
      </w:r>
      <w:r w:rsidR="004A4747" w:rsidRPr="004C1796">
        <w:rPr>
          <w:rFonts w:ascii="Times New Roman" w:hAnsi="Times New Roman" w:cs="Times New Roman"/>
        </w:rPr>
        <w:t xml:space="preserve">differentiated </w:t>
      </w:r>
      <w:r w:rsidR="001612E5" w:rsidRPr="004C1796">
        <w:rPr>
          <w:rFonts w:ascii="Times New Roman" w:hAnsi="Times New Roman" w:cs="Times New Roman"/>
        </w:rPr>
        <w:t>sentencing</w:t>
      </w:r>
      <w:r w:rsidR="00831AD8" w:rsidRPr="004C1796">
        <w:rPr>
          <w:rFonts w:ascii="Times New Roman" w:hAnsi="Times New Roman" w:cs="Times New Roman"/>
        </w:rPr>
        <w:t xml:space="preserve"> </w:t>
      </w:r>
      <w:r w:rsidR="004A4747" w:rsidRPr="004C1796">
        <w:rPr>
          <w:rFonts w:ascii="Times New Roman" w:hAnsi="Times New Roman" w:cs="Times New Roman"/>
        </w:rPr>
        <w:t xml:space="preserve">apparatus </w:t>
      </w:r>
      <w:r w:rsidR="00831AD8" w:rsidRPr="004C1796">
        <w:rPr>
          <w:rFonts w:ascii="Times New Roman" w:hAnsi="Times New Roman" w:cs="Times New Roman"/>
        </w:rPr>
        <w:t>discretion can facilitate mitigation</w:t>
      </w:r>
      <w:r w:rsidR="005616F1" w:rsidRPr="004C1796">
        <w:rPr>
          <w:rFonts w:ascii="Times New Roman" w:hAnsi="Times New Roman" w:cs="Times New Roman"/>
        </w:rPr>
        <w:t xml:space="preserve"> for mandatory sentences</w:t>
      </w:r>
      <w:r w:rsidR="00262EFA" w:rsidRPr="004C1796">
        <w:rPr>
          <w:rFonts w:ascii="Times New Roman" w:hAnsi="Times New Roman" w:cs="Times New Roman"/>
        </w:rPr>
        <w:t xml:space="preserve">, </w:t>
      </w:r>
      <w:r w:rsidR="00831AD8" w:rsidRPr="004C1796">
        <w:rPr>
          <w:rFonts w:ascii="Times New Roman" w:hAnsi="Times New Roman" w:cs="Times New Roman"/>
          <w:i/>
        </w:rPr>
        <w:t>dependence</w:t>
      </w:r>
      <w:r w:rsidR="00831AD8" w:rsidRPr="004C1796">
        <w:rPr>
          <w:rFonts w:ascii="Times New Roman" w:hAnsi="Times New Roman" w:cs="Times New Roman"/>
        </w:rPr>
        <w:t xml:space="preserve"> on </w:t>
      </w:r>
      <w:r w:rsidR="00BD3310" w:rsidRPr="004C1796">
        <w:rPr>
          <w:rFonts w:ascii="Times New Roman" w:hAnsi="Times New Roman" w:cs="Times New Roman"/>
        </w:rPr>
        <w:t xml:space="preserve">arbitrary </w:t>
      </w:r>
      <w:r w:rsidR="00831AD8" w:rsidRPr="004C1796">
        <w:rPr>
          <w:rFonts w:ascii="Times New Roman" w:hAnsi="Times New Roman" w:cs="Times New Roman"/>
        </w:rPr>
        <w:t>judicial d</w:t>
      </w:r>
      <w:r w:rsidR="00F801F8" w:rsidRPr="004C1796">
        <w:rPr>
          <w:rFonts w:ascii="Times New Roman" w:hAnsi="Times New Roman" w:cs="Times New Roman"/>
        </w:rPr>
        <w:t>iscretion</w:t>
      </w:r>
      <w:r w:rsidR="004A4747" w:rsidRPr="004C1796">
        <w:rPr>
          <w:rFonts w:ascii="Times New Roman" w:hAnsi="Times New Roman" w:cs="Times New Roman"/>
        </w:rPr>
        <w:t xml:space="preserve"> </w:t>
      </w:r>
      <w:r w:rsidR="001612E5" w:rsidRPr="004C1796">
        <w:rPr>
          <w:rFonts w:ascii="Times New Roman" w:hAnsi="Times New Roman" w:cs="Times New Roman"/>
        </w:rPr>
        <w:t>to uphold proportionate sentences</w:t>
      </w:r>
      <w:r w:rsidR="00F801F8" w:rsidRPr="004C1796">
        <w:rPr>
          <w:rFonts w:ascii="Times New Roman" w:hAnsi="Times New Roman" w:cs="Times New Roman"/>
        </w:rPr>
        <w:t xml:space="preserve"> </w:t>
      </w:r>
      <w:r w:rsidR="001612E5" w:rsidRPr="004C1796">
        <w:rPr>
          <w:rFonts w:ascii="Times New Roman" w:hAnsi="Times New Roman" w:cs="Times New Roman"/>
        </w:rPr>
        <w:t xml:space="preserve">culminates in </w:t>
      </w:r>
      <w:r w:rsidR="000E5716" w:rsidRPr="004C1796">
        <w:rPr>
          <w:rFonts w:ascii="Times New Roman" w:hAnsi="Times New Roman" w:cs="Times New Roman"/>
        </w:rPr>
        <w:t>variation</w:t>
      </w:r>
      <w:r w:rsidR="00F801F8" w:rsidRPr="004C1796">
        <w:rPr>
          <w:rFonts w:ascii="Times New Roman" w:hAnsi="Times New Roman" w:cs="Times New Roman"/>
        </w:rPr>
        <w:t xml:space="preserve"> </w:t>
      </w:r>
      <w:r w:rsidR="001544D4" w:rsidRPr="004C1796">
        <w:rPr>
          <w:rFonts w:ascii="Times New Roman" w:hAnsi="Times New Roman" w:cs="Times New Roman"/>
        </w:rPr>
        <w:t>across geographical space</w:t>
      </w:r>
      <w:r w:rsidR="004E2120" w:rsidRPr="004C1796">
        <w:rPr>
          <w:rFonts w:ascii="Times New Roman" w:hAnsi="Times New Roman" w:cs="Times New Roman"/>
        </w:rPr>
        <w:t xml:space="preserve"> (Sigler, 2009)</w:t>
      </w:r>
      <w:r w:rsidR="002B7A3D" w:rsidRPr="004C1796">
        <w:rPr>
          <w:rFonts w:ascii="Times New Roman" w:hAnsi="Times New Roman" w:cs="Times New Roman"/>
        </w:rPr>
        <w:t>,</w:t>
      </w:r>
      <w:r w:rsidR="001544D4" w:rsidRPr="004C1796">
        <w:rPr>
          <w:rFonts w:ascii="Times New Roman" w:hAnsi="Times New Roman" w:cs="Times New Roman"/>
        </w:rPr>
        <w:t xml:space="preserve"> and m</w:t>
      </w:r>
      <w:r w:rsidR="002456FF" w:rsidRPr="004C1796">
        <w:rPr>
          <w:rFonts w:ascii="Times New Roman" w:hAnsi="Times New Roman" w:cs="Times New Roman"/>
        </w:rPr>
        <w:t>any</w:t>
      </w:r>
      <w:r w:rsidR="00FC1CFD" w:rsidRPr="004C1796">
        <w:rPr>
          <w:rFonts w:ascii="Times New Roman" w:hAnsi="Times New Roman" w:cs="Times New Roman"/>
        </w:rPr>
        <w:t xml:space="preserve"> individuals</w:t>
      </w:r>
      <w:r w:rsidR="0011009F" w:rsidRPr="004C1796">
        <w:rPr>
          <w:rFonts w:ascii="Times New Roman" w:hAnsi="Times New Roman" w:cs="Times New Roman"/>
        </w:rPr>
        <w:t xml:space="preserve"> may have to </w:t>
      </w:r>
      <w:r w:rsidR="00FC1CFD" w:rsidRPr="004C1796">
        <w:rPr>
          <w:rFonts w:ascii="Times New Roman" w:hAnsi="Times New Roman" w:cs="Times New Roman"/>
        </w:rPr>
        <w:t xml:space="preserve">wait to </w:t>
      </w:r>
      <w:r w:rsidR="0011009F" w:rsidRPr="004C1796">
        <w:rPr>
          <w:rFonts w:ascii="Times New Roman" w:hAnsi="Times New Roman" w:cs="Times New Roman"/>
        </w:rPr>
        <w:t>appeal</w:t>
      </w:r>
      <w:r w:rsidR="002456FF" w:rsidRPr="004C1796">
        <w:rPr>
          <w:rFonts w:ascii="Times New Roman" w:hAnsi="Times New Roman" w:cs="Times New Roman"/>
        </w:rPr>
        <w:t xml:space="preserve"> </w:t>
      </w:r>
      <w:r w:rsidR="00FC1CFD" w:rsidRPr="004C1796">
        <w:rPr>
          <w:rFonts w:ascii="Times New Roman" w:hAnsi="Times New Roman" w:cs="Times New Roman"/>
        </w:rPr>
        <w:t xml:space="preserve">their sentence </w:t>
      </w:r>
      <w:r w:rsidR="002456FF" w:rsidRPr="004C1796">
        <w:rPr>
          <w:rFonts w:ascii="Times New Roman" w:hAnsi="Times New Roman" w:cs="Times New Roman"/>
        </w:rPr>
        <w:t>before the mitigating factors relating to their case are sufficiently recognised</w:t>
      </w:r>
      <w:r w:rsidR="00314F27" w:rsidRPr="004C1796">
        <w:rPr>
          <w:rFonts w:ascii="Times New Roman" w:hAnsi="Times New Roman" w:cs="Times New Roman"/>
        </w:rPr>
        <w:t xml:space="preserve">. </w:t>
      </w:r>
      <w:r w:rsidR="000B6FDD" w:rsidRPr="004C1796">
        <w:rPr>
          <w:rFonts w:ascii="Times New Roman" w:hAnsi="Times New Roman" w:cs="Times New Roman"/>
        </w:rPr>
        <w:t xml:space="preserve">Significantly, given the deeply embedded </w:t>
      </w:r>
      <w:r w:rsidR="00C80797" w:rsidRPr="004C1796">
        <w:rPr>
          <w:rFonts w:ascii="Times New Roman" w:hAnsi="Times New Roman" w:cs="Times New Roman"/>
        </w:rPr>
        <w:t xml:space="preserve">societal </w:t>
      </w:r>
      <w:r w:rsidR="000B6FDD" w:rsidRPr="004C1796">
        <w:rPr>
          <w:rFonts w:ascii="Times New Roman" w:hAnsi="Times New Roman" w:cs="Times New Roman"/>
        </w:rPr>
        <w:t>stereotypes of drug dealers</w:t>
      </w:r>
      <w:r w:rsidR="00C80797" w:rsidRPr="004C1796">
        <w:rPr>
          <w:rFonts w:ascii="Times New Roman" w:hAnsi="Times New Roman" w:cs="Times New Roman"/>
        </w:rPr>
        <w:t xml:space="preserve"> (Coomber, 2006; Taylor, 2008)</w:t>
      </w:r>
      <w:r w:rsidR="001A33D0" w:rsidRPr="004C1796">
        <w:rPr>
          <w:rFonts w:ascii="Times New Roman" w:hAnsi="Times New Roman" w:cs="Times New Roman"/>
        </w:rPr>
        <w:t xml:space="preserve">, it is not enough to depend </w:t>
      </w:r>
      <w:r w:rsidR="00FC1CFD" w:rsidRPr="004C1796">
        <w:rPr>
          <w:rFonts w:ascii="Times New Roman" w:hAnsi="Times New Roman" w:cs="Times New Roman"/>
        </w:rPr>
        <w:t xml:space="preserve">solely </w:t>
      </w:r>
      <w:r w:rsidR="001A33D0" w:rsidRPr="004C1796">
        <w:rPr>
          <w:rFonts w:ascii="Times New Roman" w:hAnsi="Times New Roman" w:cs="Times New Roman"/>
        </w:rPr>
        <w:t>on</w:t>
      </w:r>
      <w:r w:rsidR="004A4747" w:rsidRPr="004C1796">
        <w:rPr>
          <w:rFonts w:ascii="Times New Roman" w:hAnsi="Times New Roman" w:cs="Times New Roman"/>
        </w:rPr>
        <w:t xml:space="preserve"> mitigation and</w:t>
      </w:r>
      <w:r w:rsidR="001A33D0" w:rsidRPr="004C1796">
        <w:rPr>
          <w:rFonts w:ascii="Times New Roman" w:hAnsi="Times New Roman" w:cs="Times New Roman"/>
        </w:rPr>
        <w:t xml:space="preserve"> the discretion of sentencers</w:t>
      </w:r>
      <w:r w:rsidR="0064141D" w:rsidRPr="004C1796">
        <w:rPr>
          <w:rFonts w:ascii="Times New Roman" w:hAnsi="Times New Roman" w:cs="Times New Roman"/>
        </w:rPr>
        <w:t xml:space="preserve">, many of whom </w:t>
      </w:r>
      <w:r w:rsidR="00AD5C02" w:rsidRPr="004C1796">
        <w:rPr>
          <w:rFonts w:ascii="Times New Roman" w:hAnsi="Times New Roman" w:cs="Times New Roman"/>
        </w:rPr>
        <w:t xml:space="preserve">are likely </w:t>
      </w:r>
      <w:r w:rsidR="004A4747" w:rsidRPr="004C1796">
        <w:rPr>
          <w:rFonts w:ascii="Times New Roman" w:hAnsi="Times New Roman" w:cs="Times New Roman"/>
        </w:rPr>
        <w:t>affected by these tropes.</w:t>
      </w:r>
      <w:r w:rsidR="00E64E58" w:rsidRPr="004C1796">
        <w:rPr>
          <w:rFonts w:ascii="Times New Roman" w:hAnsi="Times New Roman" w:cs="Times New Roman"/>
        </w:rPr>
        <w:t xml:space="preserve"> </w:t>
      </w:r>
      <w:r w:rsidR="004A4747" w:rsidRPr="004C1796">
        <w:rPr>
          <w:rFonts w:ascii="Times New Roman" w:hAnsi="Times New Roman" w:cs="Times New Roman"/>
        </w:rPr>
        <w:t>I</w:t>
      </w:r>
      <w:r w:rsidR="00C80797" w:rsidRPr="004C1796">
        <w:rPr>
          <w:rFonts w:ascii="Times New Roman" w:hAnsi="Times New Roman" w:cs="Times New Roman"/>
        </w:rPr>
        <w:t>nstead</w:t>
      </w:r>
      <w:r w:rsidR="004A0288" w:rsidRPr="004C1796">
        <w:rPr>
          <w:rFonts w:ascii="Times New Roman" w:hAnsi="Times New Roman" w:cs="Times New Roman"/>
        </w:rPr>
        <w:t>,</w:t>
      </w:r>
      <w:r w:rsidR="00C80797" w:rsidRPr="004C1796">
        <w:rPr>
          <w:rFonts w:ascii="Times New Roman" w:hAnsi="Times New Roman" w:cs="Times New Roman"/>
        </w:rPr>
        <w:t xml:space="preserve"> </w:t>
      </w:r>
      <w:r w:rsidR="002B7A3D" w:rsidRPr="004C1796">
        <w:rPr>
          <w:rFonts w:ascii="Times New Roman" w:hAnsi="Times New Roman" w:cs="Times New Roman"/>
        </w:rPr>
        <w:t>the implementation</w:t>
      </w:r>
      <w:r w:rsidR="006F588C" w:rsidRPr="004C1796">
        <w:rPr>
          <w:rFonts w:ascii="Times New Roman" w:hAnsi="Times New Roman" w:cs="Times New Roman"/>
        </w:rPr>
        <w:t xml:space="preserve"> of</w:t>
      </w:r>
      <w:r w:rsidR="002B7A3D" w:rsidRPr="004C1796">
        <w:rPr>
          <w:rFonts w:ascii="Times New Roman" w:hAnsi="Times New Roman" w:cs="Times New Roman"/>
        </w:rPr>
        <w:t xml:space="preserve"> diversion, the creation of separate offences (see Police </w:t>
      </w:r>
      <w:r w:rsidR="005E063D" w:rsidRPr="004C1796">
        <w:rPr>
          <w:rFonts w:ascii="Times New Roman" w:hAnsi="Times New Roman" w:cs="Times New Roman"/>
        </w:rPr>
        <w:t>Foundation</w:t>
      </w:r>
      <w:r w:rsidR="00314F27" w:rsidRPr="004C1796">
        <w:rPr>
          <w:rFonts w:ascii="Times New Roman" w:hAnsi="Times New Roman" w:cs="Times New Roman"/>
        </w:rPr>
        <w:t>, 2000; N</w:t>
      </w:r>
      <w:r w:rsidR="000E5716" w:rsidRPr="004C1796">
        <w:rPr>
          <w:rFonts w:ascii="Times New Roman" w:hAnsi="Times New Roman" w:cs="Times New Roman"/>
        </w:rPr>
        <w:t xml:space="preserve">ew </w:t>
      </w:r>
      <w:r w:rsidR="00314F27" w:rsidRPr="004C1796">
        <w:rPr>
          <w:rFonts w:ascii="Times New Roman" w:hAnsi="Times New Roman" w:cs="Times New Roman"/>
        </w:rPr>
        <w:t>Z</w:t>
      </w:r>
      <w:r w:rsidR="000E5716" w:rsidRPr="004C1796">
        <w:rPr>
          <w:rFonts w:ascii="Times New Roman" w:hAnsi="Times New Roman" w:cs="Times New Roman"/>
        </w:rPr>
        <w:t>ealand</w:t>
      </w:r>
      <w:r w:rsidR="00314F27" w:rsidRPr="004C1796">
        <w:rPr>
          <w:rFonts w:ascii="Times New Roman" w:hAnsi="Times New Roman" w:cs="Times New Roman"/>
        </w:rPr>
        <w:t xml:space="preserve"> Law Commission, 2011</w:t>
      </w:r>
      <w:r w:rsidR="002B7A3D" w:rsidRPr="004C1796">
        <w:rPr>
          <w:rFonts w:ascii="Times New Roman" w:hAnsi="Times New Roman" w:cs="Times New Roman"/>
        </w:rPr>
        <w:t xml:space="preserve">) with distinct sentencing tariffs, or at least </w:t>
      </w:r>
      <w:r w:rsidR="00C80797" w:rsidRPr="004C1796">
        <w:rPr>
          <w:rFonts w:ascii="Times New Roman" w:hAnsi="Times New Roman" w:cs="Times New Roman"/>
        </w:rPr>
        <w:t>differentiated</w:t>
      </w:r>
      <w:r w:rsidR="001D33C7" w:rsidRPr="004C1796">
        <w:rPr>
          <w:rFonts w:ascii="Times New Roman" w:hAnsi="Times New Roman" w:cs="Times New Roman"/>
        </w:rPr>
        <w:t>, proportionate</w:t>
      </w:r>
      <w:r w:rsidR="00C80797" w:rsidRPr="004C1796">
        <w:rPr>
          <w:rFonts w:ascii="Times New Roman" w:hAnsi="Times New Roman" w:cs="Times New Roman"/>
        </w:rPr>
        <w:t xml:space="preserve"> frameworks</w:t>
      </w:r>
      <w:r w:rsidR="00BD497A" w:rsidRPr="004C1796">
        <w:rPr>
          <w:rFonts w:ascii="Times New Roman" w:hAnsi="Times New Roman" w:cs="Times New Roman"/>
        </w:rPr>
        <w:t xml:space="preserve"> can help to</w:t>
      </w:r>
      <w:r w:rsidR="00C80797" w:rsidRPr="004C1796">
        <w:rPr>
          <w:rFonts w:ascii="Times New Roman" w:hAnsi="Times New Roman" w:cs="Times New Roman"/>
        </w:rPr>
        <w:t xml:space="preserve"> protect </w:t>
      </w:r>
      <w:r w:rsidR="00BD497A" w:rsidRPr="004C1796">
        <w:rPr>
          <w:rFonts w:ascii="Times New Roman" w:hAnsi="Times New Roman" w:cs="Times New Roman"/>
        </w:rPr>
        <w:t xml:space="preserve">against </w:t>
      </w:r>
      <w:r w:rsidR="00C80797" w:rsidRPr="004C1796">
        <w:rPr>
          <w:rFonts w:ascii="Times New Roman" w:hAnsi="Times New Roman" w:cs="Times New Roman"/>
        </w:rPr>
        <w:t>these biases</w:t>
      </w:r>
      <w:r w:rsidR="006F588C" w:rsidRPr="004C1796">
        <w:rPr>
          <w:rFonts w:ascii="Times New Roman" w:hAnsi="Times New Roman" w:cs="Times New Roman"/>
        </w:rPr>
        <w:t>.</w:t>
      </w:r>
      <w:r w:rsidR="00AD6708" w:rsidRPr="004C1796">
        <w:rPr>
          <w:rFonts w:ascii="Times New Roman" w:hAnsi="Times New Roman" w:cs="Times New Roman"/>
        </w:rPr>
        <w:t xml:space="preserve"> </w:t>
      </w:r>
      <w:r w:rsidR="00810139" w:rsidRPr="004C1796">
        <w:rPr>
          <w:rFonts w:ascii="Times New Roman" w:hAnsi="Times New Roman" w:cs="Times New Roman"/>
        </w:rPr>
        <w:t>Grigg et al</w:t>
      </w:r>
      <w:r w:rsidR="004A0288" w:rsidRPr="004C1796">
        <w:rPr>
          <w:rFonts w:ascii="Times New Roman" w:hAnsi="Times New Roman" w:cs="Times New Roman"/>
        </w:rPr>
        <w:t>.</w:t>
      </w:r>
      <w:r w:rsidR="00810139" w:rsidRPr="004C1796">
        <w:rPr>
          <w:rFonts w:ascii="Times New Roman" w:hAnsi="Times New Roman" w:cs="Times New Roman"/>
        </w:rPr>
        <w:t xml:space="preserve"> (2015) suggest that there may be some merit in expanding current Australian prohibition with cautioning and drug diversion options beyond simple possession offences to include low-level supply of cannabis and perhaps other drugs. </w:t>
      </w:r>
      <w:r w:rsidR="00C8408C" w:rsidRPr="004C1796">
        <w:rPr>
          <w:rFonts w:ascii="Times New Roman" w:hAnsi="Times New Roman" w:cs="Times New Roman"/>
        </w:rPr>
        <w:t xml:space="preserve">Alternatively, the majority of social suppliers could effectively be moved out of the ambit of trafficking offences through adapting sentencing thresholds so that </w:t>
      </w:r>
      <w:r w:rsidR="001C7EF8" w:rsidRPr="004C1796">
        <w:rPr>
          <w:rFonts w:ascii="Times New Roman" w:hAnsi="Times New Roman" w:cs="Times New Roman"/>
        </w:rPr>
        <w:t>limits</w:t>
      </w:r>
      <w:r w:rsidR="00C8408C" w:rsidRPr="004C1796">
        <w:rPr>
          <w:rFonts w:ascii="Times New Roman" w:hAnsi="Times New Roman" w:cs="Times New Roman"/>
        </w:rPr>
        <w:t xml:space="preserve"> for supply are </w:t>
      </w:r>
      <w:r w:rsidR="00BC63AF" w:rsidRPr="004C1796">
        <w:rPr>
          <w:rFonts w:ascii="Times New Roman" w:hAnsi="Times New Roman" w:cs="Times New Roman"/>
        </w:rPr>
        <w:t>ref</w:t>
      </w:r>
      <w:r w:rsidR="00F36840" w:rsidRPr="004C1796">
        <w:rPr>
          <w:rFonts w:ascii="Times New Roman" w:hAnsi="Times New Roman" w:cs="Times New Roman"/>
        </w:rPr>
        <w:t>lective</w:t>
      </w:r>
      <w:r w:rsidR="00C8408C" w:rsidRPr="004C1796">
        <w:rPr>
          <w:rFonts w:ascii="Times New Roman" w:hAnsi="Times New Roman" w:cs="Times New Roman"/>
        </w:rPr>
        <w:t xml:space="preserve"> of commercial</w:t>
      </w:r>
      <w:r w:rsidR="00F92CBE" w:rsidRPr="004C1796">
        <w:rPr>
          <w:rFonts w:ascii="Times New Roman" w:hAnsi="Times New Roman" w:cs="Times New Roman"/>
        </w:rPr>
        <w:t xml:space="preserve"> quantities.</w:t>
      </w:r>
      <w:r w:rsidR="00937207" w:rsidRPr="004C1796">
        <w:rPr>
          <w:rFonts w:ascii="Times New Roman" w:hAnsi="Times New Roman" w:cs="Times New Roman"/>
        </w:rPr>
        <w:t xml:space="preserve"> </w:t>
      </w:r>
      <w:r w:rsidR="00F92CBE" w:rsidRPr="004C1796">
        <w:rPr>
          <w:rFonts w:ascii="Times New Roman" w:hAnsi="Times New Roman" w:cs="Times New Roman"/>
        </w:rPr>
        <w:t>Mirroring the approach taken in Spain,</w:t>
      </w:r>
      <w:r w:rsidR="00675C22" w:rsidRPr="004C1796">
        <w:rPr>
          <w:rFonts w:ascii="Times New Roman" w:hAnsi="Times New Roman" w:cs="Times New Roman"/>
        </w:rPr>
        <w:t xml:space="preserve"> </w:t>
      </w:r>
      <w:r w:rsidR="00F92CBE" w:rsidRPr="004C1796">
        <w:rPr>
          <w:rFonts w:ascii="Times New Roman" w:hAnsi="Times New Roman" w:cs="Times New Roman"/>
        </w:rPr>
        <w:t>this would</w:t>
      </w:r>
      <w:r w:rsidR="005B59A6" w:rsidRPr="004C1796">
        <w:rPr>
          <w:rFonts w:ascii="Times New Roman" w:hAnsi="Times New Roman" w:cs="Times New Roman"/>
        </w:rPr>
        <w:t xml:space="preserve"> mean</w:t>
      </w:r>
      <w:r w:rsidR="00937207" w:rsidRPr="004C1796">
        <w:rPr>
          <w:rFonts w:ascii="Times New Roman" w:hAnsi="Times New Roman" w:cs="Times New Roman"/>
        </w:rPr>
        <w:t xml:space="preserve"> low-level </w:t>
      </w:r>
      <w:r w:rsidR="005B59A6" w:rsidRPr="004C1796">
        <w:rPr>
          <w:rFonts w:ascii="Times New Roman" w:hAnsi="Times New Roman" w:cs="Times New Roman"/>
        </w:rPr>
        <w:t xml:space="preserve">embedded </w:t>
      </w:r>
      <w:r w:rsidR="00937207" w:rsidRPr="004C1796">
        <w:rPr>
          <w:rFonts w:ascii="Times New Roman" w:hAnsi="Times New Roman" w:cs="Times New Roman"/>
        </w:rPr>
        <w:t xml:space="preserve">supply offences are instead </w:t>
      </w:r>
      <w:r w:rsidR="00675C22" w:rsidRPr="004C1796">
        <w:rPr>
          <w:rFonts w:ascii="Times New Roman" w:hAnsi="Times New Roman" w:cs="Times New Roman"/>
        </w:rPr>
        <w:t>c</w:t>
      </w:r>
      <w:r w:rsidR="00BF321B" w:rsidRPr="004C1796">
        <w:rPr>
          <w:rFonts w:ascii="Times New Roman" w:hAnsi="Times New Roman" w:cs="Times New Roman"/>
        </w:rPr>
        <w:t xml:space="preserve">harged as </w:t>
      </w:r>
      <w:r w:rsidR="005B59A6" w:rsidRPr="004C1796">
        <w:rPr>
          <w:rFonts w:ascii="Times New Roman" w:hAnsi="Times New Roman" w:cs="Times New Roman"/>
        </w:rPr>
        <w:t>‘</w:t>
      </w:r>
      <w:r w:rsidR="00BF321B" w:rsidRPr="004C1796">
        <w:rPr>
          <w:rFonts w:ascii="Times New Roman" w:hAnsi="Times New Roman" w:cs="Times New Roman"/>
        </w:rPr>
        <w:t>possession-</w:t>
      </w:r>
      <w:r w:rsidR="00675C22" w:rsidRPr="004C1796">
        <w:rPr>
          <w:rFonts w:ascii="Times New Roman" w:hAnsi="Times New Roman" w:cs="Times New Roman"/>
        </w:rPr>
        <w:t>related offences</w:t>
      </w:r>
      <w:r w:rsidR="005B59A6" w:rsidRPr="004C1796">
        <w:rPr>
          <w:rFonts w:ascii="Times New Roman" w:hAnsi="Times New Roman" w:cs="Times New Roman"/>
        </w:rPr>
        <w:t>’</w:t>
      </w:r>
      <w:r w:rsidR="004D25AE" w:rsidRPr="004C1796">
        <w:rPr>
          <w:rFonts w:ascii="Times New Roman" w:hAnsi="Times New Roman" w:cs="Times New Roman"/>
        </w:rPr>
        <w:t xml:space="preserve"> </w:t>
      </w:r>
      <w:r w:rsidR="0064141D" w:rsidRPr="004C1796">
        <w:rPr>
          <w:rFonts w:ascii="Times New Roman" w:hAnsi="Times New Roman" w:cs="Times New Roman"/>
        </w:rPr>
        <w:t xml:space="preserve">rather than trafficking offences </w:t>
      </w:r>
      <w:r w:rsidR="004D25AE" w:rsidRPr="004C1796">
        <w:rPr>
          <w:rFonts w:ascii="Times New Roman" w:hAnsi="Times New Roman" w:cs="Times New Roman"/>
        </w:rPr>
        <w:t>(EMCDDA 2017</w:t>
      </w:r>
      <w:r w:rsidR="00B61E87" w:rsidRPr="004C1796">
        <w:rPr>
          <w:rFonts w:ascii="Times New Roman" w:hAnsi="Times New Roman" w:cs="Times New Roman"/>
        </w:rPr>
        <w:t>g</w:t>
      </w:r>
      <w:r w:rsidR="004D25AE" w:rsidRPr="004C1796">
        <w:rPr>
          <w:rFonts w:ascii="Times New Roman" w:hAnsi="Times New Roman" w:cs="Times New Roman"/>
        </w:rPr>
        <w:t xml:space="preserve">: </w:t>
      </w:r>
      <w:r w:rsidR="00694067" w:rsidRPr="004C1796">
        <w:rPr>
          <w:rFonts w:ascii="Times New Roman" w:hAnsi="Times New Roman" w:cs="Times New Roman"/>
        </w:rPr>
        <w:t>4)</w:t>
      </w:r>
      <w:r w:rsidR="00675C22" w:rsidRPr="004C1796">
        <w:rPr>
          <w:rFonts w:ascii="Times New Roman" w:hAnsi="Times New Roman" w:cs="Times New Roman"/>
        </w:rPr>
        <w:t>.</w:t>
      </w:r>
      <w:r w:rsidR="00C8408C" w:rsidRPr="004C1796">
        <w:rPr>
          <w:rFonts w:ascii="Times New Roman" w:hAnsi="Times New Roman" w:cs="Times New Roman"/>
        </w:rPr>
        <w:t xml:space="preserve">    </w:t>
      </w:r>
    </w:p>
    <w:p w14:paraId="1BD3DBDF" w14:textId="77777777" w:rsidR="008644C7" w:rsidRPr="004C1796" w:rsidRDefault="008644C7" w:rsidP="00CB4184">
      <w:pPr>
        <w:spacing w:line="360" w:lineRule="auto"/>
        <w:jc w:val="both"/>
        <w:rPr>
          <w:rFonts w:ascii="Times New Roman" w:hAnsi="Times New Roman" w:cs="Times New Roman"/>
        </w:rPr>
      </w:pPr>
    </w:p>
    <w:p w14:paraId="29A6AF5D" w14:textId="77777777" w:rsidR="00DD4850" w:rsidRPr="004C1796" w:rsidRDefault="00DD4850" w:rsidP="00CB4184">
      <w:pPr>
        <w:spacing w:line="360" w:lineRule="auto"/>
        <w:jc w:val="both"/>
        <w:outlineLvl w:val="0"/>
        <w:rPr>
          <w:rFonts w:ascii="Times New Roman" w:hAnsi="Times New Roman" w:cs="Times New Roman"/>
          <w:b/>
        </w:rPr>
      </w:pPr>
      <w:r w:rsidRPr="004C1796">
        <w:rPr>
          <w:rFonts w:ascii="Times New Roman" w:hAnsi="Times New Roman" w:cs="Times New Roman"/>
          <w:b/>
        </w:rPr>
        <w:t>Conclusion</w:t>
      </w:r>
    </w:p>
    <w:p w14:paraId="7AA2513B" w14:textId="77777777" w:rsidR="00902AF9" w:rsidRPr="004C1796" w:rsidRDefault="00902AF9" w:rsidP="00CB4184">
      <w:pPr>
        <w:spacing w:line="360" w:lineRule="auto"/>
        <w:jc w:val="both"/>
        <w:rPr>
          <w:rFonts w:ascii="Times New Roman" w:hAnsi="Times New Roman" w:cs="Times New Roman"/>
        </w:rPr>
      </w:pPr>
    </w:p>
    <w:p w14:paraId="40134B74" w14:textId="77777777" w:rsidR="001D33C7" w:rsidRPr="004C1796" w:rsidRDefault="007D3A34" w:rsidP="001D33C7">
      <w:pPr>
        <w:spacing w:line="360" w:lineRule="auto"/>
        <w:jc w:val="both"/>
        <w:rPr>
          <w:rFonts w:ascii="Times New Roman" w:hAnsi="Times New Roman" w:cs="Times New Roman"/>
        </w:rPr>
      </w:pPr>
      <w:r w:rsidRPr="004C1796">
        <w:rPr>
          <w:rFonts w:ascii="Times New Roman" w:hAnsi="Times New Roman" w:cs="Times New Roman"/>
        </w:rPr>
        <w:t>Research on social supply has tended to focus on</w:t>
      </w:r>
      <w:r w:rsidR="005A71AB" w:rsidRPr="004C1796">
        <w:rPr>
          <w:rFonts w:ascii="Times New Roman" w:hAnsi="Times New Roman" w:cs="Times New Roman"/>
        </w:rPr>
        <w:t xml:space="preserve"> distinct milieus and communities</w:t>
      </w:r>
      <w:r w:rsidR="00DA2076" w:rsidRPr="004C1796">
        <w:rPr>
          <w:rFonts w:ascii="Times New Roman" w:hAnsi="Times New Roman" w:cs="Times New Roman"/>
        </w:rPr>
        <w:t>,</w:t>
      </w:r>
      <w:r w:rsidR="005A71AB" w:rsidRPr="004C1796">
        <w:rPr>
          <w:rFonts w:ascii="Times New Roman" w:hAnsi="Times New Roman" w:cs="Times New Roman"/>
        </w:rPr>
        <w:t xml:space="preserve"> and there has to date been little </w:t>
      </w:r>
      <w:r w:rsidR="000F03E2" w:rsidRPr="004C1796">
        <w:rPr>
          <w:rFonts w:ascii="Times New Roman" w:hAnsi="Times New Roman" w:cs="Times New Roman"/>
        </w:rPr>
        <w:t xml:space="preserve">consideration of </w:t>
      </w:r>
      <w:r w:rsidR="005A71AB" w:rsidRPr="004C1796">
        <w:rPr>
          <w:rFonts w:ascii="Times New Roman" w:hAnsi="Times New Roman" w:cs="Times New Roman"/>
        </w:rPr>
        <w:t xml:space="preserve">social supply as an internationally </w:t>
      </w:r>
      <w:r w:rsidR="005A71AB" w:rsidRPr="004C1796">
        <w:rPr>
          <w:rFonts w:ascii="Times New Roman" w:hAnsi="Times New Roman" w:cs="Times New Roman"/>
        </w:rPr>
        <w:lastRenderedPageBreak/>
        <w:t>relevant concept.</w:t>
      </w:r>
      <w:r w:rsidRPr="004C1796">
        <w:rPr>
          <w:rFonts w:ascii="Times New Roman" w:hAnsi="Times New Roman" w:cs="Times New Roman"/>
        </w:rPr>
        <w:t xml:space="preserve"> </w:t>
      </w:r>
      <w:r w:rsidR="005A71AB" w:rsidRPr="004C1796">
        <w:rPr>
          <w:rFonts w:ascii="Times New Roman" w:hAnsi="Times New Roman" w:cs="Times New Roman"/>
        </w:rPr>
        <w:t>Al</w:t>
      </w:r>
      <w:r w:rsidRPr="004C1796">
        <w:rPr>
          <w:rFonts w:ascii="Times New Roman" w:hAnsi="Times New Roman" w:cs="Times New Roman"/>
        </w:rPr>
        <w:t>t</w:t>
      </w:r>
      <w:r w:rsidR="00902AF9" w:rsidRPr="004C1796">
        <w:rPr>
          <w:rFonts w:ascii="Times New Roman" w:hAnsi="Times New Roman" w:cs="Times New Roman"/>
        </w:rPr>
        <w:t xml:space="preserve">hough this research </w:t>
      </w:r>
      <w:r w:rsidR="000706DC" w:rsidRPr="004C1796">
        <w:rPr>
          <w:rFonts w:ascii="Times New Roman" w:hAnsi="Times New Roman" w:cs="Times New Roman"/>
        </w:rPr>
        <w:t>can only provide</w:t>
      </w:r>
      <w:r w:rsidR="00902AF9" w:rsidRPr="004C1796">
        <w:rPr>
          <w:rFonts w:ascii="Times New Roman" w:hAnsi="Times New Roman" w:cs="Times New Roman"/>
        </w:rPr>
        <w:t xml:space="preserve"> a snapshot of the </w:t>
      </w:r>
      <w:r w:rsidRPr="004C1796">
        <w:rPr>
          <w:rFonts w:ascii="Times New Roman" w:hAnsi="Times New Roman" w:cs="Times New Roman"/>
        </w:rPr>
        <w:t xml:space="preserve">global </w:t>
      </w:r>
      <w:r w:rsidR="00902AF9" w:rsidRPr="004C1796">
        <w:rPr>
          <w:rFonts w:ascii="Times New Roman" w:hAnsi="Times New Roman" w:cs="Times New Roman"/>
        </w:rPr>
        <w:t xml:space="preserve">picture, it </w:t>
      </w:r>
      <w:r w:rsidR="00DA2076" w:rsidRPr="004C1796">
        <w:rPr>
          <w:rFonts w:ascii="Times New Roman" w:hAnsi="Times New Roman" w:cs="Times New Roman"/>
        </w:rPr>
        <w:t>offer</w:t>
      </w:r>
      <w:r w:rsidR="005A71AB" w:rsidRPr="004C1796">
        <w:rPr>
          <w:rFonts w:ascii="Times New Roman" w:hAnsi="Times New Roman" w:cs="Times New Roman"/>
        </w:rPr>
        <w:t>s</w:t>
      </w:r>
      <w:r w:rsidR="00877084" w:rsidRPr="004C1796">
        <w:rPr>
          <w:rFonts w:ascii="Times New Roman" w:hAnsi="Times New Roman" w:cs="Times New Roman"/>
        </w:rPr>
        <w:t xml:space="preserve"> some important </w:t>
      </w:r>
      <w:r w:rsidR="0000016D" w:rsidRPr="004C1796">
        <w:rPr>
          <w:rFonts w:ascii="Times New Roman" w:hAnsi="Times New Roman" w:cs="Times New Roman"/>
        </w:rPr>
        <w:t>contributions</w:t>
      </w:r>
      <w:r w:rsidRPr="004C1796">
        <w:rPr>
          <w:rFonts w:ascii="Times New Roman" w:hAnsi="Times New Roman" w:cs="Times New Roman"/>
        </w:rPr>
        <w:t xml:space="preserve"> in regard to its </w:t>
      </w:r>
      <w:r w:rsidR="000523C0" w:rsidRPr="004C1796">
        <w:rPr>
          <w:rFonts w:ascii="Times New Roman" w:hAnsi="Times New Roman" w:cs="Times New Roman"/>
        </w:rPr>
        <w:t>applicability</w:t>
      </w:r>
      <w:r w:rsidR="0000016D" w:rsidRPr="004C1796">
        <w:rPr>
          <w:rFonts w:ascii="Times New Roman" w:hAnsi="Times New Roman" w:cs="Times New Roman"/>
        </w:rPr>
        <w:t>, ac</w:t>
      </w:r>
      <w:r w:rsidR="00B85E77" w:rsidRPr="004C1796">
        <w:rPr>
          <w:rFonts w:ascii="Times New Roman" w:hAnsi="Times New Roman" w:cs="Times New Roman"/>
        </w:rPr>
        <w:t xml:space="preserve">ceptance and operationalisation in international </w:t>
      </w:r>
      <w:r w:rsidR="00FD59B6" w:rsidRPr="004C1796">
        <w:rPr>
          <w:rFonts w:ascii="Times New Roman" w:hAnsi="Times New Roman" w:cs="Times New Roman"/>
        </w:rPr>
        <w:t xml:space="preserve">criminal justice </w:t>
      </w:r>
      <w:r w:rsidR="00B85E77" w:rsidRPr="004C1796">
        <w:rPr>
          <w:rFonts w:ascii="Times New Roman" w:hAnsi="Times New Roman" w:cs="Times New Roman"/>
        </w:rPr>
        <w:t xml:space="preserve">contexts. </w:t>
      </w:r>
      <w:r w:rsidR="000A3CBC" w:rsidRPr="004C1796">
        <w:rPr>
          <w:rFonts w:ascii="Times New Roman" w:hAnsi="Times New Roman" w:cs="Times New Roman"/>
        </w:rPr>
        <w:t>Data suggests that while</w:t>
      </w:r>
      <w:r w:rsidR="00355654" w:rsidRPr="004C1796">
        <w:rPr>
          <w:rFonts w:ascii="Times New Roman" w:hAnsi="Times New Roman" w:cs="Times New Roman"/>
        </w:rPr>
        <w:t xml:space="preserve"> researchers identified the presence of social drug supply in e</w:t>
      </w:r>
      <w:r w:rsidR="00833992" w:rsidRPr="004C1796">
        <w:rPr>
          <w:rFonts w:ascii="Times New Roman" w:hAnsi="Times New Roman" w:cs="Times New Roman"/>
        </w:rPr>
        <w:t>ach setting</w:t>
      </w:r>
      <w:r w:rsidR="005A71AB" w:rsidRPr="004C1796">
        <w:rPr>
          <w:rFonts w:ascii="Times New Roman" w:hAnsi="Times New Roman" w:cs="Times New Roman"/>
        </w:rPr>
        <w:t xml:space="preserve"> as an observable and distinct supply behaviour</w:t>
      </w:r>
      <w:r w:rsidR="007A50F5" w:rsidRPr="004C1796">
        <w:rPr>
          <w:rFonts w:ascii="Times New Roman" w:hAnsi="Times New Roman" w:cs="Times New Roman"/>
        </w:rPr>
        <w:t>,</w:t>
      </w:r>
      <w:r w:rsidR="00833992" w:rsidRPr="004C1796">
        <w:rPr>
          <w:rFonts w:ascii="Times New Roman" w:hAnsi="Times New Roman" w:cs="Times New Roman"/>
        </w:rPr>
        <w:t xml:space="preserve"> </w:t>
      </w:r>
      <w:r w:rsidRPr="004C1796">
        <w:rPr>
          <w:rFonts w:ascii="Times New Roman" w:hAnsi="Times New Roman" w:cs="Times New Roman"/>
        </w:rPr>
        <w:t xml:space="preserve">that when it came to policy and legal discourse, </w:t>
      </w:r>
      <w:r w:rsidR="00833992" w:rsidRPr="004C1796">
        <w:rPr>
          <w:rFonts w:ascii="Times New Roman" w:hAnsi="Times New Roman" w:cs="Times New Roman"/>
        </w:rPr>
        <w:t xml:space="preserve">there existed a variegated </w:t>
      </w:r>
      <w:r w:rsidR="000F03E2" w:rsidRPr="004C1796">
        <w:rPr>
          <w:rFonts w:ascii="Times New Roman" w:hAnsi="Times New Roman" w:cs="Times New Roman"/>
        </w:rPr>
        <w:t xml:space="preserve">discursive </w:t>
      </w:r>
      <w:r w:rsidR="007A50F5" w:rsidRPr="004C1796">
        <w:rPr>
          <w:rFonts w:ascii="Times New Roman" w:hAnsi="Times New Roman" w:cs="Times New Roman"/>
        </w:rPr>
        <w:t>acceptance of the social supply concept</w:t>
      </w:r>
      <w:r w:rsidR="000F03E2" w:rsidRPr="004C1796">
        <w:rPr>
          <w:rFonts w:ascii="Times New Roman" w:hAnsi="Times New Roman" w:cs="Times New Roman"/>
        </w:rPr>
        <w:t xml:space="preserve"> across the </w:t>
      </w:r>
      <w:r w:rsidR="00FD59B6" w:rsidRPr="004C1796">
        <w:rPr>
          <w:rFonts w:ascii="Times New Roman" w:hAnsi="Times New Roman" w:cs="Times New Roman"/>
        </w:rPr>
        <w:t xml:space="preserve">different </w:t>
      </w:r>
      <w:r w:rsidR="00E9560D" w:rsidRPr="004C1796">
        <w:rPr>
          <w:rFonts w:ascii="Times New Roman" w:hAnsi="Times New Roman" w:cs="Times New Roman"/>
        </w:rPr>
        <w:t xml:space="preserve"> research settings</w:t>
      </w:r>
      <w:r w:rsidR="00FD59B6" w:rsidRPr="004C1796">
        <w:rPr>
          <w:rFonts w:ascii="Times New Roman" w:hAnsi="Times New Roman" w:cs="Times New Roman"/>
        </w:rPr>
        <w:t>,</w:t>
      </w:r>
      <w:r w:rsidR="00A95F0C" w:rsidRPr="004C1796">
        <w:rPr>
          <w:rFonts w:ascii="Times New Roman" w:hAnsi="Times New Roman" w:cs="Times New Roman"/>
        </w:rPr>
        <w:t xml:space="preserve"> </w:t>
      </w:r>
      <w:r w:rsidR="00252629" w:rsidRPr="004C1796">
        <w:rPr>
          <w:rFonts w:ascii="Times New Roman" w:hAnsi="Times New Roman" w:cs="Times New Roman"/>
        </w:rPr>
        <w:t>ranging from</w:t>
      </w:r>
      <w:r w:rsidR="007A2ED8" w:rsidRPr="004C1796">
        <w:rPr>
          <w:rFonts w:ascii="Times New Roman" w:hAnsi="Times New Roman" w:cs="Times New Roman"/>
        </w:rPr>
        <w:t xml:space="preserve"> those that actively engaged with the term (</w:t>
      </w:r>
      <w:r w:rsidR="007F2D52" w:rsidRPr="004C1796">
        <w:rPr>
          <w:rFonts w:ascii="Times New Roman" w:hAnsi="Times New Roman" w:cs="Times New Roman"/>
        </w:rPr>
        <w:t>UK</w:t>
      </w:r>
      <w:r w:rsidR="007A2ED8" w:rsidRPr="004C1796">
        <w:rPr>
          <w:rFonts w:ascii="Times New Roman" w:hAnsi="Times New Roman" w:cs="Times New Roman"/>
        </w:rPr>
        <w:t xml:space="preserve">; Hong Kong; </w:t>
      </w:r>
      <w:r w:rsidR="00A95F0C" w:rsidRPr="004C1796">
        <w:rPr>
          <w:rFonts w:ascii="Times New Roman" w:hAnsi="Times New Roman" w:cs="Times New Roman"/>
        </w:rPr>
        <w:t>N</w:t>
      </w:r>
      <w:r w:rsidR="0044044F" w:rsidRPr="004C1796">
        <w:rPr>
          <w:rFonts w:ascii="Times New Roman" w:hAnsi="Times New Roman" w:cs="Times New Roman"/>
        </w:rPr>
        <w:t xml:space="preserve">ew </w:t>
      </w:r>
      <w:r w:rsidR="00A95F0C" w:rsidRPr="004C1796">
        <w:rPr>
          <w:rFonts w:ascii="Times New Roman" w:hAnsi="Times New Roman" w:cs="Times New Roman"/>
        </w:rPr>
        <w:t>Z</w:t>
      </w:r>
      <w:r w:rsidR="0044044F" w:rsidRPr="004C1796">
        <w:rPr>
          <w:rFonts w:ascii="Times New Roman" w:hAnsi="Times New Roman" w:cs="Times New Roman"/>
        </w:rPr>
        <w:t>ealand</w:t>
      </w:r>
      <w:r w:rsidR="007A2ED8" w:rsidRPr="004C1796">
        <w:rPr>
          <w:rFonts w:ascii="Times New Roman" w:hAnsi="Times New Roman" w:cs="Times New Roman"/>
        </w:rPr>
        <w:t>)</w:t>
      </w:r>
      <w:r w:rsidR="00A95F0C" w:rsidRPr="004C1796">
        <w:rPr>
          <w:rFonts w:ascii="Times New Roman" w:hAnsi="Times New Roman" w:cs="Times New Roman"/>
        </w:rPr>
        <w:t>,</w:t>
      </w:r>
      <w:r w:rsidR="007A2ED8" w:rsidRPr="004C1796">
        <w:rPr>
          <w:rFonts w:ascii="Times New Roman" w:hAnsi="Times New Roman" w:cs="Times New Roman"/>
        </w:rPr>
        <w:t xml:space="preserve"> to contexts in which </w:t>
      </w:r>
      <w:r w:rsidR="001C7EF8" w:rsidRPr="004C1796">
        <w:rPr>
          <w:rFonts w:ascii="Times New Roman" w:hAnsi="Times New Roman" w:cs="Times New Roman"/>
        </w:rPr>
        <w:t xml:space="preserve">‘supply is supply’ and </w:t>
      </w:r>
      <w:r w:rsidR="00A95F0C" w:rsidRPr="004C1796">
        <w:rPr>
          <w:rFonts w:ascii="Times New Roman" w:hAnsi="Times New Roman" w:cs="Times New Roman"/>
        </w:rPr>
        <w:t>the social supply term</w:t>
      </w:r>
      <w:r w:rsidR="007A2ED8" w:rsidRPr="004C1796">
        <w:rPr>
          <w:rFonts w:ascii="Times New Roman" w:hAnsi="Times New Roman" w:cs="Times New Roman"/>
        </w:rPr>
        <w:t xml:space="preserve"> did not exist (</w:t>
      </w:r>
      <w:r w:rsidR="005E07B5" w:rsidRPr="004C1796">
        <w:rPr>
          <w:rFonts w:ascii="Times New Roman" w:hAnsi="Times New Roman" w:cs="Times New Roman"/>
        </w:rPr>
        <w:t xml:space="preserve">e.g. </w:t>
      </w:r>
      <w:r w:rsidR="007A2ED8" w:rsidRPr="004C1796">
        <w:rPr>
          <w:rFonts w:ascii="Times New Roman" w:hAnsi="Times New Roman" w:cs="Times New Roman"/>
        </w:rPr>
        <w:t>Finland</w:t>
      </w:r>
      <w:r w:rsidR="005E07B5" w:rsidRPr="004C1796">
        <w:rPr>
          <w:rFonts w:ascii="Times New Roman" w:hAnsi="Times New Roman" w:cs="Times New Roman"/>
        </w:rPr>
        <w:t>, US)</w:t>
      </w:r>
      <w:r w:rsidR="005A71AB" w:rsidRPr="004C1796">
        <w:rPr>
          <w:rFonts w:ascii="Times New Roman" w:hAnsi="Times New Roman" w:cs="Times New Roman"/>
        </w:rPr>
        <w:t>.</w:t>
      </w:r>
      <w:r w:rsidR="00E9560D" w:rsidRPr="004C1796">
        <w:rPr>
          <w:rFonts w:ascii="Times New Roman" w:hAnsi="Times New Roman" w:cs="Times New Roman"/>
        </w:rPr>
        <w:t xml:space="preserve"> </w:t>
      </w:r>
      <w:r w:rsidR="00BF0A08" w:rsidRPr="004C1796">
        <w:rPr>
          <w:rFonts w:ascii="Times New Roman" w:hAnsi="Times New Roman" w:cs="Times New Roman"/>
        </w:rPr>
        <w:t xml:space="preserve">The implementation </w:t>
      </w:r>
      <w:r w:rsidR="00932C5E" w:rsidRPr="004C1796">
        <w:rPr>
          <w:rFonts w:ascii="Times New Roman" w:hAnsi="Times New Roman" w:cs="Times New Roman"/>
        </w:rPr>
        <w:t xml:space="preserve">of </w:t>
      </w:r>
      <w:r w:rsidR="00BF0A08" w:rsidRPr="004C1796">
        <w:rPr>
          <w:rFonts w:ascii="Times New Roman" w:hAnsi="Times New Roman" w:cs="Times New Roman"/>
        </w:rPr>
        <w:t>different</w:t>
      </w:r>
      <w:r w:rsidR="000F03E2" w:rsidRPr="004C1796">
        <w:rPr>
          <w:rFonts w:ascii="Times New Roman" w:hAnsi="Times New Roman" w:cs="Times New Roman"/>
        </w:rPr>
        <w:t xml:space="preserve"> </w:t>
      </w:r>
      <w:r w:rsidR="00932C5E" w:rsidRPr="004C1796">
        <w:rPr>
          <w:rFonts w:ascii="Times New Roman" w:hAnsi="Times New Roman" w:cs="Times New Roman"/>
        </w:rPr>
        <w:t xml:space="preserve">penal </w:t>
      </w:r>
      <w:r w:rsidR="000F03E2" w:rsidRPr="004C1796">
        <w:rPr>
          <w:rFonts w:ascii="Times New Roman" w:hAnsi="Times New Roman" w:cs="Times New Roman"/>
        </w:rPr>
        <w:t xml:space="preserve">approaches </w:t>
      </w:r>
      <w:r w:rsidR="00932C5E" w:rsidRPr="004C1796">
        <w:rPr>
          <w:rFonts w:ascii="Times New Roman" w:hAnsi="Times New Roman" w:cs="Times New Roman"/>
        </w:rPr>
        <w:t>has</w:t>
      </w:r>
      <w:r w:rsidR="005A71AB" w:rsidRPr="004C1796">
        <w:rPr>
          <w:rFonts w:ascii="Times New Roman" w:hAnsi="Times New Roman" w:cs="Times New Roman"/>
        </w:rPr>
        <w:t xml:space="preserve"> profound consequences for those social suppliers who are prosecuted for trafficking sentences, and this is even more salient for those who take recreational drugs other than cannabis. </w:t>
      </w:r>
      <w:r w:rsidR="00B01B35" w:rsidRPr="004C1796">
        <w:rPr>
          <w:rFonts w:ascii="Times New Roman" w:hAnsi="Times New Roman" w:cs="Times New Roman"/>
        </w:rPr>
        <w:t xml:space="preserve">A range of penal approaches were analysed across the research settings and the most progressive were all located in countries with </w:t>
      </w:r>
      <w:r w:rsidR="0006687F" w:rsidRPr="004C1796">
        <w:rPr>
          <w:rFonts w:ascii="Times New Roman" w:hAnsi="Times New Roman" w:cs="Times New Roman"/>
        </w:rPr>
        <w:t xml:space="preserve">broadly differentiated sentencing frameworks and </w:t>
      </w:r>
      <w:r w:rsidR="00C00872" w:rsidRPr="004C1796">
        <w:rPr>
          <w:rFonts w:ascii="Times New Roman" w:hAnsi="Times New Roman" w:cs="Times New Roman"/>
        </w:rPr>
        <w:t xml:space="preserve">an established discursive framework for social supply. </w:t>
      </w:r>
      <w:r w:rsidR="00EB4992" w:rsidRPr="004C1796">
        <w:rPr>
          <w:rFonts w:ascii="Times New Roman" w:hAnsi="Times New Roman" w:cs="Times New Roman"/>
        </w:rPr>
        <w:t xml:space="preserve">Countries less sympathetic to low-level dealing behaviours like social supply tended to </w:t>
      </w:r>
      <w:r w:rsidR="00117359" w:rsidRPr="004C1796">
        <w:rPr>
          <w:rFonts w:ascii="Times New Roman" w:hAnsi="Times New Roman" w:cs="Times New Roman"/>
        </w:rPr>
        <w:t xml:space="preserve">apply aggravating factors </w:t>
      </w:r>
      <w:r w:rsidR="0006566C" w:rsidRPr="004C1796">
        <w:rPr>
          <w:rFonts w:ascii="Times New Roman" w:hAnsi="Times New Roman" w:cs="Times New Roman"/>
        </w:rPr>
        <w:t>to more serious forms of supply rather than</w:t>
      </w:r>
      <w:r w:rsidR="00A82FF3" w:rsidRPr="004C1796">
        <w:rPr>
          <w:rFonts w:ascii="Times New Roman" w:hAnsi="Times New Roman" w:cs="Times New Roman"/>
        </w:rPr>
        <w:t xml:space="preserve"> offering</w:t>
      </w:r>
      <w:r w:rsidR="00CE0EE0" w:rsidRPr="004C1796">
        <w:rPr>
          <w:rFonts w:ascii="Times New Roman" w:hAnsi="Times New Roman" w:cs="Times New Roman"/>
        </w:rPr>
        <w:t xml:space="preserve"> structured sentencing frameworks that incorporated the characteristics of</w:t>
      </w:r>
      <w:r w:rsidR="00A82FF3" w:rsidRPr="004C1796">
        <w:rPr>
          <w:rFonts w:ascii="Times New Roman" w:hAnsi="Times New Roman" w:cs="Times New Roman"/>
        </w:rPr>
        <w:t xml:space="preserve"> less serious cases,</w:t>
      </w:r>
      <w:r w:rsidR="00CE0EE0" w:rsidRPr="004C1796">
        <w:rPr>
          <w:rFonts w:ascii="Times New Roman" w:hAnsi="Times New Roman" w:cs="Times New Roman"/>
        </w:rPr>
        <w:t xml:space="preserve"> and relied</w:t>
      </w:r>
      <w:r w:rsidR="0006566C" w:rsidRPr="004C1796">
        <w:rPr>
          <w:rFonts w:ascii="Times New Roman" w:hAnsi="Times New Roman" w:cs="Times New Roman"/>
        </w:rPr>
        <w:t xml:space="preserve"> on judicial discretion</w:t>
      </w:r>
      <w:r w:rsidR="00A82FF3" w:rsidRPr="004C1796">
        <w:rPr>
          <w:rFonts w:ascii="Times New Roman" w:hAnsi="Times New Roman" w:cs="Times New Roman"/>
        </w:rPr>
        <w:t xml:space="preserve"> </w:t>
      </w:r>
      <w:r w:rsidR="0064141D" w:rsidRPr="004C1796">
        <w:rPr>
          <w:rFonts w:ascii="Times New Roman" w:hAnsi="Times New Roman" w:cs="Times New Roman"/>
        </w:rPr>
        <w:t>in attemp</w:t>
      </w:r>
      <w:r w:rsidR="00B61E87" w:rsidRPr="004C1796">
        <w:rPr>
          <w:rFonts w:ascii="Times New Roman" w:hAnsi="Times New Roman" w:cs="Times New Roman"/>
        </w:rPr>
        <w:t xml:space="preserve">t to acknowledge difference and </w:t>
      </w:r>
      <w:r w:rsidR="00A82FF3" w:rsidRPr="004C1796">
        <w:rPr>
          <w:rFonts w:ascii="Times New Roman" w:hAnsi="Times New Roman" w:cs="Times New Roman"/>
        </w:rPr>
        <w:t>implement proportionate sentence</w:t>
      </w:r>
      <w:r w:rsidR="005D452B" w:rsidRPr="004C1796">
        <w:rPr>
          <w:rFonts w:ascii="Times New Roman" w:hAnsi="Times New Roman" w:cs="Times New Roman"/>
        </w:rPr>
        <w:t>s for non-commercial</w:t>
      </w:r>
      <w:r w:rsidR="001B6713" w:rsidRPr="004C1796">
        <w:rPr>
          <w:rFonts w:ascii="Times New Roman" w:hAnsi="Times New Roman" w:cs="Times New Roman"/>
        </w:rPr>
        <w:t xml:space="preserve"> </w:t>
      </w:r>
      <w:r w:rsidR="005D452B" w:rsidRPr="004C1796">
        <w:rPr>
          <w:rFonts w:ascii="Times New Roman" w:hAnsi="Times New Roman" w:cs="Times New Roman"/>
        </w:rPr>
        <w:t>suppliers.</w:t>
      </w:r>
      <w:r w:rsidR="00531979" w:rsidRPr="004C1796">
        <w:rPr>
          <w:rFonts w:ascii="Times New Roman" w:hAnsi="Times New Roman" w:cs="Times New Roman"/>
        </w:rPr>
        <w:t xml:space="preserve"> </w:t>
      </w:r>
      <w:r w:rsidR="0045531E" w:rsidRPr="004C1796">
        <w:rPr>
          <w:rFonts w:ascii="Times New Roman" w:hAnsi="Times New Roman" w:cs="Times New Roman"/>
        </w:rPr>
        <w:t xml:space="preserve"> Proportionate penal approaches toward social supply would ideally feature separate offences for social supply and ‘minimally commercial’ (Coomber </w:t>
      </w:r>
      <w:r w:rsidR="00F13EB1" w:rsidRPr="004C1796">
        <w:rPr>
          <w:rFonts w:ascii="Times New Roman" w:hAnsi="Times New Roman" w:cs="Times New Roman"/>
        </w:rPr>
        <w:t xml:space="preserve">&amp; </w:t>
      </w:r>
      <w:r w:rsidR="0045531E" w:rsidRPr="004C1796">
        <w:rPr>
          <w:rFonts w:ascii="Times New Roman" w:hAnsi="Times New Roman" w:cs="Times New Roman"/>
        </w:rPr>
        <w:t>Moyle, 2014) supply offences (see Police Foundation, 2000; Moyle et al., 2013; New Zealand Law Commission, 2011), thereby limiting the severity of punishment and offering opportunities for diversion (Grigg et al., 2015). At the very least, it is important that the identification of social supply is not left entirely to the discretion of sentencers</w:t>
      </w:r>
      <w:r w:rsidR="005A2485" w:rsidRPr="004C1796">
        <w:rPr>
          <w:rFonts w:ascii="Times New Roman" w:hAnsi="Times New Roman" w:cs="Times New Roman"/>
        </w:rPr>
        <w:t>. Instead, social supply</w:t>
      </w:r>
      <w:r w:rsidR="0045531E" w:rsidRPr="004C1796">
        <w:rPr>
          <w:rFonts w:ascii="Times New Roman" w:hAnsi="Times New Roman" w:cs="Times New Roman"/>
        </w:rPr>
        <w:t xml:space="preserve"> characteristics </w:t>
      </w:r>
      <w:r w:rsidR="005A2485" w:rsidRPr="004C1796">
        <w:rPr>
          <w:rFonts w:ascii="Times New Roman" w:hAnsi="Times New Roman" w:cs="Times New Roman"/>
        </w:rPr>
        <w:t>should feature</w:t>
      </w:r>
      <w:r w:rsidR="0045531E" w:rsidRPr="004C1796">
        <w:rPr>
          <w:rFonts w:ascii="Times New Roman" w:hAnsi="Times New Roman" w:cs="Times New Roman"/>
        </w:rPr>
        <w:t xml:space="preserve"> with</w:t>
      </w:r>
      <w:r w:rsidR="008A7BE4" w:rsidRPr="004C1796">
        <w:rPr>
          <w:rFonts w:ascii="Times New Roman" w:hAnsi="Times New Roman" w:cs="Times New Roman"/>
        </w:rPr>
        <w:t xml:space="preserve">in sentencing structures and guidelines </w:t>
      </w:r>
      <w:r w:rsidR="0045531E" w:rsidRPr="004C1796">
        <w:rPr>
          <w:rFonts w:ascii="Times New Roman" w:hAnsi="Times New Roman" w:cs="Times New Roman"/>
        </w:rPr>
        <w:t xml:space="preserve">as </w:t>
      </w:r>
      <w:r w:rsidR="008A7BE4" w:rsidRPr="004C1796">
        <w:rPr>
          <w:rFonts w:ascii="Times New Roman" w:hAnsi="Times New Roman" w:cs="Times New Roman"/>
        </w:rPr>
        <w:t xml:space="preserve">a </w:t>
      </w:r>
      <w:r w:rsidR="0045531E" w:rsidRPr="004C1796">
        <w:rPr>
          <w:rFonts w:ascii="Times New Roman" w:hAnsi="Times New Roman" w:cs="Times New Roman"/>
        </w:rPr>
        <w:t>less serious form of supply subject to sentencing discounts.</w:t>
      </w:r>
      <w:r w:rsidR="0045531E" w:rsidRPr="004C1796">
        <w:rPr>
          <w:rFonts w:ascii="Times New Roman" w:hAnsi="Times New Roman" w:cs="Times New Roman"/>
        </w:rPr>
        <w:annotationRef/>
      </w:r>
      <w:r w:rsidR="0045531E" w:rsidRPr="004C1796">
        <w:rPr>
          <w:rFonts w:ascii="Times New Roman" w:hAnsi="Times New Roman" w:cs="Times New Roman"/>
        </w:rPr>
        <w:t xml:space="preserve"> </w:t>
      </w:r>
      <w:r w:rsidR="005D452B" w:rsidRPr="004C1796">
        <w:rPr>
          <w:rFonts w:ascii="Times New Roman" w:hAnsi="Times New Roman" w:cs="Times New Roman"/>
        </w:rPr>
        <w:t xml:space="preserve">In seeking to move towards more proportionate outcomes for social suppliers, further research is </w:t>
      </w:r>
      <w:r w:rsidR="001D33C7" w:rsidRPr="004C1796">
        <w:rPr>
          <w:rFonts w:ascii="Times New Roman" w:hAnsi="Times New Roman" w:cs="Times New Roman"/>
        </w:rPr>
        <w:t xml:space="preserve">crucial in </w:t>
      </w:r>
      <w:r w:rsidR="00EB4992" w:rsidRPr="004C1796">
        <w:rPr>
          <w:rFonts w:ascii="Times New Roman" w:hAnsi="Times New Roman" w:cs="Times New Roman"/>
        </w:rPr>
        <w:t xml:space="preserve">bolstering the conceptual presence of social supply in policy </w:t>
      </w:r>
      <w:r w:rsidR="005D452B" w:rsidRPr="004C1796">
        <w:rPr>
          <w:rFonts w:ascii="Times New Roman" w:hAnsi="Times New Roman" w:cs="Times New Roman"/>
        </w:rPr>
        <w:t xml:space="preserve">and </w:t>
      </w:r>
      <w:r w:rsidR="001C7EF8" w:rsidRPr="004C1796">
        <w:rPr>
          <w:rFonts w:ascii="Times New Roman" w:hAnsi="Times New Roman" w:cs="Times New Roman"/>
        </w:rPr>
        <w:t xml:space="preserve">practice and </w:t>
      </w:r>
      <w:r w:rsidR="005D452B" w:rsidRPr="004C1796">
        <w:rPr>
          <w:rFonts w:ascii="Times New Roman" w:hAnsi="Times New Roman" w:cs="Times New Roman"/>
        </w:rPr>
        <w:t xml:space="preserve">– reflective of the relative normalisation of recreational drugs- as a behaviour that is relevant to users of </w:t>
      </w:r>
      <w:r w:rsidR="005D452B" w:rsidRPr="004C1796">
        <w:rPr>
          <w:rFonts w:ascii="Times New Roman" w:hAnsi="Times New Roman" w:cs="Times New Roman"/>
          <w:i/>
        </w:rPr>
        <w:t>all</w:t>
      </w:r>
      <w:r w:rsidR="005D452B" w:rsidRPr="004C1796">
        <w:rPr>
          <w:rFonts w:ascii="Times New Roman" w:hAnsi="Times New Roman" w:cs="Times New Roman"/>
        </w:rPr>
        <w:t xml:space="preserve"> drugs. </w:t>
      </w:r>
    </w:p>
    <w:p w14:paraId="3F428745" w14:textId="77777777" w:rsidR="007F2D52" w:rsidRPr="004C1796" w:rsidRDefault="001D33C7" w:rsidP="000A322B">
      <w:pPr>
        <w:spacing w:line="360" w:lineRule="auto"/>
        <w:jc w:val="both"/>
        <w:rPr>
          <w:rFonts w:ascii="Times New Roman" w:hAnsi="Times New Roman" w:cs="Times New Roman"/>
        </w:rPr>
      </w:pPr>
      <w:r w:rsidRPr="004C1796">
        <w:rPr>
          <w:rFonts w:ascii="Times New Roman" w:hAnsi="Times New Roman" w:cs="Times New Roman"/>
        </w:rPr>
        <w:t xml:space="preserve">   </w:t>
      </w:r>
    </w:p>
    <w:p w14:paraId="764C2BA5" w14:textId="77777777" w:rsidR="00935CA7" w:rsidRPr="004C1796" w:rsidRDefault="00935CA7" w:rsidP="00E7752F">
      <w:pPr>
        <w:outlineLvl w:val="0"/>
        <w:rPr>
          <w:rFonts w:ascii="Times New Roman" w:hAnsi="Times New Roman" w:cs="Times New Roman"/>
          <w:b/>
        </w:rPr>
      </w:pPr>
    </w:p>
    <w:p w14:paraId="63334104" w14:textId="77777777" w:rsidR="00935CA7" w:rsidRPr="004C1796" w:rsidRDefault="00935CA7" w:rsidP="00E7752F">
      <w:pPr>
        <w:outlineLvl w:val="0"/>
        <w:rPr>
          <w:rFonts w:ascii="Times New Roman" w:hAnsi="Times New Roman" w:cs="Times New Roman"/>
          <w:b/>
        </w:rPr>
      </w:pPr>
    </w:p>
    <w:p w14:paraId="40521BD5" w14:textId="77777777" w:rsidR="00935CA7" w:rsidRPr="004C1796" w:rsidRDefault="00935CA7" w:rsidP="00E7752F">
      <w:pPr>
        <w:outlineLvl w:val="0"/>
        <w:rPr>
          <w:rFonts w:ascii="Times New Roman" w:hAnsi="Times New Roman" w:cs="Times New Roman"/>
          <w:b/>
        </w:rPr>
      </w:pPr>
    </w:p>
    <w:p w14:paraId="29028B01" w14:textId="77777777" w:rsidR="00935CA7" w:rsidRPr="004C1796" w:rsidRDefault="00935CA7" w:rsidP="00E7752F">
      <w:pPr>
        <w:outlineLvl w:val="0"/>
        <w:rPr>
          <w:rFonts w:ascii="Times New Roman" w:hAnsi="Times New Roman" w:cs="Times New Roman"/>
          <w:b/>
        </w:rPr>
      </w:pPr>
    </w:p>
    <w:p w14:paraId="619B69EC" w14:textId="77777777" w:rsidR="00935CA7" w:rsidRPr="004C1796" w:rsidRDefault="00935CA7" w:rsidP="00E7752F">
      <w:pPr>
        <w:outlineLvl w:val="0"/>
        <w:rPr>
          <w:rFonts w:ascii="Times New Roman" w:hAnsi="Times New Roman" w:cs="Times New Roman"/>
          <w:b/>
        </w:rPr>
      </w:pPr>
    </w:p>
    <w:p w14:paraId="223B644B" w14:textId="77777777" w:rsidR="00935CA7" w:rsidRPr="004C1796" w:rsidRDefault="00935CA7" w:rsidP="00E7752F">
      <w:pPr>
        <w:outlineLvl w:val="0"/>
        <w:rPr>
          <w:rFonts w:ascii="Times New Roman" w:hAnsi="Times New Roman" w:cs="Times New Roman"/>
          <w:b/>
        </w:rPr>
      </w:pPr>
    </w:p>
    <w:p w14:paraId="351220EC" w14:textId="77777777" w:rsidR="00935CA7" w:rsidRPr="004C1796" w:rsidRDefault="00935CA7" w:rsidP="00E7752F">
      <w:pPr>
        <w:outlineLvl w:val="0"/>
        <w:rPr>
          <w:rFonts w:ascii="Times New Roman" w:hAnsi="Times New Roman" w:cs="Times New Roman"/>
          <w:b/>
        </w:rPr>
      </w:pPr>
    </w:p>
    <w:p w14:paraId="1385C0F3" w14:textId="77777777" w:rsidR="00DD4850" w:rsidRPr="004C1796" w:rsidRDefault="00DD4850" w:rsidP="00E7752F">
      <w:pPr>
        <w:outlineLvl w:val="0"/>
        <w:rPr>
          <w:rFonts w:ascii="Times New Roman" w:hAnsi="Times New Roman" w:cs="Times New Roman"/>
          <w:b/>
        </w:rPr>
      </w:pPr>
      <w:r w:rsidRPr="004C1796">
        <w:rPr>
          <w:rFonts w:ascii="Times New Roman" w:hAnsi="Times New Roman" w:cs="Times New Roman"/>
          <w:b/>
        </w:rPr>
        <w:t>References</w:t>
      </w:r>
      <w:r w:rsidR="005650A2" w:rsidRPr="004C1796">
        <w:rPr>
          <w:rFonts w:ascii="Times New Roman" w:hAnsi="Times New Roman" w:cs="Times New Roman"/>
          <w:b/>
        </w:rPr>
        <w:t>.</w:t>
      </w:r>
    </w:p>
    <w:p w14:paraId="0D47DB22" w14:textId="77777777" w:rsidR="0001359D" w:rsidRPr="004C1796" w:rsidRDefault="0001359D" w:rsidP="00E7752F">
      <w:pPr>
        <w:outlineLvl w:val="0"/>
        <w:rPr>
          <w:rFonts w:ascii="Times New Roman" w:hAnsi="Times New Roman" w:cs="Times New Roman"/>
          <w:b/>
        </w:rPr>
      </w:pPr>
    </w:p>
    <w:p w14:paraId="18AE6B50" w14:textId="77777777" w:rsidR="0001359D" w:rsidRPr="004C1796" w:rsidRDefault="0001359D" w:rsidP="00E7752F">
      <w:pPr>
        <w:outlineLvl w:val="0"/>
        <w:rPr>
          <w:rFonts w:ascii="Times New Roman" w:hAnsi="Times New Roman" w:cs="Times New Roman"/>
          <w:b/>
        </w:rPr>
      </w:pPr>
      <w:r w:rsidRPr="004C1796">
        <w:rPr>
          <w:rFonts w:ascii="Times New Roman" w:hAnsi="Times New Roman" w:cs="Times New Roman"/>
        </w:rPr>
        <w:t xml:space="preserve">Belackova, V., &amp; Stefunkova, M. (2017). Decriminalization: the glass is half full. </w:t>
      </w:r>
      <w:r w:rsidRPr="004C1796">
        <w:rPr>
          <w:rFonts w:ascii="Times New Roman" w:hAnsi="Times New Roman" w:cs="Times New Roman"/>
          <w:i/>
        </w:rPr>
        <w:t>International Journal of Drug Policy, in print</w:t>
      </w:r>
      <w:r w:rsidRPr="004C1796">
        <w:rPr>
          <w:rFonts w:ascii="Times New Roman" w:hAnsi="Times New Roman" w:cs="Times New Roman"/>
        </w:rPr>
        <w:t>.</w:t>
      </w:r>
    </w:p>
    <w:p w14:paraId="7657AC3C" w14:textId="77777777" w:rsidR="00544161" w:rsidRPr="004C1796" w:rsidRDefault="00544161" w:rsidP="00E7752F">
      <w:pPr>
        <w:outlineLvl w:val="0"/>
        <w:rPr>
          <w:rFonts w:ascii="Times New Roman" w:hAnsi="Times New Roman" w:cs="Times New Roman"/>
          <w:b/>
        </w:rPr>
      </w:pPr>
    </w:p>
    <w:p w14:paraId="1C776146" w14:textId="77777777" w:rsidR="00544161" w:rsidRPr="004C1796" w:rsidRDefault="00544161" w:rsidP="00E7752F">
      <w:pPr>
        <w:outlineLvl w:val="0"/>
        <w:rPr>
          <w:rFonts w:ascii="Times New Roman" w:hAnsi="Times New Roman" w:cs="Times New Roman"/>
        </w:rPr>
      </w:pPr>
      <w:r w:rsidRPr="004C1796">
        <w:rPr>
          <w:rFonts w:ascii="Times New Roman" w:hAnsi="Times New Roman" w:cs="Times New Roman"/>
        </w:rPr>
        <w:t>Belackova, V., &amp; Vaccaro., C.A. (2013) “A Friend with Weed is a Friend Indeed” Understanding the Rel</w:t>
      </w:r>
      <w:r w:rsidR="000A322B" w:rsidRPr="004C1796">
        <w:rPr>
          <w:rFonts w:ascii="Times New Roman" w:hAnsi="Times New Roman" w:cs="Times New Roman"/>
        </w:rPr>
        <w:t xml:space="preserve">ationship Between Friendship, Identity and Market Relations Among Marijuana Users. </w:t>
      </w:r>
      <w:r w:rsidR="000A322B" w:rsidRPr="004C1796">
        <w:rPr>
          <w:rFonts w:ascii="Times New Roman" w:hAnsi="Times New Roman" w:cs="Times New Roman"/>
          <w:i/>
        </w:rPr>
        <w:t>Journal of Drug Issues</w:t>
      </w:r>
      <w:r w:rsidR="000A322B" w:rsidRPr="004C1796">
        <w:rPr>
          <w:rFonts w:ascii="Times New Roman" w:hAnsi="Times New Roman" w:cs="Times New Roman"/>
        </w:rPr>
        <w:t>. 43(3), 289-313</w:t>
      </w:r>
    </w:p>
    <w:p w14:paraId="2ADB8E6D" w14:textId="77777777" w:rsidR="00BA79F9" w:rsidRPr="004C1796" w:rsidRDefault="00BA79F9" w:rsidP="00E7752F">
      <w:pPr>
        <w:outlineLvl w:val="0"/>
        <w:rPr>
          <w:rFonts w:ascii="Times New Roman" w:hAnsi="Times New Roman" w:cs="Times New Roman"/>
          <w:b/>
        </w:rPr>
      </w:pPr>
    </w:p>
    <w:p w14:paraId="43F3B6D3" w14:textId="77777777" w:rsidR="00544161" w:rsidRPr="004C1796" w:rsidRDefault="00BA79F9" w:rsidP="00E7752F">
      <w:pPr>
        <w:outlineLvl w:val="0"/>
        <w:rPr>
          <w:rFonts w:ascii="Times New Roman" w:hAnsi="Times New Roman" w:cs="Times New Roman"/>
        </w:rPr>
      </w:pPr>
      <w:r w:rsidRPr="004C1796">
        <w:rPr>
          <w:rFonts w:ascii="Times New Roman" w:hAnsi="Times New Roman" w:cs="Times New Roman"/>
        </w:rPr>
        <w:t>Belackova, V., &amp; Zabransky, T. (2016). “Friendly” marijuana markets in the Czech Republic and in the US–drug policy outcomes and risks. In </w:t>
      </w:r>
      <w:r w:rsidRPr="004C1796">
        <w:rPr>
          <w:rFonts w:ascii="Times New Roman" w:hAnsi="Times New Roman" w:cs="Times New Roman"/>
          <w:i/>
          <w:iCs/>
        </w:rPr>
        <w:t>Friendly Business</w:t>
      </w:r>
      <w:r w:rsidRPr="004C1796">
        <w:rPr>
          <w:rFonts w:ascii="Times New Roman" w:hAnsi="Times New Roman" w:cs="Times New Roman"/>
        </w:rPr>
        <w:t> (pp. 47-70). Springer Fachmedien Wiesbaden.</w:t>
      </w:r>
    </w:p>
    <w:p w14:paraId="24EDD868" w14:textId="77777777" w:rsidR="003E382F" w:rsidRPr="004C1796" w:rsidRDefault="003E382F" w:rsidP="00E7752F">
      <w:pPr>
        <w:outlineLvl w:val="0"/>
        <w:rPr>
          <w:rFonts w:ascii="Times New Roman" w:hAnsi="Times New Roman" w:cs="Times New Roman"/>
        </w:rPr>
      </w:pPr>
    </w:p>
    <w:p w14:paraId="6D51999F" w14:textId="77777777" w:rsidR="003E382F" w:rsidRPr="004C1796" w:rsidRDefault="003E382F" w:rsidP="003E382F">
      <w:pPr>
        <w:outlineLvl w:val="0"/>
        <w:rPr>
          <w:rFonts w:ascii="Times New Roman" w:hAnsi="Times New Roman" w:cs="Times New Roman"/>
        </w:rPr>
      </w:pPr>
      <w:r w:rsidRPr="004C1796">
        <w:rPr>
          <w:rFonts w:ascii="Times New Roman" w:hAnsi="Times New Roman" w:cs="Times New Roman"/>
        </w:rPr>
        <w:t>Blum, R.H. and Associates (1972). The dream sellers. San Francisco,</w:t>
      </w:r>
    </w:p>
    <w:p w14:paraId="6E7F68E3" w14:textId="77777777" w:rsidR="003E382F" w:rsidRPr="004C1796" w:rsidRDefault="003E382F" w:rsidP="003E382F">
      <w:pPr>
        <w:outlineLvl w:val="0"/>
        <w:rPr>
          <w:rFonts w:ascii="Times New Roman" w:hAnsi="Times New Roman" w:cs="Times New Roman"/>
        </w:rPr>
      </w:pPr>
      <w:r w:rsidRPr="004C1796">
        <w:rPr>
          <w:rFonts w:ascii="Times New Roman" w:hAnsi="Times New Roman" w:cs="Times New Roman"/>
        </w:rPr>
        <w:t>CA: Jossey-Bass.</w:t>
      </w:r>
    </w:p>
    <w:p w14:paraId="77B9A493" w14:textId="77777777" w:rsidR="0042302F" w:rsidRPr="004C1796" w:rsidRDefault="0042302F" w:rsidP="00E7752F">
      <w:pPr>
        <w:outlineLvl w:val="0"/>
        <w:rPr>
          <w:rFonts w:ascii="Times New Roman" w:hAnsi="Times New Roman" w:cs="Times New Roman"/>
        </w:rPr>
      </w:pPr>
    </w:p>
    <w:p w14:paraId="27EB9922" w14:textId="77777777" w:rsidR="0042302F" w:rsidRPr="004C1796" w:rsidRDefault="0042302F" w:rsidP="0042302F">
      <w:pPr>
        <w:outlineLvl w:val="0"/>
        <w:rPr>
          <w:rFonts w:ascii="Times New Roman" w:hAnsi="Times New Roman" w:cs="Times New Roman"/>
        </w:rPr>
      </w:pPr>
      <w:r w:rsidRPr="004C1796">
        <w:rPr>
          <w:rFonts w:ascii="Times New Roman" w:hAnsi="Times New Roman" w:cs="Times New Roman"/>
        </w:rPr>
        <w:t>Chatwin, C., &amp; Potter, G. (2014). Blurred boundaries: The artificial distinction between “use” and “supply” in the UK cannabis market. </w:t>
      </w:r>
      <w:r w:rsidRPr="004C1796">
        <w:rPr>
          <w:rFonts w:ascii="Times New Roman" w:hAnsi="Times New Roman" w:cs="Times New Roman"/>
          <w:i/>
          <w:iCs/>
        </w:rPr>
        <w:t>Contemporary Drug Problems</w:t>
      </w:r>
      <w:r w:rsidRPr="004C1796">
        <w:rPr>
          <w:rFonts w:ascii="Times New Roman" w:hAnsi="Times New Roman" w:cs="Times New Roman"/>
        </w:rPr>
        <w:t>, </w:t>
      </w:r>
      <w:r w:rsidRPr="004C1796">
        <w:rPr>
          <w:rFonts w:ascii="Times New Roman" w:hAnsi="Times New Roman" w:cs="Times New Roman"/>
          <w:i/>
          <w:iCs/>
        </w:rPr>
        <w:t>41</w:t>
      </w:r>
      <w:r w:rsidRPr="004C1796">
        <w:rPr>
          <w:rFonts w:ascii="Times New Roman" w:hAnsi="Times New Roman" w:cs="Times New Roman"/>
        </w:rPr>
        <w:t>(4), 536-550.</w:t>
      </w:r>
    </w:p>
    <w:p w14:paraId="145E7F67" w14:textId="77777777" w:rsidR="0042302F" w:rsidRPr="004C1796" w:rsidRDefault="0042302F" w:rsidP="00E7752F">
      <w:pPr>
        <w:outlineLvl w:val="0"/>
        <w:rPr>
          <w:rFonts w:ascii="Times New Roman" w:hAnsi="Times New Roman" w:cs="Times New Roman"/>
        </w:rPr>
      </w:pPr>
    </w:p>
    <w:p w14:paraId="084A41ED" w14:textId="77777777" w:rsidR="0042302F" w:rsidRPr="004C1796" w:rsidRDefault="00345131" w:rsidP="0042302F">
      <w:pPr>
        <w:rPr>
          <w:rFonts w:ascii="Times New Roman" w:hAnsi="Times New Roman" w:cs="Times New Roman"/>
        </w:rPr>
      </w:pPr>
      <w:r w:rsidRPr="004C1796">
        <w:rPr>
          <w:rFonts w:ascii="Times New Roman" w:hAnsi="Times New Roman" w:cs="Times New Roman"/>
        </w:rPr>
        <w:t>Cong</w:t>
      </w:r>
      <w:r w:rsidR="006C2F28" w:rsidRPr="004C1796">
        <w:rPr>
          <w:rFonts w:ascii="Times New Roman" w:hAnsi="Times New Roman" w:cs="Times New Roman"/>
        </w:rPr>
        <w:t>ressional Research Service (2015</w:t>
      </w:r>
      <w:r w:rsidRPr="004C1796">
        <w:rPr>
          <w:rFonts w:ascii="Times New Roman" w:hAnsi="Times New Roman" w:cs="Times New Roman"/>
        </w:rPr>
        <w:t xml:space="preserve">) </w:t>
      </w:r>
      <w:r w:rsidR="0042302F" w:rsidRPr="004C1796">
        <w:rPr>
          <w:rFonts w:ascii="Times New Roman" w:hAnsi="Times New Roman" w:cs="Times New Roman"/>
        </w:rPr>
        <w:t>Drug Offenses: Maximum Fines and Terms of Imprisonment for Violation of the Federal Controlled Substances Act and Related Laws. Available at:</w:t>
      </w:r>
    </w:p>
    <w:p w14:paraId="23CFDAB8" w14:textId="77777777" w:rsidR="00345131" w:rsidRPr="004C1796" w:rsidRDefault="00131E39" w:rsidP="00345131">
      <w:pPr>
        <w:rPr>
          <w:rStyle w:val="Hyperlink"/>
          <w:rFonts w:ascii="Times New Roman" w:hAnsi="Times New Roman" w:cs="Times New Roman"/>
        </w:rPr>
      </w:pPr>
      <w:hyperlink r:id="rId8" w:history="1">
        <w:r w:rsidR="00345131" w:rsidRPr="004C1796">
          <w:rPr>
            <w:rStyle w:val="Hyperlink"/>
            <w:rFonts w:ascii="Times New Roman" w:hAnsi="Times New Roman" w:cs="Times New Roman"/>
          </w:rPr>
          <w:t>https://fas.org/sgp/crs/misc/RL30722.pdf</w:t>
        </w:r>
      </w:hyperlink>
      <w:r w:rsidR="00345131" w:rsidRPr="004C1796">
        <w:rPr>
          <w:rStyle w:val="Hyperlink"/>
          <w:rFonts w:ascii="Times New Roman" w:hAnsi="Times New Roman" w:cs="Times New Roman"/>
        </w:rPr>
        <w:t xml:space="preserve"> </w:t>
      </w:r>
    </w:p>
    <w:p w14:paraId="78069277" w14:textId="77777777" w:rsidR="00345131" w:rsidRPr="004C1796" w:rsidRDefault="00345131" w:rsidP="00345131">
      <w:pPr>
        <w:rPr>
          <w:rStyle w:val="Hyperlink"/>
          <w:rFonts w:ascii="Times New Roman" w:hAnsi="Times New Roman" w:cs="Times New Roman"/>
        </w:rPr>
      </w:pPr>
    </w:p>
    <w:p w14:paraId="0E12EA9B" w14:textId="6475DCB8" w:rsidR="008E126C" w:rsidRPr="004C1796" w:rsidRDefault="008E126C" w:rsidP="008E126C">
      <w:pPr>
        <w:rPr>
          <w:rFonts w:ascii="Times New Roman" w:hAnsi="Times New Roman" w:cs="Times New Roman"/>
          <w:color w:val="000000" w:themeColor="text1"/>
        </w:rPr>
      </w:pPr>
      <w:r w:rsidRPr="004C1796">
        <w:rPr>
          <w:rFonts w:ascii="Times New Roman" w:hAnsi="Times New Roman" w:cs="Times New Roman"/>
          <w:color w:val="000000" w:themeColor="text1"/>
        </w:rPr>
        <w:t>Coomber, R. (2006</w:t>
      </w:r>
      <w:r w:rsidRPr="004C1796">
        <w:rPr>
          <w:rFonts w:ascii="Times New Roman" w:hAnsi="Times New Roman" w:cs="Times New Roman"/>
          <w:i/>
          <w:color w:val="000000" w:themeColor="text1"/>
        </w:rPr>
        <w:t>). Pusher myths: Re-situating the drug dealer</w:t>
      </w:r>
      <w:r w:rsidRPr="004C1796">
        <w:rPr>
          <w:rFonts w:ascii="Times New Roman" w:hAnsi="Times New Roman" w:cs="Times New Roman"/>
          <w:color w:val="000000" w:themeColor="text1"/>
        </w:rPr>
        <w:t>. London: Free Association.</w:t>
      </w:r>
    </w:p>
    <w:p w14:paraId="07BE6EFD" w14:textId="77777777" w:rsidR="008E126C" w:rsidRPr="004C1796" w:rsidRDefault="008E126C" w:rsidP="00345131">
      <w:pPr>
        <w:rPr>
          <w:rStyle w:val="Hyperlink"/>
          <w:rFonts w:ascii="Times New Roman" w:hAnsi="Times New Roman" w:cs="Times New Roman"/>
        </w:rPr>
      </w:pPr>
    </w:p>
    <w:p w14:paraId="2F2DE654" w14:textId="77777777" w:rsidR="00E3358B" w:rsidRPr="004C1796" w:rsidRDefault="00E3358B" w:rsidP="00E3358B">
      <w:pPr>
        <w:jc w:val="both"/>
        <w:outlineLvl w:val="0"/>
        <w:rPr>
          <w:rFonts w:ascii="Times New Roman" w:hAnsi="Times New Roman" w:cs="Times New Roman"/>
        </w:rPr>
      </w:pPr>
      <w:r w:rsidRPr="004C1796">
        <w:rPr>
          <w:rFonts w:ascii="Times New Roman" w:hAnsi="Times New Roman" w:cs="Times New Roman"/>
        </w:rPr>
        <w:t>Coomber, R., &amp; Turnbull, P. (2007). Arenas of drug transaction:</w:t>
      </w:r>
    </w:p>
    <w:p w14:paraId="0EE9EB2D" w14:textId="77777777" w:rsidR="00E3358B" w:rsidRPr="004C1796" w:rsidRDefault="00E3358B" w:rsidP="00E3358B">
      <w:pPr>
        <w:jc w:val="both"/>
        <w:outlineLvl w:val="0"/>
        <w:rPr>
          <w:rFonts w:ascii="Times New Roman" w:hAnsi="Times New Roman" w:cs="Times New Roman"/>
        </w:rPr>
      </w:pPr>
      <w:r w:rsidRPr="004C1796">
        <w:rPr>
          <w:rFonts w:ascii="Times New Roman" w:hAnsi="Times New Roman" w:cs="Times New Roman"/>
        </w:rPr>
        <w:t xml:space="preserve">Adolescent cannabis transactions in England. </w:t>
      </w:r>
      <w:r w:rsidRPr="004C1796">
        <w:rPr>
          <w:rFonts w:ascii="Times New Roman" w:hAnsi="Times New Roman" w:cs="Times New Roman"/>
          <w:i/>
        </w:rPr>
        <w:t>Journal of Drug Issues</w:t>
      </w:r>
      <w:r w:rsidRPr="004C1796">
        <w:rPr>
          <w:rFonts w:ascii="Times New Roman" w:hAnsi="Times New Roman" w:cs="Times New Roman"/>
        </w:rPr>
        <w:t>,</w:t>
      </w:r>
    </w:p>
    <w:p w14:paraId="3EEFDBD7" w14:textId="77777777" w:rsidR="00E3358B" w:rsidRPr="004C1796" w:rsidRDefault="00E3358B" w:rsidP="00E3358B">
      <w:pPr>
        <w:jc w:val="both"/>
        <w:outlineLvl w:val="0"/>
        <w:rPr>
          <w:rFonts w:ascii="Times New Roman" w:hAnsi="Times New Roman" w:cs="Times New Roman"/>
        </w:rPr>
      </w:pPr>
      <w:r w:rsidRPr="004C1796">
        <w:rPr>
          <w:rFonts w:ascii="Times New Roman" w:hAnsi="Times New Roman" w:cs="Times New Roman"/>
        </w:rPr>
        <w:t>37, 845–865</w:t>
      </w:r>
    </w:p>
    <w:p w14:paraId="12D18D51" w14:textId="77777777" w:rsidR="00265DED" w:rsidRPr="004C1796" w:rsidRDefault="00265DED" w:rsidP="00E3358B">
      <w:pPr>
        <w:jc w:val="both"/>
        <w:outlineLvl w:val="0"/>
        <w:rPr>
          <w:rFonts w:ascii="Times New Roman" w:hAnsi="Times New Roman" w:cs="Times New Roman"/>
        </w:rPr>
      </w:pPr>
    </w:p>
    <w:p w14:paraId="0C271779" w14:textId="77777777" w:rsidR="00265DED" w:rsidRPr="004C1796" w:rsidRDefault="00265DED" w:rsidP="00265DED">
      <w:pPr>
        <w:jc w:val="both"/>
        <w:outlineLvl w:val="0"/>
        <w:rPr>
          <w:rFonts w:ascii="Times New Roman" w:hAnsi="Times New Roman" w:cs="Times New Roman"/>
        </w:rPr>
      </w:pPr>
      <w:r w:rsidRPr="004C1796">
        <w:rPr>
          <w:rFonts w:ascii="Times New Roman" w:hAnsi="Times New Roman" w:cs="Times New Roman"/>
        </w:rPr>
        <w:t>Coomber</w:t>
      </w:r>
      <w:r w:rsidR="005515FA" w:rsidRPr="004C1796">
        <w:rPr>
          <w:rFonts w:ascii="Times New Roman" w:hAnsi="Times New Roman" w:cs="Times New Roman"/>
        </w:rPr>
        <w:t>,</w:t>
      </w:r>
      <w:r w:rsidRPr="004C1796">
        <w:rPr>
          <w:rFonts w:ascii="Times New Roman" w:hAnsi="Times New Roman" w:cs="Times New Roman"/>
        </w:rPr>
        <w:t xml:space="preserve"> R</w:t>
      </w:r>
      <w:r w:rsidR="005515FA" w:rsidRPr="004C1796">
        <w:rPr>
          <w:rFonts w:ascii="Times New Roman" w:hAnsi="Times New Roman" w:cs="Times New Roman"/>
        </w:rPr>
        <w:t>.,</w:t>
      </w:r>
      <w:r w:rsidRPr="004C1796">
        <w:rPr>
          <w:rFonts w:ascii="Times New Roman" w:hAnsi="Times New Roman" w:cs="Times New Roman"/>
        </w:rPr>
        <w:t xml:space="preserve"> and Moyle</w:t>
      </w:r>
      <w:r w:rsidR="005515FA" w:rsidRPr="004C1796">
        <w:rPr>
          <w:rFonts w:ascii="Times New Roman" w:hAnsi="Times New Roman" w:cs="Times New Roman"/>
        </w:rPr>
        <w:t>,</w:t>
      </w:r>
      <w:r w:rsidRPr="004C1796">
        <w:rPr>
          <w:rFonts w:ascii="Times New Roman" w:hAnsi="Times New Roman" w:cs="Times New Roman"/>
        </w:rPr>
        <w:t xml:space="preserve"> L</w:t>
      </w:r>
      <w:r w:rsidR="005515FA" w:rsidRPr="004C1796">
        <w:rPr>
          <w:rFonts w:ascii="Times New Roman" w:hAnsi="Times New Roman" w:cs="Times New Roman"/>
        </w:rPr>
        <w:t>.,</w:t>
      </w:r>
      <w:r w:rsidRPr="004C1796">
        <w:rPr>
          <w:rFonts w:ascii="Times New Roman" w:hAnsi="Times New Roman" w:cs="Times New Roman"/>
        </w:rPr>
        <w:t xml:space="preserve"> (2013) Beyond drug dealing: Developing and extending the concept of ‘social supply’ of illicit drugs to ‘minimally commercial supply’. </w:t>
      </w:r>
      <w:r w:rsidRPr="004C1796">
        <w:rPr>
          <w:rFonts w:ascii="Times New Roman" w:hAnsi="Times New Roman" w:cs="Times New Roman"/>
          <w:i/>
        </w:rPr>
        <w:t>Drugs: Education, Prevention and Policy</w:t>
      </w:r>
      <w:r w:rsidRPr="004C1796">
        <w:rPr>
          <w:rFonts w:ascii="Times New Roman" w:hAnsi="Times New Roman" w:cs="Times New Roman"/>
        </w:rPr>
        <w:t>.</w:t>
      </w:r>
      <w:r w:rsidR="000E5716" w:rsidRPr="004C1796">
        <w:rPr>
          <w:rFonts w:ascii="Times New Roman" w:hAnsi="Times New Roman" w:cs="Times New Roman"/>
        </w:rPr>
        <w:t xml:space="preserve"> 21(4)</w:t>
      </w:r>
      <w:r w:rsidR="00FA2D4D" w:rsidRPr="004C1796">
        <w:rPr>
          <w:rFonts w:ascii="Times New Roman" w:hAnsi="Times New Roman" w:cs="Times New Roman"/>
        </w:rPr>
        <w:t>, 157-164.</w:t>
      </w:r>
    </w:p>
    <w:p w14:paraId="18A163B3" w14:textId="77777777" w:rsidR="008E126C" w:rsidRPr="004C1796" w:rsidRDefault="008E126C" w:rsidP="00265DED">
      <w:pPr>
        <w:jc w:val="both"/>
        <w:outlineLvl w:val="0"/>
        <w:rPr>
          <w:rFonts w:ascii="Times New Roman" w:hAnsi="Times New Roman" w:cs="Times New Roman"/>
        </w:rPr>
      </w:pPr>
    </w:p>
    <w:p w14:paraId="23311CEC" w14:textId="77777777" w:rsidR="008E126C" w:rsidRPr="004C1796" w:rsidRDefault="008E126C" w:rsidP="008E126C">
      <w:pPr>
        <w:jc w:val="both"/>
        <w:outlineLvl w:val="0"/>
        <w:rPr>
          <w:rFonts w:ascii="Times New Roman" w:hAnsi="Times New Roman" w:cs="Times New Roman"/>
        </w:rPr>
      </w:pPr>
      <w:r w:rsidRPr="004C1796">
        <w:rPr>
          <w:rFonts w:ascii="Times New Roman" w:hAnsi="Times New Roman" w:cs="Times New Roman"/>
        </w:rPr>
        <w:t>Coomber, R., Moyle, L., &amp; South, N. (2016). The normalisation of drug supply: The social supply of drugs as the “other side” of the history of normalisation. </w:t>
      </w:r>
      <w:r w:rsidRPr="004C1796">
        <w:rPr>
          <w:rFonts w:ascii="Times New Roman" w:hAnsi="Times New Roman" w:cs="Times New Roman"/>
          <w:i/>
          <w:iCs/>
        </w:rPr>
        <w:t>Drugs: Education, Prevention and Policy</w:t>
      </w:r>
      <w:r w:rsidRPr="004C1796">
        <w:rPr>
          <w:rFonts w:ascii="Times New Roman" w:hAnsi="Times New Roman" w:cs="Times New Roman"/>
        </w:rPr>
        <w:t>, </w:t>
      </w:r>
      <w:r w:rsidRPr="004C1796">
        <w:rPr>
          <w:rFonts w:ascii="Times New Roman" w:hAnsi="Times New Roman" w:cs="Times New Roman"/>
          <w:i/>
          <w:iCs/>
        </w:rPr>
        <w:t>23</w:t>
      </w:r>
      <w:r w:rsidRPr="004C1796">
        <w:rPr>
          <w:rFonts w:ascii="Times New Roman" w:hAnsi="Times New Roman" w:cs="Times New Roman"/>
        </w:rPr>
        <w:t>(3), 255-263.</w:t>
      </w:r>
    </w:p>
    <w:p w14:paraId="027A903D" w14:textId="77777777" w:rsidR="008E126C" w:rsidRPr="004C1796" w:rsidRDefault="008E126C" w:rsidP="00265DED">
      <w:pPr>
        <w:jc w:val="both"/>
        <w:outlineLvl w:val="0"/>
        <w:rPr>
          <w:rFonts w:ascii="Times New Roman" w:hAnsi="Times New Roman" w:cs="Times New Roman"/>
        </w:rPr>
      </w:pPr>
    </w:p>
    <w:p w14:paraId="52BC3587" w14:textId="77777777" w:rsidR="00265DED" w:rsidRPr="004C1796" w:rsidRDefault="00265DED" w:rsidP="00E3358B">
      <w:pPr>
        <w:jc w:val="both"/>
        <w:outlineLvl w:val="0"/>
        <w:rPr>
          <w:rFonts w:ascii="Times New Roman" w:hAnsi="Times New Roman" w:cs="Times New Roman"/>
        </w:rPr>
      </w:pPr>
    </w:p>
    <w:p w14:paraId="195E5B34" w14:textId="77777777" w:rsidR="004846DF" w:rsidRPr="004C1796" w:rsidRDefault="004846DF" w:rsidP="004846DF">
      <w:pPr>
        <w:outlineLvl w:val="0"/>
        <w:rPr>
          <w:rFonts w:ascii="Times New Roman" w:hAnsi="Times New Roman" w:cs="Times New Roman"/>
        </w:rPr>
      </w:pPr>
      <w:r w:rsidRPr="004C1796">
        <w:rPr>
          <w:rFonts w:ascii="Times New Roman" w:hAnsi="Times New Roman" w:cs="Times New Roman"/>
        </w:rPr>
        <w:t xml:space="preserve">Coomber, R., Pavlidis, A., Santos, G. H., Wilde, M., Schmidt, W., &amp; Redshaw, C. (2014). The supply of steroids and other performance and image enhancing drugs </w:t>
      </w:r>
      <w:r w:rsidRPr="004C1796">
        <w:rPr>
          <w:rFonts w:ascii="Times New Roman" w:hAnsi="Times New Roman" w:cs="Times New Roman"/>
        </w:rPr>
        <w:lastRenderedPageBreak/>
        <w:t>(PIEDs) in one English city: fakes, counterfeits, supplier trust, common beliefs and access. </w:t>
      </w:r>
      <w:r w:rsidRPr="004C1796">
        <w:rPr>
          <w:rFonts w:ascii="Times New Roman" w:hAnsi="Times New Roman" w:cs="Times New Roman"/>
          <w:i/>
          <w:iCs/>
        </w:rPr>
        <w:t>Performance Enhancement &amp; Health</w:t>
      </w:r>
      <w:r w:rsidRPr="004C1796">
        <w:rPr>
          <w:rFonts w:ascii="Times New Roman" w:hAnsi="Times New Roman" w:cs="Times New Roman"/>
        </w:rPr>
        <w:t>, </w:t>
      </w:r>
      <w:r w:rsidRPr="004C1796">
        <w:rPr>
          <w:rFonts w:ascii="Times New Roman" w:hAnsi="Times New Roman" w:cs="Times New Roman"/>
          <w:i/>
          <w:iCs/>
        </w:rPr>
        <w:t>3</w:t>
      </w:r>
      <w:r w:rsidRPr="004C1796">
        <w:rPr>
          <w:rFonts w:ascii="Times New Roman" w:hAnsi="Times New Roman" w:cs="Times New Roman"/>
        </w:rPr>
        <w:t>(3), 135-144.</w:t>
      </w:r>
    </w:p>
    <w:p w14:paraId="53DDA797" w14:textId="77777777" w:rsidR="0025281B" w:rsidRPr="004C1796" w:rsidRDefault="0025281B" w:rsidP="004846DF">
      <w:pPr>
        <w:outlineLvl w:val="0"/>
        <w:rPr>
          <w:rFonts w:ascii="Times New Roman" w:hAnsi="Times New Roman" w:cs="Times New Roman"/>
        </w:rPr>
      </w:pPr>
    </w:p>
    <w:p w14:paraId="7973338E" w14:textId="77777777" w:rsidR="0079701C" w:rsidRPr="004C1796" w:rsidRDefault="0079701C" w:rsidP="004846DF">
      <w:pPr>
        <w:outlineLvl w:val="0"/>
        <w:rPr>
          <w:rFonts w:ascii="Times New Roman" w:hAnsi="Times New Roman" w:cs="Times New Roman"/>
        </w:rPr>
      </w:pPr>
      <w:r w:rsidRPr="004C1796">
        <w:rPr>
          <w:rFonts w:ascii="Times New Roman" w:hAnsi="Times New Roman" w:cs="Times New Roman"/>
        </w:rPr>
        <w:t xml:space="preserve">DEA (2017) </w:t>
      </w:r>
      <w:r w:rsidR="00352E14" w:rsidRPr="004C1796">
        <w:rPr>
          <w:rFonts w:ascii="Times New Roman" w:hAnsi="Times New Roman" w:cs="Times New Roman"/>
        </w:rPr>
        <w:t>Drugs of Abuse. A DEA resource guide.</w:t>
      </w:r>
      <w:r w:rsidRPr="004C1796">
        <w:rPr>
          <w:rFonts w:ascii="Times New Roman" w:hAnsi="Times New Roman" w:cs="Times New Roman"/>
        </w:rPr>
        <w:t xml:space="preserve"> Available at: </w:t>
      </w:r>
      <w:hyperlink r:id="rId9" w:anchor="page=30" w:history="1">
        <w:r w:rsidR="00352E14" w:rsidRPr="004C1796">
          <w:rPr>
            <w:rStyle w:val="Hyperlink"/>
            <w:rFonts w:ascii="Times New Roman" w:hAnsi="Times New Roman" w:cs="Times New Roman"/>
          </w:rPr>
          <w:t>https://www.dea.gov/pr/multimedia-library/publications/drug_of_abuse.pdf#page=30</w:t>
        </w:r>
      </w:hyperlink>
      <w:r w:rsidR="00352E14" w:rsidRPr="004C1796">
        <w:rPr>
          <w:rFonts w:ascii="Times New Roman" w:hAnsi="Times New Roman" w:cs="Times New Roman"/>
        </w:rPr>
        <w:t xml:space="preserve"> </w:t>
      </w:r>
    </w:p>
    <w:p w14:paraId="538DB769" w14:textId="77777777" w:rsidR="0079701C" w:rsidRPr="004C1796" w:rsidRDefault="0079701C" w:rsidP="004846DF">
      <w:pPr>
        <w:outlineLvl w:val="0"/>
        <w:rPr>
          <w:rFonts w:ascii="Times New Roman" w:hAnsi="Times New Roman" w:cs="Times New Roman"/>
        </w:rPr>
      </w:pPr>
    </w:p>
    <w:p w14:paraId="7EC2157A" w14:textId="77777777" w:rsidR="0025281B" w:rsidRPr="004C1796" w:rsidRDefault="0025281B" w:rsidP="0025281B">
      <w:pPr>
        <w:outlineLvl w:val="0"/>
        <w:rPr>
          <w:rFonts w:ascii="Times New Roman" w:hAnsi="Times New Roman" w:cs="Times New Roman"/>
          <w:lang w:val="nl-BE"/>
        </w:rPr>
      </w:pPr>
      <w:r w:rsidRPr="004C1796">
        <w:rPr>
          <w:rFonts w:ascii="Times New Roman" w:hAnsi="Times New Roman" w:cs="Times New Roman"/>
          <w:lang w:val="nl-BE"/>
        </w:rPr>
        <w:t xml:space="preserve">Decorte, T., Paoli, L., Kersten, L., Heyde, J., Van Dun, E., &amp; Vlaemynck, M. (2014). </w:t>
      </w:r>
      <w:r w:rsidRPr="004C1796">
        <w:rPr>
          <w:rFonts w:ascii="Times New Roman" w:hAnsi="Times New Roman" w:cs="Times New Roman"/>
          <w:i/>
          <w:lang w:val="en-US"/>
        </w:rPr>
        <w:t>Cannabis production in Belgium: assessment of the nature and harms, and implications for priority setting</w:t>
      </w:r>
      <w:r w:rsidRPr="004C1796">
        <w:rPr>
          <w:rFonts w:ascii="Times New Roman" w:hAnsi="Times New Roman" w:cs="Times New Roman"/>
          <w:lang w:val="en-US"/>
        </w:rPr>
        <w:t xml:space="preserve">. </w:t>
      </w:r>
      <w:r w:rsidRPr="004C1796">
        <w:rPr>
          <w:rFonts w:ascii="Times New Roman" w:hAnsi="Times New Roman" w:cs="Times New Roman"/>
          <w:lang w:val="nl-BE"/>
        </w:rPr>
        <w:t>Gent: Academia Press.</w:t>
      </w:r>
    </w:p>
    <w:p w14:paraId="76BEDD75" w14:textId="77777777" w:rsidR="0025281B" w:rsidRPr="004C1796" w:rsidRDefault="0025281B" w:rsidP="004846DF">
      <w:pPr>
        <w:outlineLvl w:val="0"/>
        <w:rPr>
          <w:rFonts w:ascii="Times New Roman" w:hAnsi="Times New Roman" w:cs="Times New Roman"/>
        </w:rPr>
      </w:pPr>
    </w:p>
    <w:p w14:paraId="1342C053" w14:textId="77777777" w:rsidR="00CE309E" w:rsidRPr="004C1796" w:rsidRDefault="00CE309E" w:rsidP="00CE309E">
      <w:pPr>
        <w:outlineLvl w:val="0"/>
        <w:rPr>
          <w:rFonts w:ascii="Times New Roman" w:hAnsi="Times New Roman" w:cs="Times New Roman"/>
        </w:rPr>
      </w:pPr>
      <w:r w:rsidRPr="004C1796">
        <w:rPr>
          <w:rFonts w:ascii="Times New Roman" w:hAnsi="Times New Roman" w:cs="Times New Roman"/>
        </w:rPr>
        <w:t>Duffy</w:t>
      </w:r>
      <w:r w:rsidR="00345131" w:rsidRPr="004C1796">
        <w:rPr>
          <w:rFonts w:ascii="Times New Roman" w:hAnsi="Times New Roman" w:cs="Times New Roman"/>
        </w:rPr>
        <w:t>,</w:t>
      </w:r>
      <w:r w:rsidRPr="004C1796">
        <w:rPr>
          <w:rFonts w:ascii="Times New Roman" w:hAnsi="Times New Roman" w:cs="Times New Roman"/>
        </w:rPr>
        <w:t xml:space="preserve"> M</w:t>
      </w:r>
      <w:r w:rsidR="00345131" w:rsidRPr="004C1796">
        <w:rPr>
          <w:rFonts w:ascii="Times New Roman" w:hAnsi="Times New Roman" w:cs="Times New Roman"/>
        </w:rPr>
        <w:t>.</w:t>
      </w:r>
      <w:r w:rsidRPr="004C1796">
        <w:rPr>
          <w:rFonts w:ascii="Times New Roman" w:hAnsi="Times New Roman" w:cs="Times New Roman"/>
        </w:rPr>
        <w:t>, Schafer</w:t>
      </w:r>
      <w:r w:rsidR="00345131" w:rsidRPr="004C1796">
        <w:rPr>
          <w:rFonts w:ascii="Times New Roman" w:hAnsi="Times New Roman" w:cs="Times New Roman"/>
        </w:rPr>
        <w:t>,</w:t>
      </w:r>
      <w:r w:rsidRPr="004C1796">
        <w:rPr>
          <w:rFonts w:ascii="Times New Roman" w:hAnsi="Times New Roman" w:cs="Times New Roman"/>
        </w:rPr>
        <w:t xml:space="preserve"> N</w:t>
      </w:r>
      <w:r w:rsidR="00345131" w:rsidRPr="004C1796">
        <w:rPr>
          <w:rFonts w:ascii="Times New Roman" w:hAnsi="Times New Roman" w:cs="Times New Roman"/>
        </w:rPr>
        <w:t>.</w:t>
      </w:r>
      <w:r w:rsidRPr="004C1796">
        <w:rPr>
          <w:rFonts w:ascii="Times New Roman" w:hAnsi="Times New Roman" w:cs="Times New Roman"/>
        </w:rPr>
        <w:t>, Coomber</w:t>
      </w:r>
      <w:r w:rsidR="00345131" w:rsidRPr="004C1796">
        <w:rPr>
          <w:rFonts w:ascii="Times New Roman" w:hAnsi="Times New Roman" w:cs="Times New Roman"/>
        </w:rPr>
        <w:t>,</w:t>
      </w:r>
      <w:r w:rsidRPr="004C1796">
        <w:rPr>
          <w:rFonts w:ascii="Times New Roman" w:hAnsi="Times New Roman" w:cs="Times New Roman"/>
        </w:rPr>
        <w:t xml:space="preserve"> R</w:t>
      </w:r>
      <w:r w:rsidR="00345131" w:rsidRPr="004C1796">
        <w:rPr>
          <w:rFonts w:ascii="Times New Roman" w:hAnsi="Times New Roman" w:cs="Times New Roman"/>
        </w:rPr>
        <w:t>.</w:t>
      </w:r>
      <w:r w:rsidRPr="004C1796">
        <w:rPr>
          <w:rFonts w:ascii="Times New Roman" w:hAnsi="Times New Roman" w:cs="Times New Roman"/>
        </w:rPr>
        <w:t>, O’Connell</w:t>
      </w:r>
      <w:r w:rsidR="00345131" w:rsidRPr="004C1796">
        <w:rPr>
          <w:rFonts w:ascii="Times New Roman" w:hAnsi="Times New Roman" w:cs="Times New Roman"/>
        </w:rPr>
        <w:t>,</w:t>
      </w:r>
      <w:r w:rsidRPr="004C1796">
        <w:rPr>
          <w:rFonts w:ascii="Times New Roman" w:hAnsi="Times New Roman" w:cs="Times New Roman"/>
        </w:rPr>
        <w:t xml:space="preserve"> L</w:t>
      </w:r>
      <w:r w:rsidR="00345131" w:rsidRPr="004C1796">
        <w:rPr>
          <w:rFonts w:ascii="Times New Roman" w:hAnsi="Times New Roman" w:cs="Times New Roman"/>
        </w:rPr>
        <w:t>.,</w:t>
      </w:r>
      <w:r w:rsidRPr="004C1796">
        <w:rPr>
          <w:rFonts w:ascii="Times New Roman" w:hAnsi="Times New Roman" w:cs="Times New Roman"/>
        </w:rPr>
        <w:t xml:space="preserve"> and Turnbull</w:t>
      </w:r>
      <w:r w:rsidR="00345131" w:rsidRPr="004C1796">
        <w:rPr>
          <w:rFonts w:ascii="Times New Roman" w:hAnsi="Times New Roman" w:cs="Times New Roman"/>
        </w:rPr>
        <w:t>,</w:t>
      </w:r>
      <w:r w:rsidRPr="004C1796">
        <w:rPr>
          <w:rFonts w:ascii="Times New Roman" w:hAnsi="Times New Roman" w:cs="Times New Roman"/>
        </w:rPr>
        <w:t xml:space="preserve"> P</w:t>
      </w:r>
      <w:r w:rsidR="00345131" w:rsidRPr="004C1796">
        <w:rPr>
          <w:rFonts w:ascii="Times New Roman" w:hAnsi="Times New Roman" w:cs="Times New Roman"/>
        </w:rPr>
        <w:t>.</w:t>
      </w:r>
      <w:r w:rsidRPr="004C1796">
        <w:rPr>
          <w:rFonts w:ascii="Times New Roman" w:hAnsi="Times New Roman" w:cs="Times New Roman"/>
        </w:rPr>
        <w:t xml:space="preserve"> (2008) </w:t>
      </w:r>
      <w:r w:rsidRPr="004C1796">
        <w:rPr>
          <w:rFonts w:ascii="Times New Roman" w:hAnsi="Times New Roman" w:cs="Times New Roman"/>
          <w:i/>
        </w:rPr>
        <w:t>Cannabis Supply and Young People: ‘It’s a Social Thing’</w:t>
      </w:r>
      <w:r w:rsidRPr="004C1796">
        <w:rPr>
          <w:rFonts w:ascii="Times New Roman" w:hAnsi="Times New Roman" w:cs="Times New Roman"/>
        </w:rPr>
        <w:t>. York, UK: Joseph Rowntree Foundation.</w:t>
      </w:r>
    </w:p>
    <w:p w14:paraId="02D8FC82" w14:textId="77777777" w:rsidR="00D168F9" w:rsidRPr="004C1796" w:rsidRDefault="00D168F9">
      <w:pPr>
        <w:rPr>
          <w:rFonts w:ascii="Times New Roman" w:hAnsi="Times New Roman" w:cs="Times New Roman"/>
        </w:rPr>
      </w:pPr>
    </w:p>
    <w:p w14:paraId="595BBE39" w14:textId="77777777" w:rsidR="00345131" w:rsidRPr="004C1796" w:rsidRDefault="00345131">
      <w:pPr>
        <w:rPr>
          <w:rFonts w:ascii="Times New Roman" w:hAnsi="Times New Roman" w:cs="Times New Roman"/>
        </w:rPr>
      </w:pPr>
      <w:r w:rsidRPr="004C1796">
        <w:rPr>
          <w:rFonts w:ascii="Times New Roman" w:hAnsi="Times New Roman" w:cs="Times New Roman"/>
        </w:rPr>
        <w:t xml:space="preserve">Eastwood, N., Fox, E., and Rosmarin, A. (2016) </w:t>
      </w:r>
      <w:r w:rsidRPr="004C1796">
        <w:rPr>
          <w:rFonts w:ascii="Times New Roman" w:hAnsi="Times New Roman" w:cs="Times New Roman"/>
          <w:i/>
        </w:rPr>
        <w:t>A quiet revolution: drug decriminalisation across the globe</w:t>
      </w:r>
      <w:r w:rsidRPr="004C1796">
        <w:rPr>
          <w:rFonts w:ascii="Times New Roman" w:hAnsi="Times New Roman" w:cs="Times New Roman"/>
        </w:rPr>
        <w:t xml:space="preserve">. London: Release. Available at: </w:t>
      </w:r>
      <w:hyperlink r:id="rId10" w:history="1">
        <w:r w:rsidRPr="004C1796">
          <w:rPr>
            <w:rStyle w:val="Hyperlink"/>
            <w:rFonts w:ascii="Times New Roman" w:hAnsi="Times New Roman" w:cs="Times New Roman"/>
          </w:rPr>
          <w:t>https://www.release.org.uk/sites/default/files/pdf/publications/A%20Quiet%20Revolution%20-%20Decriminalisation%20Across%20the%20Globe.pdf</w:t>
        </w:r>
      </w:hyperlink>
      <w:r w:rsidRPr="004C1796">
        <w:rPr>
          <w:rFonts w:ascii="Times New Roman" w:hAnsi="Times New Roman" w:cs="Times New Roman"/>
        </w:rPr>
        <w:t xml:space="preserve"> </w:t>
      </w:r>
    </w:p>
    <w:p w14:paraId="2F9D76FD" w14:textId="77777777" w:rsidR="00345131" w:rsidRPr="004C1796" w:rsidRDefault="00345131">
      <w:pPr>
        <w:rPr>
          <w:rStyle w:val="Hyperlink"/>
          <w:rFonts w:ascii="Times New Roman" w:hAnsi="Times New Roman" w:cs="Times New Roman"/>
        </w:rPr>
      </w:pPr>
    </w:p>
    <w:p w14:paraId="46EA9011" w14:textId="77777777" w:rsidR="00F12DFA" w:rsidRPr="004C1796" w:rsidRDefault="00F12DFA">
      <w:pPr>
        <w:rPr>
          <w:rFonts w:ascii="Times New Roman" w:hAnsi="Times New Roman" w:cs="Times New Roman"/>
        </w:rPr>
      </w:pPr>
      <w:r w:rsidRPr="004C1796">
        <w:rPr>
          <w:rFonts w:ascii="Times New Roman" w:hAnsi="Times New Roman" w:cs="Times New Roman"/>
        </w:rPr>
        <w:t>EMCDDA (2017</w:t>
      </w:r>
      <w:r w:rsidR="00E478EA" w:rsidRPr="004C1796">
        <w:rPr>
          <w:rFonts w:ascii="Times New Roman" w:hAnsi="Times New Roman" w:cs="Times New Roman"/>
        </w:rPr>
        <w:t>a</w:t>
      </w:r>
      <w:r w:rsidRPr="004C1796">
        <w:rPr>
          <w:rFonts w:ascii="Times New Roman" w:hAnsi="Times New Roman" w:cs="Times New Roman"/>
        </w:rPr>
        <w:t xml:space="preserve">) </w:t>
      </w:r>
      <w:r w:rsidRPr="004C1796">
        <w:rPr>
          <w:rFonts w:ascii="Times New Roman" w:hAnsi="Times New Roman" w:cs="Times New Roman"/>
          <w:i/>
        </w:rPr>
        <w:t>European Drug Report, Trends and Developments</w:t>
      </w:r>
      <w:r w:rsidRPr="004C1796">
        <w:rPr>
          <w:rFonts w:ascii="Times New Roman" w:hAnsi="Times New Roman" w:cs="Times New Roman"/>
        </w:rPr>
        <w:t xml:space="preserve">. Available at: </w:t>
      </w:r>
      <w:hyperlink r:id="rId11" w:history="1">
        <w:r w:rsidRPr="004C1796">
          <w:rPr>
            <w:rStyle w:val="Hyperlink"/>
            <w:rFonts w:ascii="Times New Roman" w:hAnsi="Times New Roman" w:cs="Times New Roman"/>
          </w:rPr>
          <w:t>http://www.emcdda.europa.eu/system/files/publications/4541/TDAT17001ENN.pdf</w:t>
        </w:r>
      </w:hyperlink>
      <w:r w:rsidRPr="004C1796">
        <w:rPr>
          <w:rFonts w:ascii="Times New Roman" w:hAnsi="Times New Roman" w:cs="Times New Roman"/>
        </w:rPr>
        <w:t xml:space="preserve"> </w:t>
      </w:r>
    </w:p>
    <w:p w14:paraId="2FA5B2F2" w14:textId="77777777" w:rsidR="00C42EBA" w:rsidRPr="004C1796" w:rsidRDefault="00C42EBA">
      <w:pPr>
        <w:rPr>
          <w:rFonts w:ascii="Times New Roman" w:hAnsi="Times New Roman" w:cs="Times New Roman"/>
        </w:rPr>
      </w:pPr>
    </w:p>
    <w:p w14:paraId="02CEAE6E" w14:textId="77777777" w:rsidR="00265E89" w:rsidRPr="004C1796" w:rsidRDefault="00265E89" w:rsidP="00C42EBA">
      <w:pPr>
        <w:rPr>
          <w:rFonts w:ascii="Times New Roman" w:hAnsi="Times New Roman" w:cs="Times New Roman"/>
        </w:rPr>
      </w:pPr>
      <w:r w:rsidRPr="004C1796">
        <w:rPr>
          <w:rFonts w:ascii="Times New Roman" w:hAnsi="Times New Roman" w:cs="Times New Roman"/>
        </w:rPr>
        <w:t>EMCDDA (2017</w:t>
      </w:r>
      <w:r w:rsidR="00E478EA" w:rsidRPr="004C1796">
        <w:rPr>
          <w:rFonts w:ascii="Times New Roman" w:hAnsi="Times New Roman" w:cs="Times New Roman"/>
        </w:rPr>
        <w:t>b</w:t>
      </w:r>
      <w:r w:rsidRPr="004C1796">
        <w:rPr>
          <w:rFonts w:ascii="Times New Roman" w:hAnsi="Times New Roman" w:cs="Times New Roman"/>
        </w:rPr>
        <w:t xml:space="preserve">) </w:t>
      </w:r>
      <w:r w:rsidRPr="004C1796">
        <w:rPr>
          <w:rFonts w:ascii="Times New Roman" w:hAnsi="Times New Roman" w:cs="Times New Roman"/>
          <w:i/>
        </w:rPr>
        <w:t>Belgium, Country Report 2017</w:t>
      </w:r>
      <w:r w:rsidR="002D213D" w:rsidRPr="004C1796">
        <w:rPr>
          <w:rFonts w:ascii="Times New Roman" w:hAnsi="Times New Roman" w:cs="Times New Roman"/>
        </w:rPr>
        <w:t>. Available at:</w:t>
      </w:r>
      <w:r w:rsidRPr="004C1796">
        <w:rPr>
          <w:rFonts w:ascii="Times New Roman" w:hAnsi="Times New Roman" w:cs="Times New Roman"/>
        </w:rPr>
        <w:t xml:space="preserve"> </w:t>
      </w:r>
      <w:hyperlink r:id="rId12" w:history="1">
        <w:r w:rsidR="006A2567" w:rsidRPr="004C1796">
          <w:rPr>
            <w:rStyle w:val="Hyperlink"/>
            <w:rFonts w:ascii="Times New Roman" w:hAnsi="Times New Roman" w:cs="Times New Roman"/>
          </w:rPr>
          <w:t>http://www.emcdda.europa.eu/countries/drug-reports/2017/belgium_en</w:t>
        </w:r>
      </w:hyperlink>
    </w:p>
    <w:p w14:paraId="4E06747F" w14:textId="77777777" w:rsidR="006A2567" w:rsidRPr="004C1796" w:rsidRDefault="006A2567" w:rsidP="00C42EBA">
      <w:pPr>
        <w:rPr>
          <w:rFonts w:ascii="Times New Roman" w:hAnsi="Times New Roman" w:cs="Times New Roman"/>
        </w:rPr>
      </w:pPr>
    </w:p>
    <w:p w14:paraId="68B0115D" w14:textId="77777777" w:rsidR="006A2567" w:rsidRPr="004C1796" w:rsidRDefault="00E478EA" w:rsidP="00C42EBA">
      <w:pPr>
        <w:rPr>
          <w:rFonts w:ascii="Times New Roman" w:hAnsi="Times New Roman" w:cs="Times New Roman"/>
        </w:rPr>
      </w:pPr>
      <w:r w:rsidRPr="004C1796">
        <w:rPr>
          <w:rFonts w:ascii="Times New Roman" w:hAnsi="Times New Roman" w:cs="Times New Roman"/>
        </w:rPr>
        <w:t xml:space="preserve">EMCDDA (2017c) </w:t>
      </w:r>
      <w:r w:rsidRPr="004C1796">
        <w:rPr>
          <w:rFonts w:ascii="Times New Roman" w:hAnsi="Times New Roman" w:cs="Times New Roman"/>
          <w:i/>
        </w:rPr>
        <w:t>Czech Republic, Country Report 2017</w:t>
      </w:r>
      <w:r w:rsidR="002D213D" w:rsidRPr="004C1796">
        <w:rPr>
          <w:rFonts w:ascii="Times New Roman" w:hAnsi="Times New Roman" w:cs="Times New Roman"/>
        </w:rPr>
        <w:t>. Available at:</w:t>
      </w:r>
      <w:r w:rsidRPr="004C1796">
        <w:rPr>
          <w:rFonts w:ascii="Times New Roman" w:hAnsi="Times New Roman" w:cs="Times New Roman"/>
        </w:rPr>
        <w:t xml:space="preserve"> </w:t>
      </w:r>
      <w:hyperlink r:id="rId13" w:history="1">
        <w:r w:rsidR="005B640B" w:rsidRPr="004C1796">
          <w:rPr>
            <w:rStyle w:val="Hyperlink"/>
            <w:rFonts w:ascii="Times New Roman" w:hAnsi="Times New Roman" w:cs="Times New Roman"/>
          </w:rPr>
          <w:t>http://www.emcdda.europa.eu/countries/drug-reports/2017/czech-republic_en</w:t>
        </w:r>
      </w:hyperlink>
      <w:r w:rsidR="005B640B" w:rsidRPr="004C1796">
        <w:rPr>
          <w:rFonts w:ascii="Times New Roman" w:hAnsi="Times New Roman" w:cs="Times New Roman"/>
        </w:rPr>
        <w:t xml:space="preserve"> </w:t>
      </w:r>
    </w:p>
    <w:p w14:paraId="45971CD6" w14:textId="77777777" w:rsidR="005B640B" w:rsidRPr="004C1796" w:rsidRDefault="005B640B" w:rsidP="00C42EBA">
      <w:pPr>
        <w:rPr>
          <w:rFonts w:ascii="Times New Roman" w:hAnsi="Times New Roman" w:cs="Times New Roman"/>
        </w:rPr>
      </w:pPr>
    </w:p>
    <w:p w14:paraId="513A27D7" w14:textId="77777777" w:rsidR="005B640B" w:rsidRPr="004C1796" w:rsidRDefault="005C13BD" w:rsidP="00C42EBA">
      <w:pPr>
        <w:rPr>
          <w:rFonts w:ascii="Times New Roman" w:hAnsi="Times New Roman" w:cs="Times New Roman"/>
        </w:rPr>
      </w:pPr>
      <w:r w:rsidRPr="004C1796">
        <w:rPr>
          <w:rFonts w:ascii="Times New Roman" w:hAnsi="Times New Roman" w:cs="Times New Roman"/>
        </w:rPr>
        <w:t>EMCDDA (2017d</w:t>
      </w:r>
      <w:r w:rsidRPr="004C1796">
        <w:rPr>
          <w:rFonts w:ascii="Times New Roman" w:hAnsi="Times New Roman" w:cs="Times New Roman"/>
          <w:i/>
        </w:rPr>
        <w:t>) Finland, Country Report 2017</w:t>
      </w:r>
      <w:r w:rsidR="002D213D" w:rsidRPr="004C1796">
        <w:rPr>
          <w:rFonts w:ascii="Times New Roman" w:hAnsi="Times New Roman" w:cs="Times New Roman"/>
        </w:rPr>
        <w:t>. Available at:</w:t>
      </w:r>
      <w:r w:rsidRPr="004C1796">
        <w:rPr>
          <w:rFonts w:ascii="Times New Roman" w:hAnsi="Times New Roman" w:cs="Times New Roman"/>
        </w:rPr>
        <w:t xml:space="preserve"> </w:t>
      </w:r>
      <w:hyperlink r:id="rId14" w:history="1">
        <w:r w:rsidR="005B640B" w:rsidRPr="004C1796">
          <w:rPr>
            <w:rStyle w:val="Hyperlink"/>
            <w:rFonts w:ascii="Times New Roman" w:hAnsi="Times New Roman" w:cs="Times New Roman"/>
          </w:rPr>
          <w:t>http://www.emcdda.europa.eu/countries/drug-reports/2017/finland_en</w:t>
        </w:r>
      </w:hyperlink>
      <w:r w:rsidR="005B640B" w:rsidRPr="004C1796">
        <w:rPr>
          <w:rFonts w:ascii="Times New Roman" w:hAnsi="Times New Roman" w:cs="Times New Roman"/>
        </w:rPr>
        <w:t xml:space="preserve"> </w:t>
      </w:r>
    </w:p>
    <w:p w14:paraId="3F1744BD" w14:textId="77777777" w:rsidR="00E478EA" w:rsidRPr="004C1796" w:rsidRDefault="00E478EA" w:rsidP="00C42EBA">
      <w:pPr>
        <w:rPr>
          <w:rFonts w:ascii="Times New Roman" w:hAnsi="Times New Roman" w:cs="Times New Roman"/>
        </w:rPr>
      </w:pPr>
    </w:p>
    <w:p w14:paraId="7AB4D422" w14:textId="77777777" w:rsidR="00E478EA" w:rsidRPr="004C1796" w:rsidRDefault="005C13BD" w:rsidP="00C42EBA">
      <w:pPr>
        <w:rPr>
          <w:rFonts w:ascii="Times New Roman" w:hAnsi="Times New Roman" w:cs="Times New Roman"/>
        </w:rPr>
      </w:pPr>
      <w:r w:rsidRPr="004C1796">
        <w:rPr>
          <w:rFonts w:ascii="Times New Roman" w:hAnsi="Times New Roman" w:cs="Times New Roman"/>
        </w:rPr>
        <w:t xml:space="preserve">EMCDDA (2017e) </w:t>
      </w:r>
      <w:r w:rsidRPr="004C1796">
        <w:rPr>
          <w:rFonts w:ascii="Times New Roman" w:hAnsi="Times New Roman" w:cs="Times New Roman"/>
          <w:i/>
        </w:rPr>
        <w:t>Germany, Country Report 2017</w:t>
      </w:r>
      <w:r w:rsidR="002D213D" w:rsidRPr="004C1796">
        <w:rPr>
          <w:rFonts w:ascii="Times New Roman" w:hAnsi="Times New Roman" w:cs="Times New Roman"/>
        </w:rPr>
        <w:t>. Available at:</w:t>
      </w:r>
      <w:r w:rsidRPr="004C1796">
        <w:rPr>
          <w:rFonts w:ascii="Times New Roman" w:hAnsi="Times New Roman" w:cs="Times New Roman"/>
        </w:rPr>
        <w:t xml:space="preserve"> </w:t>
      </w:r>
      <w:hyperlink r:id="rId15" w:history="1">
        <w:r w:rsidR="00E478EA" w:rsidRPr="004C1796">
          <w:rPr>
            <w:rStyle w:val="Hyperlink"/>
            <w:rFonts w:ascii="Times New Roman" w:hAnsi="Times New Roman" w:cs="Times New Roman"/>
          </w:rPr>
          <w:t>http://www.emcdda.europa.eu/countries/drug-reports/2017/germany_en</w:t>
        </w:r>
      </w:hyperlink>
      <w:r w:rsidR="00E478EA" w:rsidRPr="004C1796">
        <w:rPr>
          <w:rFonts w:ascii="Times New Roman" w:hAnsi="Times New Roman" w:cs="Times New Roman"/>
        </w:rPr>
        <w:t xml:space="preserve"> </w:t>
      </w:r>
    </w:p>
    <w:p w14:paraId="063B1584" w14:textId="77777777" w:rsidR="005B640B" w:rsidRPr="004C1796" w:rsidRDefault="005B640B" w:rsidP="00C42EBA">
      <w:pPr>
        <w:rPr>
          <w:rFonts w:ascii="Times New Roman" w:hAnsi="Times New Roman" w:cs="Times New Roman"/>
        </w:rPr>
      </w:pPr>
    </w:p>
    <w:p w14:paraId="23B5117E" w14:textId="77777777" w:rsidR="005B640B" w:rsidRPr="004C1796" w:rsidRDefault="005C13BD" w:rsidP="00C42EBA">
      <w:pPr>
        <w:rPr>
          <w:rFonts w:ascii="Times New Roman" w:hAnsi="Times New Roman" w:cs="Times New Roman"/>
        </w:rPr>
      </w:pPr>
      <w:r w:rsidRPr="004C1796">
        <w:rPr>
          <w:rFonts w:ascii="Times New Roman" w:hAnsi="Times New Roman" w:cs="Times New Roman"/>
        </w:rPr>
        <w:t xml:space="preserve">EMCDDA (2017f) </w:t>
      </w:r>
      <w:r w:rsidRPr="004C1796">
        <w:rPr>
          <w:rFonts w:ascii="Times New Roman" w:hAnsi="Times New Roman" w:cs="Times New Roman"/>
          <w:i/>
        </w:rPr>
        <w:t>Netherlands, Country Report 2017</w:t>
      </w:r>
      <w:r w:rsidR="002D213D" w:rsidRPr="004C1796">
        <w:rPr>
          <w:rFonts w:ascii="Times New Roman" w:hAnsi="Times New Roman" w:cs="Times New Roman"/>
        </w:rPr>
        <w:t>. Available at:</w:t>
      </w:r>
      <w:r w:rsidRPr="004C1796">
        <w:rPr>
          <w:rFonts w:ascii="Times New Roman" w:hAnsi="Times New Roman" w:cs="Times New Roman"/>
        </w:rPr>
        <w:t xml:space="preserve"> </w:t>
      </w:r>
      <w:hyperlink r:id="rId16" w:history="1">
        <w:r w:rsidR="005B640B" w:rsidRPr="004C1796">
          <w:rPr>
            <w:rStyle w:val="Hyperlink"/>
            <w:rFonts w:ascii="Times New Roman" w:hAnsi="Times New Roman" w:cs="Times New Roman"/>
          </w:rPr>
          <w:t>http://www.emcdda.europa.eu/countries/drug-reports/2017/netherlands_en</w:t>
        </w:r>
      </w:hyperlink>
      <w:r w:rsidR="005B640B" w:rsidRPr="004C1796">
        <w:rPr>
          <w:rFonts w:ascii="Times New Roman" w:hAnsi="Times New Roman" w:cs="Times New Roman"/>
        </w:rPr>
        <w:t xml:space="preserve"> </w:t>
      </w:r>
    </w:p>
    <w:p w14:paraId="746CCC83" w14:textId="77777777" w:rsidR="008C2964" w:rsidRPr="004C1796" w:rsidRDefault="008C2964" w:rsidP="00C42EBA">
      <w:pPr>
        <w:rPr>
          <w:rFonts w:ascii="Times New Roman" w:hAnsi="Times New Roman" w:cs="Times New Roman"/>
        </w:rPr>
      </w:pPr>
    </w:p>
    <w:p w14:paraId="0CEEB135" w14:textId="77777777" w:rsidR="008C2964" w:rsidRPr="004C1796" w:rsidRDefault="008C2964" w:rsidP="00C42EBA">
      <w:pPr>
        <w:rPr>
          <w:rFonts w:ascii="Times New Roman" w:hAnsi="Times New Roman" w:cs="Times New Roman"/>
        </w:rPr>
      </w:pPr>
      <w:r w:rsidRPr="004C1796">
        <w:rPr>
          <w:rFonts w:ascii="Times New Roman" w:hAnsi="Times New Roman" w:cs="Times New Roman"/>
        </w:rPr>
        <w:t>EMCDDA (2017</w:t>
      </w:r>
      <w:r w:rsidR="005C13BD" w:rsidRPr="004C1796">
        <w:rPr>
          <w:rFonts w:ascii="Times New Roman" w:hAnsi="Times New Roman" w:cs="Times New Roman"/>
        </w:rPr>
        <w:t>g</w:t>
      </w:r>
      <w:r w:rsidRPr="004C1796">
        <w:rPr>
          <w:rFonts w:ascii="Times New Roman" w:hAnsi="Times New Roman" w:cs="Times New Roman"/>
        </w:rPr>
        <w:t>)</w:t>
      </w:r>
      <w:r w:rsidR="00DB6CE2" w:rsidRPr="004C1796">
        <w:rPr>
          <w:rFonts w:ascii="Times New Roman" w:hAnsi="Times New Roman" w:cs="Times New Roman"/>
        </w:rPr>
        <w:t xml:space="preserve"> </w:t>
      </w:r>
      <w:r w:rsidR="00DB6CE2" w:rsidRPr="004C1796">
        <w:rPr>
          <w:rFonts w:ascii="Times New Roman" w:hAnsi="Times New Roman" w:cs="Times New Roman"/>
          <w:i/>
        </w:rPr>
        <w:t>Spain, Country Report 2017</w:t>
      </w:r>
      <w:r w:rsidR="00DB6CE2" w:rsidRPr="004C1796">
        <w:rPr>
          <w:rFonts w:ascii="Times New Roman" w:hAnsi="Times New Roman" w:cs="Times New Roman"/>
        </w:rPr>
        <w:t xml:space="preserve">. Available at: </w:t>
      </w:r>
      <w:hyperlink r:id="rId17" w:history="1">
        <w:r w:rsidR="00E70A8E" w:rsidRPr="004C1796">
          <w:rPr>
            <w:rStyle w:val="Hyperlink"/>
            <w:rFonts w:ascii="Times New Roman" w:hAnsi="Times New Roman" w:cs="Times New Roman"/>
          </w:rPr>
          <w:t>http://www.emcdda.europa.eu/publications/country-drug-reports/2017/spain_en</w:t>
        </w:r>
      </w:hyperlink>
    </w:p>
    <w:p w14:paraId="3C10FC38" w14:textId="77777777" w:rsidR="00E70A8E" w:rsidRPr="004C1796" w:rsidRDefault="00E70A8E" w:rsidP="00C42EBA">
      <w:pPr>
        <w:rPr>
          <w:rFonts w:ascii="Times New Roman" w:hAnsi="Times New Roman" w:cs="Times New Roman"/>
        </w:rPr>
      </w:pPr>
    </w:p>
    <w:p w14:paraId="72A8D27F" w14:textId="77777777" w:rsidR="00E70A8E" w:rsidRPr="004C1796" w:rsidRDefault="00E70A8E" w:rsidP="00C42EBA">
      <w:pPr>
        <w:rPr>
          <w:rFonts w:ascii="Times New Roman" w:hAnsi="Times New Roman" w:cs="Times New Roman"/>
        </w:rPr>
      </w:pPr>
      <w:r w:rsidRPr="004C1796">
        <w:rPr>
          <w:rFonts w:ascii="Times New Roman" w:hAnsi="Times New Roman" w:cs="Times New Roman"/>
        </w:rPr>
        <w:t xml:space="preserve">Engle, E (2012) The History of the General Principle of Proportionality: An Overview (July 7, 2009). 10 </w:t>
      </w:r>
      <w:r w:rsidRPr="004C1796">
        <w:rPr>
          <w:rFonts w:ascii="Times New Roman" w:hAnsi="Times New Roman" w:cs="Times New Roman"/>
          <w:i/>
        </w:rPr>
        <w:t>Dartmouth Law Journal</w:t>
      </w:r>
      <w:r w:rsidRPr="004C1796">
        <w:rPr>
          <w:rFonts w:ascii="Times New Roman" w:hAnsi="Times New Roman" w:cs="Times New Roman"/>
        </w:rPr>
        <w:t xml:space="preserve"> 1-11</w:t>
      </w:r>
    </w:p>
    <w:p w14:paraId="76B2A85B" w14:textId="77777777" w:rsidR="00754C55" w:rsidRPr="004C1796" w:rsidRDefault="00754C55" w:rsidP="00C42EBA">
      <w:pPr>
        <w:rPr>
          <w:rFonts w:ascii="Times New Roman" w:hAnsi="Times New Roman" w:cs="Times New Roman"/>
        </w:rPr>
      </w:pPr>
    </w:p>
    <w:p w14:paraId="34E0065B" w14:textId="63965A4D" w:rsidR="000051E5" w:rsidRPr="004C1796" w:rsidRDefault="000051E5" w:rsidP="000051E5">
      <w:pPr>
        <w:rPr>
          <w:rFonts w:ascii="Times New Roman" w:hAnsi="Times New Roman" w:cs="Times New Roman"/>
        </w:rPr>
      </w:pPr>
      <w:r w:rsidRPr="004C1796">
        <w:rPr>
          <w:rFonts w:ascii="Times New Roman" w:hAnsi="Times New Roman" w:cs="Times New Roman"/>
        </w:rPr>
        <w:t xml:space="preserve">Fowler, G., Kinner, S., &amp; Krenske, L. (2007). </w:t>
      </w:r>
      <w:r w:rsidRPr="004C1796">
        <w:rPr>
          <w:rFonts w:ascii="Times New Roman" w:hAnsi="Times New Roman" w:cs="Times New Roman"/>
          <w:i/>
        </w:rPr>
        <w:t>Containing ecstasy: Analytical tools for profiling an illegal drug market</w:t>
      </w:r>
      <w:r w:rsidRPr="004C1796">
        <w:rPr>
          <w:rFonts w:ascii="Times New Roman" w:hAnsi="Times New Roman" w:cs="Times New Roman"/>
        </w:rPr>
        <w:t>. Tasmania: National Drug Law Enforcement Research Fund.</w:t>
      </w:r>
    </w:p>
    <w:p w14:paraId="51A05064" w14:textId="77777777" w:rsidR="00710A73" w:rsidRPr="004C1796" w:rsidRDefault="00710A73" w:rsidP="00C42EBA">
      <w:pPr>
        <w:rPr>
          <w:rFonts w:ascii="Times New Roman" w:hAnsi="Times New Roman" w:cs="Times New Roman"/>
        </w:rPr>
      </w:pPr>
    </w:p>
    <w:p w14:paraId="0E38E8B8" w14:textId="77777777" w:rsidR="00710A73" w:rsidRPr="004C1796" w:rsidRDefault="00710A73" w:rsidP="00710A73">
      <w:pPr>
        <w:rPr>
          <w:rFonts w:ascii="Times New Roman" w:hAnsi="Times New Roman" w:cs="Times New Roman"/>
        </w:rPr>
      </w:pPr>
      <w:r w:rsidRPr="004C1796">
        <w:rPr>
          <w:rFonts w:ascii="Times New Roman" w:hAnsi="Times New Roman" w:cs="Times New Roman"/>
        </w:rPr>
        <w:t>Gallahue, P., Gunawan, R., Rahman, F., El Mufti, K., Din, N. U., &amp; Felten, R. (2012). The death penalty for drug offences: global overview 2012. </w:t>
      </w:r>
      <w:r w:rsidRPr="004C1796">
        <w:rPr>
          <w:rFonts w:ascii="Times New Roman" w:hAnsi="Times New Roman" w:cs="Times New Roman"/>
          <w:i/>
          <w:iCs/>
        </w:rPr>
        <w:t>London: International Harm Reduction Association</w:t>
      </w:r>
      <w:r w:rsidRPr="004C1796">
        <w:rPr>
          <w:rFonts w:ascii="Times New Roman" w:hAnsi="Times New Roman" w:cs="Times New Roman"/>
        </w:rPr>
        <w:t>.</w:t>
      </w:r>
    </w:p>
    <w:p w14:paraId="38448CE6" w14:textId="77777777" w:rsidR="00CC592C" w:rsidRPr="004C1796" w:rsidRDefault="00CC592C" w:rsidP="00710A73">
      <w:pPr>
        <w:rPr>
          <w:rFonts w:ascii="Times New Roman" w:hAnsi="Times New Roman" w:cs="Times New Roman"/>
        </w:rPr>
      </w:pPr>
    </w:p>
    <w:p w14:paraId="38DE13EB" w14:textId="77777777" w:rsidR="00CC592C" w:rsidRPr="004C1796" w:rsidRDefault="00CC592C" w:rsidP="00710A73">
      <w:pPr>
        <w:rPr>
          <w:rFonts w:ascii="Times New Roman" w:hAnsi="Times New Roman" w:cs="Times New Roman"/>
        </w:rPr>
      </w:pPr>
      <w:r w:rsidRPr="004C1796">
        <w:rPr>
          <w:rFonts w:ascii="Times New Roman" w:hAnsi="Times New Roman" w:cs="Times New Roman"/>
        </w:rPr>
        <w:t xml:space="preserve">Global Commission on Drugs Policy (2016) Advancing Drug Policy Reform: A New Approach to Decriminalisation. GCDP. Available at: </w:t>
      </w:r>
      <w:hyperlink r:id="rId18" w:history="1">
        <w:r w:rsidRPr="004C1796">
          <w:rPr>
            <w:rStyle w:val="Hyperlink"/>
            <w:rFonts w:ascii="Times New Roman" w:hAnsi="Times New Roman" w:cs="Times New Roman"/>
          </w:rPr>
          <w:t>http://www.globalcommissionondrugs.org/wp-content/uploads/2016/11/GCDP-Report-2016-ENGLISH.pdf</w:t>
        </w:r>
      </w:hyperlink>
      <w:r w:rsidRPr="004C1796">
        <w:rPr>
          <w:rFonts w:ascii="Times New Roman" w:hAnsi="Times New Roman" w:cs="Times New Roman"/>
        </w:rPr>
        <w:t xml:space="preserve"> </w:t>
      </w:r>
    </w:p>
    <w:p w14:paraId="3AAEF956" w14:textId="77777777" w:rsidR="00A80202" w:rsidRPr="004C1796" w:rsidRDefault="00A80202" w:rsidP="00710A73">
      <w:pPr>
        <w:rPr>
          <w:rFonts w:ascii="Times New Roman" w:hAnsi="Times New Roman" w:cs="Times New Roman"/>
        </w:rPr>
      </w:pPr>
    </w:p>
    <w:p w14:paraId="65A01F59" w14:textId="77777777" w:rsidR="00A80202" w:rsidRPr="004C1796" w:rsidRDefault="00A80202" w:rsidP="00A80202">
      <w:pPr>
        <w:rPr>
          <w:rFonts w:ascii="Times New Roman" w:hAnsi="Times New Roman" w:cs="Times New Roman"/>
          <w:lang w:val="en-US"/>
        </w:rPr>
      </w:pPr>
      <w:r w:rsidRPr="004C1796">
        <w:rPr>
          <w:rFonts w:ascii="Times New Roman" w:hAnsi="Times New Roman" w:cs="Times New Roman"/>
          <w:lang w:val="en-US"/>
        </w:rPr>
        <w:t>Grigg, J., Lenton., Scott, J., &amp; Barratt, M., (2015). National</w:t>
      </w:r>
      <w:r w:rsidRPr="004C1796">
        <w:rPr>
          <w:rFonts w:ascii="Times New Roman" w:hAnsi="Times New Roman" w:cs="Times New Roman"/>
          <w:i/>
          <w:lang w:val="en-US"/>
        </w:rPr>
        <w:t xml:space="preserve"> Drug Law Enforcement Research Fund, Monograph Series No. 59: Social supply of cannabis in Australia. </w:t>
      </w:r>
      <w:r w:rsidRPr="004C1796">
        <w:rPr>
          <w:rFonts w:ascii="Times New Roman" w:hAnsi="Times New Roman" w:cs="Times New Roman"/>
          <w:lang w:val="en-US"/>
        </w:rPr>
        <w:t xml:space="preserve">Available at: </w:t>
      </w:r>
      <w:hyperlink r:id="rId19" w:history="1">
        <w:r w:rsidRPr="004C1796">
          <w:rPr>
            <w:rStyle w:val="Hyperlink"/>
            <w:rFonts w:ascii="Times New Roman" w:hAnsi="Times New Roman" w:cs="Times New Roman"/>
            <w:lang w:val="en-US"/>
          </w:rPr>
          <w:t>http://www.ndlerf.gov.au/publications/monographs/monograph-59</w:t>
        </w:r>
      </w:hyperlink>
      <w:r w:rsidRPr="004C1796">
        <w:rPr>
          <w:rFonts w:ascii="Times New Roman" w:hAnsi="Times New Roman" w:cs="Times New Roman"/>
          <w:lang w:val="en-US"/>
        </w:rPr>
        <w:t>.</w:t>
      </w:r>
    </w:p>
    <w:p w14:paraId="4ADF81A2" w14:textId="77777777" w:rsidR="00A80202" w:rsidRPr="004C1796" w:rsidRDefault="00A80202" w:rsidP="00710A73">
      <w:pPr>
        <w:rPr>
          <w:rFonts w:ascii="Times New Roman" w:hAnsi="Times New Roman" w:cs="Times New Roman"/>
        </w:rPr>
      </w:pPr>
    </w:p>
    <w:p w14:paraId="7B7CF7B1" w14:textId="77777777" w:rsidR="00CE309E" w:rsidRPr="004C1796" w:rsidRDefault="0042302F" w:rsidP="00CE309E">
      <w:pPr>
        <w:rPr>
          <w:rFonts w:ascii="Times New Roman" w:hAnsi="Times New Roman" w:cs="Times New Roman"/>
        </w:rPr>
      </w:pPr>
      <w:r w:rsidRPr="004C1796">
        <w:rPr>
          <w:rFonts w:ascii="Times New Roman" w:hAnsi="Times New Roman" w:cs="Times New Roman"/>
        </w:rPr>
        <w:t>Harris, G. (2011</w:t>
      </w:r>
      <w:r w:rsidR="00CE309E" w:rsidRPr="004C1796">
        <w:rPr>
          <w:rFonts w:ascii="Times New Roman" w:hAnsi="Times New Roman" w:cs="Times New Roman"/>
        </w:rPr>
        <w:t>) Expert Seminar on Proportionality of Sentencing for Drug Offences. London, UK: International Drug Policy Consortium.</w:t>
      </w:r>
    </w:p>
    <w:p w14:paraId="04374B53" w14:textId="77777777" w:rsidR="00FA2D4D" w:rsidRPr="004C1796" w:rsidRDefault="00FA2D4D" w:rsidP="00CE309E">
      <w:pPr>
        <w:rPr>
          <w:rFonts w:ascii="Times New Roman" w:hAnsi="Times New Roman" w:cs="Times New Roman"/>
        </w:rPr>
      </w:pPr>
    </w:p>
    <w:p w14:paraId="585152BE" w14:textId="77777777" w:rsidR="00FA2D4D" w:rsidRPr="004C1796" w:rsidRDefault="00FA2D4D" w:rsidP="00CE309E">
      <w:pPr>
        <w:rPr>
          <w:rFonts w:ascii="Times New Roman" w:hAnsi="Times New Roman" w:cs="Times New Roman"/>
        </w:rPr>
      </w:pPr>
      <w:r w:rsidRPr="004C1796">
        <w:rPr>
          <w:rFonts w:ascii="Times New Roman" w:hAnsi="Times New Roman" w:cs="Times New Roman"/>
          <w:lang w:val="en-US"/>
        </w:rPr>
        <w:t xml:space="preserve">Hakkarainen, P., &amp; Perälä, J. (2016). Green, green grass of home ­– Small-scale cannabis cultivation and social supply in Finland. In Werse, B., &amp; Bernard, C. (eds.) </w:t>
      </w:r>
      <w:r w:rsidRPr="004C1796">
        <w:rPr>
          <w:rFonts w:ascii="Times New Roman" w:hAnsi="Times New Roman" w:cs="Times New Roman"/>
          <w:i/>
          <w:lang w:val="en-US"/>
        </w:rPr>
        <w:t>Friendly business. International views on social supply, self-supply and small-scale drug dealing</w:t>
      </w:r>
      <w:r w:rsidRPr="004C1796">
        <w:rPr>
          <w:rFonts w:ascii="Times New Roman" w:hAnsi="Times New Roman" w:cs="Times New Roman"/>
          <w:lang w:val="en-US"/>
        </w:rPr>
        <w:t>. Wiesbaden: Springer VS, 197-221</w:t>
      </w:r>
    </w:p>
    <w:p w14:paraId="42E02794" w14:textId="77777777" w:rsidR="00371671" w:rsidRPr="004C1796" w:rsidRDefault="00371671" w:rsidP="00371671">
      <w:pPr>
        <w:rPr>
          <w:rFonts w:ascii="Times New Roman" w:hAnsi="Times New Roman" w:cs="Times New Roman"/>
        </w:rPr>
      </w:pPr>
    </w:p>
    <w:p w14:paraId="2C5B2977" w14:textId="77777777" w:rsidR="00371671" w:rsidRPr="004C1796" w:rsidRDefault="00371671" w:rsidP="00371671">
      <w:pPr>
        <w:rPr>
          <w:rFonts w:ascii="Times New Roman" w:hAnsi="Times New Roman" w:cs="Times New Roman"/>
        </w:rPr>
      </w:pPr>
      <w:r w:rsidRPr="004C1796">
        <w:rPr>
          <w:rFonts w:ascii="Times New Roman" w:hAnsi="Times New Roman" w:cs="Times New Roman"/>
        </w:rPr>
        <w:t>Hathaway, A.D. 2004. Cannabis users’ informal rules for managing stigma and risk. Deviant Behavior 25(6): 559-77.</w:t>
      </w:r>
    </w:p>
    <w:p w14:paraId="405285C2" w14:textId="77777777" w:rsidR="0025281B" w:rsidRPr="004C1796" w:rsidRDefault="0025281B" w:rsidP="00371671">
      <w:pPr>
        <w:rPr>
          <w:rFonts w:ascii="Times New Roman" w:hAnsi="Times New Roman" w:cs="Times New Roman"/>
        </w:rPr>
      </w:pPr>
    </w:p>
    <w:p w14:paraId="38E240EA" w14:textId="77777777" w:rsidR="0025281B" w:rsidRPr="004C1796" w:rsidRDefault="0025281B" w:rsidP="0025281B">
      <w:pPr>
        <w:rPr>
          <w:rFonts w:ascii="Times New Roman" w:hAnsi="Times New Roman" w:cs="Times New Roman"/>
        </w:rPr>
      </w:pPr>
      <w:r w:rsidRPr="004C1796">
        <w:rPr>
          <w:rFonts w:ascii="Times New Roman" w:hAnsi="Times New Roman" w:cs="Times New Roman"/>
        </w:rPr>
        <w:t xml:space="preserve">Hathaway, A.D., Erickson, P.G. and Lucas, P. 2007. Canadian public opinion on cannabis: How far out of step with it is the existing law? </w:t>
      </w:r>
      <w:r w:rsidRPr="004C1796">
        <w:rPr>
          <w:rFonts w:ascii="Times New Roman" w:hAnsi="Times New Roman" w:cs="Times New Roman"/>
          <w:i/>
        </w:rPr>
        <w:t>Canadian Review of Social Policy</w:t>
      </w:r>
      <w:r w:rsidRPr="004C1796">
        <w:rPr>
          <w:rFonts w:ascii="Times New Roman" w:hAnsi="Times New Roman" w:cs="Times New Roman"/>
        </w:rPr>
        <w:t xml:space="preserve"> 59: 44-55.</w:t>
      </w:r>
    </w:p>
    <w:p w14:paraId="5AE117E3" w14:textId="77777777" w:rsidR="0043531D" w:rsidRPr="004C1796" w:rsidRDefault="0043531D" w:rsidP="0025281B">
      <w:pPr>
        <w:rPr>
          <w:rFonts w:ascii="Times New Roman" w:hAnsi="Times New Roman" w:cs="Times New Roman"/>
        </w:rPr>
      </w:pPr>
    </w:p>
    <w:p w14:paraId="085E593A" w14:textId="77777777" w:rsidR="0043531D" w:rsidRPr="004C1796" w:rsidRDefault="0043531D" w:rsidP="0043531D">
      <w:pPr>
        <w:rPr>
          <w:rFonts w:ascii="Times New Roman" w:hAnsi="Times New Roman" w:cs="Times New Roman"/>
        </w:rPr>
      </w:pPr>
      <w:r w:rsidRPr="004C1796">
        <w:rPr>
          <w:rFonts w:ascii="Times New Roman" w:hAnsi="Times New Roman" w:cs="Times New Roman"/>
        </w:rPr>
        <w:t xml:space="preserve">Hong Kong Government Records Service (1960) Available at: </w:t>
      </w:r>
      <w:hyperlink r:id="rId20" w:history="1">
        <w:r w:rsidRPr="004C1796">
          <w:rPr>
            <w:rStyle w:val="Hyperlink"/>
            <w:rFonts w:ascii="Times New Roman" w:hAnsi="Times New Roman" w:cs="Times New Roman"/>
          </w:rPr>
          <w:t>http://www.grs.gov.hk/ws/online/anti_drug/en/poster_gallery/index.html</w:t>
        </w:r>
      </w:hyperlink>
      <w:r w:rsidRPr="004C1796">
        <w:rPr>
          <w:rFonts w:ascii="Times New Roman" w:hAnsi="Times New Roman" w:cs="Times New Roman"/>
        </w:rPr>
        <w:t xml:space="preserve"> </w:t>
      </w:r>
    </w:p>
    <w:p w14:paraId="2CD5C9E3" w14:textId="77777777" w:rsidR="003E382F" w:rsidRPr="004C1796" w:rsidRDefault="003E382F" w:rsidP="0043531D">
      <w:pPr>
        <w:rPr>
          <w:rFonts w:ascii="Times New Roman" w:hAnsi="Times New Roman" w:cs="Times New Roman"/>
        </w:rPr>
      </w:pPr>
    </w:p>
    <w:p w14:paraId="20AEC9D5" w14:textId="44A2F84A" w:rsidR="003E382F" w:rsidRPr="004C1796" w:rsidRDefault="003E382F" w:rsidP="003E382F">
      <w:pPr>
        <w:spacing w:after="120"/>
        <w:rPr>
          <w:rFonts w:ascii="Times New Roman" w:hAnsi="Times New Roman" w:cs="Times New Roman"/>
        </w:rPr>
      </w:pPr>
      <w:r w:rsidRPr="004C1796">
        <w:rPr>
          <w:rFonts w:ascii="Times New Roman" w:hAnsi="Times New Roman" w:cs="Times New Roman"/>
        </w:rPr>
        <w:t xml:space="preserve">Hughes, C,. &amp; Ritter, A. (2011) ‘Legal thresholds for serious drug offences: Expert advice to the ACT on determining amounts for trafficable, commercial and large commercial drug offences’, </w:t>
      </w:r>
      <w:r w:rsidRPr="004C1796">
        <w:rPr>
          <w:rFonts w:ascii="Times New Roman" w:hAnsi="Times New Roman" w:cs="Times New Roman"/>
          <w:i/>
        </w:rPr>
        <w:t>DPMP Monograph Series</w:t>
      </w:r>
      <w:r w:rsidRPr="004C1796">
        <w:rPr>
          <w:rFonts w:ascii="Times New Roman" w:hAnsi="Times New Roman" w:cs="Times New Roman"/>
        </w:rPr>
        <w:t>, No. 22, Sydney, National Drug and Alcohol Research Centre.</w:t>
      </w:r>
    </w:p>
    <w:p w14:paraId="2691BFEB" w14:textId="77777777" w:rsidR="00406553" w:rsidRPr="004C1796" w:rsidRDefault="00406553" w:rsidP="00371671">
      <w:pPr>
        <w:rPr>
          <w:rFonts w:ascii="Times New Roman" w:hAnsi="Times New Roman" w:cs="Times New Roman"/>
        </w:rPr>
      </w:pPr>
    </w:p>
    <w:p w14:paraId="7D10C080" w14:textId="7D11BEE8" w:rsidR="00CE309E" w:rsidRPr="004C1796" w:rsidRDefault="00406553" w:rsidP="003E382F">
      <w:pPr>
        <w:spacing w:after="120"/>
        <w:rPr>
          <w:rFonts w:ascii="Times New Roman" w:hAnsi="Times New Roman" w:cs="Times New Roman"/>
        </w:rPr>
      </w:pPr>
      <w:r w:rsidRPr="004C1796">
        <w:rPr>
          <w:rFonts w:ascii="Times New Roman" w:hAnsi="Times New Roman" w:cs="Times New Roman"/>
        </w:rPr>
        <w:t xml:space="preserve">Hughes, C., Ritter, A., Cowdery, N. &amp; Phillips, B. (2014) ‘Australian Threshold quantities for “Drug Trafficking”: Are They Placing Drug Users at Risk of Unjustified Sanction?’ </w:t>
      </w:r>
      <w:r w:rsidRPr="004C1796">
        <w:rPr>
          <w:rFonts w:ascii="Times New Roman" w:hAnsi="Times New Roman" w:cs="Times New Roman"/>
          <w:i/>
        </w:rPr>
        <w:t>Trends &amp; Issues in Crime and Criminal Justice</w:t>
      </w:r>
      <w:r w:rsidRPr="004C1796">
        <w:rPr>
          <w:rFonts w:ascii="Times New Roman" w:hAnsi="Times New Roman" w:cs="Times New Roman"/>
        </w:rPr>
        <w:t xml:space="preserve"> 467, Australian Institute of Criminology.</w:t>
      </w:r>
    </w:p>
    <w:p w14:paraId="06B5DC93" w14:textId="77777777" w:rsidR="00CE309E" w:rsidRPr="004C1796" w:rsidRDefault="00CE309E" w:rsidP="00CE309E">
      <w:pPr>
        <w:rPr>
          <w:rFonts w:ascii="Times New Roman" w:hAnsi="Times New Roman" w:cs="Times New Roman"/>
        </w:rPr>
      </w:pPr>
      <w:r w:rsidRPr="004C1796">
        <w:rPr>
          <w:rFonts w:ascii="Times New Roman" w:hAnsi="Times New Roman" w:cs="Times New Roman"/>
        </w:rPr>
        <w:t>Jacinto</w:t>
      </w:r>
      <w:r w:rsidR="0042302F" w:rsidRPr="004C1796">
        <w:rPr>
          <w:rFonts w:ascii="Times New Roman" w:hAnsi="Times New Roman" w:cs="Times New Roman"/>
        </w:rPr>
        <w:t>, C.,</w:t>
      </w:r>
      <w:r w:rsidRPr="004C1796">
        <w:rPr>
          <w:rFonts w:ascii="Times New Roman" w:hAnsi="Times New Roman" w:cs="Times New Roman"/>
        </w:rPr>
        <w:t xml:space="preserve"> Duterte</w:t>
      </w:r>
      <w:r w:rsidR="0042302F" w:rsidRPr="004C1796">
        <w:rPr>
          <w:rFonts w:ascii="Times New Roman" w:hAnsi="Times New Roman" w:cs="Times New Roman"/>
        </w:rPr>
        <w:t>,</w:t>
      </w:r>
      <w:r w:rsidRPr="004C1796">
        <w:rPr>
          <w:rFonts w:ascii="Times New Roman" w:hAnsi="Times New Roman" w:cs="Times New Roman"/>
        </w:rPr>
        <w:t xml:space="preserve"> </w:t>
      </w:r>
      <w:r w:rsidR="0042302F" w:rsidRPr="004C1796">
        <w:rPr>
          <w:rFonts w:ascii="Times New Roman" w:hAnsi="Times New Roman" w:cs="Times New Roman"/>
        </w:rPr>
        <w:t>M.,</w:t>
      </w:r>
      <w:r w:rsidRPr="004C1796">
        <w:rPr>
          <w:rFonts w:ascii="Times New Roman" w:hAnsi="Times New Roman" w:cs="Times New Roman"/>
        </w:rPr>
        <w:t xml:space="preserve"> Sales</w:t>
      </w:r>
      <w:r w:rsidR="0042302F" w:rsidRPr="004C1796">
        <w:rPr>
          <w:rFonts w:ascii="Times New Roman" w:hAnsi="Times New Roman" w:cs="Times New Roman"/>
        </w:rPr>
        <w:t>.,</w:t>
      </w:r>
      <w:r w:rsidRPr="004C1796">
        <w:rPr>
          <w:rFonts w:ascii="Times New Roman" w:hAnsi="Times New Roman" w:cs="Times New Roman"/>
        </w:rPr>
        <w:t xml:space="preserve"> P and Murphy</w:t>
      </w:r>
      <w:r w:rsidR="0042302F" w:rsidRPr="004C1796">
        <w:rPr>
          <w:rFonts w:ascii="Times New Roman" w:hAnsi="Times New Roman" w:cs="Times New Roman"/>
        </w:rPr>
        <w:t>,</w:t>
      </w:r>
      <w:r w:rsidRPr="004C1796">
        <w:rPr>
          <w:rFonts w:ascii="Times New Roman" w:hAnsi="Times New Roman" w:cs="Times New Roman"/>
        </w:rPr>
        <w:t xml:space="preserve"> S</w:t>
      </w:r>
      <w:r w:rsidR="0042302F" w:rsidRPr="004C1796">
        <w:rPr>
          <w:rFonts w:ascii="Times New Roman" w:hAnsi="Times New Roman" w:cs="Times New Roman"/>
        </w:rPr>
        <w:t>.</w:t>
      </w:r>
      <w:r w:rsidRPr="004C1796">
        <w:rPr>
          <w:rFonts w:ascii="Times New Roman" w:hAnsi="Times New Roman" w:cs="Times New Roman"/>
        </w:rPr>
        <w:t xml:space="preserve"> (2008) I’m not a real dealer: The identity process of ecstasy sellers. </w:t>
      </w:r>
      <w:r w:rsidRPr="004C1796">
        <w:rPr>
          <w:rFonts w:ascii="Times New Roman" w:hAnsi="Times New Roman" w:cs="Times New Roman"/>
          <w:i/>
        </w:rPr>
        <w:t>Journal of Drug Issues</w:t>
      </w:r>
      <w:r w:rsidRPr="004C1796">
        <w:rPr>
          <w:rFonts w:ascii="Times New Roman" w:hAnsi="Times New Roman" w:cs="Times New Roman"/>
        </w:rPr>
        <w:t xml:space="preserve"> 38: 419–444.</w:t>
      </w:r>
    </w:p>
    <w:p w14:paraId="09DBA070" w14:textId="77777777" w:rsidR="00371671" w:rsidRPr="004C1796" w:rsidRDefault="00371671">
      <w:pPr>
        <w:rPr>
          <w:rFonts w:ascii="Times New Roman" w:hAnsi="Times New Roman" w:cs="Times New Roman"/>
          <w:b/>
        </w:rPr>
      </w:pPr>
    </w:p>
    <w:p w14:paraId="49A6A288" w14:textId="77777777" w:rsidR="000B1DA6" w:rsidRPr="004C1796" w:rsidRDefault="000B1DA6">
      <w:pPr>
        <w:rPr>
          <w:rFonts w:ascii="Times New Roman" w:hAnsi="Times New Roman" w:cs="Times New Roman"/>
        </w:rPr>
      </w:pPr>
      <w:r w:rsidRPr="004C1796">
        <w:rPr>
          <w:rFonts w:ascii="Times New Roman" w:hAnsi="Times New Roman" w:cs="Times New Roman"/>
        </w:rPr>
        <w:t>Jacques</w:t>
      </w:r>
      <w:r w:rsidR="0042302F" w:rsidRPr="004C1796">
        <w:rPr>
          <w:rFonts w:ascii="Times New Roman" w:hAnsi="Times New Roman" w:cs="Times New Roman"/>
        </w:rPr>
        <w:t>, S.,</w:t>
      </w:r>
      <w:r w:rsidRPr="004C1796">
        <w:rPr>
          <w:rFonts w:ascii="Times New Roman" w:hAnsi="Times New Roman" w:cs="Times New Roman"/>
        </w:rPr>
        <w:t xml:space="preserve"> and Wright</w:t>
      </w:r>
      <w:r w:rsidR="0042302F" w:rsidRPr="004C1796">
        <w:rPr>
          <w:rFonts w:ascii="Times New Roman" w:hAnsi="Times New Roman" w:cs="Times New Roman"/>
        </w:rPr>
        <w:t>, R.</w:t>
      </w:r>
      <w:r w:rsidRPr="004C1796">
        <w:rPr>
          <w:rFonts w:ascii="Times New Roman" w:hAnsi="Times New Roman" w:cs="Times New Roman"/>
        </w:rPr>
        <w:t xml:space="preserve"> (2011) </w:t>
      </w:r>
      <w:r w:rsidRPr="004C1796">
        <w:rPr>
          <w:rFonts w:ascii="Times New Roman" w:hAnsi="Times New Roman" w:cs="Times New Roman"/>
          <w:i/>
        </w:rPr>
        <w:t xml:space="preserve">Code of the Suburb: Inside the world of white middle class drug dealers. </w:t>
      </w:r>
      <w:r w:rsidRPr="004C1796">
        <w:rPr>
          <w:rFonts w:ascii="Times New Roman" w:hAnsi="Times New Roman" w:cs="Times New Roman"/>
        </w:rPr>
        <w:t>Chicago: University of Chicago Press.</w:t>
      </w:r>
    </w:p>
    <w:p w14:paraId="18B61DF1" w14:textId="77777777" w:rsidR="00371671" w:rsidRPr="004C1796" w:rsidRDefault="00371671">
      <w:pPr>
        <w:rPr>
          <w:rFonts w:ascii="Times New Roman" w:hAnsi="Times New Roman" w:cs="Times New Roman"/>
          <w:b/>
        </w:rPr>
      </w:pPr>
    </w:p>
    <w:p w14:paraId="1DA7548F" w14:textId="77777777" w:rsidR="00AE0E01" w:rsidRPr="004C1796" w:rsidRDefault="00AE0E01" w:rsidP="00AE0E01">
      <w:pPr>
        <w:rPr>
          <w:rFonts w:ascii="Times New Roman" w:hAnsi="Times New Roman" w:cs="Times New Roman"/>
        </w:rPr>
      </w:pPr>
      <w:r w:rsidRPr="004C1796">
        <w:rPr>
          <w:rFonts w:ascii="Times New Roman" w:hAnsi="Times New Roman" w:cs="Times New Roman"/>
        </w:rPr>
        <w:t>Joe Laidler, K. (2014) Understanding the relationship between drug use and social supply: Observations from Hong Kong. Paper presented at the 708</w:t>
      </w:r>
      <w:r w:rsidRPr="004C1796">
        <w:rPr>
          <w:rFonts w:ascii="Times New Roman" w:hAnsi="Times New Roman" w:cs="Times New Roman"/>
          <w:vertAlign w:val="superscript"/>
        </w:rPr>
        <w:t>th</w:t>
      </w:r>
      <w:r w:rsidRPr="004C1796">
        <w:rPr>
          <w:rFonts w:ascii="Times New Roman" w:hAnsi="Times New Roman" w:cs="Times New Roman"/>
        </w:rPr>
        <w:t xml:space="preserve"> Annual Conference of the American Society of Criminology. 20</w:t>
      </w:r>
      <w:r w:rsidRPr="004C1796">
        <w:rPr>
          <w:rFonts w:ascii="Times New Roman" w:hAnsi="Times New Roman" w:cs="Times New Roman"/>
          <w:vertAlign w:val="superscript"/>
        </w:rPr>
        <w:t>th</w:t>
      </w:r>
      <w:r w:rsidRPr="004C1796">
        <w:rPr>
          <w:rFonts w:ascii="Times New Roman" w:hAnsi="Times New Roman" w:cs="Times New Roman"/>
        </w:rPr>
        <w:t xml:space="preserve"> November. </w:t>
      </w:r>
    </w:p>
    <w:p w14:paraId="3763B9A8" w14:textId="77777777" w:rsidR="0087216A" w:rsidRPr="004C1796" w:rsidRDefault="0087216A" w:rsidP="00AE0E01">
      <w:pPr>
        <w:rPr>
          <w:rFonts w:ascii="Times New Roman" w:hAnsi="Times New Roman" w:cs="Times New Roman"/>
        </w:rPr>
      </w:pPr>
    </w:p>
    <w:p w14:paraId="07D6355B" w14:textId="77777777" w:rsidR="0087216A" w:rsidRPr="004C1796" w:rsidRDefault="0087216A" w:rsidP="0087216A">
      <w:pPr>
        <w:rPr>
          <w:rFonts w:ascii="Times New Roman" w:hAnsi="Times New Roman" w:cs="Times New Roman"/>
        </w:rPr>
      </w:pPr>
      <w:r w:rsidRPr="004C1796">
        <w:rPr>
          <w:rFonts w:ascii="Times New Roman" w:hAnsi="Times New Roman" w:cs="Times New Roman"/>
        </w:rPr>
        <w:lastRenderedPageBreak/>
        <w:t>Joe Laidler, K</w:t>
      </w:r>
      <w:r w:rsidR="00A95F0C" w:rsidRPr="004C1796">
        <w:rPr>
          <w:rFonts w:ascii="Times New Roman" w:hAnsi="Times New Roman" w:cs="Times New Roman"/>
        </w:rPr>
        <w:t>,</w:t>
      </w:r>
      <w:r w:rsidR="00EA1E53" w:rsidRPr="004C1796">
        <w:rPr>
          <w:rFonts w:ascii="Times New Roman" w:hAnsi="Times New Roman" w:cs="Times New Roman"/>
        </w:rPr>
        <w:t xml:space="preserve"> Hodson, D &amp; Traver, H</w:t>
      </w:r>
      <w:r w:rsidRPr="004C1796">
        <w:rPr>
          <w:rFonts w:ascii="Times New Roman" w:hAnsi="Times New Roman" w:cs="Times New Roman"/>
        </w:rPr>
        <w:t xml:space="preserve">. (2000) </w:t>
      </w:r>
      <w:r w:rsidRPr="004C1796">
        <w:rPr>
          <w:rFonts w:ascii="Times New Roman" w:hAnsi="Times New Roman" w:cs="Times New Roman"/>
          <w:i/>
        </w:rPr>
        <w:t>The Hong Kong Drug Market. A Report for UNICRI for the UNDCP Global Study in Illicit Drug Markets</w:t>
      </w:r>
      <w:r w:rsidRPr="004C1796">
        <w:rPr>
          <w:rFonts w:ascii="Times New Roman" w:hAnsi="Times New Roman" w:cs="Times New Roman"/>
        </w:rPr>
        <w:t>. Centre for Criminology, University of Hong Kong.</w:t>
      </w:r>
    </w:p>
    <w:p w14:paraId="3FC996EF" w14:textId="77777777" w:rsidR="0087216A" w:rsidRPr="004C1796" w:rsidRDefault="0087216A" w:rsidP="0087216A">
      <w:pPr>
        <w:rPr>
          <w:rFonts w:ascii="Times New Roman" w:hAnsi="Times New Roman" w:cs="Times New Roman"/>
        </w:rPr>
      </w:pPr>
    </w:p>
    <w:p w14:paraId="33B0357A" w14:textId="77777777" w:rsidR="0087216A" w:rsidRPr="004C1796" w:rsidRDefault="0087216A" w:rsidP="0087216A">
      <w:pPr>
        <w:rPr>
          <w:rFonts w:ascii="Times New Roman" w:hAnsi="Times New Roman" w:cs="Times New Roman"/>
        </w:rPr>
      </w:pPr>
      <w:r w:rsidRPr="004C1796">
        <w:rPr>
          <w:rFonts w:ascii="Times New Roman" w:hAnsi="Times New Roman" w:cs="Times New Roman"/>
        </w:rPr>
        <w:t xml:space="preserve">Joe-Laidler, K., &amp; Hunt, G. (2008). Sit down to float: The cultural meaning of ketamine use in Hong Kong. </w:t>
      </w:r>
      <w:r w:rsidRPr="004C1796">
        <w:rPr>
          <w:rFonts w:ascii="Times New Roman" w:hAnsi="Times New Roman" w:cs="Times New Roman"/>
          <w:i/>
        </w:rPr>
        <w:t>Addiction research &amp; theory</w:t>
      </w:r>
      <w:r w:rsidRPr="004C1796">
        <w:rPr>
          <w:rFonts w:ascii="Times New Roman" w:hAnsi="Times New Roman" w:cs="Times New Roman"/>
        </w:rPr>
        <w:t>, 16(3), 259-271.</w:t>
      </w:r>
    </w:p>
    <w:p w14:paraId="0A005D52" w14:textId="77777777" w:rsidR="0087216A" w:rsidRPr="004C1796" w:rsidRDefault="0087216A" w:rsidP="00AE0E01">
      <w:pPr>
        <w:rPr>
          <w:rFonts w:ascii="Times New Roman" w:hAnsi="Times New Roman" w:cs="Times New Roman"/>
        </w:rPr>
      </w:pPr>
    </w:p>
    <w:p w14:paraId="4B08B7A7" w14:textId="77777777" w:rsidR="00232512" w:rsidRPr="004C1796" w:rsidRDefault="00232512" w:rsidP="00232512">
      <w:pPr>
        <w:rPr>
          <w:rFonts w:ascii="Times New Roman" w:hAnsi="Times New Roman" w:cs="Times New Roman"/>
          <w:lang w:val="en-US"/>
        </w:rPr>
      </w:pPr>
      <w:r w:rsidRPr="004C1796">
        <w:rPr>
          <w:rFonts w:ascii="Times New Roman" w:hAnsi="Times New Roman" w:cs="Times New Roman"/>
        </w:rPr>
        <w:t xml:space="preserve">Kainulainen, H. 2006. </w:t>
      </w:r>
      <w:r w:rsidRPr="004C1796">
        <w:rPr>
          <w:rFonts w:ascii="Times New Roman" w:hAnsi="Times New Roman" w:cs="Times New Roman"/>
          <w:i/>
        </w:rPr>
        <w:t xml:space="preserve">Seuraamuskäytäntö huumausaineen käyttörikoksessa </w:t>
      </w:r>
      <w:r w:rsidRPr="004C1796">
        <w:rPr>
          <w:rFonts w:ascii="Times New Roman" w:hAnsi="Times New Roman" w:cs="Times New Roman"/>
        </w:rPr>
        <w:t xml:space="preserve">[Sanction practices in drug offences]. </w:t>
      </w:r>
      <w:r w:rsidRPr="004C1796">
        <w:rPr>
          <w:rFonts w:ascii="Times New Roman" w:hAnsi="Times New Roman" w:cs="Times New Roman"/>
          <w:lang w:val="en-US"/>
        </w:rPr>
        <w:t>Helsinki: National Institute of Legal Policy, Research Reports 219.</w:t>
      </w:r>
    </w:p>
    <w:p w14:paraId="287A6998" w14:textId="77777777" w:rsidR="00232512" w:rsidRPr="004C1796" w:rsidRDefault="00232512" w:rsidP="00AE0E01">
      <w:pPr>
        <w:rPr>
          <w:rFonts w:ascii="Times New Roman" w:hAnsi="Times New Roman" w:cs="Times New Roman"/>
        </w:rPr>
      </w:pPr>
    </w:p>
    <w:p w14:paraId="7B31C395" w14:textId="77777777" w:rsidR="00D20681" w:rsidRPr="004C1796" w:rsidRDefault="00D20681" w:rsidP="00D20681">
      <w:pPr>
        <w:rPr>
          <w:rFonts w:ascii="Times New Roman" w:hAnsi="Times New Roman" w:cs="Times New Roman"/>
        </w:rPr>
      </w:pPr>
      <w:r w:rsidRPr="004C1796">
        <w:rPr>
          <w:rFonts w:ascii="Times New Roman" w:hAnsi="Times New Roman" w:cs="Times New Roman"/>
        </w:rPr>
        <w:t>Kim, B., Spohn, C., &amp; Hedberg, E. C. (2015). Federal sentencing as a complex collaborative process: judges, prosecutors, judge–prosecutor dyads, and disparity in sentencing. </w:t>
      </w:r>
      <w:r w:rsidRPr="004C1796">
        <w:rPr>
          <w:rFonts w:ascii="Times New Roman" w:hAnsi="Times New Roman" w:cs="Times New Roman"/>
          <w:i/>
          <w:iCs/>
        </w:rPr>
        <w:t>Criminology</w:t>
      </w:r>
      <w:r w:rsidRPr="004C1796">
        <w:rPr>
          <w:rFonts w:ascii="Times New Roman" w:hAnsi="Times New Roman" w:cs="Times New Roman"/>
        </w:rPr>
        <w:t>, </w:t>
      </w:r>
      <w:r w:rsidRPr="004C1796">
        <w:rPr>
          <w:rFonts w:ascii="Times New Roman" w:hAnsi="Times New Roman" w:cs="Times New Roman"/>
          <w:i/>
          <w:iCs/>
        </w:rPr>
        <w:t>53</w:t>
      </w:r>
      <w:r w:rsidRPr="004C1796">
        <w:rPr>
          <w:rFonts w:ascii="Times New Roman" w:hAnsi="Times New Roman" w:cs="Times New Roman"/>
        </w:rPr>
        <w:t>(4), 597-623.</w:t>
      </w:r>
    </w:p>
    <w:p w14:paraId="3F292364" w14:textId="77777777" w:rsidR="00B473AA" w:rsidRPr="004C1796" w:rsidRDefault="00B473AA" w:rsidP="00D20681">
      <w:pPr>
        <w:rPr>
          <w:rFonts w:ascii="Times New Roman" w:hAnsi="Times New Roman" w:cs="Times New Roman"/>
        </w:rPr>
      </w:pPr>
    </w:p>
    <w:p w14:paraId="283F7B56" w14:textId="77777777" w:rsidR="00B473AA" w:rsidRPr="004C1796" w:rsidRDefault="00B473AA" w:rsidP="00B473AA">
      <w:pPr>
        <w:rPr>
          <w:rFonts w:ascii="Times New Roman" w:hAnsi="Times New Roman" w:cs="Times New Roman"/>
        </w:rPr>
      </w:pPr>
      <w:r w:rsidRPr="004C1796">
        <w:rPr>
          <w:rFonts w:ascii="Times New Roman" w:hAnsi="Times New Roman" w:cs="Times New Roman"/>
        </w:rPr>
        <w:t xml:space="preserve">Lai G (2012) </w:t>
      </w:r>
      <w:r w:rsidRPr="004C1796">
        <w:rPr>
          <w:rFonts w:ascii="Times New Roman" w:hAnsi="Times New Roman" w:cs="Times New Roman"/>
          <w:i/>
        </w:rPr>
        <w:t>Drugs, crime and punishment. Proportionality of sentencing for drug offences</w:t>
      </w:r>
      <w:r w:rsidRPr="004C1796">
        <w:rPr>
          <w:rFonts w:ascii="Times New Roman" w:hAnsi="Times New Roman" w:cs="Times New Roman"/>
        </w:rPr>
        <w:t>. Series on legislative reform of drug policies, Nr.20. London: International Drug Policy Consortium (IDPC).</w:t>
      </w:r>
    </w:p>
    <w:p w14:paraId="266B5B13" w14:textId="77777777" w:rsidR="00576CDE" w:rsidRPr="004C1796" w:rsidRDefault="00576CDE" w:rsidP="00B473AA">
      <w:pPr>
        <w:rPr>
          <w:rFonts w:ascii="Times New Roman" w:hAnsi="Times New Roman" w:cs="Times New Roman"/>
        </w:rPr>
      </w:pPr>
    </w:p>
    <w:p w14:paraId="7F91B0A7" w14:textId="77777777" w:rsidR="00576CDE" w:rsidRPr="004C1796" w:rsidRDefault="00576CDE" w:rsidP="00B473AA">
      <w:pPr>
        <w:rPr>
          <w:rFonts w:ascii="Times New Roman" w:hAnsi="Times New Roman" w:cs="Times New Roman"/>
        </w:rPr>
      </w:pPr>
      <w:r w:rsidRPr="004C1796">
        <w:rPr>
          <w:rFonts w:ascii="Times New Roman" w:hAnsi="Times New Roman" w:cs="Times New Roman"/>
        </w:rPr>
        <w:t xml:space="preserve">Leung, J., (2010) Hong Kong Government warns young people to stand firm against drugs. Campaign. Avaliable at:  </w:t>
      </w:r>
      <w:hyperlink r:id="rId21" w:history="1">
        <w:r w:rsidRPr="004C1796">
          <w:rPr>
            <w:rStyle w:val="Hyperlink"/>
            <w:rFonts w:ascii="Times New Roman" w:hAnsi="Times New Roman" w:cs="Times New Roman"/>
          </w:rPr>
          <w:t>http://www.campaignasia.com/article/hong-kong-government-warns-young-people-to-stand-firm-against-drugs/220627</w:t>
        </w:r>
      </w:hyperlink>
      <w:r w:rsidRPr="004C1796">
        <w:rPr>
          <w:rFonts w:ascii="Times New Roman" w:hAnsi="Times New Roman" w:cs="Times New Roman"/>
        </w:rPr>
        <w:t xml:space="preserve"> </w:t>
      </w:r>
    </w:p>
    <w:p w14:paraId="1333052F" w14:textId="77777777" w:rsidR="00BA79F9" w:rsidRPr="004C1796" w:rsidRDefault="00BA79F9" w:rsidP="00B473AA">
      <w:pPr>
        <w:rPr>
          <w:rFonts w:ascii="Times New Roman" w:hAnsi="Times New Roman" w:cs="Times New Roman"/>
        </w:rPr>
      </w:pPr>
    </w:p>
    <w:p w14:paraId="275AA222" w14:textId="77777777" w:rsidR="00BA79F9" w:rsidRPr="004C1796" w:rsidRDefault="00BA79F9" w:rsidP="00BA79F9">
      <w:pPr>
        <w:rPr>
          <w:rFonts w:ascii="Times New Roman" w:hAnsi="Times New Roman" w:cs="Times New Roman"/>
        </w:rPr>
      </w:pPr>
      <w:r w:rsidRPr="004C1796">
        <w:rPr>
          <w:rFonts w:ascii="Times New Roman" w:hAnsi="Times New Roman" w:cs="Times New Roman"/>
        </w:rPr>
        <w:t>Lenton, S., Grigg, J., Scott, J., Barratt, M., &amp; Eleftheriadis, D. (2015). The social supply of cannabis among young people in Australia. </w:t>
      </w:r>
      <w:r w:rsidRPr="004C1796">
        <w:rPr>
          <w:rFonts w:ascii="Times New Roman" w:hAnsi="Times New Roman" w:cs="Times New Roman"/>
          <w:i/>
          <w:iCs/>
        </w:rPr>
        <w:t>Trends &amp; Issues in Crime and Criminal Justice</w:t>
      </w:r>
      <w:r w:rsidRPr="004C1796">
        <w:rPr>
          <w:rFonts w:ascii="Times New Roman" w:hAnsi="Times New Roman" w:cs="Times New Roman"/>
        </w:rPr>
        <w:t>, </w:t>
      </w:r>
      <w:r w:rsidRPr="004C1796">
        <w:rPr>
          <w:rFonts w:ascii="Times New Roman" w:hAnsi="Times New Roman" w:cs="Times New Roman"/>
          <w:i/>
          <w:iCs/>
        </w:rPr>
        <w:t>503</w:t>
      </w:r>
      <w:r w:rsidRPr="004C1796">
        <w:rPr>
          <w:rFonts w:ascii="Times New Roman" w:hAnsi="Times New Roman" w:cs="Times New Roman"/>
        </w:rPr>
        <w:t>, 501-520.</w:t>
      </w:r>
    </w:p>
    <w:p w14:paraId="5B0AC5D2" w14:textId="77777777" w:rsidR="00DA738E" w:rsidRPr="004C1796" w:rsidRDefault="00DA738E" w:rsidP="00BA79F9">
      <w:pPr>
        <w:rPr>
          <w:rFonts w:ascii="Times New Roman" w:hAnsi="Times New Roman" w:cs="Times New Roman"/>
        </w:rPr>
      </w:pPr>
    </w:p>
    <w:p w14:paraId="4753F077" w14:textId="77777777" w:rsidR="00DA738E" w:rsidRPr="004C1796" w:rsidRDefault="00DA738E" w:rsidP="00DA738E">
      <w:pPr>
        <w:rPr>
          <w:rFonts w:ascii="Times New Roman" w:hAnsi="Times New Roman" w:cs="Times New Roman"/>
        </w:rPr>
      </w:pPr>
      <w:r w:rsidRPr="004C1796">
        <w:rPr>
          <w:rFonts w:ascii="Times New Roman" w:hAnsi="Times New Roman" w:cs="Times New Roman"/>
        </w:rPr>
        <w:t>Lovegrove, A. (2010). Proportionality Theory, Personal Mitigation, and the People's Sense of Justice. </w:t>
      </w:r>
      <w:r w:rsidRPr="004C1796">
        <w:rPr>
          <w:rFonts w:ascii="Times New Roman" w:hAnsi="Times New Roman" w:cs="Times New Roman"/>
          <w:i/>
          <w:iCs/>
        </w:rPr>
        <w:t>The Cambridge Law Journal</w:t>
      </w:r>
      <w:r w:rsidRPr="004C1796">
        <w:rPr>
          <w:rFonts w:ascii="Times New Roman" w:hAnsi="Times New Roman" w:cs="Times New Roman"/>
        </w:rPr>
        <w:t>, </w:t>
      </w:r>
      <w:r w:rsidRPr="004C1796">
        <w:rPr>
          <w:rFonts w:ascii="Times New Roman" w:hAnsi="Times New Roman" w:cs="Times New Roman"/>
          <w:i/>
          <w:iCs/>
        </w:rPr>
        <w:t>69</w:t>
      </w:r>
      <w:r w:rsidRPr="004C1796">
        <w:rPr>
          <w:rFonts w:ascii="Times New Roman" w:hAnsi="Times New Roman" w:cs="Times New Roman"/>
        </w:rPr>
        <w:t>(2), 321-352.</w:t>
      </w:r>
    </w:p>
    <w:p w14:paraId="7A3CE3A3" w14:textId="77777777" w:rsidR="00EF1188" w:rsidRPr="004C1796" w:rsidRDefault="00EF1188" w:rsidP="00D20681">
      <w:pPr>
        <w:rPr>
          <w:rFonts w:ascii="Times New Roman" w:hAnsi="Times New Roman" w:cs="Times New Roman"/>
        </w:rPr>
      </w:pPr>
    </w:p>
    <w:p w14:paraId="0CF5DF53" w14:textId="77777777" w:rsidR="00EF1188" w:rsidRPr="004C1796" w:rsidRDefault="00EF1188" w:rsidP="00EF1188">
      <w:pPr>
        <w:rPr>
          <w:rFonts w:ascii="Times New Roman" w:hAnsi="Times New Roman" w:cs="Times New Roman"/>
        </w:rPr>
      </w:pPr>
      <w:r w:rsidRPr="004C1796">
        <w:rPr>
          <w:rFonts w:ascii="Times New Roman" w:hAnsi="Times New Roman" w:cs="Times New Roman"/>
        </w:rPr>
        <w:t xml:space="preserve">Measham F, Aldridge J and Parker H (2001) </w:t>
      </w:r>
      <w:r w:rsidRPr="004C1796">
        <w:rPr>
          <w:rFonts w:ascii="Times New Roman" w:hAnsi="Times New Roman" w:cs="Times New Roman"/>
          <w:i/>
        </w:rPr>
        <w:t>Dancing on Drugs: Risk, Health and Hedonism in the British Club Scene</w:t>
      </w:r>
      <w:r w:rsidRPr="004C1796">
        <w:rPr>
          <w:rFonts w:ascii="Times New Roman" w:hAnsi="Times New Roman" w:cs="Times New Roman"/>
        </w:rPr>
        <w:t>. London, UK: Free Association Books.</w:t>
      </w:r>
    </w:p>
    <w:p w14:paraId="4F853769" w14:textId="77777777" w:rsidR="00661575" w:rsidRPr="004C1796" w:rsidRDefault="00661575" w:rsidP="00661575">
      <w:pPr>
        <w:rPr>
          <w:rFonts w:ascii="Times New Roman" w:hAnsi="Times New Roman" w:cs="Times New Roman"/>
        </w:rPr>
      </w:pPr>
    </w:p>
    <w:p w14:paraId="07A065CC" w14:textId="6A4ED679" w:rsidR="00661575" w:rsidRPr="004C1796" w:rsidRDefault="00661575" w:rsidP="00661575">
      <w:pPr>
        <w:rPr>
          <w:rFonts w:ascii="Times New Roman" w:hAnsi="Times New Roman" w:cs="Times New Roman"/>
          <w:i/>
        </w:rPr>
      </w:pPr>
      <w:r w:rsidRPr="004C1796">
        <w:rPr>
          <w:rFonts w:ascii="Times New Roman" w:hAnsi="Times New Roman" w:cs="Times New Roman"/>
        </w:rPr>
        <w:t xml:space="preserve">Mohamed, A., &amp; Fritzvold, E. (2010). </w:t>
      </w:r>
      <w:r w:rsidRPr="004C1796">
        <w:rPr>
          <w:rFonts w:ascii="Times New Roman" w:hAnsi="Times New Roman" w:cs="Times New Roman"/>
          <w:i/>
        </w:rPr>
        <w:t>Dorm room dealers: Drugs and</w:t>
      </w:r>
      <w:r w:rsidR="0070082F" w:rsidRPr="004C1796">
        <w:rPr>
          <w:rFonts w:ascii="Times New Roman" w:hAnsi="Times New Roman" w:cs="Times New Roman"/>
          <w:i/>
        </w:rPr>
        <w:t xml:space="preserve"> </w:t>
      </w:r>
      <w:r w:rsidRPr="004C1796">
        <w:rPr>
          <w:rFonts w:ascii="Times New Roman" w:hAnsi="Times New Roman" w:cs="Times New Roman"/>
          <w:i/>
        </w:rPr>
        <w:t>the privileges of race and class</w:t>
      </w:r>
      <w:r w:rsidRPr="004C1796">
        <w:rPr>
          <w:rFonts w:ascii="Times New Roman" w:hAnsi="Times New Roman" w:cs="Times New Roman"/>
        </w:rPr>
        <w:t>. Boulder, CO: Lynne Rienner.</w:t>
      </w:r>
    </w:p>
    <w:p w14:paraId="2F6DF22A" w14:textId="77777777" w:rsidR="00661575" w:rsidRPr="004C1796" w:rsidRDefault="00661575" w:rsidP="00EF1188">
      <w:pPr>
        <w:rPr>
          <w:rFonts w:ascii="Times New Roman" w:hAnsi="Times New Roman" w:cs="Times New Roman"/>
        </w:rPr>
      </w:pPr>
    </w:p>
    <w:p w14:paraId="27F011CC" w14:textId="77777777" w:rsidR="00BE370B" w:rsidRPr="004C1796" w:rsidRDefault="00BE370B" w:rsidP="00BE370B">
      <w:pPr>
        <w:rPr>
          <w:rFonts w:ascii="Times New Roman" w:hAnsi="Times New Roman" w:cs="Times New Roman"/>
        </w:rPr>
      </w:pPr>
      <w:r w:rsidRPr="004C1796">
        <w:rPr>
          <w:rFonts w:ascii="Times New Roman" w:hAnsi="Times New Roman" w:cs="Times New Roman"/>
        </w:rPr>
        <w:t>Moyle, L., Coomber, R., &amp; Lowther, J. (2013). Crushing a walnut with a</w:t>
      </w:r>
    </w:p>
    <w:p w14:paraId="3FE77F19" w14:textId="77777777" w:rsidR="00BE370B" w:rsidRPr="004C1796" w:rsidRDefault="00BE370B" w:rsidP="00BE370B">
      <w:pPr>
        <w:rPr>
          <w:rFonts w:ascii="Times New Roman" w:hAnsi="Times New Roman" w:cs="Times New Roman"/>
        </w:rPr>
      </w:pPr>
      <w:r w:rsidRPr="004C1796">
        <w:rPr>
          <w:rFonts w:ascii="Times New Roman" w:hAnsi="Times New Roman" w:cs="Times New Roman"/>
        </w:rPr>
        <w:t>sledgehammer? Analysing the penal response to the social supply of</w:t>
      </w:r>
    </w:p>
    <w:p w14:paraId="2F03C091" w14:textId="77777777" w:rsidR="00BE370B" w:rsidRPr="004C1796" w:rsidRDefault="00BE370B" w:rsidP="00BE370B">
      <w:pPr>
        <w:rPr>
          <w:rFonts w:ascii="Times New Roman" w:hAnsi="Times New Roman" w:cs="Times New Roman"/>
        </w:rPr>
      </w:pPr>
      <w:r w:rsidRPr="004C1796">
        <w:rPr>
          <w:rFonts w:ascii="Times New Roman" w:hAnsi="Times New Roman" w:cs="Times New Roman"/>
        </w:rPr>
        <w:t xml:space="preserve">illicit drugs. </w:t>
      </w:r>
      <w:r w:rsidRPr="004C1796">
        <w:rPr>
          <w:rFonts w:ascii="Times New Roman" w:hAnsi="Times New Roman" w:cs="Times New Roman"/>
          <w:i/>
        </w:rPr>
        <w:t>Social &amp; Legal Studies</w:t>
      </w:r>
      <w:r w:rsidRPr="004C1796">
        <w:rPr>
          <w:rFonts w:ascii="Times New Roman" w:hAnsi="Times New Roman" w:cs="Times New Roman"/>
        </w:rPr>
        <w:t>, 22, 553–573.</w:t>
      </w:r>
    </w:p>
    <w:p w14:paraId="3DFF5663" w14:textId="77777777" w:rsidR="00661575" w:rsidRPr="004C1796" w:rsidRDefault="00661575" w:rsidP="00EF1188">
      <w:pPr>
        <w:rPr>
          <w:rFonts w:ascii="Times New Roman" w:hAnsi="Times New Roman" w:cs="Times New Roman"/>
        </w:rPr>
      </w:pPr>
    </w:p>
    <w:p w14:paraId="07A1FA65" w14:textId="77777777" w:rsidR="00B473AA" w:rsidRPr="004C1796" w:rsidRDefault="00B473AA" w:rsidP="00D20681">
      <w:pPr>
        <w:rPr>
          <w:rFonts w:ascii="Times New Roman" w:hAnsi="Times New Roman" w:cs="Times New Roman"/>
        </w:rPr>
      </w:pPr>
      <w:r w:rsidRPr="004C1796">
        <w:rPr>
          <w:rFonts w:ascii="Times New Roman" w:hAnsi="Times New Roman" w:cs="Times New Roman"/>
        </w:rPr>
        <w:t>Murphy</w:t>
      </w:r>
      <w:r w:rsidR="00FA2D4D" w:rsidRPr="004C1796">
        <w:rPr>
          <w:rFonts w:ascii="Times New Roman" w:hAnsi="Times New Roman" w:cs="Times New Roman"/>
        </w:rPr>
        <w:t>,</w:t>
      </w:r>
      <w:r w:rsidRPr="004C1796">
        <w:rPr>
          <w:rFonts w:ascii="Times New Roman" w:hAnsi="Times New Roman" w:cs="Times New Roman"/>
        </w:rPr>
        <w:t xml:space="preserve"> S</w:t>
      </w:r>
      <w:r w:rsidR="00FA2D4D" w:rsidRPr="004C1796">
        <w:rPr>
          <w:rFonts w:ascii="Times New Roman" w:hAnsi="Times New Roman" w:cs="Times New Roman"/>
        </w:rPr>
        <w:t>.</w:t>
      </w:r>
      <w:r w:rsidRPr="004C1796">
        <w:rPr>
          <w:rFonts w:ascii="Times New Roman" w:hAnsi="Times New Roman" w:cs="Times New Roman"/>
        </w:rPr>
        <w:t>, Waldorf</w:t>
      </w:r>
      <w:r w:rsidR="00FA2D4D" w:rsidRPr="004C1796">
        <w:rPr>
          <w:rFonts w:ascii="Times New Roman" w:hAnsi="Times New Roman" w:cs="Times New Roman"/>
        </w:rPr>
        <w:t>,</w:t>
      </w:r>
      <w:r w:rsidRPr="004C1796">
        <w:rPr>
          <w:rFonts w:ascii="Times New Roman" w:hAnsi="Times New Roman" w:cs="Times New Roman"/>
        </w:rPr>
        <w:t xml:space="preserve"> D</w:t>
      </w:r>
      <w:r w:rsidR="00FA2D4D" w:rsidRPr="004C1796">
        <w:rPr>
          <w:rFonts w:ascii="Times New Roman" w:hAnsi="Times New Roman" w:cs="Times New Roman"/>
        </w:rPr>
        <w:t>.,</w:t>
      </w:r>
      <w:r w:rsidRPr="004C1796">
        <w:rPr>
          <w:rFonts w:ascii="Times New Roman" w:hAnsi="Times New Roman" w:cs="Times New Roman"/>
        </w:rPr>
        <w:t xml:space="preserve"> and Reinarman C</w:t>
      </w:r>
      <w:r w:rsidR="00FA2D4D" w:rsidRPr="004C1796">
        <w:rPr>
          <w:rFonts w:ascii="Times New Roman" w:hAnsi="Times New Roman" w:cs="Times New Roman"/>
        </w:rPr>
        <w:t>.</w:t>
      </w:r>
      <w:r w:rsidRPr="004C1796">
        <w:rPr>
          <w:rFonts w:ascii="Times New Roman" w:hAnsi="Times New Roman" w:cs="Times New Roman"/>
        </w:rPr>
        <w:t xml:space="preserve"> (1990) Drifting into dealing: Becoming a cocaine seller. </w:t>
      </w:r>
      <w:r w:rsidRPr="004C1796">
        <w:rPr>
          <w:rFonts w:ascii="Times New Roman" w:hAnsi="Times New Roman" w:cs="Times New Roman"/>
          <w:i/>
        </w:rPr>
        <w:t>Qualitative Sociology</w:t>
      </w:r>
      <w:r w:rsidRPr="004C1796">
        <w:rPr>
          <w:rFonts w:ascii="Times New Roman" w:hAnsi="Times New Roman" w:cs="Times New Roman"/>
        </w:rPr>
        <w:t xml:space="preserve"> 13(4): 321–343.</w:t>
      </w:r>
    </w:p>
    <w:p w14:paraId="6C0FB3C7" w14:textId="77777777" w:rsidR="00B473AA" w:rsidRPr="004C1796" w:rsidRDefault="00B473AA" w:rsidP="00D20681">
      <w:pPr>
        <w:rPr>
          <w:rFonts w:ascii="Times New Roman" w:hAnsi="Times New Roman" w:cs="Times New Roman"/>
        </w:rPr>
      </w:pPr>
    </w:p>
    <w:p w14:paraId="3170D740" w14:textId="77777777" w:rsidR="00B473AA" w:rsidRPr="004C1796" w:rsidRDefault="00B473AA" w:rsidP="00B473AA">
      <w:pPr>
        <w:rPr>
          <w:rFonts w:ascii="Times New Roman" w:hAnsi="Times New Roman" w:cs="Times New Roman"/>
        </w:rPr>
      </w:pPr>
      <w:r w:rsidRPr="004C1796">
        <w:rPr>
          <w:rFonts w:ascii="Times New Roman" w:hAnsi="Times New Roman" w:cs="Times New Roman"/>
        </w:rPr>
        <w:t xml:space="preserve">Murphy S, Sales P, Duterte M, Jacinto </w:t>
      </w:r>
      <w:r w:rsidR="00CE309E" w:rsidRPr="004C1796">
        <w:rPr>
          <w:rFonts w:ascii="Times New Roman" w:hAnsi="Times New Roman" w:cs="Times New Roman"/>
        </w:rPr>
        <w:t>C, Analysis I and States U (2004</w:t>
      </w:r>
      <w:r w:rsidRPr="004C1796">
        <w:rPr>
          <w:rFonts w:ascii="Times New Roman" w:hAnsi="Times New Roman" w:cs="Times New Roman"/>
        </w:rPr>
        <w:t>) A qualitative study of ecstasy sellers in the San Francisco Bay Area: Final report to the National Institute of Justice Grant #2002-IJ-CX-0018. Available at</w:t>
      </w:r>
      <w:r w:rsidR="00935CA7" w:rsidRPr="004C1796">
        <w:rPr>
          <w:rFonts w:ascii="Times New Roman" w:hAnsi="Times New Roman" w:cs="Times New Roman"/>
        </w:rPr>
        <w:t xml:space="preserve">: </w:t>
      </w:r>
      <w:r w:rsidRPr="004C1796">
        <w:rPr>
          <w:rFonts w:ascii="Times New Roman" w:hAnsi="Times New Roman" w:cs="Times New Roman"/>
        </w:rPr>
        <w:t>http://www.ncjrs.gov/pdffiles1/nij/grants/</w:t>
      </w:r>
      <w:r w:rsidR="00CE309E" w:rsidRPr="004C1796">
        <w:rPr>
          <w:rFonts w:ascii="Times New Roman" w:hAnsi="Times New Roman" w:cs="Times New Roman"/>
        </w:rPr>
        <w:t>209267.pdf (accessed June 2017</w:t>
      </w:r>
      <w:r w:rsidRPr="004C1796">
        <w:rPr>
          <w:rFonts w:ascii="Times New Roman" w:hAnsi="Times New Roman" w:cs="Times New Roman"/>
        </w:rPr>
        <w:t>).</w:t>
      </w:r>
      <w:r w:rsidR="00935CA7" w:rsidRPr="004C1796">
        <w:rPr>
          <w:rFonts w:ascii="Times New Roman" w:hAnsi="Times New Roman" w:cs="Times New Roman"/>
        </w:rPr>
        <w:t xml:space="preserve"> </w:t>
      </w:r>
    </w:p>
    <w:p w14:paraId="50FE72C3" w14:textId="77777777" w:rsidR="0025281B" w:rsidRPr="004C1796" w:rsidRDefault="0025281B" w:rsidP="00B473AA">
      <w:pPr>
        <w:rPr>
          <w:rFonts w:ascii="Times New Roman" w:hAnsi="Times New Roman" w:cs="Times New Roman"/>
        </w:rPr>
      </w:pPr>
    </w:p>
    <w:p w14:paraId="4C858BBD" w14:textId="77777777" w:rsidR="0025281B" w:rsidRPr="004C1796" w:rsidRDefault="0025281B" w:rsidP="00B473AA">
      <w:pPr>
        <w:rPr>
          <w:rFonts w:ascii="Times New Roman" w:hAnsi="Times New Roman" w:cs="Times New Roman"/>
        </w:rPr>
      </w:pPr>
      <w:commentRangeStart w:id="1"/>
      <w:r w:rsidRPr="004C1796">
        <w:rPr>
          <w:rFonts w:ascii="Times New Roman" w:hAnsi="Times New Roman" w:cs="Times New Roman"/>
        </w:rPr>
        <w:t>Murphy 2017</w:t>
      </w:r>
      <w:commentRangeEnd w:id="1"/>
      <w:r w:rsidR="0064141D" w:rsidRPr="004C1796">
        <w:rPr>
          <w:rStyle w:val="CommentReference"/>
          <w:rFonts w:ascii="Times New Roman" w:hAnsi="Times New Roman" w:cs="Times New Roman"/>
        </w:rPr>
        <w:commentReference w:id="1"/>
      </w:r>
    </w:p>
    <w:p w14:paraId="3A4EB6E4" w14:textId="77777777" w:rsidR="00C74D34" w:rsidRPr="004C1796" w:rsidRDefault="00C74D34" w:rsidP="00D20681">
      <w:pPr>
        <w:rPr>
          <w:rFonts w:ascii="Times New Roman" w:hAnsi="Times New Roman" w:cs="Times New Roman"/>
        </w:rPr>
      </w:pPr>
    </w:p>
    <w:p w14:paraId="78CB0B83" w14:textId="77777777" w:rsidR="00C74D34" w:rsidRPr="004C1796" w:rsidRDefault="00314F27" w:rsidP="00D20681">
      <w:pPr>
        <w:rPr>
          <w:rFonts w:ascii="Times New Roman" w:hAnsi="Times New Roman" w:cs="Times New Roman"/>
        </w:rPr>
      </w:pPr>
      <w:r w:rsidRPr="004C1796">
        <w:rPr>
          <w:rFonts w:ascii="Times New Roman" w:hAnsi="Times New Roman" w:cs="Times New Roman"/>
        </w:rPr>
        <w:lastRenderedPageBreak/>
        <w:t>N</w:t>
      </w:r>
      <w:r w:rsidR="0044044F" w:rsidRPr="004C1796">
        <w:rPr>
          <w:rFonts w:ascii="Times New Roman" w:hAnsi="Times New Roman" w:cs="Times New Roman"/>
        </w:rPr>
        <w:t xml:space="preserve">ew </w:t>
      </w:r>
      <w:r w:rsidRPr="004C1796">
        <w:rPr>
          <w:rFonts w:ascii="Times New Roman" w:hAnsi="Times New Roman" w:cs="Times New Roman"/>
        </w:rPr>
        <w:t>Z</w:t>
      </w:r>
      <w:r w:rsidR="0044044F" w:rsidRPr="004C1796">
        <w:rPr>
          <w:rFonts w:ascii="Times New Roman" w:hAnsi="Times New Roman" w:cs="Times New Roman"/>
        </w:rPr>
        <w:t>ealand</w:t>
      </w:r>
      <w:r w:rsidR="00C74D34" w:rsidRPr="004C1796">
        <w:rPr>
          <w:rFonts w:ascii="Times New Roman" w:hAnsi="Times New Roman" w:cs="Times New Roman"/>
        </w:rPr>
        <w:t xml:space="preserve"> Drug Foundation (2017) Matters of substance, July 2017. Available at: </w:t>
      </w:r>
      <w:hyperlink r:id="rId24" w:history="1">
        <w:r w:rsidR="00C74D34" w:rsidRPr="004C1796">
          <w:rPr>
            <w:rStyle w:val="Hyperlink"/>
            <w:rFonts w:ascii="Times New Roman" w:hAnsi="Times New Roman" w:cs="Times New Roman"/>
          </w:rPr>
          <w:t>https://issuu.com/nzdrugfoundation/docs/mos-july-2017</w:t>
        </w:r>
      </w:hyperlink>
      <w:r w:rsidR="00C74D34" w:rsidRPr="004C1796">
        <w:rPr>
          <w:rFonts w:ascii="Times New Roman" w:hAnsi="Times New Roman" w:cs="Times New Roman"/>
        </w:rPr>
        <w:t xml:space="preserve"> </w:t>
      </w:r>
    </w:p>
    <w:p w14:paraId="208593C2" w14:textId="77777777" w:rsidR="00EF1188" w:rsidRPr="004C1796" w:rsidRDefault="00EF1188" w:rsidP="00D20681">
      <w:pPr>
        <w:rPr>
          <w:rFonts w:ascii="Times New Roman" w:hAnsi="Times New Roman" w:cs="Times New Roman"/>
        </w:rPr>
      </w:pPr>
    </w:p>
    <w:p w14:paraId="3F8233FF" w14:textId="77777777" w:rsidR="00EF1188" w:rsidRPr="004C1796" w:rsidRDefault="00EF1188" w:rsidP="00EF1188">
      <w:pPr>
        <w:rPr>
          <w:rFonts w:ascii="Times New Roman" w:hAnsi="Times New Roman" w:cs="Times New Roman"/>
        </w:rPr>
      </w:pPr>
      <w:r w:rsidRPr="004C1796">
        <w:rPr>
          <w:rFonts w:ascii="Times New Roman" w:hAnsi="Times New Roman" w:cs="Times New Roman"/>
        </w:rPr>
        <w:t xml:space="preserve">New Zealand Law Commission (2011) </w:t>
      </w:r>
      <w:r w:rsidRPr="004C1796">
        <w:rPr>
          <w:rFonts w:ascii="Times New Roman" w:hAnsi="Times New Roman" w:cs="Times New Roman"/>
          <w:i/>
        </w:rPr>
        <w:t>Controlling and Regulating Drugs: A Review of the Misuse of Drugs Act 1975</w:t>
      </w:r>
      <w:r w:rsidRPr="004C1796">
        <w:rPr>
          <w:rFonts w:ascii="Times New Roman" w:hAnsi="Times New Roman" w:cs="Times New Roman"/>
        </w:rPr>
        <w:t>. Wellington, New Zealand: Law Commission.</w:t>
      </w:r>
    </w:p>
    <w:p w14:paraId="1576AF6F" w14:textId="77777777" w:rsidR="00754C55" w:rsidRPr="004C1796" w:rsidRDefault="00754C55" w:rsidP="00EF1188">
      <w:pPr>
        <w:rPr>
          <w:rFonts w:ascii="Times New Roman" w:hAnsi="Times New Roman" w:cs="Times New Roman"/>
        </w:rPr>
      </w:pPr>
    </w:p>
    <w:p w14:paraId="01119229" w14:textId="48F270B7" w:rsidR="00EF1188" w:rsidRPr="004C1796" w:rsidRDefault="00754C55" w:rsidP="00D20681">
      <w:pPr>
        <w:rPr>
          <w:rFonts w:ascii="Times New Roman" w:hAnsi="Times New Roman" w:cs="Times New Roman"/>
        </w:rPr>
      </w:pPr>
      <w:r w:rsidRPr="004C1796">
        <w:rPr>
          <w:rFonts w:ascii="Times New Roman" w:hAnsi="Times New Roman" w:cs="Times New Roman"/>
        </w:rPr>
        <w:t xml:space="preserve">Nicholas, R. (2008). </w:t>
      </w:r>
      <w:r w:rsidRPr="004C1796">
        <w:rPr>
          <w:rFonts w:ascii="Times New Roman" w:hAnsi="Times New Roman" w:cs="Times New Roman"/>
          <w:i/>
        </w:rPr>
        <w:t>The impacts of social networks and not-for-profit illicit drug dealing on illicit drug markets in Australia</w:t>
      </w:r>
      <w:r w:rsidRPr="004C1796">
        <w:rPr>
          <w:rFonts w:ascii="Times New Roman" w:hAnsi="Times New Roman" w:cs="Times New Roman"/>
        </w:rPr>
        <w:t>. Tasmania: National Drug Law Research Fund.</w:t>
      </w:r>
    </w:p>
    <w:p w14:paraId="17DAE7DC" w14:textId="77777777" w:rsidR="00754C55" w:rsidRPr="004C1796" w:rsidRDefault="00754C55" w:rsidP="00D20681">
      <w:pPr>
        <w:rPr>
          <w:rFonts w:ascii="Times New Roman" w:hAnsi="Times New Roman" w:cs="Times New Roman"/>
        </w:rPr>
      </w:pPr>
    </w:p>
    <w:p w14:paraId="1A20DE2D" w14:textId="77777777" w:rsidR="00B473AA" w:rsidRPr="004C1796" w:rsidRDefault="00B473AA" w:rsidP="00B473AA">
      <w:pPr>
        <w:rPr>
          <w:rFonts w:ascii="Times New Roman" w:hAnsi="Times New Roman" w:cs="Times New Roman"/>
        </w:rPr>
      </w:pPr>
      <w:r w:rsidRPr="004C1796">
        <w:rPr>
          <w:rFonts w:ascii="Times New Roman" w:hAnsi="Times New Roman" w:cs="Times New Roman"/>
        </w:rPr>
        <w:t xml:space="preserve">Parker H (2000) </w:t>
      </w:r>
      <w:r w:rsidRPr="004C1796">
        <w:rPr>
          <w:rFonts w:ascii="Times New Roman" w:hAnsi="Times New Roman" w:cs="Times New Roman"/>
          <w:i/>
        </w:rPr>
        <w:t>How young Britons obtain their drugs: Drugs transactions at the point of consumption</w:t>
      </w:r>
      <w:r w:rsidRPr="004C1796">
        <w:rPr>
          <w:rFonts w:ascii="Times New Roman" w:hAnsi="Times New Roman" w:cs="Times New Roman"/>
        </w:rPr>
        <w:t>. Crime Prevention Studies 11: 59–82.</w:t>
      </w:r>
    </w:p>
    <w:p w14:paraId="79F82F6C" w14:textId="77777777" w:rsidR="00B473AA" w:rsidRPr="004C1796" w:rsidRDefault="00B473AA" w:rsidP="00B473AA">
      <w:pPr>
        <w:rPr>
          <w:rFonts w:ascii="Times New Roman" w:hAnsi="Times New Roman" w:cs="Times New Roman"/>
        </w:rPr>
      </w:pPr>
    </w:p>
    <w:p w14:paraId="41404E17" w14:textId="77777777" w:rsidR="00B473AA" w:rsidRPr="004C1796" w:rsidRDefault="00B473AA" w:rsidP="00B473AA">
      <w:pPr>
        <w:rPr>
          <w:rFonts w:ascii="Times New Roman" w:hAnsi="Times New Roman" w:cs="Times New Roman"/>
        </w:rPr>
      </w:pPr>
      <w:r w:rsidRPr="004C1796">
        <w:rPr>
          <w:rFonts w:ascii="Times New Roman" w:hAnsi="Times New Roman" w:cs="Times New Roman"/>
        </w:rPr>
        <w:t>Parker</w:t>
      </w:r>
      <w:r w:rsidR="00935CA7" w:rsidRPr="004C1796">
        <w:rPr>
          <w:rFonts w:ascii="Times New Roman" w:hAnsi="Times New Roman" w:cs="Times New Roman"/>
        </w:rPr>
        <w:t>,</w:t>
      </w:r>
      <w:r w:rsidRPr="004C1796">
        <w:rPr>
          <w:rFonts w:ascii="Times New Roman" w:hAnsi="Times New Roman" w:cs="Times New Roman"/>
        </w:rPr>
        <w:t xml:space="preserve"> H</w:t>
      </w:r>
      <w:r w:rsidR="00935CA7" w:rsidRPr="004C1796">
        <w:rPr>
          <w:rFonts w:ascii="Times New Roman" w:hAnsi="Times New Roman" w:cs="Times New Roman"/>
        </w:rPr>
        <w:t>.</w:t>
      </w:r>
      <w:r w:rsidRPr="004C1796">
        <w:rPr>
          <w:rFonts w:ascii="Times New Roman" w:hAnsi="Times New Roman" w:cs="Times New Roman"/>
        </w:rPr>
        <w:t>, Aldridge</w:t>
      </w:r>
      <w:r w:rsidR="00935CA7" w:rsidRPr="004C1796">
        <w:rPr>
          <w:rFonts w:ascii="Times New Roman" w:hAnsi="Times New Roman" w:cs="Times New Roman"/>
        </w:rPr>
        <w:t>,</w:t>
      </w:r>
      <w:r w:rsidRPr="004C1796">
        <w:rPr>
          <w:rFonts w:ascii="Times New Roman" w:hAnsi="Times New Roman" w:cs="Times New Roman"/>
        </w:rPr>
        <w:t xml:space="preserve"> J</w:t>
      </w:r>
      <w:r w:rsidR="00935CA7" w:rsidRPr="004C1796">
        <w:rPr>
          <w:rFonts w:ascii="Times New Roman" w:hAnsi="Times New Roman" w:cs="Times New Roman"/>
        </w:rPr>
        <w:t>.,</w:t>
      </w:r>
      <w:r w:rsidRPr="004C1796">
        <w:rPr>
          <w:rFonts w:ascii="Times New Roman" w:hAnsi="Times New Roman" w:cs="Times New Roman"/>
        </w:rPr>
        <w:t xml:space="preserve"> and Measham</w:t>
      </w:r>
      <w:r w:rsidR="00935CA7" w:rsidRPr="004C1796">
        <w:rPr>
          <w:rFonts w:ascii="Times New Roman" w:hAnsi="Times New Roman" w:cs="Times New Roman"/>
        </w:rPr>
        <w:t>.,</w:t>
      </w:r>
      <w:r w:rsidRPr="004C1796">
        <w:rPr>
          <w:rFonts w:ascii="Times New Roman" w:hAnsi="Times New Roman" w:cs="Times New Roman"/>
        </w:rPr>
        <w:t xml:space="preserve"> F (1998) Illegal Leisure: The Normalization of Adolescent Recreational Drug Use. Adolescence and Society Series. London, UK: Routledge.</w:t>
      </w:r>
    </w:p>
    <w:p w14:paraId="5B00905C" w14:textId="77777777" w:rsidR="00277C8A" w:rsidRPr="004C1796" w:rsidRDefault="00277C8A" w:rsidP="00B473AA">
      <w:pPr>
        <w:rPr>
          <w:rFonts w:ascii="Times New Roman" w:hAnsi="Times New Roman" w:cs="Times New Roman"/>
        </w:rPr>
      </w:pPr>
    </w:p>
    <w:p w14:paraId="3FAF089E" w14:textId="77777777" w:rsidR="00A20538" w:rsidRPr="004C1796" w:rsidRDefault="00A20538" w:rsidP="00A20538">
      <w:pPr>
        <w:rPr>
          <w:rFonts w:ascii="Times New Roman" w:eastAsia="Times New Roman" w:hAnsi="Times New Roman" w:cs="Times New Roman"/>
          <w:lang w:eastAsia="en-GB"/>
        </w:rPr>
      </w:pPr>
      <w:r w:rsidRPr="004C1796">
        <w:rPr>
          <w:rFonts w:ascii="Times New Roman" w:eastAsia="Times New Roman" w:hAnsi="Times New Roman" w:cs="Times New Roman"/>
          <w:lang w:eastAsia="en-GB"/>
        </w:rPr>
        <w:t>Parker, H., Williams, L. &amp; Aldridge, J. (2002). The normalisation of ‘sensible’ recreational drug use: Further evidence from the North West Longitudinal Study. Sociology, 36 (4), 941-964</w:t>
      </w:r>
    </w:p>
    <w:p w14:paraId="38EA5E28" w14:textId="77777777" w:rsidR="00FE473F" w:rsidRPr="004C1796" w:rsidRDefault="00FE473F" w:rsidP="00B473AA">
      <w:pPr>
        <w:rPr>
          <w:rFonts w:ascii="Times New Roman" w:hAnsi="Times New Roman" w:cs="Times New Roman"/>
        </w:rPr>
      </w:pPr>
    </w:p>
    <w:p w14:paraId="122AE652" w14:textId="77777777" w:rsidR="00FE473F" w:rsidRPr="004C1796" w:rsidRDefault="00FE473F" w:rsidP="00FE473F">
      <w:pPr>
        <w:rPr>
          <w:rFonts w:ascii="Times New Roman" w:hAnsi="Times New Roman" w:cs="Times New Roman"/>
        </w:rPr>
      </w:pPr>
      <w:r w:rsidRPr="004C1796">
        <w:rPr>
          <w:rFonts w:ascii="Times New Roman" w:hAnsi="Times New Roman" w:cs="Times New Roman"/>
        </w:rPr>
        <w:t>Police Foundation (2000) Drugs and the Law: Report of the Independent Inquiry into the</w:t>
      </w:r>
      <w:r w:rsidR="00CE309E" w:rsidRPr="004C1796">
        <w:rPr>
          <w:rFonts w:ascii="Times New Roman" w:hAnsi="Times New Roman" w:cs="Times New Roman"/>
        </w:rPr>
        <w:t xml:space="preserve"> </w:t>
      </w:r>
      <w:r w:rsidRPr="004C1796">
        <w:rPr>
          <w:rFonts w:ascii="Times New Roman" w:hAnsi="Times New Roman" w:cs="Times New Roman"/>
        </w:rPr>
        <w:t>Misuse of</w:t>
      </w:r>
      <w:r w:rsidR="00CE309E" w:rsidRPr="004C1796">
        <w:rPr>
          <w:rFonts w:ascii="Times New Roman" w:hAnsi="Times New Roman" w:cs="Times New Roman"/>
        </w:rPr>
        <w:t xml:space="preserve"> </w:t>
      </w:r>
      <w:r w:rsidRPr="004C1796">
        <w:rPr>
          <w:rFonts w:ascii="Times New Roman" w:hAnsi="Times New Roman" w:cs="Times New Roman"/>
        </w:rPr>
        <w:t>Drugs Act 1971. London, UK: The Police Foundation.</w:t>
      </w:r>
    </w:p>
    <w:p w14:paraId="12D29DB3" w14:textId="77777777" w:rsidR="00CE309E" w:rsidRPr="004C1796" w:rsidRDefault="00CE309E" w:rsidP="00FE473F">
      <w:pPr>
        <w:rPr>
          <w:rFonts w:ascii="Times New Roman" w:hAnsi="Times New Roman" w:cs="Times New Roman"/>
        </w:rPr>
      </w:pPr>
    </w:p>
    <w:p w14:paraId="34F8A190" w14:textId="297D9606" w:rsidR="00FE473F" w:rsidRPr="004C1796" w:rsidRDefault="00FE473F" w:rsidP="00FE473F">
      <w:pPr>
        <w:rPr>
          <w:rFonts w:ascii="Times New Roman" w:hAnsi="Times New Roman" w:cs="Times New Roman"/>
        </w:rPr>
      </w:pPr>
      <w:r w:rsidRPr="004C1796">
        <w:rPr>
          <w:rFonts w:ascii="Times New Roman" w:hAnsi="Times New Roman" w:cs="Times New Roman"/>
        </w:rPr>
        <w:t>Potter</w:t>
      </w:r>
      <w:r w:rsidR="0076230B" w:rsidRPr="004C1796">
        <w:rPr>
          <w:rFonts w:ascii="Times New Roman" w:hAnsi="Times New Roman" w:cs="Times New Roman"/>
        </w:rPr>
        <w:t>,</w:t>
      </w:r>
      <w:r w:rsidRPr="004C1796">
        <w:rPr>
          <w:rFonts w:ascii="Times New Roman" w:hAnsi="Times New Roman" w:cs="Times New Roman"/>
        </w:rPr>
        <w:t xml:space="preserve"> G</w:t>
      </w:r>
      <w:r w:rsidR="0076230B" w:rsidRPr="004C1796">
        <w:rPr>
          <w:rFonts w:ascii="Times New Roman" w:hAnsi="Times New Roman" w:cs="Times New Roman"/>
        </w:rPr>
        <w:t>.R</w:t>
      </w:r>
      <w:r w:rsidRPr="004C1796">
        <w:rPr>
          <w:rFonts w:ascii="Times New Roman" w:hAnsi="Times New Roman" w:cs="Times New Roman"/>
        </w:rPr>
        <w:t xml:space="preserve"> (2009) Exploring retail level drug distribution: Social supply, ‘real’ dealers and the user/dealer interface. In: Demetrovics T, Fountain J and Kraus L (eds)</w:t>
      </w:r>
      <w:r w:rsidRPr="004C1796">
        <w:rPr>
          <w:rFonts w:ascii="Times New Roman" w:hAnsi="Times New Roman" w:cs="Times New Roman"/>
          <w:i/>
        </w:rPr>
        <w:t xml:space="preserve"> Old and New Policies, Theories,</w:t>
      </w:r>
      <w:r w:rsidR="00CE309E" w:rsidRPr="004C1796">
        <w:rPr>
          <w:rFonts w:ascii="Times New Roman" w:hAnsi="Times New Roman" w:cs="Times New Roman"/>
          <w:i/>
        </w:rPr>
        <w:t xml:space="preserve"> </w:t>
      </w:r>
      <w:r w:rsidRPr="004C1796">
        <w:rPr>
          <w:rFonts w:ascii="Times New Roman" w:hAnsi="Times New Roman" w:cs="Times New Roman"/>
          <w:i/>
        </w:rPr>
        <w:t>Research Methods and Drug Users Across Europe</w:t>
      </w:r>
      <w:r w:rsidRPr="004C1796">
        <w:rPr>
          <w:rFonts w:ascii="Times New Roman" w:hAnsi="Times New Roman" w:cs="Times New Roman"/>
        </w:rPr>
        <w:t>. Lengerich: Pabst Publications.</w:t>
      </w:r>
    </w:p>
    <w:p w14:paraId="5805991C" w14:textId="77777777" w:rsidR="0076230B" w:rsidRPr="004C1796" w:rsidRDefault="0076230B" w:rsidP="00FE473F">
      <w:pPr>
        <w:rPr>
          <w:rFonts w:ascii="Times New Roman" w:hAnsi="Times New Roman" w:cs="Times New Roman"/>
        </w:rPr>
      </w:pPr>
    </w:p>
    <w:p w14:paraId="69CF9CD0" w14:textId="7A8422E3" w:rsidR="0076230B" w:rsidRPr="004C1796" w:rsidRDefault="0076230B" w:rsidP="00FE473F">
      <w:pPr>
        <w:rPr>
          <w:rFonts w:ascii="Times New Roman" w:hAnsi="Times New Roman" w:cs="Times New Roman"/>
        </w:rPr>
      </w:pPr>
      <w:r w:rsidRPr="004C1796">
        <w:rPr>
          <w:rFonts w:ascii="Times New Roman" w:hAnsi="Times New Roman" w:cs="Times New Roman"/>
        </w:rPr>
        <w:t>Porter, N. D., &amp; Wright, V. (2011) Cracked Justice</w:t>
      </w:r>
      <w:r w:rsidR="00BA05C3" w:rsidRPr="004C1796">
        <w:rPr>
          <w:rFonts w:ascii="Times New Roman" w:hAnsi="Times New Roman" w:cs="Times New Roman"/>
        </w:rPr>
        <w:t xml:space="preserve">. The Sentencing Project. Available at: </w:t>
      </w:r>
      <w:hyperlink r:id="rId25" w:history="1">
        <w:r w:rsidR="00BA05C3" w:rsidRPr="004C1796">
          <w:rPr>
            <w:rStyle w:val="Hyperlink"/>
            <w:rFonts w:ascii="Times New Roman" w:hAnsi="Times New Roman" w:cs="Times New Roman"/>
          </w:rPr>
          <w:t>file:///Users/s2979713/Downloads/Cracked-Justice.pdf</w:t>
        </w:r>
      </w:hyperlink>
      <w:r w:rsidR="00BA05C3" w:rsidRPr="004C1796">
        <w:rPr>
          <w:rFonts w:ascii="Times New Roman" w:hAnsi="Times New Roman" w:cs="Times New Roman"/>
        </w:rPr>
        <w:t xml:space="preserve"> </w:t>
      </w:r>
    </w:p>
    <w:p w14:paraId="70F4981F" w14:textId="77777777" w:rsidR="003E382F" w:rsidRPr="004C1796" w:rsidRDefault="003E382F" w:rsidP="00FE473F">
      <w:pPr>
        <w:rPr>
          <w:rFonts w:ascii="Times New Roman" w:hAnsi="Times New Roman" w:cs="Times New Roman"/>
        </w:rPr>
      </w:pPr>
    </w:p>
    <w:p w14:paraId="727CD046" w14:textId="27C25D80" w:rsidR="003E382F" w:rsidRPr="004C1796" w:rsidRDefault="003E382F" w:rsidP="003E382F">
      <w:pPr>
        <w:jc w:val="both"/>
        <w:rPr>
          <w:rFonts w:ascii="Times New Roman" w:hAnsi="Times New Roman" w:cs="Times New Roman"/>
        </w:rPr>
      </w:pPr>
      <w:r w:rsidRPr="004C1796">
        <w:rPr>
          <w:rFonts w:ascii="Times New Roman" w:hAnsi="Times New Roman" w:cs="Times New Roman"/>
        </w:rPr>
        <w:t xml:space="preserve">PZC (2016, October 4). </w:t>
      </w:r>
      <w:r w:rsidRPr="004C1796">
        <w:rPr>
          <w:rStyle w:val="Emphasis"/>
          <w:rFonts w:ascii="Times New Roman" w:eastAsia="Times New Roman" w:hAnsi="Times New Roman" w:cs="Times New Roman"/>
        </w:rPr>
        <w:t>Man uit Zierikzee krijgt celstraf voor dealen drugs voor vrienden</w:t>
      </w:r>
      <w:r w:rsidRPr="004C1796">
        <w:rPr>
          <w:rFonts w:ascii="Times New Roman" w:hAnsi="Times New Roman" w:cs="Times New Roman"/>
        </w:rPr>
        <w:t xml:space="preserve">. Retrieved from: </w:t>
      </w:r>
      <w:hyperlink r:id="rId26" w:history="1">
        <w:r w:rsidRPr="004C1796">
          <w:rPr>
            <w:rStyle w:val="Hyperlink"/>
            <w:rFonts w:ascii="Times New Roman" w:hAnsi="Times New Roman" w:cs="Times New Roman"/>
          </w:rPr>
          <w:t>http://www.pzc.nl/regio/schouwen-duiveland/man-uit-zierikzee-krijgt-celstraf-voor-dealen-drugs-voor-vrienden-1.6492248</w:t>
        </w:r>
      </w:hyperlink>
    </w:p>
    <w:p w14:paraId="415ADA5E" w14:textId="77777777" w:rsidR="00FE473F" w:rsidRPr="004C1796" w:rsidRDefault="00FE473F" w:rsidP="00B473AA">
      <w:pPr>
        <w:rPr>
          <w:rFonts w:ascii="Times New Roman" w:hAnsi="Times New Roman" w:cs="Times New Roman"/>
        </w:rPr>
      </w:pPr>
    </w:p>
    <w:p w14:paraId="557825CF" w14:textId="77777777" w:rsidR="00CE309E" w:rsidRPr="004C1796" w:rsidRDefault="00CE309E" w:rsidP="00CE309E">
      <w:pPr>
        <w:rPr>
          <w:rFonts w:ascii="Times New Roman" w:hAnsi="Times New Roman" w:cs="Times New Roman"/>
        </w:rPr>
      </w:pPr>
      <w:r w:rsidRPr="004C1796">
        <w:rPr>
          <w:rFonts w:ascii="Times New Roman" w:hAnsi="Times New Roman" w:cs="Times New Roman"/>
        </w:rPr>
        <w:t xml:space="preserve">Release (2009) </w:t>
      </w:r>
      <w:r w:rsidRPr="004C1796">
        <w:rPr>
          <w:rFonts w:ascii="Times New Roman" w:hAnsi="Times New Roman" w:cs="Times New Roman"/>
          <w:i/>
        </w:rPr>
        <w:t>Response to the Sentencing Advisory Panel’s Consultation Paper on Sentencing for Drug Offences</w:t>
      </w:r>
      <w:r w:rsidRPr="004C1796">
        <w:rPr>
          <w:rFonts w:ascii="Times New Roman" w:hAnsi="Times New Roman" w:cs="Times New Roman"/>
        </w:rPr>
        <w:t>. London, UK: Release.</w:t>
      </w:r>
    </w:p>
    <w:p w14:paraId="3FB519CA" w14:textId="77777777" w:rsidR="003E382F" w:rsidRPr="004C1796" w:rsidRDefault="003E382F" w:rsidP="00CE309E">
      <w:pPr>
        <w:rPr>
          <w:rFonts w:ascii="Times New Roman" w:hAnsi="Times New Roman" w:cs="Times New Roman"/>
        </w:rPr>
      </w:pPr>
    </w:p>
    <w:p w14:paraId="40D9B68D" w14:textId="77777777" w:rsidR="003E382F" w:rsidRPr="004C1796" w:rsidRDefault="003E382F" w:rsidP="003E382F">
      <w:pPr>
        <w:rPr>
          <w:rFonts w:ascii="Times New Roman" w:hAnsi="Times New Roman" w:cs="Times New Roman"/>
          <w:lang w:val="fi-FI"/>
        </w:rPr>
      </w:pPr>
      <w:r w:rsidRPr="004C1796">
        <w:rPr>
          <w:rFonts w:ascii="Times New Roman" w:hAnsi="Times New Roman" w:cs="Times New Roman"/>
          <w:lang w:val="fi-FI"/>
        </w:rPr>
        <w:t>Reuband, K.H. (2007). Strafverfolgung als Mittel der Generalprävention? In: Dollinger, B. &amp; Schmidt-Semisch, H. (eds.): Sozialwissenschaftliche Suchtforschung. Wiesbaden: VS-Verlag: 131-168.</w:t>
      </w:r>
    </w:p>
    <w:p w14:paraId="7D4F51FC" w14:textId="77777777" w:rsidR="00B473AA" w:rsidRPr="004C1796" w:rsidRDefault="00B473AA" w:rsidP="00AE0E01">
      <w:pPr>
        <w:rPr>
          <w:rFonts w:ascii="Times New Roman" w:hAnsi="Times New Roman" w:cs="Times New Roman"/>
        </w:rPr>
      </w:pPr>
    </w:p>
    <w:p w14:paraId="67091DF1" w14:textId="77777777" w:rsidR="00463E12" w:rsidRPr="004C1796" w:rsidRDefault="00463E12" w:rsidP="00463E12">
      <w:pPr>
        <w:rPr>
          <w:rFonts w:ascii="Times New Roman" w:hAnsi="Times New Roman" w:cs="Times New Roman"/>
          <w:lang w:eastAsia="en-GB"/>
        </w:rPr>
      </w:pPr>
      <w:r w:rsidRPr="004C1796">
        <w:rPr>
          <w:rFonts w:ascii="Times New Roman" w:hAnsi="Times New Roman" w:cs="Times New Roman"/>
          <w:lang w:eastAsia="en-GB"/>
        </w:rPr>
        <w:t xml:space="preserve">Sentencing Council (2011) </w:t>
      </w:r>
      <w:r w:rsidRPr="004C1796">
        <w:rPr>
          <w:rFonts w:ascii="Times New Roman" w:hAnsi="Times New Roman" w:cs="Times New Roman"/>
          <w:i/>
          <w:lang w:eastAsia="en-GB"/>
        </w:rPr>
        <w:t>Drug Offences Guideline, Public Consultation</w:t>
      </w:r>
      <w:r w:rsidRPr="004C1796">
        <w:rPr>
          <w:rFonts w:ascii="Times New Roman" w:hAnsi="Times New Roman" w:cs="Times New Roman"/>
          <w:lang w:eastAsia="en-GB"/>
        </w:rPr>
        <w:t>. London, UK: Sentencing</w:t>
      </w:r>
      <w:r w:rsidR="00265DED" w:rsidRPr="004C1796">
        <w:rPr>
          <w:rFonts w:ascii="Times New Roman" w:hAnsi="Times New Roman" w:cs="Times New Roman"/>
          <w:lang w:eastAsia="en-GB"/>
        </w:rPr>
        <w:t xml:space="preserve"> </w:t>
      </w:r>
      <w:r w:rsidRPr="004C1796">
        <w:rPr>
          <w:rFonts w:ascii="Times New Roman" w:hAnsi="Times New Roman" w:cs="Times New Roman"/>
          <w:lang w:eastAsia="en-GB"/>
        </w:rPr>
        <w:t>Council.</w:t>
      </w:r>
    </w:p>
    <w:p w14:paraId="63CE87E1" w14:textId="77777777" w:rsidR="00463E12" w:rsidRPr="004C1796" w:rsidRDefault="00463E12" w:rsidP="00463E12">
      <w:pPr>
        <w:rPr>
          <w:rFonts w:ascii="Times New Roman" w:hAnsi="Times New Roman" w:cs="Times New Roman"/>
          <w:lang w:eastAsia="en-GB"/>
        </w:rPr>
      </w:pPr>
    </w:p>
    <w:p w14:paraId="053FC112" w14:textId="77777777" w:rsidR="00463E12" w:rsidRPr="004C1796" w:rsidRDefault="00463E12" w:rsidP="00463E12">
      <w:pPr>
        <w:rPr>
          <w:rFonts w:ascii="Times New Roman" w:hAnsi="Times New Roman" w:cs="Times New Roman"/>
          <w:lang w:eastAsia="en-GB"/>
        </w:rPr>
      </w:pPr>
      <w:r w:rsidRPr="004C1796">
        <w:rPr>
          <w:rFonts w:ascii="Times New Roman" w:hAnsi="Times New Roman" w:cs="Times New Roman"/>
          <w:lang w:eastAsia="en-GB"/>
        </w:rPr>
        <w:t xml:space="preserve">Sentencing Council (2012) </w:t>
      </w:r>
      <w:r w:rsidRPr="004C1796">
        <w:rPr>
          <w:rFonts w:ascii="Times New Roman" w:hAnsi="Times New Roman" w:cs="Times New Roman"/>
          <w:i/>
          <w:lang w:eastAsia="en-GB"/>
        </w:rPr>
        <w:t>Drug Offences Definitive Guidelines</w:t>
      </w:r>
      <w:r w:rsidRPr="004C1796">
        <w:rPr>
          <w:rFonts w:ascii="Times New Roman" w:hAnsi="Times New Roman" w:cs="Times New Roman"/>
          <w:lang w:eastAsia="en-GB"/>
        </w:rPr>
        <w:t>. London, UK: Sentencing</w:t>
      </w:r>
      <w:r w:rsidR="00265DED" w:rsidRPr="004C1796">
        <w:rPr>
          <w:rFonts w:ascii="Times New Roman" w:hAnsi="Times New Roman" w:cs="Times New Roman"/>
          <w:lang w:eastAsia="en-GB"/>
        </w:rPr>
        <w:t xml:space="preserve"> </w:t>
      </w:r>
      <w:r w:rsidRPr="004C1796">
        <w:rPr>
          <w:rFonts w:ascii="Times New Roman" w:hAnsi="Times New Roman" w:cs="Times New Roman"/>
          <w:lang w:eastAsia="en-GB"/>
        </w:rPr>
        <w:t>Council.</w:t>
      </w:r>
    </w:p>
    <w:p w14:paraId="79DE8C74" w14:textId="77777777" w:rsidR="00463E12" w:rsidRPr="004C1796" w:rsidRDefault="00463E12" w:rsidP="00AE0E01">
      <w:pPr>
        <w:rPr>
          <w:rFonts w:ascii="Times New Roman" w:hAnsi="Times New Roman" w:cs="Times New Roman"/>
        </w:rPr>
      </w:pPr>
    </w:p>
    <w:p w14:paraId="69BF31D4" w14:textId="77777777" w:rsidR="00AE0E01" w:rsidRPr="004C1796" w:rsidRDefault="004E2120">
      <w:pPr>
        <w:rPr>
          <w:rFonts w:ascii="Times New Roman" w:hAnsi="Times New Roman" w:cs="Times New Roman"/>
        </w:rPr>
      </w:pPr>
      <w:r w:rsidRPr="004C1796">
        <w:rPr>
          <w:rFonts w:ascii="Times New Roman" w:hAnsi="Times New Roman" w:cs="Times New Roman"/>
        </w:rPr>
        <w:lastRenderedPageBreak/>
        <w:t>Sigler, M. (2003). Contradiction, Coherence, and Guided Discretion in the Supreme Court's Capital Sentencing Jurisprudence.</w:t>
      </w:r>
    </w:p>
    <w:p w14:paraId="66E77D3C" w14:textId="77777777" w:rsidR="004E2120" w:rsidRPr="004C1796" w:rsidRDefault="004E2120" w:rsidP="00AE0E01">
      <w:pPr>
        <w:rPr>
          <w:rFonts w:ascii="Times New Roman" w:hAnsi="Times New Roman" w:cs="Times New Roman"/>
        </w:rPr>
      </w:pPr>
    </w:p>
    <w:p w14:paraId="59BC643A" w14:textId="77777777" w:rsidR="00AE0E01" w:rsidRPr="004C1796" w:rsidRDefault="00AE0E01" w:rsidP="00AE0E01">
      <w:pPr>
        <w:rPr>
          <w:rFonts w:ascii="Times New Roman" w:hAnsi="Times New Roman" w:cs="Times New Roman"/>
        </w:rPr>
      </w:pPr>
      <w:r w:rsidRPr="004C1796">
        <w:rPr>
          <w:rFonts w:ascii="Times New Roman" w:hAnsi="Times New Roman" w:cs="Times New Roman"/>
        </w:rPr>
        <w:t xml:space="preserve">So, E. (2009) Changes in Drug Subculture and Drug Trafficking Among Young People. </w:t>
      </w:r>
      <w:r w:rsidRPr="004C1796">
        <w:rPr>
          <w:rFonts w:ascii="Times New Roman" w:hAnsi="Times New Roman" w:cs="Times New Roman"/>
          <w:i/>
        </w:rPr>
        <w:t>Journal of Youth Studie</w:t>
      </w:r>
      <w:r w:rsidR="00596745" w:rsidRPr="004C1796">
        <w:rPr>
          <w:rFonts w:ascii="Times New Roman" w:hAnsi="Times New Roman" w:cs="Times New Roman"/>
          <w:i/>
        </w:rPr>
        <w:t>s</w:t>
      </w:r>
      <w:r w:rsidR="00596745" w:rsidRPr="004C1796">
        <w:rPr>
          <w:rFonts w:ascii="Times New Roman" w:hAnsi="Times New Roman" w:cs="Times New Roman"/>
        </w:rPr>
        <w:t xml:space="preserve">. 12(1) Serial 23: 171-176. </w:t>
      </w:r>
      <w:r w:rsidRPr="004C1796">
        <w:rPr>
          <w:rFonts w:ascii="Times New Roman" w:hAnsi="Times New Roman" w:cs="Times New Roman"/>
        </w:rPr>
        <w:t xml:space="preserve"> </w:t>
      </w:r>
      <w:r w:rsidR="00596745" w:rsidRPr="004C1796">
        <w:rPr>
          <w:rFonts w:ascii="Times New Roman" w:hAnsi="Times New Roman" w:cs="Times New Roman"/>
        </w:rPr>
        <w:t>(</w:t>
      </w:r>
      <w:r w:rsidRPr="004C1796">
        <w:rPr>
          <w:rFonts w:ascii="Times New Roman" w:hAnsi="Times New Roman" w:cs="Times New Roman"/>
        </w:rPr>
        <w:t>Chinese)</w:t>
      </w:r>
    </w:p>
    <w:p w14:paraId="7272F456" w14:textId="77777777" w:rsidR="009D221A" w:rsidRPr="004C1796" w:rsidRDefault="009D221A" w:rsidP="00AE0E01">
      <w:pPr>
        <w:rPr>
          <w:rFonts w:ascii="Times New Roman" w:hAnsi="Times New Roman" w:cs="Times New Roman"/>
        </w:rPr>
      </w:pPr>
    </w:p>
    <w:p w14:paraId="2A7E9375" w14:textId="4D9161E2" w:rsidR="009D221A" w:rsidRPr="004C1796" w:rsidRDefault="009D221A" w:rsidP="009D221A">
      <w:pPr>
        <w:jc w:val="both"/>
        <w:rPr>
          <w:rFonts w:ascii="Times New Roman" w:hAnsi="Times New Roman" w:cs="Times New Roman"/>
        </w:rPr>
      </w:pPr>
      <w:r w:rsidRPr="004C1796">
        <w:rPr>
          <w:rFonts w:ascii="Times New Roman" w:hAnsi="Times New Roman" w:cs="Times New Roman"/>
        </w:rPr>
        <w:t>South, N. (1999). Debating drugs and everyday life: Normalisation, prohibition and ‘otherness’. In N. South (Ed.), Drugs: Cultures, controls and everyday life (pp. 1–15). London: Sage.</w:t>
      </w:r>
    </w:p>
    <w:p w14:paraId="18E3F69D" w14:textId="77777777" w:rsidR="009D221A" w:rsidRPr="004C1796" w:rsidRDefault="009D221A" w:rsidP="009D221A">
      <w:pPr>
        <w:jc w:val="both"/>
        <w:rPr>
          <w:rFonts w:ascii="Times New Roman" w:hAnsi="Times New Roman" w:cs="Times New Roman"/>
        </w:rPr>
      </w:pPr>
    </w:p>
    <w:p w14:paraId="2D393CC9" w14:textId="725070AD" w:rsidR="009D221A" w:rsidRPr="004C1796" w:rsidRDefault="009D221A" w:rsidP="009D221A">
      <w:pPr>
        <w:jc w:val="both"/>
        <w:rPr>
          <w:rFonts w:ascii="Times New Roman" w:hAnsi="Times New Roman" w:cs="Times New Roman"/>
        </w:rPr>
      </w:pPr>
      <w:r w:rsidRPr="004C1796">
        <w:rPr>
          <w:rFonts w:ascii="Times New Roman" w:hAnsi="Times New Roman" w:cs="Times New Roman"/>
        </w:rPr>
        <w:t>South, N. (2004). Managing work, hedonism and ‘the borderline’</w:t>
      </w:r>
      <w:r w:rsidR="00E8414F" w:rsidRPr="004C1796">
        <w:rPr>
          <w:rFonts w:ascii="Times New Roman" w:hAnsi="Times New Roman" w:cs="Times New Roman"/>
        </w:rPr>
        <w:t xml:space="preserve"> </w:t>
      </w:r>
      <w:r w:rsidRPr="004C1796">
        <w:rPr>
          <w:rFonts w:ascii="Times New Roman" w:hAnsi="Times New Roman" w:cs="Times New Roman"/>
        </w:rPr>
        <w:t>between the legal and illegal markets: Two case studies of recreational</w:t>
      </w:r>
      <w:r w:rsidR="00E8414F" w:rsidRPr="004C1796">
        <w:rPr>
          <w:rFonts w:ascii="Times New Roman" w:hAnsi="Times New Roman" w:cs="Times New Roman"/>
        </w:rPr>
        <w:t xml:space="preserve"> </w:t>
      </w:r>
      <w:r w:rsidRPr="004C1796">
        <w:rPr>
          <w:rFonts w:ascii="Times New Roman" w:hAnsi="Times New Roman" w:cs="Times New Roman"/>
        </w:rPr>
        <w:t>heavy drug users. Addiction Research &amp; Theory, 12, 525–538.</w:t>
      </w:r>
    </w:p>
    <w:p w14:paraId="2B5DE175" w14:textId="77777777" w:rsidR="00492C7F" w:rsidRPr="004C1796" w:rsidRDefault="00492C7F" w:rsidP="00AE0E01">
      <w:pPr>
        <w:rPr>
          <w:rFonts w:ascii="Times New Roman" w:hAnsi="Times New Roman" w:cs="Times New Roman"/>
        </w:rPr>
      </w:pPr>
    </w:p>
    <w:p w14:paraId="4B9F1DEB" w14:textId="77777777" w:rsidR="00492C7F" w:rsidRPr="004C1796" w:rsidRDefault="00492C7F" w:rsidP="00492C7F">
      <w:pPr>
        <w:rPr>
          <w:rFonts w:ascii="Times New Roman" w:eastAsia="Times New Roman" w:hAnsi="Times New Roman" w:cs="Times New Roman"/>
          <w:lang w:eastAsia="en-GB"/>
        </w:rPr>
      </w:pPr>
      <w:r w:rsidRPr="004C1796">
        <w:rPr>
          <w:rFonts w:ascii="Times New Roman" w:eastAsia="Times New Roman" w:hAnsi="Times New Roman" w:cs="Times New Roman"/>
          <w:lang w:eastAsia="en-GB"/>
        </w:rPr>
        <w:t xml:space="preserve">Spohn, C, </w:t>
      </w:r>
      <w:r w:rsidR="00251FEA" w:rsidRPr="004C1796">
        <w:rPr>
          <w:rFonts w:ascii="Times New Roman" w:eastAsia="Times New Roman" w:hAnsi="Times New Roman" w:cs="Times New Roman"/>
          <w:lang w:eastAsia="en-GB"/>
        </w:rPr>
        <w:t xml:space="preserve">&amp; </w:t>
      </w:r>
      <w:r w:rsidRPr="004C1796">
        <w:rPr>
          <w:rFonts w:ascii="Times New Roman" w:eastAsia="Times New Roman" w:hAnsi="Times New Roman" w:cs="Times New Roman"/>
          <w:lang w:eastAsia="en-GB"/>
        </w:rPr>
        <w:t>Fornango, R (2009) U.S. attorneys and substantial assistance departures: Testing for inter-prosecutor disparity. Criminology 47:813–46</w:t>
      </w:r>
    </w:p>
    <w:p w14:paraId="00E9A241" w14:textId="77777777" w:rsidR="00C80797" w:rsidRPr="004C1796" w:rsidRDefault="00C80797" w:rsidP="00895FAB">
      <w:pPr>
        <w:rPr>
          <w:rFonts w:ascii="Times New Roman" w:hAnsi="Times New Roman" w:cs="Times New Roman"/>
          <w:lang w:val="fi-FI"/>
        </w:rPr>
      </w:pPr>
    </w:p>
    <w:p w14:paraId="1E0254E8" w14:textId="77777777" w:rsidR="00C80797" w:rsidRPr="004C1796" w:rsidRDefault="00C80797" w:rsidP="00C80797">
      <w:pPr>
        <w:rPr>
          <w:rFonts w:ascii="Times New Roman" w:hAnsi="Times New Roman" w:cs="Times New Roman"/>
        </w:rPr>
      </w:pPr>
      <w:r w:rsidRPr="004C1796">
        <w:rPr>
          <w:rFonts w:ascii="Times New Roman" w:hAnsi="Times New Roman" w:cs="Times New Roman"/>
        </w:rPr>
        <w:t>Taylor, S. (2008). Outside the outsiders: Media representations of drug use. </w:t>
      </w:r>
      <w:r w:rsidRPr="004C1796">
        <w:rPr>
          <w:rFonts w:ascii="Times New Roman" w:hAnsi="Times New Roman" w:cs="Times New Roman"/>
          <w:i/>
          <w:iCs/>
        </w:rPr>
        <w:t>Probation Journal</w:t>
      </w:r>
      <w:r w:rsidRPr="004C1796">
        <w:rPr>
          <w:rFonts w:ascii="Times New Roman" w:hAnsi="Times New Roman" w:cs="Times New Roman"/>
        </w:rPr>
        <w:t>, </w:t>
      </w:r>
      <w:r w:rsidRPr="004C1796">
        <w:rPr>
          <w:rFonts w:ascii="Times New Roman" w:hAnsi="Times New Roman" w:cs="Times New Roman"/>
          <w:i/>
          <w:iCs/>
        </w:rPr>
        <w:t>55</w:t>
      </w:r>
      <w:r w:rsidRPr="004C1796">
        <w:rPr>
          <w:rFonts w:ascii="Times New Roman" w:hAnsi="Times New Roman" w:cs="Times New Roman"/>
        </w:rPr>
        <w:t>(4), 369-387.</w:t>
      </w:r>
    </w:p>
    <w:p w14:paraId="609DF1B9" w14:textId="77777777" w:rsidR="00895FAB" w:rsidRPr="004C1796" w:rsidRDefault="00895FAB" w:rsidP="00AE0E01">
      <w:pPr>
        <w:rPr>
          <w:rFonts w:ascii="Times New Roman" w:hAnsi="Times New Roman" w:cs="Times New Roman"/>
        </w:rPr>
      </w:pPr>
    </w:p>
    <w:p w14:paraId="264F213F" w14:textId="77777777" w:rsidR="00AE0E01" w:rsidRPr="004C1796" w:rsidRDefault="002803FB">
      <w:pPr>
        <w:rPr>
          <w:rFonts w:ascii="Times New Roman" w:hAnsi="Times New Roman" w:cs="Times New Roman"/>
        </w:rPr>
      </w:pPr>
      <w:r w:rsidRPr="004C1796">
        <w:rPr>
          <w:rFonts w:ascii="Times New Roman" w:hAnsi="Times New Roman" w:cs="Times New Roman"/>
        </w:rPr>
        <w:t xml:space="preserve">UNODC (2015) The challenge of synthetic drugs in East and South East Asia and Oceania. Trends and types pf amphetamine type stimulants and new psychoactive substances. Available at: </w:t>
      </w:r>
      <w:hyperlink r:id="rId27" w:history="1">
        <w:r w:rsidR="00F13EB1" w:rsidRPr="004C1796">
          <w:rPr>
            <w:rStyle w:val="Hyperlink"/>
            <w:rFonts w:ascii="Times New Roman" w:hAnsi="Times New Roman" w:cs="Times New Roman"/>
          </w:rPr>
          <w:t>https://www.unodc.org/documents/southeastasiaandpacific/Publications/2015/drugs/ATS_2015_Report_web.pdf</w:t>
        </w:r>
      </w:hyperlink>
      <w:r w:rsidR="00F13EB1" w:rsidRPr="004C1796">
        <w:rPr>
          <w:rFonts w:ascii="Times New Roman" w:hAnsi="Times New Roman" w:cs="Times New Roman"/>
        </w:rPr>
        <w:t xml:space="preserve"> </w:t>
      </w:r>
    </w:p>
    <w:p w14:paraId="44BB3BF6" w14:textId="77777777" w:rsidR="004846DF" w:rsidRPr="004C1796" w:rsidRDefault="004846DF" w:rsidP="00E04EEC">
      <w:pPr>
        <w:rPr>
          <w:rFonts w:ascii="Times New Roman" w:hAnsi="Times New Roman" w:cs="Times New Roman"/>
        </w:rPr>
      </w:pPr>
    </w:p>
    <w:p w14:paraId="5DF8308B" w14:textId="77777777" w:rsidR="004846DF" w:rsidRPr="004C1796" w:rsidRDefault="004846DF" w:rsidP="004846DF">
      <w:pPr>
        <w:rPr>
          <w:rFonts w:ascii="Times New Roman" w:eastAsia="Times New Roman" w:hAnsi="Times New Roman" w:cs="Times New Roman"/>
          <w:sz w:val="36"/>
          <w:lang w:eastAsia="en-GB"/>
        </w:rPr>
      </w:pPr>
      <w:r w:rsidRPr="004C1796">
        <w:rPr>
          <w:rFonts w:ascii="Times New Roman" w:eastAsia="Times New Roman" w:hAnsi="Times New Roman" w:cs="Times New Roman"/>
          <w:color w:val="222222"/>
          <w:szCs w:val="20"/>
          <w:shd w:val="clear" w:color="auto" w:fill="FFFFFF"/>
          <w:lang w:eastAsia="en-GB"/>
        </w:rPr>
        <w:t>van de Ven, K., &amp; Mulrooney, K. J. (2017). Social suppliers: Exploring the cultural contours of the performance and image enhancing drug (PIED) market among bodybuilders in the Netherlands and Belgium. </w:t>
      </w:r>
      <w:r w:rsidRPr="004C1796">
        <w:rPr>
          <w:rFonts w:ascii="Times New Roman" w:eastAsia="Times New Roman" w:hAnsi="Times New Roman" w:cs="Times New Roman"/>
          <w:i/>
          <w:iCs/>
          <w:color w:val="222222"/>
          <w:szCs w:val="20"/>
          <w:shd w:val="clear" w:color="auto" w:fill="FFFFFF"/>
          <w:lang w:eastAsia="en-GB"/>
        </w:rPr>
        <w:t>International Journal of Drug Policy</w:t>
      </w:r>
      <w:r w:rsidRPr="004C1796">
        <w:rPr>
          <w:rFonts w:ascii="Times New Roman" w:eastAsia="Times New Roman" w:hAnsi="Times New Roman" w:cs="Times New Roman"/>
          <w:color w:val="222222"/>
          <w:szCs w:val="20"/>
          <w:shd w:val="clear" w:color="auto" w:fill="FFFFFF"/>
          <w:lang w:eastAsia="en-GB"/>
        </w:rPr>
        <w:t>, </w:t>
      </w:r>
      <w:r w:rsidRPr="004C1796">
        <w:rPr>
          <w:rFonts w:ascii="Times New Roman" w:eastAsia="Times New Roman" w:hAnsi="Times New Roman" w:cs="Times New Roman"/>
          <w:i/>
          <w:iCs/>
          <w:color w:val="222222"/>
          <w:szCs w:val="20"/>
          <w:shd w:val="clear" w:color="auto" w:fill="FFFFFF"/>
          <w:lang w:eastAsia="en-GB"/>
        </w:rPr>
        <w:t>40</w:t>
      </w:r>
      <w:r w:rsidRPr="004C1796">
        <w:rPr>
          <w:rFonts w:ascii="Times New Roman" w:eastAsia="Times New Roman" w:hAnsi="Times New Roman" w:cs="Times New Roman"/>
          <w:color w:val="222222"/>
          <w:szCs w:val="20"/>
          <w:shd w:val="clear" w:color="auto" w:fill="FFFFFF"/>
          <w:lang w:eastAsia="en-GB"/>
        </w:rPr>
        <w:t>, 6-15.</w:t>
      </w:r>
    </w:p>
    <w:p w14:paraId="156B3F15" w14:textId="77777777" w:rsidR="004846DF" w:rsidRPr="004C1796" w:rsidRDefault="004846DF" w:rsidP="00E04EEC">
      <w:pPr>
        <w:rPr>
          <w:rFonts w:ascii="Times New Roman" w:hAnsi="Times New Roman" w:cs="Times New Roman"/>
        </w:rPr>
      </w:pPr>
    </w:p>
    <w:p w14:paraId="4E5FC266" w14:textId="77777777" w:rsidR="00E04EEC" w:rsidRPr="004C1796" w:rsidRDefault="00E04EEC" w:rsidP="00E04EEC">
      <w:pPr>
        <w:rPr>
          <w:rFonts w:ascii="Times New Roman" w:hAnsi="Times New Roman" w:cs="Times New Roman"/>
        </w:rPr>
      </w:pPr>
      <w:r w:rsidRPr="004C1796">
        <w:rPr>
          <w:rFonts w:ascii="Times New Roman" w:hAnsi="Times New Roman" w:cs="Times New Roman"/>
        </w:rPr>
        <w:t xml:space="preserve">Von Hirsch, A., &amp; Ashworth, A. (2005). </w:t>
      </w:r>
      <w:r w:rsidRPr="004C1796">
        <w:rPr>
          <w:rFonts w:ascii="Times New Roman" w:hAnsi="Times New Roman" w:cs="Times New Roman"/>
          <w:i/>
        </w:rPr>
        <w:t>Proportionate sentencing: Exploring the principles</w:t>
      </w:r>
      <w:r w:rsidRPr="004C1796">
        <w:rPr>
          <w:rFonts w:ascii="Times New Roman" w:hAnsi="Times New Roman" w:cs="Times New Roman"/>
        </w:rPr>
        <w:t>. Oxford: OUP</w:t>
      </w:r>
    </w:p>
    <w:p w14:paraId="4AB19E9E" w14:textId="77777777" w:rsidR="00853E2A" w:rsidRPr="004C1796" w:rsidRDefault="00853E2A">
      <w:pPr>
        <w:rPr>
          <w:rFonts w:ascii="Times New Roman" w:hAnsi="Times New Roman" w:cs="Times New Roman"/>
          <w:b/>
        </w:rPr>
      </w:pPr>
    </w:p>
    <w:p w14:paraId="1B1EEBE4" w14:textId="77777777" w:rsidR="0025281B" w:rsidRPr="004C1796" w:rsidRDefault="0025281B" w:rsidP="00935CA7">
      <w:pPr>
        <w:pStyle w:val="EndNoteBibliography"/>
        <w:spacing w:after="0"/>
        <w:rPr>
          <w:rFonts w:ascii="Times New Roman" w:hAnsi="Times New Roman" w:cs="Times New Roman"/>
          <w:lang w:val="nl-BE"/>
        </w:rPr>
      </w:pPr>
      <w:r w:rsidRPr="004C1796">
        <w:rPr>
          <w:rFonts w:ascii="Times New Roman" w:hAnsi="Times New Roman" w:cs="Times New Roman"/>
        </w:rPr>
        <w:t xml:space="preserve">Vlaemynck, M. (2016). </w:t>
      </w:r>
      <w:r w:rsidRPr="004C1796">
        <w:rPr>
          <w:rFonts w:ascii="Times New Roman" w:hAnsi="Times New Roman" w:cs="Times New Roman"/>
          <w:i/>
        </w:rPr>
        <w:t>Disentangling 'social supply': a personal netork study into the social world of recreational cannabis use and its supply.</w:t>
      </w:r>
      <w:r w:rsidRPr="004C1796">
        <w:rPr>
          <w:rFonts w:ascii="Times New Roman" w:hAnsi="Times New Roman" w:cs="Times New Roman"/>
        </w:rPr>
        <w:t xml:space="preserve"> </w:t>
      </w:r>
      <w:r w:rsidRPr="004C1796">
        <w:rPr>
          <w:rFonts w:ascii="Times New Roman" w:hAnsi="Times New Roman" w:cs="Times New Roman"/>
          <w:lang w:val="nl-BE"/>
        </w:rPr>
        <w:t xml:space="preserve">(Dissertation), University of Ghent, Ghent. </w:t>
      </w:r>
      <w:r w:rsidR="00204FF2" w:rsidRPr="004C1796">
        <w:rPr>
          <w:rFonts w:ascii="Times New Roman" w:hAnsi="Times New Roman" w:cs="Times New Roman"/>
          <w:lang w:val="nl-BE"/>
        </w:rPr>
        <w:t>English AUS</w:t>
      </w:r>
      <w:r w:rsidRPr="004C1796">
        <w:rPr>
          <w:rFonts w:ascii="Times New Roman" w:hAnsi="Times New Roman" w:cs="Times New Roman"/>
          <w:lang w:val="nl-BE"/>
        </w:rPr>
        <w:t xml:space="preserve">  </w:t>
      </w:r>
    </w:p>
    <w:p w14:paraId="5580A3B0" w14:textId="77777777" w:rsidR="0070082F" w:rsidRPr="004C1796" w:rsidRDefault="0070082F" w:rsidP="00935CA7">
      <w:pPr>
        <w:pStyle w:val="EndNoteBibliography"/>
        <w:spacing w:after="0"/>
        <w:rPr>
          <w:rFonts w:ascii="Times New Roman" w:hAnsi="Times New Roman" w:cs="Times New Roman"/>
          <w:lang w:val="nl-BE"/>
        </w:rPr>
      </w:pPr>
    </w:p>
    <w:p w14:paraId="03624685" w14:textId="77777777" w:rsidR="0070082F" w:rsidRPr="004C1796" w:rsidRDefault="0070082F" w:rsidP="0070082F">
      <w:pPr>
        <w:rPr>
          <w:rFonts w:ascii="Times" w:hAnsi="Times"/>
          <w:lang w:val="de-DE"/>
        </w:rPr>
      </w:pPr>
      <w:r w:rsidRPr="004C1796">
        <w:rPr>
          <w:rFonts w:ascii="Times" w:hAnsi="Times"/>
        </w:rPr>
        <w:t>Werse, B. (2008): Retail markets for cannabis - users, sharers, go-betweens and stash dealers. In: Korf, D. J. (Ed.): Cannabis in Europe. Dynamics in Perception, Policy and Markets. Lengerich: Pabst</w:t>
      </w:r>
    </w:p>
    <w:p w14:paraId="3CB47C93" w14:textId="77777777" w:rsidR="0070082F" w:rsidRPr="004C1796" w:rsidRDefault="0070082F" w:rsidP="0070082F">
      <w:pPr>
        <w:rPr>
          <w:rFonts w:ascii="Times" w:hAnsi="Times"/>
        </w:rPr>
      </w:pPr>
    </w:p>
    <w:p w14:paraId="6C3808BF" w14:textId="11E7AF82" w:rsidR="0070082F" w:rsidRPr="004C1796" w:rsidRDefault="0070082F" w:rsidP="0070082F">
      <w:pPr>
        <w:rPr>
          <w:rFonts w:ascii="Times" w:hAnsi="Times"/>
        </w:rPr>
      </w:pPr>
      <w:r w:rsidRPr="004C1796">
        <w:rPr>
          <w:rFonts w:ascii="Times" w:hAnsi="Times"/>
        </w:rPr>
        <w:t>Werse, B. (2014): Wie kriminell sind 'Social Supplier'? Ergebnisse zum Drogenkleinsthandel aus zwei empirischen Studien. Rausch - Wiener Zeitschrift für Suchttherapie, 2014; 3(2): 98-106</w:t>
      </w:r>
    </w:p>
    <w:p w14:paraId="0C4C512A" w14:textId="77777777" w:rsidR="000F2264" w:rsidRPr="004C1796" w:rsidRDefault="000F2264" w:rsidP="00935CA7">
      <w:pPr>
        <w:pStyle w:val="EndNoteBibliography"/>
        <w:spacing w:after="0"/>
        <w:rPr>
          <w:rFonts w:ascii="Times New Roman" w:hAnsi="Times New Roman" w:cs="Times New Roman"/>
          <w:lang w:val="nl-BE"/>
        </w:rPr>
      </w:pPr>
    </w:p>
    <w:p w14:paraId="66D268BC" w14:textId="77777777" w:rsidR="000F2264" w:rsidRPr="004C1796" w:rsidRDefault="000F2264" w:rsidP="00935CA7">
      <w:pPr>
        <w:pStyle w:val="EndNoteBibliography"/>
        <w:spacing w:after="0"/>
        <w:rPr>
          <w:rFonts w:ascii="Times New Roman" w:hAnsi="Times New Roman" w:cs="Times New Roman"/>
          <w:lang w:val="nl-BE"/>
        </w:rPr>
      </w:pPr>
      <w:r w:rsidRPr="004C1796">
        <w:rPr>
          <w:rFonts w:ascii="Times New Roman" w:hAnsi="Times New Roman" w:cs="Times New Roman"/>
          <w:lang w:val="nl-BE"/>
        </w:rPr>
        <w:t xml:space="preserve">Werse, B. &amp; Bernard., C (eds) </w:t>
      </w:r>
      <w:r w:rsidR="0004316F" w:rsidRPr="004C1796">
        <w:rPr>
          <w:rFonts w:ascii="Times New Roman" w:hAnsi="Times New Roman" w:cs="Times New Roman"/>
          <w:lang w:val="nl-BE"/>
        </w:rPr>
        <w:t>(</w:t>
      </w:r>
      <w:r w:rsidRPr="004C1796">
        <w:rPr>
          <w:rFonts w:ascii="Times New Roman" w:hAnsi="Times New Roman" w:cs="Times New Roman"/>
          <w:lang w:val="nl-BE"/>
        </w:rPr>
        <w:t>2016</w:t>
      </w:r>
      <w:r w:rsidR="0004316F" w:rsidRPr="004C1796">
        <w:rPr>
          <w:rFonts w:ascii="Times New Roman" w:hAnsi="Times New Roman" w:cs="Times New Roman"/>
          <w:lang w:val="nl-BE"/>
        </w:rPr>
        <w:t>)</w:t>
      </w:r>
      <w:r w:rsidRPr="004C1796">
        <w:rPr>
          <w:rFonts w:ascii="Times New Roman" w:hAnsi="Times New Roman" w:cs="Times New Roman"/>
          <w:lang w:val="nl-BE"/>
        </w:rPr>
        <w:t xml:space="preserve">. </w:t>
      </w:r>
      <w:r w:rsidRPr="004C1796">
        <w:rPr>
          <w:rFonts w:ascii="Times New Roman" w:hAnsi="Times New Roman" w:cs="Times New Roman"/>
          <w:i/>
          <w:lang w:val="nl-BE"/>
        </w:rPr>
        <w:t>Friendly Business. International Views on Social Supply, Self-Supply and Small Sc</w:t>
      </w:r>
      <w:r w:rsidR="0004316F" w:rsidRPr="004C1796">
        <w:rPr>
          <w:rFonts w:ascii="Times New Roman" w:hAnsi="Times New Roman" w:cs="Times New Roman"/>
          <w:i/>
          <w:lang w:val="nl-BE"/>
        </w:rPr>
        <w:t>ale Drug Dealing</w:t>
      </w:r>
      <w:r w:rsidR="0004316F" w:rsidRPr="004C1796">
        <w:rPr>
          <w:rFonts w:ascii="Times New Roman" w:hAnsi="Times New Roman" w:cs="Times New Roman"/>
          <w:lang w:val="nl-BE"/>
        </w:rPr>
        <w:t>. Wiesbaden: Springer VS.</w:t>
      </w:r>
    </w:p>
    <w:p w14:paraId="3108E225" w14:textId="77777777" w:rsidR="00717929" w:rsidRPr="004C1796" w:rsidRDefault="00717929" w:rsidP="0025281B">
      <w:pPr>
        <w:pStyle w:val="EndNoteBibliography"/>
        <w:spacing w:after="0"/>
        <w:ind w:left="720" w:hanging="720"/>
        <w:rPr>
          <w:rFonts w:ascii="Times New Roman" w:hAnsi="Times New Roman" w:cs="Times New Roman"/>
          <w:lang w:val="nl-BE"/>
        </w:rPr>
      </w:pPr>
    </w:p>
    <w:p w14:paraId="00F73F8D" w14:textId="59817F83" w:rsidR="0076230B" w:rsidRPr="004C1796" w:rsidRDefault="00717929" w:rsidP="00717929">
      <w:pPr>
        <w:pStyle w:val="CommentText"/>
        <w:rPr>
          <w:rFonts w:ascii="Times New Roman" w:hAnsi="Times New Roman" w:cs="Times New Roman"/>
        </w:rPr>
      </w:pPr>
      <w:r w:rsidRPr="004C1796">
        <w:rPr>
          <w:rFonts w:ascii="Times New Roman" w:hAnsi="Times New Roman" w:cs="Times New Roman"/>
        </w:rPr>
        <w:lastRenderedPageBreak/>
        <w:t xml:space="preserve">Werse, B. &amp; Müller, D. (2016): Drifting in and out of Dealing - results on career dynamics from the TDID project. In: Werse &amp; Bernard (eds.): </w:t>
      </w:r>
      <w:r w:rsidRPr="004C1796">
        <w:rPr>
          <w:rFonts w:ascii="Times New Roman" w:hAnsi="Times New Roman" w:cs="Times New Roman"/>
          <w:i/>
        </w:rPr>
        <w:t>Friendly Business,</w:t>
      </w:r>
      <w:r w:rsidRPr="004C1796">
        <w:rPr>
          <w:rFonts w:ascii="Times New Roman" w:hAnsi="Times New Roman" w:cs="Times New Roman"/>
        </w:rPr>
        <w:t xml:space="preserve"> </w:t>
      </w:r>
      <w:r w:rsidRPr="004C1796">
        <w:rPr>
          <w:rFonts w:ascii="Times New Roman" w:hAnsi="Times New Roman" w:cs="Times New Roman"/>
          <w:i/>
          <w:lang w:val="nl-BE"/>
        </w:rPr>
        <w:t>International Views on Social Supply, Self-Supply and Small Scale Drug Dealing</w:t>
      </w:r>
      <w:r w:rsidRPr="004C1796">
        <w:rPr>
          <w:rFonts w:ascii="Times New Roman" w:hAnsi="Times New Roman" w:cs="Times New Roman"/>
        </w:rPr>
        <w:t xml:space="preserve"> pp. 93-120)</w:t>
      </w:r>
    </w:p>
    <w:p w14:paraId="27D5406D" w14:textId="77777777" w:rsidR="004751E7" w:rsidRPr="004C1796" w:rsidRDefault="004751E7" w:rsidP="003E382F">
      <w:pPr>
        <w:pStyle w:val="EndNoteBibliography"/>
        <w:spacing w:after="0"/>
        <w:rPr>
          <w:rFonts w:ascii="Times New Roman" w:hAnsi="Times New Roman" w:cs="Times New Roman"/>
          <w:lang w:val="nl-BE"/>
        </w:rPr>
      </w:pPr>
    </w:p>
    <w:p w14:paraId="3B154DCB" w14:textId="77777777" w:rsidR="004751E7" w:rsidRPr="00A20538" w:rsidRDefault="004751E7" w:rsidP="004751E7">
      <w:pPr>
        <w:pStyle w:val="EndNoteBibliography"/>
        <w:spacing w:after="0"/>
        <w:rPr>
          <w:rFonts w:ascii="Times New Roman" w:hAnsi="Times New Roman" w:cs="Times New Roman"/>
          <w:lang w:val="en-GB"/>
        </w:rPr>
      </w:pPr>
      <w:r w:rsidRPr="004C1796">
        <w:rPr>
          <w:rFonts w:ascii="Times New Roman" w:hAnsi="Times New Roman" w:cs="Times New Roman"/>
          <w:lang w:val="en-GB"/>
        </w:rPr>
        <w:t xml:space="preserve">Zeman, P., Stefunkova, M., &amp; Travnickova, I. (2015). </w:t>
      </w:r>
      <w:r w:rsidRPr="004C1796">
        <w:rPr>
          <w:rFonts w:ascii="Times New Roman" w:hAnsi="Times New Roman" w:cs="Times New Roman"/>
          <w:i/>
          <w:lang w:val="en-GB"/>
        </w:rPr>
        <w:t>Drogova kriminalita [Illicit Drug Criminality]</w:t>
      </w:r>
      <w:r w:rsidRPr="004C1796">
        <w:rPr>
          <w:rFonts w:ascii="Times New Roman" w:hAnsi="Times New Roman" w:cs="Times New Roman"/>
          <w:lang w:val="en-GB"/>
        </w:rPr>
        <w:t xml:space="preserve">. Retrieved from Praha: </w:t>
      </w:r>
      <w:hyperlink r:id="rId28" w:history="1">
        <w:r w:rsidRPr="004C1796">
          <w:rPr>
            <w:rStyle w:val="Hyperlink"/>
            <w:rFonts w:ascii="Times New Roman" w:hAnsi="Times New Roman" w:cs="Times New Roman"/>
            <w:lang w:val="en-GB"/>
          </w:rPr>
          <w:t>http://www.ok.cz/iksp/docs/387.pdf</w:t>
        </w:r>
      </w:hyperlink>
    </w:p>
    <w:p w14:paraId="3B56476D" w14:textId="77777777" w:rsidR="004751E7" w:rsidRPr="00A20538" w:rsidRDefault="004751E7" w:rsidP="0025281B">
      <w:pPr>
        <w:pStyle w:val="EndNoteBibliography"/>
        <w:spacing w:after="0"/>
        <w:ind w:left="720" w:hanging="720"/>
        <w:rPr>
          <w:rFonts w:ascii="Times New Roman" w:hAnsi="Times New Roman" w:cs="Times New Roman"/>
          <w:lang w:val="nl-BE"/>
        </w:rPr>
      </w:pPr>
    </w:p>
    <w:p w14:paraId="77FF02E7" w14:textId="77777777" w:rsidR="0025281B" w:rsidRPr="00C915FF" w:rsidRDefault="0025281B">
      <w:pPr>
        <w:rPr>
          <w:rFonts w:asciiTheme="majorHAnsi" w:hAnsiTheme="majorHAnsi"/>
          <w:b/>
        </w:rPr>
      </w:pPr>
    </w:p>
    <w:sectPr w:rsidR="0025281B" w:rsidRPr="00C915FF" w:rsidSect="00DC1603">
      <w:footerReference w:type="even" r:id="rId29"/>
      <w:footerReference w:type="default" r:id="rId3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7-11-15T09:40:00Z" w:initials="Office">
    <w:p w14:paraId="0D1F3DC0" w14:textId="77777777" w:rsidR="00CA1CC1" w:rsidRDefault="00CA1CC1">
      <w:pPr>
        <w:pStyle w:val="CommentText"/>
      </w:pPr>
      <w:r>
        <w:rPr>
          <w:rStyle w:val="CommentReference"/>
        </w:rPr>
        <w:annotationRef/>
      </w:r>
      <w:r w:rsidR="00935CA7">
        <w:t>Do you have the reference for this paper?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F3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E06C3" w14:textId="77777777" w:rsidR="00131E39" w:rsidRDefault="00131E39" w:rsidP="00E34796">
      <w:r>
        <w:separator/>
      </w:r>
    </w:p>
  </w:endnote>
  <w:endnote w:type="continuationSeparator" w:id="0">
    <w:p w14:paraId="7B326100" w14:textId="77777777" w:rsidR="00131E39" w:rsidRDefault="00131E39" w:rsidP="00E3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BE628" w14:textId="77777777" w:rsidR="00CA1CC1" w:rsidRDefault="00CA1CC1" w:rsidP="006E21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97FC5" w14:textId="77777777" w:rsidR="00CA1CC1" w:rsidRDefault="00CA1CC1" w:rsidP="00E347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4966" w14:textId="77777777" w:rsidR="00CA1CC1" w:rsidRDefault="00CA1CC1" w:rsidP="006E21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203">
      <w:rPr>
        <w:rStyle w:val="PageNumber"/>
        <w:noProof/>
      </w:rPr>
      <w:t>2</w:t>
    </w:r>
    <w:r>
      <w:rPr>
        <w:rStyle w:val="PageNumber"/>
      </w:rPr>
      <w:fldChar w:fldCharType="end"/>
    </w:r>
  </w:p>
  <w:p w14:paraId="6201A831" w14:textId="77777777" w:rsidR="00CA1CC1" w:rsidRDefault="00CA1CC1" w:rsidP="00E347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62FA9" w14:textId="77777777" w:rsidR="00131E39" w:rsidRDefault="00131E39" w:rsidP="00E34796">
      <w:r>
        <w:separator/>
      </w:r>
    </w:p>
  </w:footnote>
  <w:footnote w:type="continuationSeparator" w:id="0">
    <w:p w14:paraId="39D71ABD" w14:textId="77777777" w:rsidR="00131E39" w:rsidRDefault="00131E39" w:rsidP="00E3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B891868"/>
    <w:multiLevelType w:val="hybridMultilevel"/>
    <w:tmpl w:val="A6B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D4"/>
    <w:rsid w:val="0000016D"/>
    <w:rsid w:val="000010B2"/>
    <w:rsid w:val="000011C7"/>
    <w:rsid w:val="000051E5"/>
    <w:rsid w:val="00006623"/>
    <w:rsid w:val="00012D63"/>
    <w:rsid w:val="0001359D"/>
    <w:rsid w:val="00020CBC"/>
    <w:rsid w:val="000210AA"/>
    <w:rsid w:val="000232CA"/>
    <w:rsid w:val="00023982"/>
    <w:rsid w:val="00024035"/>
    <w:rsid w:val="00024D6F"/>
    <w:rsid w:val="00026BD9"/>
    <w:rsid w:val="00034DF9"/>
    <w:rsid w:val="00035F85"/>
    <w:rsid w:val="00036B6A"/>
    <w:rsid w:val="000401FF"/>
    <w:rsid w:val="00041FBD"/>
    <w:rsid w:val="00042529"/>
    <w:rsid w:val="0004316F"/>
    <w:rsid w:val="00051C3E"/>
    <w:rsid w:val="000523C0"/>
    <w:rsid w:val="00052B65"/>
    <w:rsid w:val="000530ED"/>
    <w:rsid w:val="000537C4"/>
    <w:rsid w:val="00053907"/>
    <w:rsid w:val="00056D9C"/>
    <w:rsid w:val="0006566C"/>
    <w:rsid w:val="0006687F"/>
    <w:rsid w:val="00067867"/>
    <w:rsid w:val="000706DC"/>
    <w:rsid w:val="000718A7"/>
    <w:rsid w:val="0007458A"/>
    <w:rsid w:val="000804B9"/>
    <w:rsid w:val="000821FF"/>
    <w:rsid w:val="00082F64"/>
    <w:rsid w:val="000832E2"/>
    <w:rsid w:val="00085078"/>
    <w:rsid w:val="00085C5B"/>
    <w:rsid w:val="00086135"/>
    <w:rsid w:val="0009102D"/>
    <w:rsid w:val="00094586"/>
    <w:rsid w:val="0009552D"/>
    <w:rsid w:val="000A322B"/>
    <w:rsid w:val="000A3CBC"/>
    <w:rsid w:val="000B00E4"/>
    <w:rsid w:val="000B0BFC"/>
    <w:rsid w:val="000B1DA6"/>
    <w:rsid w:val="000B23E4"/>
    <w:rsid w:val="000B3426"/>
    <w:rsid w:val="000B3544"/>
    <w:rsid w:val="000B3CDB"/>
    <w:rsid w:val="000B5B74"/>
    <w:rsid w:val="000B6FDD"/>
    <w:rsid w:val="000B7395"/>
    <w:rsid w:val="000C256A"/>
    <w:rsid w:val="000C4BAD"/>
    <w:rsid w:val="000C6594"/>
    <w:rsid w:val="000D2155"/>
    <w:rsid w:val="000D55E7"/>
    <w:rsid w:val="000D780D"/>
    <w:rsid w:val="000E0BF2"/>
    <w:rsid w:val="000E0D44"/>
    <w:rsid w:val="000E137B"/>
    <w:rsid w:val="000E1CC2"/>
    <w:rsid w:val="000E2B4A"/>
    <w:rsid w:val="000E39C5"/>
    <w:rsid w:val="000E5716"/>
    <w:rsid w:val="000E690D"/>
    <w:rsid w:val="000E6EC0"/>
    <w:rsid w:val="000E7522"/>
    <w:rsid w:val="000F03E2"/>
    <w:rsid w:val="000F2264"/>
    <w:rsid w:val="000F2333"/>
    <w:rsid w:val="000F4B69"/>
    <w:rsid w:val="000F57BC"/>
    <w:rsid w:val="0011009F"/>
    <w:rsid w:val="0011410E"/>
    <w:rsid w:val="00114266"/>
    <w:rsid w:val="001151E5"/>
    <w:rsid w:val="00117359"/>
    <w:rsid w:val="00117491"/>
    <w:rsid w:val="00120A82"/>
    <w:rsid w:val="00122267"/>
    <w:rsid w:val="00122E0B"/>
    <w:rsid w:val="001238E5"/>
    <w:rsid w:val="00124563"/>
    <w:rsid w:val="00124DDF"/>
    <w:rsid w:val="001256EF"/>
    <w:rsid w:val="001271CC"/>
    <w:rsid w:val="0013047B"/>
    <w:rsid w:val="00131E39"/>
    <w:rsid w:val="001326F6"/>
    <w:rsid w:val="00132DA0"/>
    <w:rsid w:val="00136652"/>
    <w:rsid w:val="00136C8A"/>
    <w:rsid w:val="00144A42"/>
    <w:rsid w:val="0014561F"/>
    <w:rsid w:val="00146CCF"/>
    <w:rsid w:val="00150FE5"/>
    <w:rsid w:val="001516D6"/>
    <w:rsid w:val="00151AA5"/>
    <w:rsid w:val="0015213F"/>
    <w:rsid w:val="001544D4"/>
    <w:rsid w:val="00154E41"/>
    <w:rsid w:val="0015632F"/>
    <w:rsid w:val="001612E5"/>
    <w:rsid w:val="00162EEA"/>
    <w:rsid w:val="001641F6"/>
    <w:rsid w:val="00164870"/>
    <w:rsid w:val="00166D3B"/>
    <w:rsid w:val="00170AB2"/>
    <w:rsid w:val="00170B3A"/>
    <w:rsid w:val="001711F7"/>
    <w:rsid w:val="001716F6"/>
    <w:rsid w:val="00172582"/>
    <w:rsid w:val="00172D1F"/>
    <w:rsid w:val="001732C7"/>
    <w:rsid w:val="00174229"/>
    <w:rsid w:val="00174B34"/>
    <w:rsid w:val="001763AE"/>
    <w:rsid w:val="00176D78"/>
    <w:rsid w:val="00177854"/>
    <w:rsid w:val="001816FF"/>
    <w:rsid w:val="00185269"/>
    <w:rsid w:val="0019002D"/>
    <w:rsid w:val="00190CF3"/>
    <w:rsid w:val="00192898"/>
    <w:rsid w:val="0019522B"/>
    <w:rsid w:val="00195414"/>
    <w:rsid w:val="00195683"/>
    <w:rsid w:val="00197B88"/>
    <w:rsid w:val="001A1632"/>
    <w:rsid w:val="001A33D0"/>
    <w:rsid w:val="001A3BFD"/>
    <w:rsid w:val="001A6484"/>
    <w:rsid w:val="001B1B15"/>
    <w:rsid w:val="001B33A8"/>
    <w:rsid w:val="001B4ABA"/>
    <w:rsid w:val="001B6713"/>
    <w:rsid w:val="001B6D0C"/>
    <w:rsid w:val="001C35BC"/>
    <w:rsid w:val="001C7EF8"/>
    <w:rsid w:val="001D0237"/>
    <w:rsid w:val="001D1D18"/>
    <w:rsid w:val="001D33C7"/>
    <w:rsid w:val="001E1BEB"/>
    <w:rsid w:val="001E3B4B"/>
    <w:rsid w:val="001E3F58"/>
    <w:rsid w:val="001E6F7D"/>
    <w:rsid w:val="001E7381"/>
    <w:rsid w:val="001E7FEC"/>
    <w:rsid w:val="001F0893"/>
    <w:rsid w:val="001F2845"/>
    <w:rsid w:val="001F5BE4"/>
    <w:rsid w:val="001F5E99"/>
    <w:rsid w:val="001F6E3C"/>
    <w:rsid w:val="0020040B"/>
    <w:rsid w:val="00202DAD"/>
    <w:rsid w:val="00203423"/>
    <w:rsid w:val="00204FF2"/>
    <w:rsid w:val="002066A9"/>
    <w:rsid w:val="00207A1A"/>
    <w:rsid w:val="0021089D"/>
    <w:rsid w:val="002109F1"/>
    <w:rsid w:val="00211EC9"/>
    <w:rsid w:val="00212315"/>
    <w:rsid w:val="00214390"/>
    <w:rsid w:val="00217CF9"/>
    <w:rsid w:val="00221F28"/>
    <w:rsid w:val="00221F9E"/>
    <w:rsid w:val="00222683"/>
    <w:rsid w:val="00227567"/>
    <w:rsid w:val="002310A4"/>
    <w:rsid w:val="0023211E"/>
    <w:rsid w:val="00232512"/>
    <w:rsid w:val="00232892"/>
    <w:rsid w:val="00236895"/>
    <w:rsid w:val="00237170"/>
    <w:rsid w:val="0024204B"/>
    <w:rsid w:val="002456FF"/>
    <w:rsid w:val="0024759D"/>
    <w:rsid w:val="00250B6C"/>
    <w:rsid w:val="00251FEA"/>
    <w:rsid w:val="00252393"/>
    <w:rsid w:val="00252629"/>
    <w:rsid w:val="002527FF"/>
    <w:rsid w:val="0025281B"/>
    <w:rsid w:val="00255912"/>
    <w:rsid w:val="0026125D"/>
    <w:rsid w:val="002618B9"/>
    <w:rsid w:val="00262EFA"/>
    <w:rsid w:val="00263D77"/>
    <w:rsid w:val="00264633"/>
    <w:rsid w:val="00265DED"/>
    <w:rsid w:val="00265E44"/>
    <w:rsid w:val="00265E89"/>
    <w:rsid w:val="002661B9"/>
    <w:rsid w:val="00271698"/>
    <w:rsid w:val="00271A28"/>
    <w:rsid w:val="00272D08"/>
    <w:rsid w:val="002732AD"/>
    <w:rsid w:val="002746BD"/>
    <w:rsid w:val="00275FCA"/>
    <w:rsid w:val="0027681A"/>
    <w:rsid w:val="00277C8A"/>
    <w:rsid w:val="002803FB"/>
    <w:rsid w:val="00280BE2"/>
    <w:rsid w:val="00286F09"/>
    <w:rsid w:val="00291147"/>
    <w:rsid w:val="0029135B"/>
    <w:rsid w:val="002916A7"/>
    <w:rsid w:val="00292498"/>
    <w:rsid w:val="002948E3"/>
    <w:rsid w:val="00294D71"/>
    <w:rsid w:val="002A0BF2"/>
    <w:rsid w:val="002A1BC6"/>
    <w:rsid w:val="002A1E61"/>
    <w:rsid w:val="002A42F0"/>
    <w:rsid w:val="002A76BB"/>
    <w:rsid w:val="002B1793"/>
    <w:rsid w:val="002B25FF"/>
    <w:rsid w:val="002B2B88"/>
    <w:rsid w:val="002B3B48"/>
    <w:rsid w:val="002B7A3D"/>
    <w:rsid w:val="002C4DC1"/>
    <w:rsid w:val="002C511C"/>
    <w:rsid w:val="002C6244"/>
    <w:rsid w:val="002C647A"/>
    <w:rsid w:val="002D213D"/>
    <w:rsid w:val="002D3C61"/>
    <w:rsid w:val="002D59DB"/>
    <w:rsid w:val="002D5AB6"/>
    <w:rsid w:val="002D6380"/>
    <w:rsid w:val="002D78F8"/>
    <w:rsid w:val="002E11AB"/>
    <w:rsid w:val="002E1400"/>
    <w:rsid w:val="002E173F"/>
    <w:rsid w:val="002F144C"/>
    <w:rsid w:val="002F356B"/>
    <w:rsid w:val="002F3854"/>
    <w:rsid w:val="002F479A"/>
    <w:rsid w:val="002F5E1F"/>
    <w:rsid w:val="002F6B2B"/>
    <w:rsid w:val="00301DA4"/>
    <w:rsid w:val="003032B1"/>
    <w:rsid w:val="0030433D"/>
    <w:rsid w:val="0030560B"/>
    <w:rsid w:val="00305B0B"/>
    <w:rsid w:val="00307908"/>
    <w:rsid w:val="00307ACF"/>
    <w:rsid w:val="00311AD8"/>
    <w:rsid w:val="00314F27"/>
    <w:rsid w:val="0031562D"/>
    <w:rsid w:val="00323DD8"/>
    <w:rsid w:val="0032446C"/>
    <w:rsid w:val="00330246"/>
    <w:rsid w:val="00330E85"/>
    <w:rsid w:val="00341D72"/>
    <w:rsid w:val="003421B7"/>
    <w:rsid w:val="00345115"/>
    <w:rsid w:val="00345131"/>
    <w:rsid w:val="00345DC4"/>
    <w:rsid w:val="00346728"/>
    <w:rsid w:val="00347CB2"/>
    <w:rsid w:val="0035084E"/>
    <w:rsid w:val="00352E14"/>
    <w:rsid w:val="00353EA1"/>
    <w:rsid w:val="00354FF1"/>
    <w:rsid w:val="00355654"/>
    <w:rsid w:val="003605EF"/>
    <w:rsid w:val="00360F34"/>
    <w:rsid w:val="003613DF"/>
    <w:rsid w:val="00361B2A"/>
    <w:rsid w:val="00361F3B"/>
    <w:rsid w:val="003624BB"/>
    <w:rsid w:val="00363C84"/>
    <w:rsid w:val="0036458D"/>
    <w:rsid w:val="00366760"/>
    <w:rsid w:val="00371442"/>
    <w:rsid w:val="00371671"/>
    <w:rsid w:val="0037195C"/>
    <w:rsid w:val="00371F8B"/>
    <w:rsid w:val="003734F8"/>
    <w:rsid w:val="00376287"/>
    <w:rsid w:val="00376A14"/>
    <w:rsid w:val="00377402"/>
    <w:rsid w:val="0038364D"/>
    <w:rsid w:val="003847E9"/>
    <w:rsid w:val="00386C2A"/>
    <w:rsid w:val="00386D24"/>
    <w:rsid w:val="00387006"/>
    <w:rsid w:val="00393278"/>
    <w:rsid w:val="00393992"/>
    <w:rsid w:val="00397717"/>
    <w:rsid w:val="003A0CEB"/>
    <w:rsid w:val="003A3DAC"/>
    <w:rsid w:val="003A59E7"/>
    <w:rsid w:val="003A668A"/>
    <w:rsid w:val="003B1D10"/>
    <w:rsid w:val="003B35E8"/>
    <w:rsid w:val="003B5905"/>
    <w:rsid w:val="003B6516"/>
    <w:rsid w:val="003B72E1"/>
    <w:rsid w:val="003B7B25"/>
    <w:rsid w:val="003C15B3"/>
    <w:rsid w:val="003C3479"/>
    <w:rsid w:val="003C40F6"/>
    <w:rsid w:val="003C4852"/>
    <w:rsid w:val="003C49B3"/>
    <w:rsid w:val="003C4BFD"/>
    <w:rsid w:val="003C7258"/>
    <w:rsid w:val="003C753F"/>
    <w:rsid w:val="003C759B"/>
    <w:rsid w:val="003C7F55"/>
    <w:rsid w:val="003D1139"/>
    <w:rsid w:val="003D2925"/>
    <w:rsid w:val="003D3BDD"/>
    <w:rsid w:val="003D3F50"/>
    <w:rsid w:val="003D4348"/>
    <w:rsid w:val="003D56D4"/>
    <w:rsid w:val="003D5CFD"/>
    <w:rsid w:val="003D5F75"/>
    <w:rsid w:val="003D6409"/>
    <w:rsid w:val="003D78D6"/>
    <w:rsid w:val="003E01C9"/>
    <w:rsid w:val="003E2347"/>
    <w:rsid w:val="003E36CC"/>
    <w:rsid w:val="003E382F"/>
    <w:rsid w:val="003E3852"/>
    <w:rsid w:val="003E4A48"/>
    <w:rsid w:val="003E6C2C"/>
    <w:rsid w:val="003F0E71"/>
    <w:rsid w:val="003F12A0"/>
    <w:rsid w:val="003F356D"/>
    <w:rsid w:val="003F36F1"/>
    <w:rsid w:val="003F695C"/>
    <w:rsid w:val="00400687"/>
    <w:rsid w:val="0040186B"/>
    <w:rsid w:val="0040425F"/>
    <w:rsid w:val="00404B97"/>
    <w:rsid w:val="004061D5"/>
    <w:rsid w:val="00406553"/>
    <w:rsid w:val="0040658A"/>
    <w:rsid w:val="00410024"/>
    <w:rsid w:val="00411037"/>
    <w:rsid w:val="004146C2"/>
    <w:rsid w:val="00415FE7"/>
    <w:rsid w:val="00420C1F"/>
    <w:rsid w:val="0042302F"/>
    <w:rsid w:val="00425040"/>
    <w:rsid w:val="004252BE"/>
    <w:rsid w:val="0042594D"/>
    <w:rsid w:val="00425F45"/>
    <w:rsid w:val="004301C7"/>
    <w:rsid w:val="0043052E"/>
    <w:rsid w:val="00431300"/>
    <w:rsid w:val="0043531D"/>
    <w:rsid w:val="00435870"/>
    <w:rsid w:val="00436EC4"/>
    <w:rsid w:val="0044044F"/>
    <w:rsid w:val="004419D3"/>
    <w:rsid w:val="00441AF4"/>
    <w:rsid w:val="00443F0C"/>
    <w:rsid w:val="00450AD6"/>
    <w:rsid w:val="00451C4B"/>
    <w:rsid w:val="00453C77"/>
    <w:rsid w:val="00454CD7"/>
    <w:rsid w:val="0045531E"/>
    <w:rsid w:val="00462D1F"/>
    <w:rsid w:val="00463E12"/>
    <w:rsid w:val="004645B3"/>
    <w:rsid w:val="004663F9"/>
    <w:rsid w:val="00466A77"/>
    <w:rsid w:val="00467BC4"/>
    <w:rsid w:val="0047166F"/>
    <w:rsid w:val="0047304C"/>
    <w:rsid w:val="00473513"/>
    <w:rsid w:val="0047368F"/>
    <w:rsid w:val="00473DBF"/>
    <w:rsid w:val="00473EDA"/>
    <w:rsid w:val="004751E7"/>
    <w:rsid w:val="0047660F"/>
    <w:rsid w:val="0048134D"/>
    <w:rsid w:val="004818C4"/>
    <w:rsid w:val="004831D4"/>
    <w:rsid w:val="0048380E"/>
    <w:rsid w:val="00483D1E"/>
    <w:rsid w:val="004846DF"/>
    <w:rsid w:val="0048779B"/>
    <w:rsid w:val="00492C7F"/>
    <w:rsid w:val="004944B8"/>
    <w:rsid w:val="004946A7"/>
    <w:rsid w:val="00496133"/>
    <w:rsid w:val="00497050"/>
    <w:rsid w:val="00497389"/>
    <w:rsid w:val="004A0288"/>
    <w:rsid w:val="004A36DC"/>
    <w:rsid w:val="004A4747"/>
    <w:rsid w:val="004A5755"/>
    <w:rsid w:val="004A6597"/>
    <w:rsid w:val="004A67C9"/>
    <w:rsid w:val="004B02BC"/>
    <w:rsid w:val="004B0D3F"/>
    <w:rsid w:val="004B1F0E"/>
    <w:rsid w:val="004B66C4"/>
    <w:rsid w:val="004C1796"/>
    <w:rsid w:val="004C4150"/>
    <w:rsid w:val="004D25AE"/>
    <w:rsid w:val="004D3FD8"/>
    <w:rsid w:val="004D4668"/>
    <w:rsid w:val="004D4EE2"/>
    <w:rsid w:val="004E1F67"/>
    <w:rsid w:val="004E2120"/>
    <w:rsid w:val="004E2182"/>
    <w:rsid w:val="004E4927"/>
    <w:rsid w:val="004E5D69"/>
    <w:rsid w:val="004E7089"/>
    <w:rsid w:val="004E733D"/>
    <w:rsid w:val="004E7567"/>
    <w:rsid w:val="004E7EF3"/>
    <w:rsid w:val="004F1A36"/>
    <w:rsid w:val="004F4F5C"/>
    <w:rsid w:val="004F5419"/>
    <w:rsid w:val="004F5BBE"/>
    <w:rsid w:val="00501DDE"/>
    <w:rsid w:val="00502FDD"/>
    <w:rsid w:val="005049FC"/>
    <w:rsid w:val="005059F8"/>
    <w:rsid w:val="00507012"/>
    <w:rsid w:val="00507E1F"/>
    <w:rsid w:val="00510657"/>
    <w:rsid w:val="00511CE1"/>
    <w:rsid w:val="00514145"/>
    <w:rsid w:val="00520BED"/>
    <w:rsid w:val="005235FE"/>
    <w:rsid w:val="00524590"/>
    <w:rsid w:val="00525866"/>
    <w:rsid w:val="00527C7E"/>
    <w:rsid w:val="00527DBD"/>
    <w:rsid w:val="00531619"/>
    <w:rsid w:val="00531979"/>
    <w:rsid w:val="00532D14"/>
    <w:rsid w:val="005356A1"/>
    <w:rsid w:val="005425D3"/>
    <w:rsid w:val="00543C68"/>
    <w:rsid w:val="00543D35"/>
    <w:rsid w:val="00544161"/>
    <w:rsid w:val="005444CB"/>
    <w:rsid w:val="005445EC"/>
    <w:rsid w:val="00544E39"/>
    <w:rsid w:val="00550A2A"/>
    <w:rsid w:val="005515FA"/>
    <w:rsid w:val="00554604"/>
    <w:rsid w:val="00555122"/>
    <w:rsid w:val="005569E3"/>
    <w:rsid w:val="00561432"/>
    <w:rsid w:val="005616F1"/>
    <w:rsid w:val="00562388"/>
    <w:rsid w:val="00563D4A"/>
    <w:rsid w:val="005650A2"/>
    <w:rsid w:val="0056589D"/>
    <w:rsid w:val="00565FAE"/>
    <w:rsid w:val="005724E3"/>
    <w:rsid w:val="00573F2C"/>
    <w:rsid w:val="00576CDE"/>
    <w:rsid w:val="00582159"/>
    <w:rsid w:val="00582D52"/>
    <w:rsid w:val="005841E2"/>
    <w:rsid w:val="00584EBC"/>
    <w:rsid w:val="00587E09"/>
    <w:rsid w:val="00593186"/>
    <w:rsid w:val="0059333C"/>
    <w:rsid w:val="00595418"/>
    <w:rsid w:val="00596745"/>
    <w:rsid w:val="00596A87"/>
    <w:rsid w:val="005A00DF"/>
    <w:rsid w:val="005A08DC"/>
    <w:rsid w:val="005A0AB2"/>
    <w:rsid w:val="005A163F"/>
    <w:rsid w:val="005A2485"/>
    <w:rsid w:val="005A2AE3"/>
    <w:rsid w:val="005A374A"/>
    <w:rsid w:val="005A4538"/>
    <w:rsid w:val="005A5D9A"/>
    <w:rsid w:val="005A6FDE"/>
    <w:rsid w:val="005A71AB"/>
    <w:rsid w:val="005A7238"/>
    <w:rsid w:val="005A7410"/>
    <w:rsid w:val="005B16C9"/>
    <w:rsid w:val="005B2123"/>
    <w:rsid w:val="005B319C"/>
    <w:rsid w:val="005B35A2"/>
    <w:rsid w:val="005B3F24"/>
    <w:rsid w:val="005B4332"/>
    <w:rsid w:val="005B59A6"/>
    <w:rsid w:val="005B640B"/>
    <w:rsid w:val="005C0DF1"/>
    <w:rsid w:val="005C13BD"/>
    <w:rsid w:val="005C1E89"/>
    <w:rsid w:val="005C4532"/>
    <w:rsid w:val="005C6719"/>
    <w:rsid w:val="005C76CA"/>
    <w:rsid w:val="005C79FB"/>
    <w:rsid w:val="005D0B64"/>
    <w:rsid w:val="005D14E1"/>
    <w:rsid w:val="005D27FA"/>
    <w:rsid w:val="005D32B3"/>
    <w:rsid w:val="005D3693"/>
    <w:rsid w:val="005D4424"/>
    <w:rsid w:val="005D452B"/>
    <w:rsid w:val="005E063D"/>
    <w:rsid w:val="005E07B5"/>
    <w:rsid w:val="005E1FEF"/>
    <w:rsid w:val="005E34E7"/>
    <w:rsid w:val="005E4365"/>
    <w:rsid w:val="005F019C"/>
    <w:rsid w:val="005F0750"/>
    <w:rsid w:val="005F1C4D"/>
    <w:rsid w:val="005F1DF8"/>
    <w:rsid w:val="005F240A"/>
    <w:rsid w:val="006024CF"/>
    <w:rsid w:val="00602D11"/>
    <w:rsid w:val="00605FF2"/>
    <w:rsid w:val="00606411"/>
    <w:rsid w:val="00606C1F"/>
    <w:rsid w:val="00607611"/>
    <w:rsid w:val="00607B04"/>
    <w:rsid w:val="00610130"/>
    <w:rsid w:val="00610984"/>
    <w:rsid w:val="00610BDC"/>
    <w:rsid w:val="00610F46"/>
    <w:rsid w:val="006112E2"/>
    <w:rsid w:val="00613349"/>
    <w:rsid w:val="00613C3D"/>
    <w:rsid w:val="00616164"/>
    <w:rsid w:val="006171A0"/>
    <w:rsid w:val="006174AD"/>
    <w:rsid w:val="00621BBE"/>
    <w:rsid w:val="00622F7D"/>
    <w:rsid w:val="00625D9D"/>
    <w:rsid w:val="00626DD3"/>
    <w:rsid w:val="006276FD"/>
    <w:rsid w:val="00630124"/>
    <w:rsid w:val="00631D3D"/>
    <w:rsid w:val="0063201D"/>
    <w:rsid w:val="00632268"/>
    <w:rsid w:val="00633C04"/>
    <w:rsid w:val="00637249"/>
    <w:rsid w:val="0064141D"/>
    <w:rsid w:val="006416B8"/>
    <w:rsid w:val="00645AA2"/>
    <w:rsid w:val="0064720B"/>
    <w:rsid w:val="006505C5"/>
    <w:rsid w:val="00650C69"/>
    <w:rsid w:val="006523F1"/>
    <w:rsid w:val="00654DD0"/>
    <w:rsid w:val="00656D35"/>
    <w:rsid w:val="006609EA"/>
    <w:rsid w:val="00660E58"/>
    <w:rsid w:val="00661575"/>
    <w:rsid w:val="00661F14"/>
    <w:rsid w:val="00662F3D"/>
    <w:rsid w:val="00664688"/>
    <w:rsid w:val="00670E5F"/>
    <w:rsid w:val="00673D8B"/>
    <w:rsid w:val="00673E2D"/>
    <w:rsid w:val="00675C22"/>
    <w:rsid w:val="00682312"/>
    <w:rsid w:val="00683E58"/>
    <w:rsid w:val="0068472F"/>
    <w:rsid w:val="00686D43"/>
    <w:rsid w:val="006907B1"/>
    <w:rsid w:val="006918D6"/>
    <w:rsid w:val="00692A89"/>
    <w:rsid w:val="00693A77"/>
    <w:rsid w:val="00693B38"/>
    <w:rsid w:val="00694005"/>
    <w:rsid w:val="00694067"/>
    <w:rsid w:val="00695E31"/>
    <w:rsid w:val="006967DF"/>
    <w:rsid w:val="00696E93"/>
    <w:rsid w:val="006A2567"/>
    <w:rsid w:val="006A54BD"/>
    <w:rsid w:val="006B4657"/>
    <w:rsid w:val="006B5471"/>
    <w:rsid w:val="006B7F28"/>
    <w:rsid w:val="006C24E9"/>
    <w:rsid w:val="006C2F28"/>
    <w:rsid w:val="006C49B8"/>
    <w:rsid w:val="006C5C73"/>
    <w:rsid w:val="006D0203"/>
    <w:rsid w:val="006D3414"/>
    <w:rsid w:val="006E21BB"/>
    <w:rsid w:val="006E3455"/>
    <w:rsid w:val="006E43A1"/>
    <w:rsid w:val="006E6080"/>
    <w:rsid w:val="006E624A"/>
    <w:rsid w:val="006E701B"/>
    <w:rsid w:val="006F0764"/>
    <w:rsid w:val="006F1253"/>
    <w:rsid w:val="006F2EAE"/>
    <w:rsid w:val="006F4CD8"/>
    <w:rsid w:val="006F588C"/>
    <w:rsid w:val="006F69A1"/>
    <w:rsid w:val="0070028D"/>
    <w:rsid w:val="00700597"/>
    <w:rsid w:val="0070082F"/>
    <w:rsid w:val="0070089B"/>
    <w:rsid w:val="0070368F"/>
    <w:rsid w:val="00706F7F"/>
    <w:rsid w:val="00707948"/>
    <w:rsid w:val="00707FFA"/>
    <w:rsid w:val="00710A73"/>
    <w:rsid w:val="00710BFD"/>
    <w:rsid w:val="0071250F"/>
    <w:rsid w:val="007128BE"/>
    <w:rsid w:val="00712B3C"/>
    <w:rsid w:val="00713081"/>
    <w:rsid w:val="00713D8F"/>
    <w:rsid w:val="00714085"/>
    <w:rsid w:val="0071670D"/>
    <w:rsid w:val="00716930"/>
    <w:rsid w:val="00716FE2"/>
    <w:rsid w:val="0071737E"/>
    <w:rsid w:val="00717929"/>
    <w:rsid w:val="00721763"/>
    <w:rsid w:val="00721FF3"/>
    <w:rsid w:val="007263E5"/>
    <w:rsid w:val="00726F7E"/>
    <w:rsid w:val="00731DE3"/>
    <w:rsid w:val="007320A1"/>
    <w:rsid w:val="007360B8"/>
    <w:rsid w:val="00736A13"/>
    <w:rsid w:val="0074095E"/>
    <w:rsid w:val="00741FE9"/>
    <w:rsid w:val="00742547"/>
    <w:rsid w:val="00743062"/>
    <w:rsid w:val="00744682"/>
    <w:rsid w:val="00744850"/>
    <w:rsid w:val="00744CDE"/>
    <w:rsid w:val="007458C3"/>
    <w:rsid w:val="00745C11"/>
    <w:rsid w:val="0074636E"/>
    <w:rsid w:val="00747524"/>
    <w:rsid w:val="00747F83"/>
    <w:rsid w:val="00752D33"/>
    <w:rsid w:val="00753957"/>
    <w:rsid w:val="00754A96"/>
    <w:rsid w:val="00754C55"/>
    <w:rsid w:val="0075513B"/>
    <w:rsid w:val="00755DB4"/>
    <w:rsid w:val="00756DC0"/>
    <w:rsid w:val="00760AF7"/>
    <w:rsid w:val="0076230B"/>
    <w:rsid w:val="0076306F"/>
    <w:rsid w:val="0076386E"/>
    <w:rsid w:val="00764056"/>
    <w:rsid w:val="0076685C"/>
    <w:rsid w:val="007675C4"/>
    <w:rsid w:val="007714F9"/>
    <w:rsid w:val="00773569"/>
    <w:rsid w:val="00776AB9"/>
    <w:rsid w:val="007775F3"/>
    <w:rsid w:val="00781911"/>
    <w:rsid w:val="00782B6D"/>
    <w:rsid w:val="007844BF"/>
    <w:rsid w:val="0078502B"/>
    <w:rsid w:val="007860EC"/>
    <w:rsid w:val="007875B4"/>
    <w:rsid w:val="00791C36"/>
    <w:rsid w:val="00794176"/>
    <w:rsid w:val="00794F5C"/>
    <w:rsid w:val="007964AC"/>
    <w:rsid w:val="007969CE"/>
    <w:rsid w:val="0079701C"/>
    <w:rsid w:val="00797FBA"/>
    <w:rsid w:val="007A0B46"/>
    <w:rsid w:val="007A1777"/>
    <w:rsid w:val="007A2658"/>
    <w:rsid w:val="007A2ED8"/>
    <w:rsid w:val="007A3108"/>
    <w:rsid w:val="007A3301"/>
    <w:rsid w:val="007A4A51"/>
    <w:rsid w:val="007A4AB0"/>
    <w:rsid w:val="007A50F5"/>
    <w:rsid w:val="007A7CBB"/>
    <w:rsid w:val="007B01E5"/>
    <w:rsid w:val="007B09C3"/>
    <w:rsid w:val="007B2FB6"/>
    <w:rsid w:val="007B33B3"/>
    <w:rsid w:val="007B3AC0"/>
    <w:rsid w:val="007B5145"/>
    <w:rsid w:val="007B521A"/>
    <w:rsid w:val="007B587C"/>
    <w:rsid w:val="007B5AF0"/>
    <w:rsid w:val="007B5B7A"/>
    <w:rsid w:val="007B5F69"/>
    <w:rsid w:val="007B7328"/>
    <w:rsid w:val="007B797C"/>
    <w:rsid w:val="007C14EE"/>
    <w:rsid w:val="007C25D9"/>
    <w:rsid w:val="007C266C"/>
    <w:rsid w:val="007C4C36"/>
    <w:rsid w:val="007C705D"/>
    <w:rsid w:val="007D29B7"/>
    <w:rsid w:val="007D3A34"/>
    <w:rsid w:val="007D3FB2"/>
    <w:rsid w:val="007D49F7"/>
    <w:rsid w:val="007D4C7C"/>
    <w:rsid w:val="007D678A"/>
    <w:rsid w:val="007D6C29"/>
    <w:rsid w:val="007D6FEF"/>
    <w:rsid w:val="007D70CD"/>
    <w:rsid w:val="007E04D9"/>
    <w:rsid w:val="007E0F77"/>
    <w:rsid w:val="007E1B5D"/>
    <w:rsid w:val="007E72DA"/>
    <w:rsid w:val="007F25CB"/>
    <w:rsid w:val="007F2D52"/>
    <w:rsid w:val="007F306F"/>
    <w:rsid w:val="007F309F"/>
    <w:rsid w:val="007F337B"/>
    <w:rsid w:val="007F43C6"/>
    <w:rsid w:val="007F4A43"/>
    <w:rsid w:val="007F4BA2"/>
    <w:rsid w:val="007F4EF3"/>
    <w:rsid w:val="007F5C18"/>
    <w:rsid w:val="00803118"/>
    <w:rsid w:val="00803D8F"/>
    <w:rsid w:val="0080408F"/>
    <w:rsid w:val="00805653"/>
    <w:rsid w:val="00805723"/>
    <w:rsid w:val="00805D90"/>
    <w:rsid w:val="00806C92"/>
    <w:rsid w:val="00810139"/>
    <w:rsid w:val="00811C4D"/>
    <w:rsid w:val="00815AE2"/>
    <w:rsid w:val="00820341"/>
    <w:rsid w:val="00820AB4"/>
    <w:rsid w:val="0082115C"/>
    <w:rsid w:val="00823460"/>
    <w:rsid w:val="0082401A"/>
    <w:rsid w:val="008242CC"/>
    <w:rsid w:val="00827885"/>
    <w:rsid w:val="008308AC"/>
    <w:rsid w:val="00831AD8"/>
    <w:rsid w:val="00832073"/>
    <w:rsid w:val="00833992"/>
    <w:rsid w:val="00833E0B"/>
    <w:rsid w:val="0083524D"/>
    <w:rsid w:val="0083641F"/>
    <w:rsid w:val="008402A1"/>
    <w:rsid w:val="00842103"/>
    <w:rsid w:val="00842421"/>
    <w:rsid w:val="00842714"/>
    <w:rsid w:val="008435A0"/>
    <w:rsid w:val="00845EC3"/>
    <w:rsid w:val="00846980"/>
    <w:rsid w:val="008479E8"/>
    <w:rsid w:val="00850958"/>
    <w:rsid w:val="00850D71"/>
    <w:rsid w:val="00853E2A"/>
    <w:rsid w:val="0085666E"/>
    <w:rsid w:val="008644C7"/>
    <w:rsid w:val="008655EA"/>
    <w:rsid w:val="0086689E"/>
    <w:rsid w:val="008706CD"/>
    <w:rsid w:val="008711BF"/>
    <w:rsid w:val="0087216A"/>
    <w:rsid w:val="00873122"/>
    <w:rsid w:val="008750B1"/>
    <w:rsid w:val="00877084"/>
    <w:rsid w:val="008776AC"/>
    <w:rsid w:val="00877F0B"/>
    <w:rsid w:val="008837E4"/>
    <w:rsid w:val="00883F4D"/>
    <w:rsid w:val="00884450"/>
    <w:rsid w:val="00891EE2"/>
    <w:rsid w:val="008929DB"/>
    <w:rsid w:val="0089354D"/>
    <w:rsid w:val="008952B7"/>
    <w:rsid w:val="00895FAB"/>
    <w:rsid w:val="00896131"/>
    <w:rsid w:val="008A0114"/>
    <w:rsid w:val="008A150F"/>
    <w:rsid w:val="008A1AB6"/>
    <w:rsid w:val="008A4CFA"/>
    <w:rsid w:val="008A5055"/>
    <w:rsid w:val="008A5347"/>
    <w:rsid w:val="008A53B2"/>
    <w:rsid w:val="008A6909"/>
    <w:rsid w:val="008A6FF2"/>
    <w:rsid w:val="008A7BE4"/>
    <w:rsid w:val="008B03E3"/>
    <w:rsid w:val="008B10E7"/>
    <w:rsid w:val="008B6746"/>
    <w:rsid w:val="008B7AF4"/>
    <w:rsid w:val="008B7BE4"/>
    <w:rsid w:val="008C1961"/>
    <w:rsid w:val="008C2964"/>
    <w:rsid w:val="008D25B9"/>
    <w:rsid w:val="008D26D1"/>
    <w:rsid w:val="008D3C99"/>
    <w:rsid w:val="008D47BB"/>
    <w:rsid w:val="008E0466"/>
    <w:rsid w:val="008E0A1E"/>
    <w:rsid w:val="008E0FFD"/>
    <w:rsid w:val="008E126C"/>
    <w:rsid w:val="008E1DDD"/>
    <w:rsid w:val="008E2F8C"/>
    <w:rsid w:val="008E3EA2"/>
    <w:rsid w:val="008E43AD"/>
    <w:rsid w:val="008E6499"/>
    <w:rsid w:val="008E7300"/>
    <w:rsid w:val="008F0C7A"/>
    <w:rsid w:val="008F2A26"/>
    <w:rsid w:val="008F55AF"/>
    <w:rsid w:val="008F584B"/>
    <w:rsid w:val="0090062B"/>
    <w:rsid w:val="00902AF9"/>
    <w:rsid w:val="00902F61"/>
    <w:rsid w:val="00903D70"/>
    <w:rsid w:val="00905440"/>
    <w:rsid w:val="00906AB0"/>
    <w:rsid w:val="00906F11"/>
    <w:rsid w:val="0090701C"/>
    <w:rsid w:val="00910A5A"/>
    <w:rsid w:val="0091211F"/>
    <w:rsid w:val="009139BA"/>
    <w:rsid w:val="00916914"/>
    <w:rsid w:val="009232C6"/>
    <w:rsid w:val="00925A33"/>
    <w:rsid w:val="00930D70"/>
    <w:rsid w:val="0093163D"/>
    <w:rsid w:val="00932C5E"/>
    <w:rsid w:val="00933601"/>
    <w:rsid w:val="00933E2B"/>
    <w:rsid w:val="0093470C"/>
    <w:rsid w:val="0093521B"/>
    <w:rsid w:val="00935CA7"/>
    <w:rsid w:val="00936DC3"/>
    <w:rsid w:val="00937207"/>
    <w:rsid w:val="009436F6"/>
    <w:rsid w:val="0094523D"/>
    <w:rsid w:val="009454A7"/>
    <w:rsid w:val="00945561"/>
    <w:rsid w:val="0095351B"/>
    <w:rsid w:val="00956AE9"/>
    <w:rsid w:val="00961A0C"/>
    <w:rsid w:val="00962722"/>
    <w:rsid w:val="00963237"/>
    <w:rsid w:val="00964794"/>
    <w:rsid w:val="00966A34"/>
    <w:rsid w:val="00967469"/>
    <w:rsid w:val="00974B23"/>
    <w:rsid w:val="00977079"/>
    <w:rsid w:val="00981C13"/>
    <w:rsid w:val="00981F00"/>
    <w:rsid w:val="00983E1A"/>
    <w:rsid w:val="00985F2B"/>
    <w:rsid w:val="009873A0"/>
    <w:rsid w:val="009907F1"/>
    <w:rsid w:val="00990DA1"/>
    <w:rsid w:val="009917CB"/>
    <w:rsid w:val="0099295A"/>
    <w:rsid w:val="00994074"/>
    <w:rsid w:val="00994E70"/>
    <w:rsid w:val="00995E4A"/>
    <w:rsid w:val="00996067"/>
    <w:rsid w:val="009962B4"/>
    <w:rsid w:val="009A0537"/>
    <w:rsid w:val="009A0ABB"/>
    <w:rsid w:val="009A26AD"/>
    <w:rsid w:val="009A4C2F"/>
    <w:rsid w:val="009B0829"/>
    <w:rsid w:val="009B2FBC"/>
    <w:rsid w:val="009B3306"/>
    <w:rsid w:val="009C062D"/>
    <w:rsid w:val="009C4E76"/>
    <w:rsid w:val="009C513C"/>
    <w:rsid w:val="009C5576"/>
    <w:rsid w:val="009C5A31"/>
    <w:rsid w:val="009C61A8"/>
    <w:rsid w:val="009C7E87"/>
    <w:rsid w:val="009D0114"/>
    <w:rsid w:val="009D0837"/>
    <w:rsid w:val="009D1730"/>
    <w:rsid w:val="009D221A"/>
    <w:rsid w:val="009E0406"/>
    <w:rsid w:val="009E0C36"/>
    <w:rsid w:val="009E32AF"/>
    <w:rsid w:val="009E3657"/>
    <w:rsid w:val="009E4380"/>
    <w:rsid w:val="009E4D71"/>
    <w:rsid w:val="009E62D0"/>
    <w:rsid w:val="009F0759"/>
    <w:rsid w:val="009F08BE"/>
    <w:rsid w:val="009F0B85"/>
    <w:rsid w:val="009F26A6"/>
    <w:rsid w:val="009F3734"/>
    <w:rsid w:val="009F4448"/>
    <w:rsid w:val="009F4B7A"/>
    <w:rsid w:val="00A00A1C"/>
    <w:rsid w:val="00A012EC"/>
    <w:rsid w:val="00A0180D"/>
    <w:rsid w:val="00A01E6A"/>
    <w:rsid w:val="00A036B7"/>
    <w:rsid w:val="00A03887"/>
    <w:rsid w:val="00A03EEA"/>
    <w:rsid w:val="00A04B1A"/>
    <w:rsid w:val="00A04D5D"/>
    <w:rsid w:val="00A071BE"/>
    <w:rsid w:val="00A10D2E"/>
    <w:rsid w:val="00A1278A"/>
    <w:rsid w:val="00A13B2E"/>
    <w:rsid w:val="00A150C4"/>
    <w:rsid w:val="00A1581B"/>
    <w:rsid w:val="00A15CC0"/>
    <w:rsid w:val="00A17DD8"/>
    <w:rsid w:val="00A20538"/>
    <w:rsid w:val="00A20DC4"/>
    <w:rsid w:val="00A22588"/>
    <w:rsid w:val="00A22A39"/>
    <w:rsid w:val="00A25A76"/>
    <w:rsid w:val="00A26550"/>
    <w:rsid w:val="00A278AD"/>
    <w:rsid w:val="00A3068E"/>
    <w:rsid w:val="00A32B95"/>
    <w:rsid w:val="00A34E94"/>
    <w:rsid w:val="00A3621E"/>
    <w:rsid w:val="00A4077D"/>
    <w:rsid w:val="00A44A8A"/>
    <w:rsid w:val="00A4536D"/>
    <w:rsid w:val="00A46363"/>
    <w:rsid w:val="00A47192"/>
    <w:rsid w:val="00A47BA6"/>
    <w:rsid w:val="00A5064D"/>
    <w:rsid w:val="00A51F52"/>
    <w:rsid w:val="00A52586"/>
    <w:rsid w:val="00A60E39"/>
    <w:rsid w:val="00A618AA"/>
    <w:rsid w:val="00A6236C"/>
    <w:rsid w:val="00A634D8"/>
    <w:rsid w:val="00A64B09"/>
    <w:rsid w:val="00A6523D"/>
    <w:rsid w:val="00A679BE"/>
    <w:rsid w:val="00A70A30"/>
    <w:rsid w:val="00A731B4"/>
    <w:rsid w:val="00A73A7F"/>
    <w:rsid w:val="00A74FF4"/>
    <w:rsid w:val="00A753A9"/>
    <w:rsid w:val="00A77519"/>
    <w:rsid w:val="00A80202"/>
    <w:rsid w:val="00A80880"/>
    <w:rsid w:val="00A814CD"/>
    <w:rsid w:val="00A8226E"/>
    <w:rsid w:val="00A8287D"/>
    <w:rsid w:val="00A82FF3"/>
    <w:rsid w:val="00A9072F"/>
    <w:rsid w:val="00A910A5"/>
    <w:rsid w:val="00A92235"/>
    <w:rsid w:val="00A94008"/>
    <w:rsid w:val="00A95F0C"/>
    <w:rsid w:val="00AA0159"/>
    <w:rsid w:val="00AA1069"/>
    <w:rsid w:val="00AA4143"/>
    <w:rsid w:val="00AA59D2"/>
    <w:rsid w:val="00AA5B94"/>
    <w:rsid w:val="00AB274B"/>
    <w:rsid w:val="00AB327E"/>
    <w:rsid w:val="00AB7A5F"/>
    <w:rsid w:val="00AC340E"/>
    <w:rsid w:val="00AC47D6"/>
    <w:rsid w:val="00AD40AF"/>
    <w:rsid w:val="00AD439B"/>
    <w:rsid w:val="00AD5604"/>
    <w:rsid w:val="00AD5C02"/>
    <w:rsid w:val="00AD6708"/>
    <w:rsid w:val="00AD7B8C"/>
    <w:rsid w:val="00AE01EB"/>
    <w:rsid w:val="00AE0E01"/>
    <w:rsid w:val="00AE45DD"/>
    <w:rsid w:val="00AE4959"/>
    <w:rsid w:val="00AE6657"/>
    <w:rsid w:val="00AE6C28"/>
    <w:rsid w:val="00AE7358"/>
    <w:rsid w:val="00AF068F"/>
    <w:rsid w:val="00B013C8"/>
    <w:rsid w:val="00B015F0"/>
    <w:rsid w:val="00B01B35"/>
    <w:rsid w:val="00B041E2"/>
    <w:rsid w:val="00B04FF7"/>
    <w:rsid w:val="00B05567"/>
    <w:rsid w:val="00B0574D"/>
    <w:rsid w:val="00B05968"/>
    <w:rsid w:val="00B0703B"/>
    <w:rsid w:val="00B12264"/>
    <w:rsid w:val="00B159EA"/>
    <w:rsid w:val="00B15E36"/>
    <w:rsid w:val="00B16792"/>
    <w:rsid w:val="00B17B06"/>
    <w:rsid w:val="00B23D6B"/>
    <w:rsid w:val="00B23E40"/>
    <w:rsid w:val="00B24E6D"/>
    <w:rsid w:val="00B27252"/>
    <w:rsid w:val="00B3234E"/>
    <w:rsid w:val="00B331E1"/>
    <w:rsid w:val="00B33309"/>
    <w:rsid w:val="00B33DB3"/>
    <w:rsid w:val="00B34870"/>
    <w:rsid w:val="00B36379"/>
    <w:rsid w:val="00B37EDB"/>
    <w:rsid w:val="00B41419"/>
    <w:rsid w:val="00B416A2"/>
    <w:rsid w:val="00B473AA"/>
    <w:rsid w:val="00B50CEE"/>
    <w:rsid w:val="00B50EFD"/>
    <w:rsid w:val="00B5103F"/>
    <w:rsid w:val="00B5260B"/>
    <w:rsid w:val="00B549F8"/>
    <w:rsid w:val="00B576F8"/>
    <w:rsid w:val="00B60851"/>
    <w:rsid w:val="00B60DB6"/>
    <w:rsid w:val="00B61029"/>
    <w:rsid w:val="00B61E87"/>
    <w:rsid w:val="00B61EDC"/>
    <w:rsid w:val="00B627DE"/>
    <w:rsid w:val="00B628D0"/>
    <w:rsid w:val="00B642D8"/>
    <w:rsid w:val="00B673C5"/>
    <w:rsid w:val="00B716C8"/>
    <w:rsid w:val="00B7369B"/>
    <w:rsid w:val="00B73960"/>
    <w:rsid w:val="00B7599F"/>
    <w:rsid w:val="00B81162"/>
    <w:rsid w:val="00B82DB6"/>
    <w:rsid w:val="00B84DA8"/>
    <w:rsid w:val="00B851ED"/>
    <w:rsid w:val="00B85853"/>
    <w:rsid w:val="00B85E77"/>
    <w:rsid w:val="00B86FDD"/>
    <w:rsid w:val="00B917AE"/>
    <w:rsid w:val="00B918D0"/>
    <w:rsid w:val="00B91E20"/>
    <w:rsid w:val="00B94C13"/>
    <w:rsid w:val="00B962BA"/>
    <w:rsid w:val="00B963E9"/>
    <w:rsid w:val="00B9731E"/>
    <w:rsid w:val="00BA0228"/>
    <w:rsid w:val="00BA05C3"/>
    <w:rsid w:val="00BA3AD2"/>
    <w:rsid w:val="00BA6FE4"/>
    <w:rsid w:val="00BA7643"/>
    <w:rsid w:val="00BA79F9"/>
    <w:rsid w:val="00BB062C"/>
    <w:rsid w:val="00BC2AFA"/>
    <w:rsid w:val="00BC3352"/>
    <w:rsid w:val="00BC3E26"/>
    <w:rsid w:val="00BC63AF"/>
    <w:rsid w:val="00BC717C"/>
    <w:rsid w:val="00BD0444"/>
    <w:rsid w:val="00BD100E"/>
    <w:rsid w:val="00BD116F"/>
    <w:rsid w:val="00BD1472"/>
    <w:rsid w:val="00BD3310"/>
    <w:rsid w:val="00BD3A69"/>
    <w:rsid w:val="00BD4078"/>
    <w:rsid w:val="00BD4923"/>
    <w:rsid w:val="00BD497A"/>
    <w:rsid w:val="00BD773D"/>
    <w:rsid w:val="00BD7953"/>
    <w:rsid w:val="00BD7AAC"/>
    <w:rsid w:val="00BE370B"/>
    <w:rsid w:val="00BF0A08"/>
    <w:rsid w:val="00BF100F"/>
    <w:rsid w:val="00BF1AB8"/>
    <w:rsid w:val="00BF2A06"/>
    <w:rsid w:val="00BF321B"/>
    <w:rsid w:val="00BF35D3"/>
    <w:rsid w:val="00BF5E23"/>
    <w:rsid w:val="00BF7E03"/>
    <w:rsid w:val="00C00872"/>
    <w:rsid w:val="00C05686"/>
    <w:rsid w:val="00C07AAC"/>
    <w:rsid w:val="00C12801"/>
    <w:rsid w:val="00C1287B"/>
    <w:rsid w:val="00C14438"/>
    <w:rsid w:val="00C15167"/>
    <w:rsid w:val="00C1587C"/>
    <w:rsid w:val="00C1797A"/>
    <w:rsid w:val="00C2052A"/>
    <w:rsid w:val="00C22442"/>
    <w:rsid w:val="00C22704"/>
    <w:rsid w:val="00C239DD"/>
    <w:rsid w:val="00C25590"/>
    <w:rsid w:val="00C2588C"/>
    <w:rsid w:val="00C32571"/>
    <w:rsid w:val="00C32EEF"/>
    <w:rsid w:val="00C33C04"/>
    <w:rsid w:val="00C33E38"/>
    <w:rsid w:val="00C34229"/>
    <w:rsid w:val="00C34EE0"/>
    <w:rsid w:val="00C424AB"/>
    <w:rsid w:val="00C429E4"/>
    <w:rsid w:val="00C42EBA"/>
    <w:rsid w:val="00C43E9F"/>
    <w:rsid w:val="00C4456C"/>
    <w:rsid w:val="00C44EF8"/>
    <w:rsid w:val="00C50462"/>
    <w:rsid w:val="00C540EF"/>
    <w:rsid w:val="00C5456C"/>
    <w:rsid w:val="00C6032F"/>
    <w:rsid w:val="00C64F49"/>
    <w:rsid w:val="00C6738B"/>
    <w:rsid w:val="00C67464"/>
    <w:rsid w:val="00C709BC"/>
    <w:rsid w:val="00C7345C"/>
    <w:rsid w:val="00C73D78"/>
    <w:rsid w:val="00C73FF5"/>
    <w:rsid w:val="00C74CD1"/>
    <w:rsid w:val="00C74D34"/>
    <w:rsid w:val="00C74D40"/>
    <w:rsid w:val="00C7528F"/>
    <w:rsid w:val="00C80797"/>
    <w:rsid w:val="00C81F6E"/>
    <w:rsid w:val="00C82126"/>
    <w:rsid w:val="00C83B71"/>
    <w:rsid w:val="00C8408C"/>
    <w:rsid w:val="00C84BEA"/>
    <w:rsid w:val="00C86CD8"/>
    <w:rsid w:val="00C90030"/>
    <w:rsid w:val="00C90860"/>
    <w:rsid w:val="00C9126B"/>
    <w:rsid w:val="00C915FF"/>
    <w:rsid w:val="00C91CA0"/>
    <w:rsid w:val="00C93D2D"/>
    <w:rsid w:val="00C96C93"/>
    <w:rsid w:val="00CA02F5"/>
    <w:rsid w:val="00CA103D"/>
    <w:rsid w:val="00CA1CC1"/>
    <w:rsid w:val="00CA3004"/>
    <w:rsid w:val="00CA7F28"/>
    <w:rsid w:val="00CB088C"/>
    <w:rsid w:val="00CB3853"/>
    <w:rsid w:val="00CB4184"/>
    <w:rsid w:val="00CB5F4C"/>
    <w:rsid w:val="00CB617B"/>
    <w:rsid w:val="00CB6B29"/>
    <w:rsid w:val="00CB74B9"/>
    <w:rsid w:val="00CC1AF8"/>
    <w:rsid w:val="00CC2001"/>
    <w:rsid w:val="00CC21D7"/>
    <w:rsid w:val="00CC44E9"/>
    <w:rsid w:val="00CC4A7F"/>
    <w:rsid w:val="00CC592C"/>
    <w:rsid w:val="00CC6777"/>
    <w:rsid w:val="00CC775F"/>
    <w:rsid w:val="00CD3D4B"/>
    <w:rsid w:val="00CD3ED0"/>
    <w:rsid w:val="00CD48A9"/>
    <w:rsid w:val="00CD61FF"/>
    <w:rsid w:val="00CD7A55"/>
    <w:rsid w:val="00CE0EE0"/>
    <w:rsid w:val="00CE0F69"/>
    <w:rsid w:val="00CE309E"/>
    <w:rsid w:val="00CE4052"/>
    <w:rsid w:val="00CE6950"/>
    <w:rsid w:val="00CE6B94"/>
    <w:rsid w:val="00CF2906"/>
    <w:rsid w:val="00CF5513"/>
    <w:rsid w:val="00D00C3C"/>
    <w:rsid w:val="00D037BA"/>
    <w:rsid w:val="00D0398C"/>
    <w:rsid w:val="00D06A37"/>
    <w:rsid w:val="00D1052C"/>
    <w:rsid w:val="00D10820"/>
    <w:rsid w:val="00D11F95"/>
    <w:rsid w:val="00D128E2"/>
    <w:rsid w:val="00D148BB"/>
    <w:rsid w:val="00D15301"/>
    <w:rsid w:val="00D162E9"/>
    <w:rsid w:val="00D16348"/>
    <w:rsid w:val="00D16460"/>
    <w:rsid w:val="00D168F9"/>
    <w:rsid w:val="00D20681"/>
    <w:rsid w:val="00D20692"/>
    <w:rsid w:val="00D22AE7"/>
    <w:rsid w:val="00D278A7"/>
    <w:rsid w:val="00D3005E"/>
    <w:rsid w:val="00D34A81"/>
    <w:rsid w:val="00D357F0"/>
    <w:rsid w:val="00D35E6C"/>
    <w:rsid w:val="00D46E0C"/>
    <w:rsid w:val="00D47EE8"/>
    <w:rsid w:val="00D51B9E"/>
    <w:rsid w:val="00D5244E"/>
    <w:rsid w:val="00D5421F"/>
    <w:rsid w:val="00D54335"/>
    <w:rsid w:val="00D57D57"/>
    <w:rsid w:val="00D60759"/>
    <w:rsid w:val="00D61B95"/>
    <w:rsid w:val="00D6274F"/>
    <w:rsid w:val="00D660BC"/>
    <w:rsid w:val="00D660F5"/>
    <w:rsid w:val="00D676B5"/>
    <w:rsid w:val="00D6777E"/>
    <w:rsid w:val="00D70A3B"/>
    <w:rsid w:val="00D71303"/>
    <w:rsid w:val="00D71BED"/>
    <w:rsid w:val="00D76627"/>
    <w:rsid w:val="00D825CD"/>
    <w:rsid w:val="00D84151"/>
    <w:rsid w:val="00D854B9"/>
    <w:rsid w:val="00D86B77"/>
    <w:rsid w:val="00D9104C"/>
    <w:rsid w:val="00D91436"/>
    <w:rsid w:val="00D92D49"/>
    <w:rsid w:val="00D94065"/>
    <w:rsid w:val="00D9489C"/>
    <w:rsid w:val="00D95DCE"/>
    <w:rsid w:val="00D97E74"/>
    <w:rsid w:val="00DA0D07"/>
    <w:rsid w:val="00DA0FF3"/>
    <w:rsid w:val="00DA1CF1"/>
    <w:rsid w:val="00DA2076"/>
    <w:rsid w:val="00DA25D4"/>
    <w:rsid w:val="00DA560D"/>
    <w:rsid w:val="00DA5995"/>
    <w:rsid w:val="00DA6886"/>
    <w:rsid w:val="00DA6E4B"/>
    <w:rsid w:val="00DA738E"/>
    <w:rsid w:val="00DA7530"/>
    <w:rsid w:val="00DB0BF0"/>
    <w:rsid w:val="00DB110F"/>
    <w:rsid w:val="00DB1D6C"/>
    <w:rsid w:val="00DB6CE2"/>
    <w:rsid w:val="00DB7496"/>
    <w:rsid w:val="00DC1603"/>
    <w:rsid w:val="00DC17AE"/>
    <w:rsid w:val="00DC2411"/>
    <w:rsid w:val="00DC5046"/>
    <w:rsid w:val="00DC77BE"/>
    <w:rsid w:val="00DD0E1F"/>
    <w:rsid w:val="00DD3498"/>
    <w:rsid w:val="00DD35FC"/>
    <w:rsid w:val="00DD4850"/>
    <w:rsid w:val="00DD4F24"/>
    <w:rsid w:val="00DD65D4"/>
    <w:rsid w:val="00DD6A13"/>
    <w:rsid w:val="00DD7831"/>
    <w:rsid w:val="00DD7A22"/>
    <w:rsid w:val="00DE0591"/>
    <w:rsid w:val="00DE173E"/>
    <w:rsid w:val="00DE27E1"/>
    <w:rsid w:val="00DE5373"/>
    <w:rsid w:val="00DE714A"/>
    <w:rsid w:val="00DE71A3"/>
    <w:rsid w:val="00DE7364"/>
    <w:rsid w:val="00DF08C1"/>
    <w:rsid w:val="00DF0D58"/>
    <w:rsid w:val="00DF1992"/>
    <w:rsid w:val="00DF2838"/>
    <w:rsid w:val="00DF28C6"/>
    <w:rsid w:val="00DF3B16"/>
    <w:rsid w:val="00DF546B"/>
    <w:rsid w:val="00DF68B8"/>
    <w:rsid w:val="00DF6CB1"/>
    <w:rsid w:val="00E00091"/>
    <w:rsid w:val="00E01FCC"/>
    <w:rsid w:val="00E02B6D"/>
    <w:rsid w:val="00E044BB"/>
    <w:rsid w:val="00E04EEC"/>
    <w:rsid w:val="00E05AD9"/>
    <w:rsid w:val="00E07F8F"/>
    <w:rsid w:val="00E11442"/>
    <w:rsid w:val="00E11CEE"/>
    <w:rsid w:val="00E175FF"/>
    <w:rsid w:val="00E17ABD"/>
    <w:rsid w:val="00E230A1"/>
    <w:rsid w:val="00E24927"/>
    <w:rsid w:val="00E24D2F"/>
    <w:rsid w:val="00E265B2"/>
    <w:rsid w:val="00E26A43"/>
    <w:rsid w:val="00E27372"/>
    <w:rsid w:val="00E302D8"/>
    <w:rsid w:val="00E31D61"/>
    <w:rsid w:val="00E326CC"/>
    <w:rsid w:val="00E3304E"/>
    <w:rsid w:val="00E3316B"/>
    <w:rsid w:val="00E3358B"/>
    <w:rsid w:val="00E34796"/>
    <w:rsid w:val="00E3550D"/>
    <w:rsid w:val="00E368F6"/>
    <w:rsid w:val="00E37C9B"/>
    <w:rsid w:val="00E41833"/>
    <w:rsid w:val="00E41C4B"/>
    <w:rsid w:val="00E43CED"/>
    <w:rsid w:val="00E4472B"/>
    <w:rsid w:val="00E452AC"/>
    <w:rsid w:val="00E478EA"/>
    <w:rsid w:val="00E47912"/>
    <w:rsid w:val="00E5148A"/>
    <w:rsid w:val="00E536F3"/>
    <w:rsid w:val="00E53AD5"/>
    <w:rsid w:val="00E549CF"/>
    <w:rsid w:val="00E55501"/>
    <w:rsid w:val="00E56DC1"/>
    <w:rsid w:val="00E63266"/>
    <w:rsid w:val="00E63FF0"/>
    <w:rsid w:val="00E640D0"/>
    <w:rsid w:val="00E64E58"/>
    <w:rsid w:val="00E65197"/>
    <w:rsid w:val="00E65F59"/>
    <w:rsid w:val="00E674B0"/>
    <w:rsid w:val="00E67B0E"/>
    <w:rsid w:val="00E70A8E"/>
    <w:rsid w:val="00E72A25"/>
    <w:rsid w:val="00E72C85"/>
    <w:rsid w:val="00E738CE"/>
    <w:rsid w:val="00E743E6"/>
    <w:rsid w:val="00E75DD7"/>
    <w:rsid w:val="00E77098"/>
    <w:rsid w:val="00E7752F"/>
    <w:rsid w:val="00E778A9"/>
    <w:rsid w:val="00E81C29"/>
    <w:rsid w:val="00E81FF8"/>
    <w:rsid w:val="00E82FEA"/>
    <w:rsid w:val="00E8414F"/>
    <w:rsid w:val="00E8709F"/>
    <w:rsid w:val="00E879C6"/>
    <w:rsid w:val="00E9080A"/>
    <w:rsid w:val="00E91DF8"/>
    <w:rsid w:val="00E9218D"/>
    <w:rsid w:val="00E9560D"/>
    <w:rsid w:val="00E97C70"/>
    <w:rsid w:val="00EA1555"/>
    <w:rsid w:val="00EA1E53"/>
    <w:rsid w:val="00EB26FD"/>
    <w:rsid w:val="00EB4992"/>
    <w:rsid w:val="00EB5660"/>
    <w:rsid w:val="00EB5F35"/>
    <w:rsid w:val="00EC071E"/>
    <w:rsid w:val="00EC1794"/>
    <w:rsid w:val="00EC1C57"/>
    <w:rsid w:val="00EC6596"/>
    <w:rsid w:val="00EC7E4E"/>
    <w:rsid w:val="00ED0641"/>
    <w:rsid w:val="00ED075D"/>
    <w:rsid w:val="00ED2F81"/>
    <w:rsid w:val="00ED3E47"/>
    <w:rsid w:val="00ED4445"/>
    <w:rsid w:val="00ED60AF"/>
    <w:rsid w:val="00ED6A19"/>
    <w:rsid w:val="00ED6A2C"/>
    <w:rsid w:val="00ED75EB"/>
    <w:rsid w:val="00EE0F69"/>
    <w:rsid w:val="00EE3AD8"/>
    <w:rsid w:val="00EE3CD0"/>
    <w:rsid w:val="00EE3D6C"/>
    <w:rsid w:val="00EE4BC6"/>
    <w:rsid w:val="00EE6B8D"/>
    <w:rsid w:val="00EF1188"/>
    <w:rsid w:val="00EF1E3E"/>
    <w:rsid w:val="00EF3F25"/>
    <w:rsid w:val="00EF5412"/>
    <w:rsid w:val="00EF58A7"/>
    <w:rsid w:val="00EF6427"/>
    <w:rsid w:val="00EF6D03"/>
    <w:rsid w:val="00F00C0E"/>
    <w:rsid w:val="00F01656"/>
    <w:rsid w:val="00F01A69"/>
    <w:rsid w:val="00F03853"/>
    <w:rsid w:val="00F04FE9"/>
    <w:rsid w:val="00F05413"/>
    <w:rsid w:val="00F07E10"/>
    <w:rsid w:val="00F106FA"/>
    <w:rsid w:val="00F12DFA"/>
    <w:rsid w:val="00F133CC"/>
    <w:rsid w:val="00F13EB1"/>
    <w:rsid w:val="00F14444"/>
    <w:rsid w:val="00F175BA"/>
    <w:rsid w:val="00F17D48"/>
    <w:rsid w:val="00F2267D"/>
    <w:rsid w:val="00F228BB"/>
    <w:rsid w:val="00F22C8B"/>
    <w:rsid w:val="00F232DA"/>
    <w:rsid w:val="00F242BC"/>
    <w:rsid w:val="00F246D4"/>
    <w:rsid w:val="00F269BE"/>
    <w:rsid w:val="00F27553"/>
    <w:rsid w:val="00F30F56"/>
    <w:rsid w:val="00F3406A"/>
    <w:rsid w:val="00F36840"/>
    <w:rsid w:val="00F37099"/>
    <w:rsid w:val="00F40BEE"/>
    <w:rsid w:val="00F44ACF"/>
    <w:rsid w:val="00F45ED1"/>
    <w:rsid w:val="00F4725A"/>
    <w:rsid w:val="00F506DA"/>
    <w:rsid w:val="00F5251A"/>
    <w:rsid w:val="00F53192"/>
    <w:rsid w:val="00F543E2"/>
    <w:rsid w:val="00F6234A"/>
    <w:rsid w:val="00F62B2D"/>
    <w:rsid w:val="00F661BD"/>
    <w:rsid w:val="00F67104"/>
    <w:rsid w:val="00F6772C"/>
    <w:rsid w:val="00F67FF8"/>
    <w:rsid w:val="00F709AB"/>
    <w:rsid w:val="00F72477"/>
    <w:rsid w:val="00F748AD"/>
    <w:rsid w:val="00F76311"/>
    <w:rsid w:val="00F801F8"/>
    <w:rsid w:val="00F813EB"/>
    <w:rsid w:val="00F82467"/>
    <w:rsid w:val="00F82BCF"/>
    <w:rsid w:val="00F82E0A"/>
    <w:rsid w:val="00F83499"/>
    <w:rsid w:val="00F84E70"/>
    <w:rsid w:val="00F86575"/>
    <w:rsid w:val="00F86C0E"/>
    <w:rsid w:val="00F877F0"/>
    <w:rsid w:val="00F91641"/>
    <w:rsid w:val="00F92CBE"/>
    <w:rsid w:val="00F96A15"/>
    <w:rsid w:val="00FA2D4D"/>
    <w:rsid w:val="00FA4929"/>
    <w:rsid w:val="00FA5E75"/>
    <w:rsid w:val="00FA5E89"/>
    <w:rsid w:val="00FB03B4"/>
    <w:rsid w:val="00FB17B6"/>
    <w:rsid w:val="00FB2FCC"/>
    <w:rsid w:val="00FB395A"/>
    <w:rsid w:val="00FB3DDC"/>
    <w:rsid w:val="00FB524B"/>
    <w:rsid w:val="00FB6404"/>
    <w:rsid w:val="00FB65D0"/>
    <w:rsid w:val="00FB76DE"/>
    <w:rsid w:val="00FC032D"/>
    <w:rsid w:val="00FC0CFB"/>
    <w:rsid w:val="00FC0DBD"/>
    <w:rsid w:val="00FC1CFD"/>
    <w:rsid w:val="00FC252F"/>
    <w:rsid w:val="00FC29FE"/>
    <w:rsid w:val="00FC3F10"/>
    <w:rsid w:val="00FC5975"/>
    <w:rsid w:val="00FC64A0"/>
    <w:rsid w:val="00FC653F"/>
    <w:rsid w:val="00FD0268"/>
    <w:rsid w:val="00FD430E"/>
    <w:rsid w:val="00FD43D1"/>
    <w:rsid w:val="00FD59B6"/>
    <w:rsid w:val="00FD629B"/>
    <w:rsid w:val="00FD6BB1"/>
    <w:rsid w:val="00FD7421"/>
    <w:rsid w:val="00FE0E75"/>
    <w:rsid w:val="00FE0F1F"/>
    <w:rsid w:val="00FE1F04"/>
    <w:rsid w:val="00FE473F"/>
    <w:rsid w:val="00FE51EC"/>
    <w:rsid w:val="00FF1243"/>
    <w:rsid w:val="00FF22E6"/>
    <w:rsid w:val="00FF3D26"/>
    <w:rsid w:val="00FF56EE"/>
    <w:rsid w:val="00FF6AA8"/>
    <w:rsid w:val="00FF7A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1C1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F3B"/>
    <w:rPr>
      <w:rFonts w:ascii="Lucida Grande" w:hAnsi="Lucida Grande" w:cs="Lucida Grande"/>
      <w:sz w:val="18"/>
      <w:szCs w:val="18"/>
      <w:lang w:val="en-GB"/>
    </w:rPr>
  </w:style>
  <w:style w:type="paragraph" w:styleId="Header">
    <w:name w:val="header"/>
    <w:basedOn w:val="Normal"/>
    <w:link w:val="HeaderChar"/>
    <w:uiPriority w:val="99"/>
    <w:unhideWhenUsed/>
    <w:rsid w:val="00DA25D4"/>
    <w:pPr>
      <w:tabs>
        <w:tab w:val="center" w:pos="4536"/>
        <w:tab w:val="right" w:pos="9072"/>
      </w:tabs>
    </w:pPr>
    <w:rPr>
      <w:rFonts w:ascii="Calibri" w:eastAsia="Calibri" w:hAnsi="Calibri" w:cs="Calibri"/>
      <w:color w:val="000000"/>
      <w:sz w:val="22"/>
      <w:szCs w:val="22"/>
      <w:lang w:val="cs-CZ" w:eastAsia="cs-CZ"/>
    </w:rPr>
  </w:style>
  <w:style w:type="character" w:customStyle="1" w:styleId="HeaderChar">
    <w:name w:val="Header Char"/>
    <w:basedOn w:val="DefaultParagraphFont"/>
    <w:link w:val="Header"/>
    <w:uiPriority w:val="99"/>
    <w:rsid w:val="00DA25D4"/>
    <w:rPr>
      <w:rFonts w:ascii="Calibri" w:eastAsia="Calibri" w:hAnsi="Calibri" w:cs="Calibri"/>
      <w:color w:val="000000"/>
      <w:sz w:val="22"/>
      <w:szCs w:val="22"/>
      <w:lang w:val="cs-CZ" w:eastAsia="cs-CZ"/>
    </w:rPr>
  </w:style>
  <w:style w:type="character" w:styleId="CommentReference">
    <w:name w:val="annotation reference"/>
    <w:basedOn w:val="DefaultParagraphFont"/>
    <w:uiPriority w:val="99"/>
    <w:semiHidden/>
    <w:unhideWhenUsed/>
    <w:rsid w:val="001256EF"/>
    <w:rPr>
      <w:sz w:val="18"/>
      <w:szCs w:val="18"/>
    </w:rPr>
  </w:style>
  <w:style w:type="paragraph" w:styleId="CommentText">
    <w:name w:val="annotation text"/>
    <w:basedOn w:val="Normal"/>
    <w:link w:val="CommentTextChar"/>
    <w:uiPriority w:val="99"/>
    <w:unhideWhenUsed/>
    <w:rsid w:val="001256EF"/>
  </w:style>
  <w:style w:type="character" w:customStyle="1" w:styleId="CommentTextChar">
    <w:name w:val="Comment Text Char"/>
    <w:basedOn w:val="DefaultParagraphFont"/>
    <w:link w:val="CommentText"/>
    <w:uiPriority w:val="99"/>
    <w:rsid w:val="001256EF"/>
    <w:rPr>
      <w:lang w:val="en-GB"/>
    </w:rPr>
  </w:style>
  <w:style w:type="paragraph" w:styleId="CommentSubject">
    <w:name w:val="annotation subject"/>
    <w:basedOn w:val="CommentText"/>
    <w:next w:val="CommentText"/>
    <w:link w:val="CommentSubjectChar"/>
    <w:uiPriority w:val="99"/>
    <w:semiHidden/>
    <w:unhideWhenUsed/>
    <w:rsid w:val="001256EF"/>
    <w:rPr>
      <w:b/>
      <w:bCs/>
      <w:sz w:val="20"/>
      <w:szCs w:val="20"/>
    </w:rPr>
  </w:style>
  <w:style w:type="character" w:customStyle="1" w:styleId="CommentSubjectChar">
    <w:name w:val="Comment Subject Char"/>
    <w:basedOn w:val="CommentTextChar"/>
    <w:link w:val="CommentSubject"/>
    <w:uiPriority w:val="99"/>
    <w:semiHidden/>
    <w:rsid w:val="001256EF"/>
    <w:rPr>
      <w:b/>
      <w:bCs/>
      <w:sz w:val="20"/>
      <w:szCs w:val="20"/>
      <w:lang w:val="en-GB"/>
    </w:rPr>
  </w:style>
  <w:style w:type="character" w:styleId="Hyperlink">
    <w:name w:val="Hyperlink"/>
    <w:basedOn w:val="DefaultParagraphFont"/>
    <w:uiPriority w:val="99"/>
    <w:unhideWhenUsed/>
    <w:rsid w:val="00C42EBA"/>
    <w:rPr>
      <w:color w:val="0000FF" w:themeColor="hyperlink"/>
      <w:u w:val="single"/>
    </w:rPr>
  </w:style>
  <w:style w:type="paragraph" w:styleId="Footer">
    <w:name w:val="footer"/>
    <w:basedOn w:val="Normal"/>
    <w:link w:val="FooterChar"/>
    <w:uiPriority w:val="99"/>
    <w:unhideWhenUsed/>
    <w:rsid w:val="00E34796"/>
    <w:pPr>
      <w:tabs>
        <w:tab w:val="center" w:pos="4513"/>
        <w:tab w:val="right" w:pos="9026"/>
      </w:tabs>
    </w:pPr>
  </w:style>
  <w:style w:type="character" w:customStyle="1" w:styleId="FooterChar">
    <w:name w:val="Footer Char"/>
    <w:basedOn w:val="DefaultParagraphFont"/>
    <w:link w:val="Footer"/>
    <w:uiPriority w:val="99"/>
    <w:rsid w:val="00E34796"/>
    <w:rPr>
      <w:lang w:val="en-GB"/>
    </w:rPr>
  </w:style>
  <w:style w:type="character" w:styleId="PageNumber">
    <w:name w:val="page number"/>
    <w:basedOn w:val="DefaultParagraphFont"/>
    <w:uiPriority w:val="99"/>
    <w:semiHidden/>
    <w:unhideWhenUsed/>
    <w:rsid w:val="00E34796"/>
  </w:style>
  <w:style w:type="character" w:customStyle="1" w:styleId="apple-converted-space">
    <w:name w:val="apple-converted-space"/>
    <w:basedOn w:val="DefaultParagraphFont"/>
    <w:rsid w:val="007F4BA2"/>
  </w:style>
  <w:style w:type="character" w:styleId="Emphasis">
    <w:name w:val="Emphasis"/>
    <w:basedOn w:val="DefaultParagraphFont"/>
    <w:uiPriority w:val="20"/>
    <w:qFormat/>
    <w:rsid w:val="00114266"/>
    <w:rPr>
      <w:i/>
      <w:iCs/>
    </w:rPr>
  </w:style>
  <w:style w:type="paragraph" w:customStyle="1" w:styleId="p1">
    <w:name w:val="p1"/>
    <w:basedOn w:val="Normal"/>
    <w:rsid w:val="002732AD"/>
    <w:rPr>
      <w:rFonts w:ascii="Helvetica" w:hAnsi="Helvetica" w:cs="Times New Roman"/>
      <w:color w:val="2F2A2B"/>
      <w:sz w:val="16"/>
      <w:szCs w:val="16"/>
      <w:lang w:eastAsia="en-GB"/>
    </w:rPr>
  </w:style>
  <w:style w:type="paragraph" w:customStyle="1" w:styleId="EndNoteBibliography">
    <w:name w:val="EndNote Bibliography"/>
    <w:basedOn w:val="Normal"/>
    <w:link w:val="EndNoteBibliographyChar"/>
    <w:rsid w:val="0025281B"/>
    <w:pPr>
      <w:spacing w:after="160"/>
      <w:jc w:val="both"/>
    </w:pPr>
    <w:rPr>
      <w:rFonts w:ascii="Cambria" w:eastAsiaTheme="minorHAnsi" w:hAnsi="Cambria"/>
      <w:noProof/>
      <w:szCs w:val="22"/>
      <w:lang w:val="en-US"/>
    </w:rPr>
  </w:style>
  <w:style w:type="character" w:customStyle="1" w:styleId="EndNoteBibliographyChar">
    <w:name w:val="EndNote Bibliography Char"/>
    <w:basedOn w:val="DefaultParagraphFont"/>
    <w:link w:val="EndNoteBibliography"/>
    <w:rsid w:val="0025281B"/>
    <w:rPr>
      <w:rFonts w:ascii="Cambria" w:eastAsiaTheme="minorHAnsi" w:hAnsi="Cambria"/>
      <w:noProof/>
      <w:szCs w:val="22"/>
      <w:lang w:val="en-US"/>
    </w:rPr>
  </w:style>
  <w:style w:type="character" w:styleId="FollowedHyperlink">
    <w:name w:val="FollowedHyperlink"/>
    <w:basedOn w:val="DefaultParagraphFont"/>
    <w:uiPriority w:val="99"/>
    <w:semiHidden/>
    <w:unhideWhenUsed/>
    <w:rsid w:val="005C13BD"/>
    <w:rPr>
      <w:color w:val="800080" w:themeColor="followedHyperlink"/>
      <w:u w:val="single"/>
    </w:rPr>
  </w:style>
  <w:style w:type="paragraph" w:styleId="NormalWeb">
    <w:name w:val="Normal (Web)"/>
    <w:basedOn w:val="Normal"/>
    <w:rsid w:val="008731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826">
      <w:bodyDiv w:val="1"/>
      <w:marLeft w:val="0"/>
      <w:marRight w:val="0"/>
      <w:marTop w:val="0"/>
      <w:marBottom w:val="0"/>
      <w:divBdr>
        <w:top w:val="none" w:sz="0" w:space="0" w:color="auto"/>
        <w:left w:val="none" w:sz="0" w:space="0" w:color="auto"/>
        <w:bottom w:val="none" w:sz="0" w:space="0" w:color="auto"/>
        <w:right w:val="none" w:sz="0" w:space="0" w:color="auto"/>
      </w:divBdr>
    </w:div>
    <w:div w:id="35545643">
      <w:bodyDiv w:val="1"/>
      <w:marLeft w:val="0"/>
      <w:marRight w:val="0"/>
      <w:marTop w:val="0"/>
      <w:marBottom w:val="0"/>
      <w:divBdr>
        <w:top w:val="none" w:sz="0" w:space="0" w:color="auto"/>
        <w:left w:val="none" w:sz="0" w:space="0" w:color="auto"/>
        <w:bottom w:val="none" w:sz="0" w:space="0" w:color="auto"/>
        <w:right w:val="none" w:sz="0" w:space="0" w:color="auto"/>
      </w:divBdr>
    </w:div>
    <w:div w:id="35668223">
      <w:bodyDiv w:val="1"/>
      <w:marLeft w:val="0"/>
      <w:marRight w:val="0"/>
      <w:marTop w:val="0"/>
      <w:marBottom w:val="0"/>
      <w:divBdr>
        <w:top w:val="none" w:sz="0" w:space="0" w:color="auto"/>
        <w:left w:val="none" w:sz="0" w:space="0" w:color="auto"/>
        <w:bottom w:val="none" w:sz="0" w:space="0" w:color="auto"/>
        <w:right w:val="none" w:sz="0" w:space="0" w:color="auto"/>
      </w:divBdr>
    </w:div>
    <w:div w:id="88474992">
      <w:bodyDiv w:val="1"/>
      <w:marLeft w:val="0"/>
      <w:marRight w:val="0"/>
      <w:marTop w:val="0"/>
      <w:marBottom w:val="0"/>
      <w:divBdr>
        <w:top w:val="none" w:sz="0" w:space="0" w:color="auto"/>
        <w:left w:val="none" w:sz="0" w:space="0" w:color="auto"/>
        <w:bottom w:val="none" w:sz="0" w:space="0" w:color="auto"/>
        <w:right w:val="none" w:sz="0" w:space="0" w:color="auto"/>
      </w:divBdr>
    </w:div>
    <w:div w:id="96145272">
      <w:bodyDiv w:val="1"/>
      <w:marLeft w:val="0"/>
      <w:marRight w:val="0"/>
      <w:marTop w:val="0"/>
      <w:marBottom w:val="0"/>
      <w:divBdr>
        <w:top w:val="none" w:sz="0" w:space="0" w:color="auto"/>
        <w:left w:val="none" w:sz="0" w:space="0" w:color="auto"/>
        <w:bottom w:val="none" w:sz="0" w:space="0" w:color="auto"/>
        <w:right w:val="none" w:sz="0" w:space="0" w:color="auto"/>
      </w:divBdr>
    </w:div>
    <w:div w:id="105345700">
      <w:bodyDiv w:val="1"/>
      <w:marLeft w:val="0"/>
      <w:marRight w:val="0"/>
      <w:marTop w:val="0"/>
      <w:marBottom w:val="0"/>
      <w:divBdr>
        <w:top w:val="none" w:sz="0" w:space="0" w:color="auto"/>
        <w:left w:val="none" w:sz="0" w:space="0" w:color="auto"/>
        <w:bottom w:val="none" w:sz="0" w:space="0" w:color="auto"/>
        <w:right w:val="none" w:sz="0" w:space="0" w:color="auto"/>
      </w:divBdr>
    </w:div>
    <w:div w:id="111487431">
      <w:bodyDiv w:val="1"/>
      <w:marLeft w:val="0"/>
      <w:marRight w:val="0"/>
      <w:marTop w:val="0"/>
      <w:marBottom w:val="0"/>
      <w:divBdr>
        <w:top w:val="none" w:sz="0" w:space="0" w:color="auto"/>
        <w:left w:val="none" w:sz="0" w:space="0" w:color="auto"/>
        <w:bottom w:val="none" w:sz="0" w:space="0" w:color="auto"/>
        <w:right w:val="none" w:sz="0" w:space="0" w:color="auto"/>
      </w:divBdr>
    </w:div>
    <w:div w:id="164054987">
      <w:bodyDiv w:val="1"/>
      <w:marLeft w:val="0"/>
      <w:marRight w:val="0"/>
      <w:marTop w:val="0"/>
      <w:marBottom w:val="0"/>
      <w:divBdr>
        <w:top w:val="none" w:sz="0" w:space="0" w:color="auto"/>
        <w:left w:val="none" w:sz="0" w:space="0" w:color="auto"/>
        <w:bottom w:val="none" w:sz="0" w:space="0" w:color="auto"/>
        <w:right w:val="none" w:sz="0" w:space="0" w:color="auto"/>
      </w:divBdr>
    </w:div>
    <w:div w:id="184559633">
      <w:bodyDiv w:val="1"/>
      <w:marLeft w:val="0"/>
      <w:marRight w:val="0"/>
      <w:marTop w:val="0"/>
      <w:marBottom w:val="0"/>
      <w:divBdr>
        <w:top w:val="none" w:sz="0" w:space="0" w:color="auto"/>
        <w:left w:val="none" w:sz="0" w:space="0" w:color="auto"/>
        <w:bottom w:val="none" w:sz="0" w:space="0" w:color="auto"/>
        <w:right w:val="none" w:sz="0" w:space="0" w:color="auto"/>
      </w:divBdr>
    </w:div>
    <w:div w:id="200019358">
      <w:bodyDiv w:val="1"/>
      <w:marLeft w:val="0"/>
      <w:marRight w:val="0"/>
      <w:marTop w:val="0"/>
      <w:marBottom w:val="0"/>
      <w:divBdr>
        <w:top w:val="none" w:sz="0" w:space="0" w:color="auto"/>
        <w:left w:val="none" w:sz="0" w:space="0" w:color="auto"/>
        <w:bottom w:val="none" w:sz="0" w:space="0" w:color="auto"/>
        <w:right w:val="none" w:sz="0" w:space="0" w:color="auto"/>
      </w:divBdr>
    </w:div>
    <w:div w:id="202013466">
      <w:bodyDiv w:val="1"/>
      <w:marLeft w:val="0"/>
      <w:marRight w:val="0"/>
      <w:marTop w:val="0"/>
      <w:marBottom w:val="0"/>
      <w:divBdr>
        <w:top w:val="none" w:sz="0" w:space="0" w:color="auto"/>
        <w:left w:val="none" w:sz="0" w:space="0" w:color="auto"/>
        <w:bottom w:val="none" w:sz="0" w:space="0" w:color="auto"/>
        <w:right w:val="none" w:sz="0" w:space="0" w:color="auto"/>
      </w:divBdr>
    </w:div>
    <w:div w:id="203913129">
      <w:bodyDiv w:val="1"/>
      <w:marLeft w:val="0"/>
      <w:marRight w:val="0"/>
      <w:marTop w:val="0"/>
      <w:marBottom w:val="0"/>
      <w:divBdr>
        <w:top w:val="none" w:sz="0" w:space="0" w:color="auto"/>
        <w:left w:val="none" w:sz="0" w:space="0" w:color="auto"/>
        <w:bottom w:val="none" w:sz="0" w:space="0" w:color="auto"/>
        <w:right w:val="none" w:sz="0" w:space="0" w:color="auto"/>
      </w:divBdr>
    </w:div>
    <w:div w:id="222328599">
      <w:bodyDiv w:val="1"/>
      <w:marLeft w:val="0"/>
      <w:marRight w:val="0"/>
      <w:marTop w:val="0"/>
      <w:marBottom w:val="0"/>
      <w:divBdr>
        <w:top w:val="none" w:sz="0" w:space="0" w:color="auto"/>
        <w:left w:val="none" w:sz="0" w:space="0" w:color="auto"/>
        <w:bottom w:val="none" w:sz="0" w:space="0" w:color="auto"/>
        <w:right w:val="none" w:sz="0" w:space="0" w:color="auto"/>
      </w:divBdr>
    </w:div>
    <w:div w:id="226427200">
      <w:bodyDiv w:val="1"/>
      <w:marLeft w:val="0"/>
      <w:marRight w:val="0"/>
      <w:marTop w:val="0"/>
      <w:marBottom w:val="0"/>
      <w:divBdr>
        <w:top w:val="none" w:sz="0" w:space="0" w:color="auto"/>
        <w:left w:val="none" w:sz="0" w:space="0" w:color="auto"/>
        <w:bottom w:val="none" w:sz="0" w:space="0" w:color="auto"/>
        <w:right w:val="none" w:sz="0" w:space="0" w:color="auto"/>
      </w:divBdr>
    </w:div>
    <w:div w:id="242571887">
      <w:bodyDiv w:val="1"/>
      <w:marLeft w:val="0"/>
      <w:marRight w:val="0"/>
      <w:marTop w:val="0"/>
      <w:marBottom w:val="0"/>
      <w:divBdr>
        <w:top w:val="none" w:sz="0" w:space="0" w:color="auto"/>
        <w:left w:val="none" w:sz="0" w:space="0" w:color="auto"/>
        <w:bottom w:val="none" w:sz="0" w:space="0" w:color="auto"/>
        <w:right w:val="none" w:sz="0" w:space="0" w:color="auto"/>
      </w:divBdr>
    </w:div>
    <w:div w:id="244000906">
      <w:bodyDiv w:val="1"/>
      <w:marLeft w:val="0"/>
      <w:marRight w:val="0"/>
      <w:marTop w:val="0"/>
      <w:marBottom w:val="0"/>
      <w:divBdr>
        <w:top w:val="none" w:sz="0" w:space="0" w:color="auto"/>
        <w:left w:val="none" w:sz="0" w:space="0" w:color="auto"/>
        <w:bottom w:val="none" w:sz="0" w:space="0" w:color="auto"/>
        <w:right w:val="none" w:sz="0" w:space="0" w:color="auto"/>
      </w:divBdr>
    </w:div>
    <w:div w:id="254945136">
      <w:bodyDiv w:val="1"/>
      <w:marLeft w:val="0"/>
      <w:marRight w:val="0"/>
      <w:marTop w:val="0"/>
      <w:marBottom w:val="0"/>
      <w:divBdr>
        <w:top w:val="none" w:sz="0" w:space="0" w:color="auto"/>
        <w:left w:val="none" w:sz="0" w:space="0" w:color="auto"/>
        <w:bottom w:val="none" w:sz="0" w:space="0" w:color="auto"/>
        <w:right w:val="none" w:sz="0" w:space="0" w:color="auto"/>
      </w:divBdr>
    </w:div>
    <w:div w:id="303200938">
      <w:bodyDiv w:val="1"/>
      <w:marLeft w:val="0"/>
      <w:marRight w:val="0"/>
      <w:marTop w:val="0"/>
      <w:marBottom w:val="0"/>
      <w:divBdr>
        <w:top w:val="none" w:sz="0" w:space="0" w:color="auto"/>
        <w:left w:val="none" w:sz="0" w:space="0" w:color="auto"/>
        <w:bottom w:val="none" w:sz="0" w:space="0" w:color="auto"/>
        <w:right w:val="none" w:sz="0" w:space="0" w:color="auto"/>
      </w:divBdr>
    </w:div>
    <w:div w:id="329259124">
      <w:bodyDiv w:val="1"/>
      <w:marLeft w:val="0"/>
      <w:marRight w:val="0"/>
      <w:marTop w:val="0"/>
      <w:marBottom w:val="0"/>
      <w:divBdr>
        <w:top w:val="none" w:sz="0" w:space="0" w:color="auto"/>
        <w:left w:val="none" w:sz="0" w:space="0" w:color="auto"/>
        <w:bottom w:val="none" w:sz="0" w:space="0" w:color="auto"/>
        <w:right w:val="none" w:sz="0" w:space="0" w:color="auto"/>
      </w:divBdr>
    </w:div>
    <w:div w:id="335571691">
      <w:bodyDiv w:val="1"/>
      <w:marLeft w:val="0"/>
      <w:marRight w:val="0"/>
      <w:marTop w:val="0"/>
      <w:marBottom w:val="0"/>
      <w:divBdr>
        <w:top w:val="none" w:sz="0" w:space="0" w:color="auto"/>
        <w:left w:val="none" w:sz="0" w:space="0" w:color="auto"/>
        <w:bottom w:val="none" w:sz="0" w:space="0" w:color="auto"/>
        <w:right w:val="none" w:sz="0" w:space="0" w:color="auto"/>
      </w:divBdr>
    </w:div>
    <w:div w:id="342561543">
      <w:bodyDiv w:val="1"/>
      <w:marLeft w:val="0"/>
      <w:marRight w:val="0"/>
      <w:marTop w:val="0"/>
      <w:marBottom w:val="0"/>
      <w:divBdr>
        <w:top w:val="none" w:sz="0" w:space="0" w:color="auto"/>
        <w:left w:val="none" w:sz="0" w:space="0" w:color="auto"/>
        <w:bottom w:val="none" w:sz="0" w:space="0" w:color="auto"/>
        <w:right w:val="none" w:sz="0" w:space="0" w:color="auto"/>
      </w:divBdr>
    </w:div>
    <w:div w:id="344862455">
      <w:bodyDiv w:val="1"/>
      <w:marLeft w:val="0"/>
      <w:marRight w:val="0"/>
      <w:marTop w:val="0"/>
      <w:marBottom w:val="0"/>
      <w:divBdr>
        <w:top w:val="none" w:sz="0" w:space="0" w:color="auto"/>
        <w:left w:val="none" w:sz="0" w:space="0" w:color="auto"/>
        <w:bottom w:val="none" w:sz="0" w:space="0" w:color="auto"/>
        <w:right w:val="none" w:sz="0" w:space="0" w:color="auto"/>
      </w:divBdr>
    </w:div>
    <w:div w:id="379014466">
      <w:bodyDiv w:val="1"/>
      <w:marLeft w:val="0"/>
      <w:marRight w:val="0"/>
      <w:marTop w:val="0"/>
      <w:marBottom w:val="0"/>
      <w:divBdr>
        <w:top w:val="none" w:sz="0" w:space="0" w:color="auto"/>
        <w:left w:val="none" w:sz="0" w:space="0" w:color="auto"/>
        <w:bottom w:val="none" w:sz="0" w:space="0" w:color="auto"/>
        <w:right w:val="none" w:sz="0" w:space="0" w:color="auto"/>
      </w:divBdr>
    </w:div>
    <w:div w:id="386801285">
      <w:bodyDiv w:val="1"/>
      <w:marLeft w:val="0"/>
      <w:marRight w:val="0"/>
      <w:marTop w:val="0"/>
      <w:marBottom w:val="0"/>
      <w:divBdr>
        <w:top w:val="none" w:sz="0" w:space="0" w:color="auto"/>
        <w:left w:val="none" w:sz="0" w:space="0" w:color="auto"/>
        <w:bottom w:val="none" w:sz="0" w:space="0" w:color="auto"/>
        <w:right w:val="none" w:sz="0" w:space="0" w:color="auto"/>
      </w:divBdr>
    </w:div>
    <w:div w:id="408582228">
      <w:bodyDiv w:val="1"/>
      <w:marLeft w:val="0"/>
      <w:marRight w:val="0"/>
      <w:marTop w:val="0"/>
      <w:marBottom w:val="0"/>
      <w:divBdr>
        <w:top w:val="none" w:sz="0" w:space="0" w:color="auto"/>
        <w:left w:val="none" w:sz="0" w:space="0" w:color="auto"/>
        <w:bottom w:val="none" w:sz="0" w:space="0" w:color="auto"/>
        <w:right w:val="none" w:sz="0" w:space="0" w:color="auto"/>
      </w:divBdr>
    </w:div>
    <w:div w:id="422848515">
      <w:bodyDiv w:val="1"/>
      <w:marLeft w:val="0"/>
      <w:marRight w:val="0"/>
      <w:marTop w:val="0"/>
      <w:marBottom w:val="0"/>
      <w:divBdr>
        <w:top w:val="none" w:sz="0" w:space="0" w:color="auto"/>
        <w:left w:val="none" w:sz="0" w:space="0" w:color="auto"/>
        <w:bottom w:val="none" w:sz="0" w:space="0" w:color="auto"/>
        <w:right w:val="none" w:sz="0" w:space="0" w:color="auto"/>
      </w:divBdr>
    </w:div>
    <w:div w:id="437524739">
      <w:bodyDiv w:val="1"/>
      <w:marLeft w:val="0"/>
      <w:marRight w:val="0"/>
      <w:marTop w:val="0"/>
      <w:marBottom w:val="0"/>
      <w:divBdr>
        <w:top w:val="none" w:sz="0" w:space="0" w:color="auto"/>
        <w:left w:val="none" w:sz="0" w:space="0" w:color="auto"/>
        <w:bottom w:val="none" w:sz="0" w:space="0" w:color="auto"/>
        <w:right w:val="none" w:sz="0" w:space="0" w:color="auto"/>
      </w:divBdr>
    </w:div>
    <w:div w:id="454104443">
      <w:bodyDiv w:val="1"/>
      <w:marLeft w:val="0"/>
      <w:marRight w:val="0"/>
      <w:marTop w:val="0"/>
      <w:marBottom w:val="0"/>
      <w:divBdr>
        <w:top w:val="none" w:sz="0" w:space="0" w:color="auto"/>
        <w:left w:val="none" w:sz="0" w:space="0" w:color="auto"/>
        <w:bottom w:val="none" w:sz="0" w:space="0" w:color="auto"/>
        <w:right w:val="none" w:sz="0" w:space="0" w:color="auto"/>
      </w:divBdr>
    </w:div>
    <w:div w:id="461775278">
      <w:bodyDiv w:val="1"/>
      <w:marLeft w:val="0"/>
      <w:marRight w:val="0"/>
      <w:marTop w:val="0"/>
      <w:marBottom w:val="0"/>
      <w:divBdr>
        <w:top w:val="none" w:sz="0" w:space="0" w:color="auto"/>
        <w:left w:val="none" w:sz="0" w:space="0" w:color="auto"/>
        <w:bottom w:val="none" w:sz="0" w:space="0" w:color="auto"/>
        <w:right w:val="none" w:sz="0" w:space="0" w:color="auto"/>
      </w:divBdr>
    </w:div>
    <w:div w:id="473914601">
      <w:bodyDiv w:val="1"/>
      <w:marLeft w:val="0"/>
      <w:marRight w:val="0"/>
      <w:marTop w:val="0"/>
      <w:marBottom w:val="0"/>
      <w:divBdr>
        <w:top w:val="none" w:sz="0" w:space="0" w:color="auto"/>
        <w:left w:val="none" w:sz="0" w:space="0" w:color="auto"/>
        <w:bottom w:val="none" w:sz="0" w:space="0" w:color="auto"/>
        <w:right w:val="none" w:sz="0" w:space="0" w:color="auto"/>
      </w:divBdr>
    </w:div>
    <w:div w:id="483281501">
      <w:bodyDiv w:val="1"/>
      <w:marLeft w:val="0"/>
      <w:marRight w:val="0"/>
      <w:marTop w:val="0"/>
      <w:marBottom w:val="0"/>
      <w:divBdr>
        <w:top w:val="none" w:sz="0" w:space="0" w:color="auto"/>
        <w:left w:val="none" w:sz="0" w:space="0" w:color="auto"/>
        <w:bottom w:val="none" w:sz="0" w:space="0" w:color="auto"/>
        <w:right w:val="none" w:sz="0" w:space="0" w:color="auto"/>
      </w:divBdr>
    </w:div>
    <w:div w:id="515383123">
      <w:bodyDiv w:val="1"/>
      <w:marLeft w:val="0"/>
      <w:marRight w:val="0"/>
      <w:marTop w:val="0"/>
      <w:marBottom w:val="0"/>
      <w:divBdr>
        <w:top w:val="none" w:sz="0" w:space="0" w:color="auto"/>
        <w:left w:val="none" w:sz="0" w:space="0" w:color="auto"/>
        <w:bottom w:val="none" w:sz="0" w:space="0" w:color="auto"/>
        <w:right w:val="none" w:sz="0" w:space="0" w:color="auto"/>
      </w:divBdr>
    </w:div>
    <w:div w:id="536697599">
      <w:bodyDiv w:val="1"/>
      <w:marLeft w:val="0"/>
      <w:marRight w:val="0"/>
      <w:marTop w:val="0"/>
      <w:marBottom w:val="0"/>
      <w:divBdr>
        <w:top w:val="none" w:sz="0" w:space="0" w:color="auto"/>
        <w:left w:val="none" w:sz="0" w:space="0" w:color="auto"/>
        <w:bottom w:val="none" w:sz="0" w:space="0" w:color="auto"/>
        <w:right w:val="none" w:sz="0" w:space="0" w:color="auto"/>
      </w:divBdr>
    </w:div>
    <w:div w:id="549415172">
      <w:bodyDiv w:val="1"/>
      <w:marLeft w:val="0"/>
      <w:marRight w:val="0"/>
      <w:marTop w:val="0"/>
      <w:marBottom w:val="0"/>
      <w:divBdr>
        <w:top w:val="none" w:sz="0" w:space="0" w:color="auto"/>
        <w:left w:val="none" w:sz="0" w:space="0" w:color="auto"/>
        <w:bottom w:val="none" w:sz="0" w:space="0" w:color="auto"/>
        <w:right w:val="none" w:sz="0" w:space="0" w:color="auto"/>
      </w:divBdr>
    </w:div>
    <w:div w:id="560793051">
      <w:bodyDiv w:val="1"/>
      <w:marLeft w:val="0"/>
      <w:marRight w:val="0"/>
      <w:marTop w:val="0"/>
      <w:marBottom w:val="0"/>
      <w:divBdr>
        <w:top w:val="none" w:sz="0" w:space="0" w:color="auto"/>
        <w:left w:val="none" w:sz="0" w:space="0" w:color="auto"/>
        <w:bottom w:val="none" w:sz="0" w:space="0" w:color="auto"/>
        <w:right w:val="none" w:sz="0" w:space="0" w:color="auto"/>
      </w:divBdr>
    </w:div>
    <w:div w:id="561600615">
      <w:bodyDiv w:val="1"/>
      <w:marLeft w:val="0"/>
      <w:marRight w:val="0"/>
      <w:marTop w:val="0"/>
      <w:marBottom w:val="0"/>
      <w:divBdr>
        <w:top w:val="none" w:sz="0" w:space="0" w:color="auto"/>
        <w:left w:val="none" w:sz="0" w:space="0" w:color="auto"/>
        <w:bottom w:val="none" w:sz="0" w:space="0" w:color="auto"/>
        <w:right w:val="none" w:sz="0" w:space="0" w:color="auto"/>
      </w:divBdr>
    </w:div>
    <w:div w:id="570388820">
      <w:bodyDiv w:val="1"/>
      <w:marLeft w:val="0"/>
      <w:marRight w:val="0"/>
      <w:marTop w:val="0"/>
      <w:marBottom w:val="0"/>
      <w:divBdr>
        <w:top w:val="none" w:sz="0" w:space="0" w:color="auto"/>
        <w:left w:val="none" w:sz="0" w:space="0" w:color="auto"/>
        <w:bottom w:val="none" w:sz="0" w:space="0" w:color="auto"/>
        <w:right w:val="none" w:sz="0" w:space="0" w:color="auto"/>
      </w:divBdr>
    </w:div>
    <w:div w:id="645083534">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76886032">
      <w:bodyDiv w:val="1"/>
      <w:marLeft w:val="0"/>
      <w:marRight w:val="0"/>
      <w:marTop w:val="0"/>
      <w:marBottom w:val="0"/>
      <w:divBdr>
        <w:top w:val="none" w:sz="0" w:space="0" w:color="auto"/>
        <w:left w:val="none" w:sz="0" w:space="0" w:color="auto"/>
        <w:bottom w:val="none" w:sz="0" w:space="0" w:color="auto"/>
        <w:right w:val="none" w:sz="0" w:space="0" w:color="auto"/>
      </w:divBdr>
    </w:div>
    <w:div w:id="713433287">
      <w:bodyDiv w:val="1"/>
      <w:marLeft w:val="0"/>
      <w:marRight w:val="0"/>
      <w:marTop w:val="0"/>
      <w:marBottom w:val="0"/>
      <w:divBdr>
        <w:top w:val="none" w:sz="0" w:space="0" w:color="auto"/>
        <w:left w:val="none" w:sz="0" w:space="0" w:color="auto"/>
        <w:bottom w:val="none" w:sz="0" w:space="0" w:color="auto"/>
        <w:right w:val="none" w:sz="0" w:space="0" w:color="auto"/>
      </w:divBdr>
    </w:div>
    <w:div w:id="726951060">
      <w:bodyDiv w:val="1"/>
      <w:marLeft w:val="0"/>
      <w:marRight w:val="0"/>
      <w:marTop w:val="0"/>
      <w:marBottom w:val="0"/>
      <w:divBdr>
        <w:top w:val="none" w:sz="0" w:space="0" w:color="auto"/>
        <w:left w:val="none" w:sz="0" w:space="0" w:color="auto"/>
        <w:bottom w:val="none" w:sz="0" w:space="0" w:color="auto"/>
        <w:right w:val="none" w:sz="0" w:space="0" w:color="auto"/>
      </w:divBdr>
    </w:div>
    <w:div w:id="749040733">
      <w:bodyDiv w:val="1"/>
      <w:marLeft w:val="0"/>
      <w:marRight w:val="0"/>
      <w:marTop w:val="0"/>
      <w:marBottom w:val="0"/>
      <w:divBdr>
        <w:top w:val="none" w:sz="0" w:space="0" w:color="auto"/>
        <w:left w:val="none" w:sz="0" w:space="0" w:color="auto"/>
        <w:bottom w:val="none" w:sz="0" w:space="0" w:color="auto"/>
        <w:right w:val="none" w:sz="0" w:space="0" w:color="auto"/>
      </w:divBdr>
    </w:div>
    <w:div w:id="765537167">
      <w:bodyDiv w:val="1"/>
      <w:marLeft w:val="0"/>
      <w:marRight w:val="0"/>
      <w:marTop w:val="0"/>
      <w:marBottom w:val="0"/>
      <w:divBdr>
        <w:top w:val="none" w:sz="0" w:space="0" w:color="auto"/>
        <w:left w:val="none" w:sz="0" w:space="0" w:color="auto"/>
        <w:bottom w:val="none" w:sz="0" w:space="0" w:color="auto"/>
        <w:right w:val="none" w:sz="0" w:space="0" w:color="auto"/>
      </w:divBdr>
    </w:div>
    <w:div w:id="798843849">
      <w:bodyDiv w:val="1"/>
      <w:marLeft w:val="0"/>
      <w:marRight w:val="0"/>
      <w:marTop w:val="0"/>
      <w:marBottom w:val="0"/>
      <w:divBdr>
        <w:top w:val="none" w:sz="0" w:space="0" w:color="auto"/>
        <w:left w:val="none" w:sz="0" w:space="0" w:color="auto"/>
        <w:bottom w:val="none" w:sz="0" w:space="0" w:color="auto"/>
        <w:right w:val="none" w:sz="0" w:space="0" w:color="auto"/>
      </w:divBdr>
    </w:div>
    <w:div w:id="824471699">
      <w:bodyDiv w:val="1"/>
      <w:marLeft w:val="0"/>
      <w:marRight w:val="0"/>
      <w:marTop w:val="0"/>
      <w:marBottom w:val="0"/>
      <w:divBdr>
        <w:top w:val="none" w:sz="0" w:space="0" w:color="auto"/>
        <w:left w:val="none" w:sz="0" w:space="0" w:color="auto"/>
        <w:bottom w:val="none" w:sz="0" w:space="0" w:color="auto"/>
        <w:right w:val="none" w:sz="0" w:space="0" w:color="auto"/>
      </w:divBdr>
    </w:div>
    <w:div w:id="826242770">
      <w:bodyDiv w:val="1"/>
      <w:marLeft w:val="0"/>
      <w:marRight w:val="0"/>
      <w:marTop w:val="0"/>
      <w:marBottom w:val="0"/>
      <w:divBdr>
        <w:top w:val="none" w:sz="0" w:space="0" w:color="auto"/>
        <w:left w:val="none" w:sz="0" w:space="0" w:color="auto"/>
        <w:bottom w:val="none" w:sz="0" w:space="0" w:color="auto"/>
        <w:right w:val="none" w:sz="0" w:space="0" w:color="auto"/>
      </w:divBdr>
    </w:div>
    <w:div w:id="828252198">
      <w:bodyDiv w:val="1"/>
      <w:marLeft w:val="0"/>
      <w:marRight w:val="0"/>
      <w:marTop w:val="0"/>
      <w:marBottom w:val="0"/>
      <w:divBdr>
        <w:top w:val="none" w:sz="0" w:space="0" w:color="auto"/>
        <w:left w:val="none" w:sz="0" w:space="0" w:color="auto"/>
        <w:bottom w:val="none" w:sz="0" w:space="0" w:color="auto"/>
        <w:right w:val="none" w:sz="0" w:space="0" w:color="auto"/>
      </w:divBdr>
    </w:div>
    <w:div w:id="835149993">
      <w:bodyDiv w:val="1"/>
      <w:marLeft w:val="0"/>
      <w:marRight w:val="0"/>
      <w:marTop w:val="0"/>
      <w:marBottom w:val="0"/>
      <w:divBdr>
        <w:top w:val="none" w:sz="0" w:space="0" w:color="auto"/>
        <w:left w:val="none" w:sz="0" w:space="0" w:color="auto"/>
        <w:bottom w:val="none" w:sz="0" w:space="0" w:color="auto"/>
        <w:right w:val="none" w:sz="0" w:space="0" w:color="auto"/>
      </w:divBdr>
    </w:div>
    <w:div w:id="878784317">
      <w:bodyDiv w:val="1"/>
      <w:marLeft w:val="0"/>
      <w:marRight w:val="0"/>
      <w:marTop w:val="0"/>
      <w:marBottom w:val="0"/>
      <w:divBdr>
        <w:top w:val="none" w:sz="0" w:space="0" w:color="auto"/>
        <w:left w:val="none" w:sz="0" w:space="0" w:color="auto"/>
        <w:bottom w:val="none" w:sz="0" w:space="0" w:color="auto"/>
        <w:right w:val="none" w:sz="0" w:space="0" w:color="auto"/>
      </w:divBdr>
    </w:div>
    <w:div w:id="881210056">
      <w:bodyDiv w:val="1"/>
      <w:marLeft w:val="0"/>
      <w:marRight w:val="0"/>
      <w:marTop w:val="0"/>
      <w:marBottom w:val="0"/>
      <w:divBdr>
        <w:top w:val="none" w:sz="0" w:space="0" w:color="auto"/>
        <w:left w:val="none" w:sz="0" w:space="0" w:color="auto"/>
        <w:bottom w:val="none" w:sz="0" w:space="0" w:color="auto"/>
        <w:right w:val="none" w:sz="0" w:space="0" w:color="auto"/>
      </w:divBdr>
    </w:div>
    <w:div w:id="931745070">
      <w:bodyDiv w:val="1"/>
      <w:marLeft w:val="0"/>
      <w:marRight w:val="0"/>
      <w:marTop w:val="0"/>
      <w:marBottom w:val="0"/>
      <w:divBdr>
        <w:top w:val="none" w:sz="0" w:space="0" w:color="auto"/>
        <w:left w:val="none" w:sz="0" w:space="0" w:color="auto"/>
        <w:bottom w:val="none" w:sz="0" w:space="0" w:color="auto"/>
        <w:right w:val="none" w:sz="0" w:space="0" w:color="auto"/>
      </w:divBdr>
    </w:div>
    <w:div w:id="987899573">
      <w:bodyDiv w:val="1"/>
      <w:marLeft w:val="0"/>
      <w:marRight w:val="0"/>
      <w:marTop w:val="0"/>
      <w:marBottom w:val="0"/>
      <w:divBdr>
        <w:top w:val="none" w:sz="0" w:space="0" w:color="auto"/>
        <w:left w:val="none" w:sz="0" w:space="0" w:color="auto"/>
        <w:bottom w:val="none" w:sz="0" w:space="0" w:color="auto"/>
        <w:right w:val="none" w:sz="0" w:space="0" w:color="auto"/>
      </w:divBdr>
    </w:div>
    <w:div w:id="989284218">
      <w:bodyDiv w:val="1"/>
      <w:marLeft w:val="0"/>
      <w:marRight w:val="0"/>
      <w:marTop w:val="0"/>
      <w:marBottom w:val="0"/>
      <w:divBdr>
        <w:top w:val="none" w:sz="0" w:space="0" w:color="auto"/>
        <w:left w:val="none" w:sz="0" w:space="0" w:color="auto"/>
        <w:bottom w:val="none" w:sz="0" w:space="0" w:color="auto"/>
        <w:right w:val="none" w:sz="0" w:space="0" w:color="auto"/>
      </w:divBdr>
    </w:div>
    <w:div w:id="997999061">
      <w:bodyDiv w:val="1"/>
      <w:marLeft w:val="0"/>
      <w:marRight w:val="0"/>
      <w:marTop w:val="0"/>
      <w:marBottom w:val="0"/>
      <w:divBdr>
        <w:top w:val="none" w:sz="0" w:space="0" w:color="auto"/>
        <w:left w:val="none" w:sz="0" w:space="0" w:color="auto"/>
        <w:bottom w:val="none" w:sz="0" w:space="0" w:color="auto"/>
        <w:right w:val="none" w:sz="0" w:space="0" w:color="auto"/>
      </w:divBdr>
    </w:div>
    <w:div w:id="1014964804">
      <w:bodyDiv w:val="1"/>
      <w:marLeft w:val="0"/>
      <w:marRight w:val="0"/>
      <w:marTop w:val="0"/>
      <w:marBottom w:val="0"/>
      <w:divBdr>
        <w:top w:val="none" w:sz="0" w:space="0" w:color="auto"/>
        <w:left w:val="none" w:sz="0" w:space="0" w:color="auto"/>
        <w:bottom w:val="none" w:sz="0" w:space="0" w:color="auto"/>
        <w:right w:val="none" w:sz="0" w:space="0" w:color="auto"/>
      </w:divBdr>
    </w:div>
    <w:div w:id="1026442920">
      <w:bodyDiv w:val="1"/>
      <w:marLeft w:val="0"/>
      <w:marRight w:val="0"/>
      <w:marTop w:val="0"/>
      <w:marBottom w:val="0"/>
      <w:divBdr>
        <w:top w:val="none" w:sz="0" w:space="0" w:color="auto"/>
        <w:left w:val="none" w:sz="0" w:space="0" w:color="auto"/>
        <w:bottom w:val="none" w:sz="0" w:space="0" w:color="auto"/>
        <w:right w:val="none" w:sz="0" w:space="0" w:color="auto"/>
      </w:divBdr>
    </w:div>
    <w:div w:id="1046295860">
      <w:bodyDiv w:val="1"/>
      <w:marLeft w:val="0"/>
      <w:marRight w:val="0"/>
      <w:marTop w:val="0"/>
      <w:marBottom w:val="0"/>
      <w:divBdr>
        <w:top w:val="none" w:sz="0" w:space="0" w:color="auto"/>
        <w:left w:val="none" w:sz="0" w:space="0" w:color="auto"/>
        <w:bottom w:val="none" w:sz="0" w:space="0" w:color="auto"/>
        <w:right w:val="none" w:sz="0" w:space="0" w:color="auto"/>
      </w:divBdr>
    </w:div>
    <w:div w:id="1062220774">
      <w:bodyDiv w:val="1"/>
      <w:marLeft w:val="0"/>
      <w:marRight w:val="0"/>
      <w:marTop w:val="0"/>
      <w:marBottom w:val="0"/>
      <w:divBdr>
        <w:top w:val="none" w:sz="0" w:space="0" w:color="auto"/>
        <w:left w:val="none" w:sz="0" w:space="0" w:color="auto"/>
        <w:bottom w:val="none" w:sz="0" w:space="0" w:color="auto"/>
        <w:right w:val="none" w:sz="0" w:space="0" w:color="auto"/>
      </w:divBdr>
    </w:div>
    <w:div w:id="1071125655">
      <w:bodyDiv w:val="1"/>
      <w:marLeft w:val="0"/>
      <w:marRight w:val="0"/>
      <w:marTop w:val="0"/>
      <w:marBottom w:val="0"/>
      <w:divBdr>
        <w:top w:val="none" w:sz="0" w:space="0" w:color="auto"/>
        <w:left w:val="none" w:sz="0" w:space="0" w:color="auto"/>
        <w:bottom w:val="none" w:sz="0" w:space="0" w:color="auto"/>
        <w:right w:val="none" w:sz="0" w:space="0" w:color="auto"/>
      </w:divBdr>
    </w:div>
    <w:div w:id="1078331731">
      <w:bodyDiv w:val="1"/>
      <w:marLeft w:val="0"/>
      <w:marRight w:val="0"/>
      <w:marTop w:val="0"/>
      <w:marBottom w:val="0"/>
      <w:divBdr>
        <w:top w:val="none" w:sz="0" w:space="0" w:color="auto"/>
        <w:left w:val="none" w:sz="0" w:space="0" w:color="auto"/>
        <w:bottom w:val="none" w:sz="0" w:space="0" w:color="auto"/>
        <w:right w:val="none" w:sz="0" w:space="0" w:color="auto"/>
      </w:divBdr>
    </w:div>
    <w:div w:id="1085415805">
      <w:bodyDiv w:val="1"/>
      <w:marLeft w:val="0"/>
      <w:marRight w:val="0"/>
      <w:marTop w:val="0"/>
      <w:marBottom w:val="0"/>
      <w:divBdr>
        <w:top w:val="none" w:sz="0" w:space="0" w:color="auto"/>
        <w:left w:val="none" w:sz="0" w:space="0" w:color="auto"/>
        <w:bottom w:val="none" w:sz="0" w:space="0" w:color="auto"/>
        <w:right w:val="none" w:sz="0" w:space="0" w:color="auto"/>
      </w:divBdr>
    </w:div>
    <w:div w:id="1097022572">
      <w:bodyDiv w:val="1"/>
      <w:marLeft w:val="0"/>
      <w:marRight w:val="0"/>
      <w:marTop w:val="0"/>
      <w:marBottom w:val="0"/>
      <w:divBdr>
        <w:top w:val="none" w:sz="0" w:space="0" w:color="auto"/>
        <w:left w:val="none" w:sz="0" w:space="0" w:color="auto"/>
        <w:bottom w:val="none" w:sz="0" w:space="0" w:color="auto"/>
        <w:right w:val="none" w:sz="0" w:space="0" w:color="auto"/>
      </w:divBdr>
    </w:div>
    <w:div w:id="1098063148">
      <w:bodyDiv w:val="1"/>
      <w:marLeft w:val="0"/>
      <w:marRight w:val="0"/>
      <w:marTop w:val="0"/>
      <w:marBottom w:val="0"/>
      <w:divBdr>
        <w:top w:val="none" w:sz="0" w:space="0" w:color="auto"/>
        <w:left w:val="none" w:sz="0" w:space="0" w:color="auto"/>
        <w:bottom w:val="none" w:sz="0" w:space="0" w:color="auto"/>
        <w:right w:val="none" w:sz="0" w:space="0" w:color="auto"/>
      </w:divBdr>
    </w:div>
    <w:div w:id="1100368214">
      <w:bodyDiv w:val="1"/>
      <w:marLeft w:val="0"/>
      <w:marRight w:val="0"/>
      <w:marTop w:val="0"/>
      <w:marBottom w:val="0"/>
      <w:divBdr>
        <w:top w:val="none" w:sz="0" w:space="0" w:color="auto"/>
        <w:left w:val="none" w:sz="0" w:space="0" w:color="auto"/>
        <w:bottom w:val="none" w:sz="0" w:space="0" w:color="auto"/>
        <w:right w:val="none" w:sz="0" w:space="0" w:color="auto"/>
      </w:divBdr>
    </w:div>
    <w:div w:id="1122648511">
      <w:bodyDiv w:val="1"/>
      <w:marLeft w:val="0"/>
      <w:marRight w:val="0"/>
      <w:marTop w:val="0"/>
      <w:marBottom w:val="0"/>
      <w:divBdr>
        <w:top w:val="none" w:sz="0" w:space="0" w:color="auto"/>
        <w:left w:val="none" w:sz="0" w:space="0" w:color="auto"/>
        <w:bottom w:val="none" w:sz="0" w:space="0" w:color="auto"/>
        <w:right w:val="none" w:sz="0" w:space="0" w:color="auto"/>
      </w:divBdr>
    </w:div>
    <w:div w:id="1135488867">
      <w:bodyDiv w:val="1"/>
      <w:marLeft w:val="0"/>
      <w:marRight w:val="0"/>
      <w:marTop w:val="0"/>
      <w:marBottom w:val="0"/>
      <w:divBdr>
        <w:top w:val="none" w:sz="0" w:space="0" w:color="auto"/>
        <w:left w:val="none" w:sz="0" w:space="0" w:color="auto"/>
        <w:bottom w:val="none" w:sz="0" w:space="0" w:color="auto"/>
        <w:right w:val="none" w:sz="0" w:space="0" w:color="auto"/>
      </w:divBdr>
    </w:div>
    <w:div w:id="1142163197">
      <w:bodyDiv w:val="1"/>
      <w:marLeft w:val="0"/>
      <w:marRight w:val="0"/>
      <w:marTop w:val="0"/>
      <w:marBottom w:val="0"/>
      <w:divBdr>
        <w:top w:val="none" w:sz="0" w:space="0" w:color="auto"/>
        <w:left w:val="none" w:sz="0" w:space="0" w:color="auto"/>
        <w:bottom w:val="none" w:sz="0" w:space="0" w:color="auto"/>
        <w:right w:val="none" w:sz="0" w:space="0" w:color="auto"/>
      </w:divBdr>
    </w:div>
    <w:div w:id="1155339028">
      <w:bodyDiv w:val="1"/>
      <w:marLeft w:val="0"/>
      <w:marRight w:val="0"/>
      <w:marTop w:val="0"/>
      <w:marBottom w:val="0"/>
      <w:divBdr>
        <w:top w:val="none" w:sz="0" w:space="0" w:color="auto"/>
        <w:left w:val="none" w:sz="0" w:space="0" w:color="auto"/>
        <w:bottom w:val="none" w:sz="0" w:space="0" w:color="auto"/>
        <w:right w:val="none" w:sz="0" w:space="0" w:color="auto"/>
      </w:divBdr>
    </w:div>
    <w:div w:id="1164127920">
      <w:bodyDiv w:val="1"/>
      <w:marLeft w:val="0"/>
      <w:marRight w:val="0"/>
      <w:marTop w:val="0"/>
      <w:marBottom w:val="0"/>
      <w:divBdr>
        <w:top w:val="none" w:sz="0" w:space="0" w:color="auto"/>
        <w:left w:val="none" w:sz="0" w:space="0" w:color="auto"/>
        <w:bottom w:val="none" w:sz="0" w:space="0" w:color="auto"/>
        <w:right w:val="none" w:sz="0" w:space="0" w:color="auto"/>
      </w:divBdr>
    </w:div>
    <w:div w:id="1164780390">
      <w:bodyDiv w:val="1"/>
      <w:marLeft w:val="0"/>
      <w:marRight w:val="0"/>
      <w:marTop w:val="0"/>
      <w:marBottom w:val="0"/>
      <w:divBdr>
        <w:top w:val="none" w:sz="0" w:space="0" w:color="auto"/>
        <w:left w:val="none" w:sz="0" w:space="0" w:color="auto"/>
        <w:bottom w:val="none" w:sz="0" w:space="0" w:color="auto"/>
        <w:right w:val="none" w:sz="0" w:space="0" w:color="auto"/>
      </w:divBdr>
    </w:div>
    <w:div w:id="1244293485">
      <w:bodyDiv w:val="1"/>
      <w:marLeft w:val="0"/>
      <w:marRight w:val="0"/>
      <w:marTop w:val="0"/>
      <w:marBottom w:val="0"/>
      <w:divBdr>
        <w:top w:val="none" w:sz="0" w:space="0" w:color="auto"/>
        <w:left w:val="none" w:sz="0" w:space="0" w:color="auto"/>
        <w:bottom w:val="none" w:sz="0" w:space="0" w:color="auto"/>
        <w:right w:val="none" w:sz="0" w:space="0" w:color="auto"/>
      </w:divBdr>
    </w:div>
    <w:div w:id="1249342456">
      <w:bodyDiv w:val="1"/>
      <w:marLeft w:val="0"/>
      <w:marRight w:val="0"/>
      <w:marTop w:val="0"/>
      <w:marBottom w:val="0"/>
      <w:divBdr>
        <w:top w:val="none" w:sz="0" w:space="0" w:color="auto"/>
        <w:left w:val="none" w:sz="0" w:space="0" w:color="auto"/>
        <w:bottom w:val="none" w:sz="0" w:space="0" w:color="auto"/>
        <w:right w:val="none" w:sz="0" w:space="0" w:color="auto"/>
      </w:divBdr>
    </w:div>
    <w:div w:id="1366831642">
      <w:bodyDiv w:val="1"/>
      <w:marLeft w:val="0"/>
      <w:marRight w:val="0"/>
      <w:marTop w:val="0"/>
      <w:marBottom w:val="0"/>
      <w:divBdr>
        <w:top w:val="none" w:sz="0" w:space="0" w:color="auto"/>
        <w:left w:val="none" w:sz="0" w:space="0" w:color="auto"/>
        <w:bottom w:val="none" w:sz="0" w:space="0" w:color="auto"/>
        <w:right w:val="none" w:sz="0" w:space="0" w:color="auto"/>
      </w:divBdr>
    </w:div>
    <w:div w:id="1368022843">
      <w:bodyDiv w:val="1"/>
      <w:marLeft w:val="0"/>
      <w:marRight w:val="0"/>
      <w:marTop w:val="0"/>
      <w:marBottom w:val="0"/>
      <w:divBdr>
        <w:top w:val="none" w:sz="0" w:space="0" w:color="auto"/>
        <w:left w:val="none" w:sz="0" w:space="0" w:color="auto"/>
        <w:bottom w:val="none" w:sz="0" w:space="0" w:color="auto"/>
        <w:right w:val="none" w:sz="0" w:space="0" w:color="auto"/>
      </w:divBdr>
    </w:div>
    <w:div w:id="1384601396">
      <w:bodyDiv w:val="1"/>
      <w:marLeft w:val="0"/>
      <w:marRight w:val="0"/>
      <w:marTop w:val="0"/>
      <w:marBottom w:val="0"/>
      <w:divBdr>
        <w:top w:val="none" w:sz="0" w:space="0" w:color="auto"/>
        <w:left w:val="none" w:sz="0" w:space="0" w:color="auto"/>
        <w:bottom w:val="none" w:sz="0" w:space="0" w:color="auto"/>
        <w:right w:val="none" w:sz="0" w:space="0" w:color="auto"/>
      </w:divBdr>
    </w:div>
    <w:div w:id="1392922878">
      <w:bodyDiv w:val="1"/>
      <w:marLeft w:val="0"/>
      <w:marRight w:val="0"/>
      <w:marTop w:val="0"/>
      <w:marBottom w:val="0"/>
      <w:divBdr>
        <w:top w:val="none" w:sz="0" w:space="0" w:color="auto"/>
        <w:left w:val="none" w:sz="0" w:space="0" w:color="auto"/>
        <w:bottom w:val="none" w:sz="0" w:space="0" w:color="auto"/>
        <w:right w:val="none" w:sz="0" w:space="0" w:color="auto"/>
      </w:divBdr>
    </w:div>
    <w:div w:id="1412384961">
      <w:bodyDiv w:val="1"/>
      <w:marLeft w:val="0"/>
      <w:marRight w:val="0"/>
      <w:marTop w:val="0"/>
      <w:marBottom w:val="0"/>
      <w:divBdr>
        <w:top w:val="none" w:sz="0" w:space="0" w:color="auto"/>
        <w:left w:val="none" w:sz="0" w:space="0" w:color="auto"/>
        <w:bottom w:val="none" w:sz="0" w:space="0" w:color="auto"/>
        <w:right w:val="none" w:sz="0" w:space="0" w:color="auto"/>
      </w:divBdr>
    </w:div>
    <w:div w:id="1428577509">
      <w:bodyDiv w:val="1"/>
      <w:marLeft w:val="0"/>
      <w:marRight w:val="0"/>
      <w:marTop w:val="0"/>
      <w:marBottom w:val="0"/>
      <w:divBdr>
        <w:top w:val="none" w:sz="0" w:space="0" w:color="auto"/>
        <w:left w:val="none" w:sz="0" w:space="0" w:color="auto"/>
        <w:bottom w:val="none" w:sz="0" w:space="0" w:color="auto"/>
        <w:right w:val="none" w:sz="0" w:space="0" w:color="auto"/>
      </w:divBdr>
    </w:div>
    <w:div w:id="1440762341">
      <w:bodyDiv w:val="1"/>
      <w:marLeft w:val="0"/>
      <w:marRight w:val="0"/>
      <w:marTop w:val="0"/>
      <w:marBottom w:val="0"/>
      <w:divBdr>
        <w:top w:val="none" w:sz="0" w:space="0" w:color="auto"/>
        <w:left w:val="none" w:sz="0" w:space="0" w:color="auto"/>
        <w:bottom w:val="none" w:sz="0" w:space="0" w:color="auto"/>
        <w:right w:val="none" w:sz="0" w:space="0" w:color="auto"/>
      </w:divBdr>
    </w:div>
    <w:div w:id="1448044154">
      <w:bodyDiv w:val="1"/>
      <w:marLeft w:val="0"/>
      <w:marRight w:val="0"/>
      <w:marTop w:val="0"/>
      <w:marBottom w:val="0"/>
      <w:divBdr>
        <w:top w:val="none" w:sz="0" w:space="0" w:color="auto"/>
        <w:left w:val="none" w:sz="0" w:space="0" w:color="auto"/>
        <w:bottom w:val="none" w:sz="0" w:space="0" w:color="auto"/>
        <w:right w:val="none" w:sz="0" w:space="0" w:color="auto"/>
      </w:divBdr>
    </w:div>
    <w:div w:id="1454859214">
      <w:bodyDiv w:val="1"/>
      <w:marLeft w:val="0"/>
      <w:marRight w:val="0"/>
      <w:marTop w:val="0"/>
      <w:marBottom w:val="0"/>
      <w:divBdr>
        <w:top w:val="none" w:sz="0" w:space="0" w:color="auto"/>
        <w:left w:val="none" w:sz="0" w:space="0" w:color="auto"/>
        <w:bottom w:val="none" w:sz="0" w:space="0" w:color="auto"/>
        <w:right w:val="none" w:sz="0" w:space="0" w:color="auto"/>
      </w:divBdr>
    </w:div>
    <w:div w:id="1511721689">
      <w:bodyDiv w:val="1"/>
      <w:marLeft w:val="0"/>
      <w:marRight w:val="0"/>
      <w:marTop w:val="0"/>
      <w:marBottom w:val="0"/>
      <w:divBdr>
        <w:top w:val="none" w:sz="0" w:space="0" w:color="auto"/>
        <w:left w:val="none" w:sz="0" w:space="0" w:color="auto"/>
        <w:bottom w:val="none" w:sz="0" w:space="0" w:color="auto"/>
        <w:right w:val="none" w:sz="0" w:space="0" w:color="auto"/>
      </w:divBdr>
    </w:div>
    <w:div w:id="1526020656">
      <w:bodyDiv w:val="1"/>
      <w:marLeft w:val="0"/>
      <w:marRight w:val="0"/>
      <w:marTop w:val="0"/>
      <w:marBottom w:val="0"/>
      <w:divBdr>
        <w:top w:val="none" w:sz="0" w:space="0" w:color="auto"/>
        <w:left w:val="none" w:sz="0" w:space="0" w:color="auto"/>
        <w:bottom w:val="none" w:sz="0" w:space="0" w:color="auto"/>
        <w:right w:val="none" w:sz="0" w:space="0" w:color="auto"/>
      </w:divBdr>
    </w:div>
    <w:div w:id="1526361588">
      <w:bodyDiv w:val="1"/>
      <w:marLeft w:val="0"/>
      <w:marRight w:val="0"/>
      <w:marTop w:val="0"/>
      <w:marBottom w:val="0"/>
      <w:divBdr>
        <w:top w:val="none" w:sz="0" w:space="0" w:color="auto"/>
        <w:left w:val="none" w:sz="0" w:space="0" w:color="auto"/>
        <w:bottom w:val="none" w:sz="0" w:space="0" w:color="auto"/>
        <w:right w:val="none" w:sz="0" w:space="0" w:color="auto"/>
      </w:divBdr>
    </w:div>
    <w:div w:id="1543983809">
      <w:bodyDiv w:val="1"/>
      <w:marLeft w:val="0"/>
      <w:marRight w:val="0"/>
      <w:marTop w:val="0"/>
      <w:marBottom w:val="0"/>
      <w:divBdr>
        <w:top w:val="none" w:sz="0" w:space="0" w:color="auto"/>
        <w:left w:val="none" w:sz="0" w:space="0" w:color="auto"/>
        <w:bottom w:val="none" w:sz="0" w:space="0" w:color="auto"/>
        <w:right w:val="none" w:sz="0" w:space="0" w:color="auto"/>
      </w:divBdr>
    </w:div>
    <w:div w:id="1601794987">
      <w:bodyDiv w:val="1"/>
      <w:marLeft w:val="0"/>
      <w:marRight w:val="0"/>
      <w:marTop w:val="0"/>
      <w:marBottom w:val="0"/>
      <w:divBdr>
        <w:top w:val="none" w:sz="0" w:space="0" w:color="auto"/>
        <w:left w:val="none" w:sz="0" w:space="0" w:color="auto"/>
        <w:bottom w:val="none" w:sz="0" w:space="0" w:color="auto"/>
        <w:right w:val="none" w:sz="0" w:space="0" w:color="auto"/>
      </w:divBdr>
    </w:div>
    <w:div w:id="1612932584">
      <w:bodyDiv w:val="1"/>
      <w:marLeft w:val="0"/>
      <w:marRight w:val="0"/>
      <w:marTop w:val="0"/>
      <w:marBottom w:val="0"/>
      <w:divBdr>
        <w:top w:val="none" w:sz="0" w:space="0" w:color="auto"/>
        <w:left w:val="none" w:sz="0" w:space="0" w:color="auto"/>
        <w:bottom w:val="none" w:sz="0" w:space="0" w:color="auto"/>
        <w:right w:val="none" w:sz="0" w:space="0" w:color="auto"/>
      </w:divBdr>
    </w:div>
    <w:div w:id="1653218167">
      <w:bodyDiv w:val="1"/>
      <w:marLeft w:val="0"/>
      <w:marRight w:val="0"/>
      <w:marTop w:val="0"/>
      <w:marBottom w:val="0"/>
      <w:divBdr>
        <w:top w:val="none" w:sz="0" w:space="0" w:color="auto"/>
        <w:left w:val="none" w:sz="0" w:space="0" w:color="auto"/>
        <w:bottom w:val="none" w:sz="0" w:space="0" w:color="auto"/>
        <w:right w:val="none" w:sz="0" w:space="0" w:color="auto"/>
      </w:divBdr>
    </w:div>
    <w:div w:id="1724712012">
      <w:bodyDiv w:val="1"/>
      <w:marLeft w:val="0"/>
      <w:marRight w:val="0"/>
      <w:marTop w:val="0"/>
      <w:marBottom w:val="0"/>
      <w:divBdr>
        <w:top w:val="none" w:sz="0" w:space="0" w:color="auto"/>
        <w:left w:val="none" w:sz="0" w:space="0" w:color="auto"/>
        <w:bottom w:val="none" w:sz="0" w:space="0" w:color="auto"/>
        <w:right w:val="none" w:sz="0" w:space="0" w:color="auto"/>
      </w:divBdr>
    </w:div>
    <w:div w:id="1760633026">
      <w:bodyDiv w:val="1"/>
      <w:marLeft w:val="0"/>
      <w:marRight w:val="0"/>
      <w:marTop w:val="0"/>
      <w:marBottom w:val="0"/>
      <w:divBdr>
        <w:top w:val="none" w:sz="0" w:space="0" w:color="auto"/>
        <w:left w:val="none" w:sz="0" w:space="0" w:color="auto"/>
        <w:bottom w:val="none" w:sz="0" w:space="0" w:color="auto"/>
        <w:right w:val="none" w:sz="0" w:space="0" w:color="auto"/>
      </w:divBdr>
    </w:div>
    <w:div w:id="1764447003">
      <w:bodyDiv w:val="1"/>
      <w:marLeft w:val="0"/>
      <w:marRight w:val="0"/>
      <w:marTop w:val="0"/>
      <w:marBottom w:val="0"/>
      <w:divBdr>
        <w:top w:val="none" w:sz="0" w:space="0" w:color="auto"/>
        <w:left w:val="none" w:sz="0" w:space="0" w:color="auto"/>
        <w:bottom w:val="none" w:sz="0" w:space="0" w:color="auto"/>
        <w:right w:val="none" w:sz="0" w:space="0" w:color="auto"/>
      </w:divBdr>
    </w:div>
    <w:div w:id="1795634638">
      <w:bodyDiv w:val="1"/>
      <w:marLeft w:val="0"/>
      <w:marRight w:val="0"/>
      <w:marTop w:val="0"/>
      <w:marBottom w:val="0"/>
      <w:divBdr>
        <w:top w:val="none" w:sz="0" w:space="0" w:color="auto"/>
        <w:left w:val="none" w:sz="0" w:space="0" w:color="auto"/>
        <w:bottom w:val="none" w:sz="0" w:space="0" w:color="auto"/>
        <w:right w:val="none" w:sz="0" w:space="0" w:color="auto"/>
      </w:divBdr>
    </w:div>
    <w:div w:id="1830638187">
      <w:bodyDiv w:val="1"/>
      <w:marLeft w:val="0"/>
      <w:marRight w:val="0"/>
      <w:marTop w:val="0"/>
      <w:marBottom w:val="0"/>
      <w:divBdr>
        <w:top w:val="none" w:sz="0" w:space="0" w:color="auto"/>
        <w:left w:val="none" w:sz="0" w:space="0" w:color="auto"/>
        <w:bottom w:val="none" w:sz="0" w:space="0" w:color="auto"/>
        <w:right w:val="none" w:sz="0" w:space="0" w:color="auto"/>
      </w:divBdr>
    </w:div>
    <w:div w:id="1839226313">
      <w:bodyDiv w:val="1"/>
      <w:marLeft w:val="0"/>
      <w:marRight w:val="0"/>
      <w:marTop w:val="0"/>
      <w:marBottom w:val="0"/>
      <w:divBdr>
        <w:top w:val="none" w:sz="0" w:space="0" w:color="auto"/>
        <w:left w:val="none" w:sz="0" w:space="0" w:color="auto"/>
        <w:bottom w:val="none" w:sz="0" w:space="0" w:color="auto"/>
        <w:right w:val="none" w:sz="0" w:space="0" w:color="auto"/>
      </w:divBdr>
    </w:div>
    <w:div w:id="1866869541">
      <w:bodyDiv w:val="1"/>
      <w:marLeft w:val="0"/>
      <w:marRight w:val="0"/>
      <w:marTop w:val="0"/>
      <w:marBottom w:val="0"/>
      <w:divBdr>
        <w:top w:val="none" w:sz="0" w:space="0" w:color="auto"/>
        <w:left w:val="none" w:sz="0" w:space="0" w:color="auto"/>
        <w:bottom w:val="none" w:sz="0" w:space="0" w:color="auto"/>
        <w:right w:val="none" w:sz="0" w:space="0" w:color="auto"/>
      </w:divBdr>
    </w:div>
    <w:div w:id="1874537703">
      <w:bodyDiv w:val="1"/>
      <w:marLeft w:val="0"/>
      <w:marRight w:val="0"/>
      <w:marTop w:val="0"/>
      <w:marBottom w:val="0"/>
      <w:divBdr>
        <w:top w:val="none" w:sz="0" w:space="0" w:color="auto"/>
        <w:left w:val="none" w:sz="0" w:space="0" w:color="auto"/>
        <w:bottom w:val="none" w:sz="0" w:space="0" w:color="auto"/>
        <w:right w:val="none" w:sz="0" w:space="0" w:color="auto"/>
      </w:divBdr>
    </w:div>
    <w:div w:id="1942688305">
      <w:bodyDiv w:val="1"/>
      <w:marLeft w:val="0"/>
      <w:marRight w:val="0"/>
      <w:marTop w:val="0"/>
      <w:marBottom w:val="0"/>
      <w:divBdr>
        <w:top w:val="none" w:sz="0" w:space="0" w:color="auto"/>
        <w:left w:val="none" w:sz="0" w:space="0" w:color="auto"/>
        <w:bottom w:val="none" w:sz="0" w:space="0" w:color="auto"/>
        <w:right w:val="none" w:sz="0" w:space="0" w:color="auto"/>
      </w:divBdr>
    </w:div>
    <w:div w:id="1944143769">
      <w:bodyDiv w:val="1"/>
      <w:marLeft w:val="0"/>
      <w:marRight w:val="0"/>
      <w:marTop w:val="0"/>
      <w:marBottom w:val="0"/>
      <w:divBdr>
        <w:top w:val="none" w:sz="0" w:space="0" w:color="auto"/>
        <w:left w:val="none" w:sz="0" w:space="0" w:color="auto"/>
        <w:bottom w:val="none" w:sz="0" w:space="0" w:color="auto"/>
        <w:right w:val="none" w:sz="0" w:space="0" w:color="auto"/>
      </w:divBdr>
    </w:div>
    <w:div w:id="1969893922">
      <w:bodyDiv w:val="1"/>
      <w:marLeft w:val="0"/>
      <w:marRight w:val="0"/>
      <w:marTop w:val="0"/>
      <w:marBottom w:val="0"/>
      <w:divBdr>
        <w:top w:val="none" w:sz="0" w:space="0" w:color="auto"/>
        <w:left w:val="none" w:sz="0" w:space="0" w:color="auto"/>
        <w:bottom w:val="none" w:sz="0" w:space="0" w:color="auto"/>
        <w:right w:val="none" w:sz="0" w:space="0" w:color="auto"/>
      </w:divBdr>
    </w:div>
    <w:div w:id="2007199409">
      <w:bodyDiv w:val="1"/>
      <w:marLeft w:val="0"/>
      <w:marRight w:val="0"/>
      <w:marTop w:val="0"/>
      <w:marBottom w:val="0"/>
      <w:divBdr>
        <w:top w:val="none" w:sz="0" w:space="0" w:color="auto"/>
        <w:left w:val="none" w:sz="0" w:space="0" w:color="auto"/>
        <w:bottom w:val="none" w:sz="0" w:space="0" w:color="auto"/>
        <w:right w:val="none" w:sz="0" w:space="0" w:color="auto"/>
      </w:divBdr>
    </w:div>
    <w:div w:id="2015066563">
      <w:bodyDiv w:val="1"/>
      <w:marLeft w:val="0"/>
      <w:marRight w:val="0"/>
      <w:marTop w:val="0"/>
      <w:marBottom w:val="0"/>
      <w:divBdr>
        <w:top w:val="none" w:sz="0" w:space="0" w:color="auto"/>
        <w:left w:val="none" w:sz="0" w:space="0" w:color="auto"/>
        <w:bottom w:val="none" w:sz="0" w:space="0" w:color="auto"/>
        <w:right w:val="none" w:sz="0" w:space="0" w:color="auto"/>
      </w:divBdr>
    </w:div>
    <w:div w:id="2024823124">
      <w:bodyDiv w:val="1"/>
      <w:marLeft w:val="0"/>
      <w:marRight w:val="0"/>
      <w:marTop w:val="0"/>
      <w:marBottom w:val="0"/>
      <w:divBdr>
        <w:top w:val="none" w:sz="0" w:space="0" w:color="auto"/>
        <w:left w:val="none" w:sz="0" w:space="0" w:color="auto"/>
        <w:bottom w:val="none" w:sz="0" w:space="0" w:color="auto"/>
        <w:right w:val="none" w:sz="0" w:space="0" w:color="auto"/>
      </w:divBdr>
    </w:div>
    <w:div w:id="2083138198">
      <w:bodyDiv w:val="1"/>
      <w:marLeft w:val="0"/>
      <w:marRight w:val="0"/>
      <w:marTop w:val="0"/>
      <w:marBottom w:val="0"/>
      <w:divBdr>
        <w:top w:val="none" w:sz="0" w:space="0" w:color="auto"/>
        <w:left w:val="none" w:sz="0" w:space="0" w:color="auto"/>
        <w:bottom w:val="none" w:sz="0" w:space="0" w:color="auto"/>
        <w:right w:val="none" w:sz="0" w:space="0" w:color="auto"/>
      </w:divBdr>
    </w:div>
    <w:div w:id="2117678174">
      <w:bodyDiv w:val="1"/>
      <w:marLeft w:val="0"/>
      <w:marRight w:val="0"/>
      <w:marTop w:val="0"/>
      <w:marBottom w:val="0"/>
      <w:divBdr>
        <w:top w:val="none" w:sz="0" w:space="0" w:color="auto"/>
        <w:left w:val="none" w:sz="0" w:space="0" w:color="auto"/>
        <w:bottom w:val="none" w:sz="0" w:space="0" w:color="auto"/>
        <w:right w:val="none" w:sz="0" w:space="0" w:color="auto"/>
      </w:divBdr>
    </w:div>
    <w:div w:id="2127121055">
      <w:bodyDiv w:val="1"/>
      <w:marLeft w:val="0"/>
      <w:marRight w:val="0"/>
      <w:marTop w:val="0"/>
      <w:marBottom w:val="0"/>
      <w:divBdr>
        <w:top w:val="none" w:sz="0" w:space="0" w:color="auto"/>
        <w:left w:val="none" w:sz="0" w:space="0" w:color="auto"/>
        <w:bottom w:val="none" w:sz="0" w:space="0" w:color="auto"/>
        <w:right w:val="none" w:sz="0" w:space="0" w:color="auto"/>
      </w:divBdr>
    </w:div>
    <w:div w:id="2127191255">
      <w:bodyDiv w:val="1"/>
      <w:marLeft w:val="0"/>
      <w:marRight w:val="0"/>
      <w:marTop w:val="0"/>
      <w:marBottom w:val="0"/>
      <w:divBdr>
        <w:top w:val="none" w:sz="0" w:space="0" w:color="auto"/>
        <w:left w:val="none" w:sz="0" w:space="0" w:color="auto"/>
        <w:bottom w:val="none" w:sz="0" w:space="0" w:color="auto"/>
        <w:right w:val="none" w:sz="0" w:space="0" w:color="auto"/>
      </w:divBdr>
    </w:div>
    <w:div w:id="2146267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org/sgp/crs/misc/RL30722.pdf" TargetMode="External"/><Relationship Id="rId13" Type="http://schemas.openxmlformats.org/officeDocument/2006/relationships/hyperlink" Target="http://www.emcdda.europa.eu/countries/drug-reports/2017/czech-republic_en" TargetMode="External"/><Relationship Id="rId18" Type="http://schemas.openxmlformats.org/officeDocument/2006/relationships/hyperlink" Target="http://www.globalcommissionondrugs.org/wp-content/uploads/2016/11/GCDP-Report-2016-ENGLISH.pdf" TargetMode="External"/><Relationship Id="rId26" Type="http://schemas.openxmlformats.org/officeDocument/2006/relationships/hyperlink" Target="http://www.pzc.nl/regio/schouwen-duiveland/man-uit-zierikzee-krijgt-celstraf-voor-dealen-drugs-voor-vrienden-1.6492248" TargetMode="External"/><Relationship Id="rId3" Type="http://schemas.openxmlformats.org/officeDocument/2006/relationships/styles" Target="styles.xml"/><Relationship Id="rId21" Type="http://schemas.openxmlformats.org/officeDocument/2006/relationships/hyperlink" Target="http://www.campaignasia.com/article/hong-kong-government-warns-young-people-to-stand-firm-against-drugs/220627" TargetMode="External"/><Relationship Id="rId7" Type="http://schemas.openxmlformats.org/officeDocument/2006/relationships/endnotes" Target="endnotes.xml"/><Relationship Id="rId12" Type="http://schemas.openxmlformats.org/officeDocument/2006/relationships/hyperlink" Target="http://www.emcdda.europa.eu/countries/drug-reports/2017/belgium_en" TargetMode="External"/><Relationship Id="rId17" Type="http://schemas.openxmlformats.org/officeDocument/2006/relationships/hyperlink" Target="http://www.emcdda.europa.eu/publications/country-drug-reports/2017/spain_en" TargetMode="External"/><Relationship Id="rId25" Type="http://schemas.openxmlformats.org/officeDocument/2006/relationships/hyperlink" Target="file:///C:\Users\s2979713\Downloads\Cracked-Justic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cdda.europa.eu/countries/drug-reports/2017/netherlands_en" TargetMode="External"/><Relationship Id="rId20" Type="http://schemas.openxmlformats.org/officeDocument/2006/relationships/hyperlink" Target="http://www.grs.gov.hk/ws/online/anti_drug/en/poster_gallery/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system/files/publications/4541/TDAT17001ENN.pdf" TargetMode="External"/><Relationship Id="rId24" Type="http://schemas.openxmlformats.org/officeDocument/2006/relationships/hyperlink" Target="https://issuu.com/nzdrugfoundation/docs/mos-july-2017"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mcdda.europa.eu/countries/drug-reports/2017/germany_en" TargetMode="External"/><Relationship Id="rId23" Type="http://schemas.microsoft.com/office/2011/relationships/commentsExtended" Target="commentsExtended.xml"/><Relationship Id="rId28" Type="http://schemas.openxmlformats.org/officeDocument/2006/relationships/hyperlink" Target="http://www.ok.cz/iksp/docs/387.pdf" TargetMode="External"/><Relationship Id="rId10" Type="http://schemas.openxmlformats.org/officeDocument/2006/relationships/hyperlink" Target="https://www.release.org.uk/sites/default/files/pdf/publications/A%20Quiet%20Revolution%20-%20Decriminalisation%20Across%20the%20Globe.pdf" TargetMode="External"/><Relationship Id="rId19" Type="http://schemas.openxmlformats.org/officeDocument/2006/relationships/hyperlink" Target="http://www.ndlerf.gov.au/publications/monographs/monograph-5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a.gov/pr/multimedia-library/publications/drug_of_abuse.pdf" TargetMode="External"/><Relationship Id="rId14" Type="http://schemas.openxmlformats.org/officeDocument/2006/relationships/hyperlink" Target="http://www.emcdda.europa.eu/countries/drug-reports/2017/finland_en" TargetMode="External"/><Relationship Id="rId22" Type="http://schemas.openxmlformats.org/officeDocument/2006/relationships/comments" Target="comments.xml"/><Relationship Id="rId27" Type="http://schemas.openxmlformats.org/officeDocument/2006/relationships/hyperlink" Target="https://www.unodc.org/documents/southeastasiaandpacific/Publications/2015/drugs/ATS_2015_Report_web.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16B1D5-236D-4E3A-B287-E467AA0E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11109</Words>
  <Characters>63324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Coomber</dc:creator>
  <cp:lastModifiedBy>Revan, Jade</cp:lastModifiedBy>
  <cp:revision>3</cp:revision>
  <cp:lastPrinted>2017-11-24T00:00:00Z</cp:lastPrinted>
  <dcterms:created xsi:type="dcterms:W3CDTF">2018-06-29T09:19:00Z</dcterms:created>
  <dcterms:modified xsi:type="dcterms:W3CDTF">2018-06-29T09:19:00Z</dcterms:modified>
</cp:coreProperties>
</file>