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9B086" w14:textId="153CA995" w:rsidR="00CB35D8" w:rsidRPr="009853A1" w:rsidRDefault="00D37BE9" w:rsidP="004E56BD">
      <w:pPr>
        <w:widowControl w:val="0"/>
        <w:autoSpaceDE w:val="0"/>
        <w:autoSpaceDN w:val="0"/>
        <w:adjustRightInd w:val="0"/>
        <w:spacing w:after="240" w:line="300" w:lineRule="atLeast"/>
        <w:contextualSpacing/>
        <w:rPr>
          <w:b/>
          <w:color w:val="000000"/>
          <w:sz w:val="28"/>
          <w:szCs w:val="28"/>
        </w:rPr>
      </w:pPr>
      <w:bookmarkStart w:id="0" w:name="_GoBack"/>
      <w:bookmarkEnd w:id="0"/>
      <w:r w:rsidRPr="009D6495">
        <w:rPr>
          <w:b/>
          <w:color w:val="000000"/>
          <w:sz w:val="28"/>
          <w:szCs w:val="28"/>
        </w:rPr>
        <w:t>Rape myth acceptance</w:t>
      </w:r>
      <w:r w:rsidR="001F4E4B" w:rsidRPr="009D6495">
        <w:rPr>
          <w:b/>
          <w:color w:val="000000"/>
          <w:sz w:val="28"/>
          <w:szCs w:val="28"/>
        </w:rPr>
        <w:t xml:space="preserve"> </w:t>
      </w:r>
      <w:r w:rsidRPr="009D6495">
        <w:rPr>
          <w:b/>
          <w:color w:val="000000"/>
          <w:sz w:val="28"/>
          <w:szCs w:val="28"/>
        </w:rPr>
        <w:t xml:space="preserve">in contemporary times: A comparative study </w:t>
      </w:r>
      <w:r w:rsidR="00C84BD7" w:rsidRPr="009D6495">
        <w:rPr>
          <w:b/>
          <w:color w:val="000000"/>
          <w:sz w:val="28"/>
          <w:szCs w:val="28"/>
        </w:rPr>
        <w:t>of university students in</w:t>
      </w:r>
      <w:r w:rsidRPr="009D6495">
        <w:rPr>
          <w:b/>
          <w:color w:val="000000"/>
          <w:sz w:val="28"/>
          <w:szCs w:val="28"/>
        </w:rPr>
        <w:t xml:space="preserve"> India and the U</w:t>
      </w:r>
      <w:r w:rsidR="005032FB" w:rsidRPr="009D6495">
        <w:rPr>
          <w:b/>
          <w:color w:val="000000"/>
          <w:sz w:val="28"/>
          <w:szCs w:val="28"/>
        </w:rPr>
        <w:t>nited Kingdom</w:t>
      </w:r>
    </w:p>
    <w:p w14:paraId="4294485D" w14:textId="77777777" w:rsidR="00E04AF9" w:rsidRPr="009853A1" w:rsidRDefault="00E04AF9" w:rsidP="004E56BD">
      <w:pPr>
        <w:contextualSpacing/>
      </w:pPr>
    </w:p>
    <w:p w14:paraId="47D68F09" w14:textId="0CBD7BDD" w:rsidR="00D37BE9" w:rsidRPr="009853A1" w:rsidRDefault="00D37BE9" w:rsidP="004E56BD">
      <w:pPr>
        <w:contextualSpacing/>
        <w:rPr>
          <w:b/>
          <w:sz w:val="28"/>
          <w:szCs w:val="28"/>
        </w:rPr>
      </w:pPr>
      <w:r w:rsidRPr="009853A1">
        <w:rPr>
          <w:b/>
          <w:sz w:val="28"/>
          <w:szCs w:val="28"/>
        </w:rPr>
        <w:t>Abstract</w:t>
      </w:r>
    </w:p>
    <w:p w14:paraId="04F0458C" w14:textId="1694C568" w:rsidR="00004F25" w:rsidRPr="00751CE1" w:rsidRDefault="00464CA1" w:rsidP="004E56BD">
      <w:pPr>
        <w:pStyle w:val="NormalWeb"/>
        <w:contextualSpacing/>
        <w:rPr>
          <w:rFonts w:ascii="Times New Roman" w:hAnsi="Times New Roman"/>
          <w:sz w:val="24"/>
          <w:szCs w:val="24"/>
        </w:rPr>
      </w:pPr>
      <w:r w:rsidRPr="005E2C4D">
        <w:rPr>
          <w:rFonts w:ascii="Times New Roman" w:hAnsi="Times New Roman"/>
          <w:color w:val="000000"/>
          <w:sz w:val="24"/>
          <w:szCs w:val="24"/>
        </w:rPr>
        <w:t xml:space="preserve">Much of the literature on rape, victim blaming and rape myth </w:t>
      </w:r>
      <w:r w:rsidR="00431270" w:rsidRPr="005E2C4D">
        <w:rPr>
          <w:rFonts w:ascii="Times New Roman" w:hAnsi="Times New Roman"/>
          <w:color w:val="000000"/>
          <w:sz w:val="24"/>
          <w:szCs w:val="24"/>
        </w:rPr>
        <w:t xml:space="preserve">acceptance is focused on the </w:t>
      </w:r>
      <w:r w:rsidR="00431270" w:rsidRPr="008450EF">
        <w:rPr>
          <w:rFonts w:ascii="Times New Roman" w:hAnsi="Times New Roman"/>
          <w:sz w:val="24"/>
          <w:szCs w:val="24"/>
        </w:rPr>
        <w:t>U</w:t>
      </w:r>
      <w:r w:rsidR="009E1A77" w:rsidRPr="008450EF">
        <w:rPr>
          <w:rFonts w:ascii="Times New Roman" w:hAnsi="Times New Roman"/>
          <w:sz w:val="24"/>
          <w:szCs w:val="24"/>
        </w:rPr>
        <w:t xml:space="preserve">nited </w:t>
      </w:r>
      <w:r w:rsidR="00431270" w:rsidRPr="008450EF">
        <w:rPr>
          <w:rFonts w:ascii="Times New Roman" w:hAnsi="Times New Roman"/>
          <w:sz w:val="24"/>
          <w:szCs w:val="24"/>
        </w:rPr>
        <w:t>S</w:t>
      </w:r>
      <w:r w:rsidR="009E1A77" w:rsidRPr="008450EF">
        <w:rPr>
          <w:rFonts w:ascii="Times New Roman" w:hAnsi="Times New Roman"/>
          <w:sz w:val="24"/>
          <w:szCs w:val="24"/>
        </w:rPr>
        <w:t>tates</w:t>
      </w:r>
      <w:r w:rsidR="007B52A9">
        <w:rPr>
          <w:rFonts w:ascii="Times New Roman" w:hAnsi="Times New Roman"/>
          <w:sz w:val="24"/>
          <w:szCs w:val="24"/>
        </w:rPr>
        <w:t xml:space="preserve"> of America (USA)</w:t>
      </w:r>
      <w:r w:rsidR="007F0731" w:rsidRPr="008450EF">
        <w:rPr>
          <w:rFonts w:ascii="Times New Roman" w:hAnsi="Times New Roman"/>
          <w:color w:val="000000"/>
          <w:sz w:val="24"/>
          <w:szCs w:val="24"/>
        </w:rPr>
        <w:t>,</w:t>
      </w:r>
      <w:r w:rsidR="007F0731" w:rsidRPr="005E2C4D">
        <w:rPr>
          <w:rFonts w:ascii="Times New Roman" w:hAnsi="Times New Roman"/>
          <w:color w:val="000000"/>
          <w:sz w:val="24"/>
          <w:szCs w:val="24"/>
        </w:rPr>
        <w:t xml:space="preserve"> and </w:t>
      </w:r>
      <w:r w:rsidR="007F0731" w:rsidRPr="006953F2">
        <w:rPr>
          <w:rFonts w:ascii="Times New Roman" w:hAnsi="Times New Roman"/>
          <w:color w:val="000000"/>
          <w:sz w:val="24"/>
          <w:szCs w:val="24"/>
        </w:rPr>
        <w:t xml:space="preserve">there is a general </w:t>
      </w:r>
      <w:r w:rsidR="00C84BD7" w:rsidRPr="009D6495">
        <w:rPr>
          <w:rFonts w:ascii="Times New Roman" w:hAnsi="Times New Roman"/>
          <w:color w:val="000000"/>
          <w:sz w:val="24"/>
          <w:szCs w:val="24"/>
        </w:rPr>
        <w:t>dearth</w:t>
      </w:r>
      <w:r w:rsidR="00C84BD7" w:rsidRPr="006953F2">
        <w:rPr>
          <w:rFonts w:ascii="Times New Roman" w:hAnsi="Times New Roman"/>
          <w:color w:val="000000"/>
          <w:sz w:val="24"/>
          <w:szCs w:val="24"/>
        </w:rPr>
        <w:t xml:space="preserve"> </w:t>
      </w:r>
      <w:r w:rsidR="007F0731" w:rsidRPr="006953F2">
        <w:rPr>
          <w:rFonts w:ascii="Times New Roman" w:hAnsi="Times New Roman"/>
          <w:color w:val="000000"/>
          <w:sz w:val="24"/>
          <w:szCs w:val="24"/>
        </w:rPr>
        <w:t xml:space="preserve">of </w:t>
      </w:r>
      <w:r w:rsidR="0073639B" w:rsidRPr="006953F2">
        <w:rPr>
          <w:rFonts w:ascii="Times New Roman" w:hAnsi="Times New Roman"/>
          <w:color w:val="000000"/>
          <w:sz w:val="24"/>
          <w:szCs w:val="24"/>
        </w:rPr>
        <w:t xml:space="preserve">such scholarly activity in other countries. </w:t>
      </w:r>
      <w:r w:rsidR="00431270" w:rsidRPr="006953F2">
        <w:rPr>
          <w:rFonts w:ascii="Times New Roman" w:hAnsi="Times New Roman"/>
          <w:color w:val="000000"/>
          <w:sz w:val="24"/>
          <w:szCs w:val="24"/>
        </w:rPr>
        <w:t>T</w:t>
      </w:r>
      <w:r w:rsidR="00CF6838" w:rsidRPr="006953F2">
        <w:rPr>
          <w:rFonts w:ascii="Times New Roman" w:hAnsi="Times New Roman"/>
          <w:bCs/>
          <w:sz w:val="24"/>
          <w:szCs w:val="24"/>
        </w:rPr>
        <w:t xml:space="preserve">his paper offers insights </w:t>
      </w:r>
      <w:r w:rsidR="00023E5F" w:rsidRPr="009D6495">
        <w:rPr>
          <w:rFonts w:ascii="Times New Roman" w:hAnsi="Times New Roman"/>
          <w:bCs/>
          <w:sz w:val="24"/>
          <w:szCs w:val="24"/>
        </w:rPr>
        <w:t>on</w:t>
      </w:r>
      <w:r w:rsidR="00023E5F" w:rsidRPr="006953F2">
        <w:rPr>
          <w:rFonts w:ascii="Times New Roman" w:hAnsi="Times New Roman"/>
          <w:bCs/>
          <w:sz w:val="24"/>
          <w:szCs w:val="24"/>
        </w:rPr>
        <w:t xml:space="preserve"> </w:t>
      </w:r>
      <w:r w:rsidR="00CF6838" w:rsidRPr="006953F2">
        <w:rPr>
          <w:rFonts w:ascii="Times New Roman" w:hAnsi="Times New Roman"/>
          <w:bCs/>
          <w:sz w:val="24"/>
          <w:szCs w:val="24"/>
        </w:rPr>
        <w:t xml:space="preserve">university students’ perspectives in </w:t>
      </w:r>
      <w:r w:rsidR="000026B2" w:rsidRPr="006953F2">
        <w:rPr>
          <w:rFonts w:ascii="Times New Roman" w:hAnsi="Times New Roman"/>
          <w:bCs/>
          <w:sz w:val="24"/>
          <w:szCs w:val="24"/>
        </w:rPr>
        <w:t>two new country contexts</w:t>
      </w:r>
      <w:r w:rsidR="000026B2" w:rsidRPr="005E2C4D">
        <w:rPr>
          <w:rFonts w:ascii="Times New Roman" w:hAnsi="Times New Roman"/>
          <w:bCs/>
          <w:sz w:val="24"/>
          <w:szCs w:val="24"/>
        </w:rPr>
        <w:t xml:space="preserve"> –</w:t>
      </w:r>
      <w:r w:rsidR="00CF6838" w:rsidRPr="005E2C4D">
        <w:rPr>
          <w:rFonts w:ascii="Times New Roman" w:hAnsi="Times New Roman"/>
          <w:bCs/>
          <w:sz w:val="24"/>
          <w:szCs w:val="24"/>
        </w:rPr>
        <w:t xml:space="preserve">India and the </w:t>
      </w:r>
      <w:r w:rsidR="005032FB">
        <w:rPr>
          <w:rFonts w:ascii="Times New Roman" w:hAnsi="Times New Roman"/>
          <w:bCs/>
          <w:sz w:val="24"/>
          <w:szCs w:val="24"/>
        </w:rPr>
        <w:t>United Kingdom (</w:t>
      </w:r>
      <w:r w:rsidR="00CF6838" w:rsidRPr="005E2C4D">
        <w:rPr>
          <w:rFonts w:ascii="Times New Roman" w:hAnsi="Times New Roman"/>
          <w:bCs/>
          <w:sz w:val="24"/>
          <w:szCs w:val="24"/>
        </w:rPr>
        <w:t>UK</w:t>
      </w:r>
      <w:r w:rsidR="005032FB">
        <w:rPr>
          <w:rFonts w:ascii="Times New Roman" w:hAnsi="Times New Roman"/>
          <w:bCs/>
          <w:sz w:val="24"/>
          <w:szCs w:val="24"/>
        </w:rPr>
        <w:t>)</w:t>
      </w:r>
      <w:r w:rsidR="00CF6838" w:rsidRPr="005E2C4D">
        <w:rPr>
          <w:rFonts w:ascii="Times New Roman" w:hAnsi="Times New Roman"/>
          <w:bCs/>
          <w:sz w:val="24"/>
          <w:szCs w:val="24"/>
        </w:rPr>
        <w:t>.</w:t>
      </w:r>
      <w:r w:rsidR="00CF6838" w:rsidRPr="005E2C4D">
        <w:rPr>
          <w:rFonts w:ascii="Times New Roman" w:hAnsi="Times New Roman"/>
          <w:b/>
          <w:bCs/>
          <w:sz w:val="24"/>
          <w:szCs w:val="24"/>
        </w:rPr>
        <w:t xml:space="preserve"> </w:t>
      </w:r>
      <w:r w:rsidR="00CF6838" w:rsidRPr="005E2C4D">
        <w:rPr>
          <w:rFonts w:ascii="Times New Roman" w:hAnsi="Times New Roman"/>
          <w:bCs/>
          <w:sz w:val="24"/>
          <w:szCs w:val="24"/>
        </w:rPr>
        <w:t>A</w:t>
      </w:r>
      <w:r w:rsidR="002D7C80" w:rsidRPr="005E2C4D">
        <w:rPr>
          <w:rFonts w:ascii="Times New Roman" w:hAnsi="Times New Roman"/>
          <w:color w:val="000000"/>
          <w:sz w:val="24"/>
          <w:szCs w:val="24"/>
        </w:rPr>
        <w:t xml:space="preserve"> total of 693 </w:t>
      </w:r>
      <w:r w:rsidR="00D37BE9" w:rsidRPr="005E2C4D">
        <w:rPr>
          <w:rFonts w:ascii="Times New Roman" w:hAnsi="Times New Roman"/>
          <w:color w:val="000000"/>
          <w:sz w:val="24"/>
          <w:szCs w:val="24"/>
        </w:rPr>
        <w:t xml:space="preserve">students contributed to the data collection for this study. </w:t>
      </w:r>
      <w:r w:rsidR="00E73A3A" w:rsidRPr="005E2C4D">
        <w:rPr>
          <w:rFonts w:ascii="Times New Roman" w:hAnsi="Times New Roman"/>
          <w:color w:val="000000"/>
          <w:sz w:val="24"/>
          <w:szCs w:val="24"/>
        </w:rPr>
        <w:t xml:space="preserve">Rape myth acceptance was fairly low for both countries, however, students in India were more likely to endorse rape myths. Several demographic characteristics were significant for rape myth acceptance in each country. </w:t>
      </w:r>
      <w:r w:rsidR="000026B2" w:rsidRPr="006953F2">
        <w:rPr>
          <w:rFonts w:ascii="Times New Roman" w:hAnsi="Times New Roman"/>
          <w:color w:val="000000"/>
          <w:sz w:val="24"/>
          <w:szCs w:val="24"/>
        </w:rPr>
        <w:t>This study makes an important contribution to the extant literature to address paucity of knowledge</w:t>
      </w:r>
      <w:r w:rsidR="00F00B79" w:rsidRPr="006953F2">
        <w:rPr>
          <w:rFonts w:ascii="Times New Roman" w:hAnsi="Times New Roman"/>
          <w:color w:val="000000"/>
          <w:sz w:val="24"/>
          <w:szCs w:val="24"/>
        </w:rPr>
        <w:t>,</w:t>
      </w:r>
      <w:r w:rsidR="000026B2" w:rsidRPr="006953F2">
        <w:rPr>
          <w:rFonts w:ascii="Times New Roman" w:hAnsi="Times New Roman"/>
          <w:color w:val="000000"/>
          <w:sz w:val="24"/>
          <w:szCs w:val="24"/>
        </w:rPr>
        <w:t xml:space="preserve"> and </w:t>
      </w:r>
      <w:r w:rsidR="00F00B79" w:rsidRPr="006953F2">
        <w:rPr>
          <w:rFonts w:ascii="Times New Roman" w:hAnsi="Times New Roman"/>
          <w:color w:val="000000"/>
          <w:sz w:val="24"/>
          <w:szCs w:val="24"/>
        </w:rPr>
        <w:t xml:space="preserve">promote </w:t>
      </w:r>
      <w:r w:rsidR="000026B2" w:rsidRPr="006953F2">
        <w:rPr>
          <w:rFonts w:ascii="Times New Roman" w:hAnsi="Times New Roman"/>
          <w:color w:val="000000"/>
          <w:sz w:val="24"/>
          <w:szCs w:val="24"/>
        </w:rPr>
        <w:t>understanding</w:t>
      </w:r>
      <w:r w:rsidR="00F00B79" w:rsidRPr="006953F2">
        <w:rPr>
          <w:rFonts w:ascii="Times New Roman" w:hAnsi="Times New Roman"/>
          <w:color w:val="000000"/>
          <w:sz w:val="24"/>
          <w:szCs w:val="24"/>
        </w:rPr>
        <w:t>s</w:t>
      </w:r>
      <w:r w:rsidR="000026B2" w:rsidRPr="006953F2">
        <w:rPr>
          <w:rFonts w:ascii="Times New Roman" w:hAnsi="Times New Roman"/>
          <w:color w:val="000000"/>
          <w:sz w:val="24"/>
          <w:szCs w:val="24"/>
        </w:rPr>
        <w:t xml:space="preserve"> to help develop country-specific</w:t>
      </w:r>
      <w:r w:rsidR="003F0AB6">
        <w:rPr>
          <w:rFonts w:ascii="Times New Roman" w:hAnsi="Times New Roman"/>
          <w:color w:val="000000"/>
          <w:sz w:val="24"/>
          <w:szCs w:val="24"/>
        </w:rPr>
        <w:t>,</w:t>
      </w:r>
      <w:r w:rsidR="000026B2" w:rsidRPr="006953F2">
        <w:rPr>
          <w:rFonts w:ascii="Times New Roman" w:hAnsi="Times New Roman"/>
          <w:color w:val="000000"/>
          <w:sz w:val="24"/>
          <w:szCs w:val="24"/>
        </w:rPr>
        <w:t xml:space="preserve"> and appropriate policy, practice, and education and awareness programs</w:t>
      </w:r>
      <w:r w:rsidR="000026B2" w:rsidRPr="00751CE1">
        <w:rPr>
          <w:rFonts w:ascii="Times New Roman" w:hAnsi="Times New Roman"/>
          <w:sz w:val="24"/>
          <w:szCs w:val="24"/>
        </w:rPr>
        <w:t>.</w:t>
      </w:r>
      <w:r w:rsidR="00FE6A15" w:rsidRPr="00751CE1">
        <w:rPr>
          <w:rFonts w:ascii="Times New Roman" w:hAnsi="Times New Roman"/>
          <w:sz w:val="24"/>
          <w:szCs w:val="24"/>
        </w:rPr>
        <w:t xml:space="preserve"> </w:t>
      </w:r>
      <w:r w:rsidR="00211539" w:rsidRPr="00751CE1">
        <w:rPr>
          <w:rFonts w:ascii="Times New Roman" w:hAnsi="Times New Roman"/>
          <w:sz w:val="24"/>
          <w:szCs w:val="24"/>
        </w:rPr>
        <w:t xml:space="preserve">In particular, the study </w:t>
      </w:r>
      <w:r w:rsidR="00211539" w:rsidRPr="00751CE1">
        <w:rPr>
          <w:sz w:val="24"/>
          <w:szCs w:val="24"/>
        </w:rPr>
        <w:t xml:space="preserve">provides novel comparative findings on rape myth acceptance in new country contexts to help advance </w:t>
      </w:r>
      <w:r w:rsidR="00F35A1B" w:rsidRPr="00751CE1">
        <w:rPr>
          <w:sz w:val="24"/>
          <w:szCs w:val="24"/>
        </w:rPr>
        <w:t xml:space="preserve">academic </w:t>
      </w:r>
      <w:r w:rsidR="00211539" w:rsidRPr="00751CE1">
        <w:rPr>
          <w:sz w:val="24"/>
          <w:szCs w:val="24"/>
        </w:rPr>
        <w:t>thinking in this area of work.</w:t>
      </w:r>
      <w:r w:rsidR="00211539" w:rsidRPr="00751CE1">
        <w:t xml:space="preserve"> </w:t>
      </w:r>
      <w:r w:rsidR="00823CD5" w:rsidRPr="00751CE1">
        <w:rPr>
          <w:rFonts w:ascii="Times New Roman" w:hAnsi="Times New Roman"/>
          <w:sz w:val="24"/>
          <w:szCs w:val="24"/>
        </w:rPr>
        <w:br/>
      </w:r>
    </w:p>
    <w:p w14:paraId="083DC0CF" w14:textId="77777777" w:rsidR="00DE3D9E" w:rsidRPr="009853A1" w:rsidRDefault="00004F25" w:rsidP="004E56BD">
      <w:pPr>
        <w:widowControl w:val="0"/>
        <w:autoSpaceDE w:val="0"/>
        <w:autoSpaceDN w:val="0"/>
        <w:adjustRightInd w:val="0"/>
        <w:spacing w:after="240" w:line="300" w:lineRule="atLeast"/>
        <w:contextualSpacing/>
        <w:rPr>
          <w:color w:val="000000"/>
        </w:rPr>
      </w:pPr>
      <w:r w:rsidRPr="009853A1">
        <w:rPr>
          <w:b/>
          <w:color w:val="000000"/>
          <w:sz w:val="28"/>
          <w:szCs w:val="28"/>
        </w:rPr>
        <w:t>Key words</w:t>
      </w:r>
    </w:p>
    <w:p w14:paraId="10A8BDB1" w14:textId="5D3E9377" w:rsidR="00004F25" w:rsidRPr="009853A1" w:rsidRDefault="00004F25" w:rsidP="004E56BD">
      <w:pPr>
        <w:widowControl w:val="0"/>
        <w:autoSpaceDE w:val="0"/>
        <w:autoSpaceDN w:val="0"/>
        <w:adjustRightInd w:val="0"/>
        <w:spacing w:after="240" w:line="300" w:lineRule="atLeast"/>
        <w:contextualSpacing/>
        <w:rPr>
          <w:color w:val="000000"/>
        </w:rPr>
      </w:pPr>
      <w:r w:rsidRPr="009853A1">
        <w:rPr>
          <w:color w:val="000000"/>
        </w:rPr>
        <w:t xml:space="preserve">rape myths, </w:t>
      </w:r>
      <w:r w:rsidR="00D63D96" w:rsidRPr="009853A1">
        <w:rPr>
          <w:color w:val="000000"/>
        </w:rPr>
        <w:t xml:space="preserve">sexual aggression, gender roles, victim blaming, </w:t>
      </w:r>
      <w:r w:rsidR="00F41805" w:rsidRPr="009853A1">
        <w:rPr>
          <w:color w:val="000000"/>
        </w:rPr>
        <w:t xml:space="preserve">cross-national comparison, India, </w:t>
      </w:r>
      <w:r w:rsidR="00431270" w:rsidRPr="009853A1">
        <w:rPr>
          <w:color w:val="000000"/>
        </w:rPr>
        <w:t>UK</w:t>
      </w:r>
    </w:p>
    <w:p w14:paraId="59ED36E0" w14:textId="77777777" w:rsidR="00CF6838" w:rsidRPr="009853A1" w:rsidRDefault="00CF6838" w:rsidP="004E56BD">
      <w:pPr>
        <w:contextualSpacing/>
        <w:rPr>
          <w:color w:val="000000"/>
        </w:rPr>
      </w:pPr>
    </w:p>
    <w:p w14:paraId="0EA4E29F" w14:textId="77777777" w:rsidR="004E56BD" w:rsidRPr="009853A1" w:rsidRDefault="004E56BD">
      <w:pPr>
        <w:rPr>
          <w:b/>
        </w:rPr>
      </w:pPr>
      <w:r w:rsidRPr="009853A1">
        <w:rPr>
          <w:b/>
        </w:rPr>
        <w:br w:type="page"/>
      </w:r>
    </w:p>
    <w:p w14:paraId="39A94A5F" w14:textId="77777777" w:rsidR="004E56BD" w:rsidRPr="009853A1" w:rsidRDefault="004E56BD" w:rsidP="004E56BD">
      <w:pPr>
        <w:contextualSpacing/>
        <w:rPr>
          <w:b/>
        </w:rPr>
        <w:sectPr w:rsidR="004E56BD" w:rsidRPr="009853A1" w:rsidSect="004E56BD">
          <w:headerReference w:type="default" r:id="rId8"/>
          <w:footerReference w:type="even" r:id="rId9"/>
          <w:footerReference w:type="default" r:id="rId10"/>
          <w:pgSz w:w="11900" w:h="16840"/>
          <w:pgMar w:top="1440" w:right="1440" w:bottom="1440" w:left="1440" w:header="708" w:footer="708" w:gutter="0"/>
          <w:cols w:space="708"/>
          <w:docGrid w:linePitch="360"/>
        </w:sectPr>
      </w:pPr>
    </w:p>
    <w:p w14:paraId="58DA8542" w14:textId="29BC1A8B" w:rsidR="004E56BD" w:rsidRDefault="00795523" w:rsidP="004E56BD">
      <w:pPr>
        <w:contextualSpacing/>
        <w:rPr>
          <w:b/>
          <w:sz w:val="28"/>
          <w:szCs w:val="28"/>
        </w:rPr>
      </w:pPr>
      <w:r w:rsidRPr="009853A1">
        <w:rPr>
          <w:b/>
          <w:sz w:val="28"/>
          <w:szCs w:val="28"/>
        </w:rPr>
        <w:lastRenderedPageBreak/>
        <w:t>Introduction</w:t>
      </w:r>
    </w:p>
    <w:p w14:paraId="15D20F28" w14:textId="77777777" w:rsidR="00947477" w:rsidRPr="009853A1" w:rsidRDefault="00947477" w:rsidP="004E56BD">
      <w:pPr>
        <w:contextualSpacing/>
        <w:rPr>
          <w:b/>
          <w:sz w:val="28"/>
          <w:szCs w:val="28"/>
        </w:rPr>
      </w:pPr>
    </w:p>
    <w:p w14:paraId="4C350681" w14:textId="02B60AEC" w:rsidR="006556D8" w:rsidRPr="009D6495" w:rsidRDefault="001F4106" w:rsidP="009D6495">
      <w:pPr>
        <w:spacing w:line="480" w:lineRule="auto"/>
        <w:contextualSpacing/>
        <w:rPr>
          <w:b/>
        </w:rPr>
      </w:pPr>
      <w:r w:rsidRPr="00751CE1">
        <w:rPr>
          <w:color w:val="000000"/>
          <w:lang w:val="en-US"/>
        </w:rPr>
        <w:t>Annual reported incidents involving female victims of rape in India, during 2016, stand at 38, 947 – an increase of 56 per cent since the 2012 high profile and brutal rape and murder case of ‘Nirbhaya’ in Delhi (Dutta and Sircar</w:t>
      </w:r>
      <w:r w:rsidR="006176CC" w:rsidRPr="00751CE1">
        <w:rPr>
          <w:color w:val="000000"/>
          <w:lang w:val="en-US"/>
        </w:rPr>
        <w:t>,</w:t>
      </w:r>
      <w:r w:rsidRPr="00751CE1">
        <w:rPr>
          <w:color w:val="000000"/>
          <w:lang w:val="en-US"/>
        </w:rPr>
        <w:t xml:space="preserve"> 2013</w:t>
      </w:r>
      <w:r w:rsidR="006507B8" w:rsidRPr="00751CE1">
        <w:rPr>
          <w:color w:val="000000"/>
          <w:lang w:val="en-US"/>
        </w:rPr>
        <w:t>; NCRB, 2017</w:t>
      </w:r>
      <w:r w:rsidRPr="00751CE1">
        <w:rPr>
          <w:color w:val="000000"/>
          <w:lang w:val="en-US"/>
        </w:rPr>
        <w:t>).</w:t>
      </w:r>
      <w:r w:rsidR="000C310D" w:rsidRPr="00751CE1">
        <w:rPr>
          <w:color w:val="000000"/>
          <w:lang w:val="en-US"/>
        </w:rPr>
        <w:t xml:space="preserve"> In the UK, </w:t>
      </w:r>
      <w:r w:rsidR="006176CC" w:rsidRPr="00751CE1">
        <w:rPr>
          <w:color w:val="000000"/>
          <w:lang w:val="en-US"/>
        </w:rPr>
        <w:t xml:space="preserve">the number of police recorded rapes, between October 2016 - </w:t>
      </w:r>
      <w:r w:rsidR="006507B8" w:rsidRPr="00751CE1">
        <w:rPr>
          <w:color w:val="000000"/>
          <w:lang w:val="en-US"/>
        </w:rPr>
        <w:t>September</w:t>
      </w:r>
      <w:r w:rsidR="006176CC" w:rsidRPr="00751CE1">
        <w:rPr>
          <w:color w:val="000000"/>
          <w:lang w:val="en-US"/>
        </w:rPr>
        <w:t xml:space="preserve"> 2017, amounted to 48,773 (ONS, 2018)</w:t>
      </w:r>
      <w:r w:rsidR="006176CC" w:rsidRPr="00751CE1">
        <w:rPr>
          <w:b/>
        </w:rPr>
        <w:t xml:space="preserve">. </w:t>
      </w:r>
      <w:r w:rsidR="004B5C50" w:rsidRPr="00751CE1">
        <w:rPr>
          <w:color w:val="000000"/>
        </w:rPr>
        <w:t xml:space="preserve">Whilst these are the reported annual figures, it </w:t>
      </w:r>
      <w:r w:rsidR="00F12500" w:rsidRPr="00751CE1">
        <w:rPr>
          <w:color w:val="000000"/>
        </w:rPr>
        <w:t>has be</w:t>
      </w:r>
      <w:r w:rsidR="00735FE1" w:rsidRPr="00751CE1">
        <w:rPr>
          <w:color w:val="000000"/>
        </w:rPr>
        <w:t>e</w:t>
      </w:r>
      <w:r w:rsidR="00F12500" w:rsidRPr="00751CE1">
        <w:rPr>
          <w:color w:val="000000"/>
        </w:rPr>
        <w:t xml:space="preserve">n estimated </w:t>
      </w:r>
      <w:r w:rsidR="004B5C50" w:rsidRPr="00751CE1">
        <w:rPr>
          <w:color w:val="000000"/>
        </w:rPr>
        <w:t xml:space="preserve">that </w:t>
      </w:r>
      <w:r w:rsidR="00D708A4" w:rsidRPr="00751CE1">
        <w:rPr>
          <w:color w:val="000000"/>
        </w:rPr>
        <w:t>only 15</w:t>
      </w:r>
      <w:r w:rsidR="00CE39E7" w:rsidRPr="00751CE1">
        <w:rPr>
          <w:color w:val="000000"/>
        </w:rPr>
        <w:t>-20</w:t>
      </w:r>
      <w:r w:rsidR="00D708A4" w:rsidRPr="00751CE1">
        <w:rPr>
          <w:color w:val="000000"/>
        </w:rPr>
        <w:t>% of the rape incidents are brought to the attention of the police (</w:t>
      </w:r>
      <w:r w:rsidR="00BF391C" w:rsidRPr="00751CE1">
        <w:rPr>
          <w:color w:val="000000"/>
        </w:rPr>
        <w:t xml:space="preserve">Barn &amp; Kumari, 2015; </w:t>
      </w:r>
      <w:r w:rsidR="00D708A4" w:rsidRPr="00751CE1">
        <w:rPr>
          <w:color w:val="000000"/>
        </w:rPr>
        <w:t>Ministry of Justice</w:t>
      </w:r>
      <w:r w:rsidR="00CF4A24" w:rsidRPr="00751CE1">
        <w:rPr>
          <w:color w:val="000000"/>
        </w:rPr>
        <w:t>,</w:t>
      </w:r>
      <w:r w:rsidR="00D708A4" w:rsidRPr="00751CE1">
        <w:rPr>
          <w:color w:val="000000"/>
        </w:rPr>
        <w:t xml:space="preserve"> 2013</w:t>
      </w:r>
      <w:r w:rsidR="00FB4BDB" w:rsidRPr="00751CE1">
        <w:rPr>
          <w:color w:val="000000"/>
        </w:rPr>
        <w:t>)</w:t>
      </w:r>
      <w:r w:rsidR="00D708A4" w:rsidRPr="00751CE1">
        <w:rPr>
          <w:color w:val="000000"/>
        </w:rPr>
        <w:t xml:space="preserve">. </w:t>
      </w:r>
      <w:r w:rsidR="00CF6838" w:rsidRPr="00751CE1">
        <w:rPr>
          <w:color w:val="000000"/>
        </w:rPr>
        <w:t xml:space="preserve">Scholars </w:t>
      </w:r>
      <w:r w:rsidR="003D58CC" w:rsidRPr="00751CE1">
        <w:rPr>
          <w:color w:val="000000"/>
        </w:rPr>
        <w:t xml:space="preserve">have </w:t>
      </w:r>
      <w:r w:rsidR="000731BE" w:rsidRPr="00751CE1">
        <w:rPr>
          <w:color w:val="000000"/>
        </w:rPr>
        <w:t>pointed to</w:t>
      </w:r>
      <w:r w:rsidR="00CF6838" w:rsidRPr="00751CE1">
        <w:rPr>
          <w:color w:val="000000"/>
        </w:rPr>
        <w:t xml:space="preserve"> low rates of </w:t>
      </w:r>
      <w:r w:rsidR="004B5C50" w:rsidRPr="00751CE1">
        <w:rPr>
          <w:color w:val="000000"/>
        </w:rPr>
        <w:t xml:space="preserve">rape reporting </w:t>
      </w:r>
      <w:r w:rsidR="00CF6838" w:rsidRPr="00751CE1">
        <w:rPr>
          <w:color w:val="000000"/>
        </w:rPr>
        <w:t xml:space="preserve">and </w:t>
      </w:r>
      <w:r w:rsidR="006D75BC" w:rsidRPr="00751CE1">
        <w:rPr>
          <w:color w:val="000000"/>
        </w:rPr>
        <w:t xml:space="preserve">its association with </w:t>
      </w:r>
      <w:r w:rsidR="001F4E4B" w:rsidRPr="00751CE1">
        <w:rPr>
          <w:color w:val="000000"/>
        </w:rPr>
        <w:t>R</w:t>
      </w:r>
      <w:r w:rsidR="000047B8" w:rsidRPr="00751CE1">
        <w:rPr>
          <w:color w:val="000000"/>
        </w:rPr>
        <w:t xml:space="preserve">ape Myth Acceptance (RMA) </w:t>
      </w:r>
      <w:r w:rsidR="00CF6838" w:rsidRPr="00751CE1">
        <w:rPr>
          <w:color w:val="000000"/>
        </w:rPr>
        <w:t>(</w:t>
      </w:r>
      <w:r w:rsidR="004B5C50" w:rsidRPr="00751CE1">
        <w:rPr>
          <w:color w:val="000000"/>
        </w:rPr>
        <w:t>Hayes</w:t>
      </w:r>
      <w:r w:rsidR="00FB4BDB" w:rsidRPr="00751CE1">
        <w:rPr>
          <w:color w:val="000000"/>
        </w:rPr>
        <w:t xml:space="preserve">, </w:t>
      </w:r>
      <w:r w:rsidR="00FB4BDB" w:rsidRPr="00751CE1">
        <w:rPr>
          <w:color w:val="1A1A1A"/>
        </w:rPr>
        <w:t>Lorenz, &amp; Bell</w:t>
      </w:r>
      <w:r w:rsidR="004E56BD" w:rsidRPr="00751CE1">
        <w:rPr>
          <w:color w:val="000000"/>
        </w:rPr>
        <w:t>,</w:t>
      </w:r>
      <w:r w:rsidR="004B5C50" w:rsidRPr="00751CE1">
        <w:rPr>
          <w:color w:val="000000"/>
        </w:rPr>
        <w:t xml:space="preserve"> 2013).</w:t>
      </w:r>
      <w:r w:rsidR="005359E7" w:rsidRPr="00751CE1">
        <w:rPr>
          <w:color w:val="000000"/>
        </w:rPr>
        <w:t xml:space="preserve"> </w:t>
      </w:r>
      <w:r w:rsidR="00EC7184" w:rsidRPr="00751CE1">
        <w:t xml:space="preserve">Scholarly </w:t>
      </w:r>
      <w:r w:rsidR="00BD33BB" w:rsidRPr="00751CE1">
        <w:t xml:space="preserve">literature on rape </w:t>
      </w:r>
      <w:r w:rsidR="00FB754C" w:rsidRPr="00751CE1">
        <w:t xml:space="preserve">also </w:t>
      </w:r>
      <w:r w:rsidR="00BD33BB" w:rsidRPr="00751CE1">
        <w:t>identifies</w:t>
      </w:r>
      <w:r w:rsidR="00BD33BB" w:rsidRPr="006953F2">
        <w:t xml:space="preserve"> the importance of myths and </w:t>
      </w:r>
      <w:r w:rsidR="000970C2" w:rsidRPr="006953F2">
        <w:t>stereotypes</w:t>
      </w:r>
      <w:r w:rsidR="00BD33BB" w:rsidRPr="006953F2">
        <w:t xml:space="preserve"> that generate hostility towards rape victims.</w:t>
      </w:r>
      <w:r w:rsidR="00BF391C" w:rsidRPr="006953F2">
        <w:t xml:space="preserve"> Such myths and </w:t>
      </w:r>
      <w:r w:rsidR="000970C2" w:rsidRPr="006953F2">
        <w:t>stereotypes</w:t>
      </w:r>
      <w:r w:rsidR="00BF391C" w:rsidRPr="006953F2">
        <w:t xml:space="preserve"> are “</w:t>
      </w:r>
      <w:r w:rsidR="00BD33BB" w:rsidRPr="006953F2">
        <w:t xml:space="preserve">defined as </w:t>
      </w:r>
      <w:r w:rsidR="00BD33BB" w:rsidRPr="006953F2">
        <w:rPr>
          <w:color w:val="000000"/>
        </w:rPr>
        <w:t xml:space="preserve">prejudicial, stereotyped, or false beliefs about </w:t>
      </w:r>
      <w:r w:rsidR="00BF391C" w:rsidRPr="006953F2">
        <w:rPr>
          <w:color w:val="000000"/>
        </w:rPr>
        <w:t>rape, rape victims, and rapists”</w:t>
      </w:r>
      <w:r w:rsidR="00BD33BB" w:rsidRPr="006953F2">
        <w:rPr>
          <w:color w:val="000000"/>
        </w:rPr>
        <w:t xml:space="preserve"> (Burt</w:t>
      </w:r>
      <w:r w:rsidR="00B84055" w:rsidRPr="006953F2">
        <w:rPr>
          <w:color w:val="000000"/>
        </w:rPr>
        <w:t>,</w:t>
      </w:r>
      <w:r w:rsidR="00BD33BB" w:rsidRPr="006953F2">
        <w:rPr>
          <w:color w:val="000000"/>
        </w:rPr>
        <w:t xml:space="preserve"> 1980</w:t>
      </w:r>
      <w:r w:rsidR="00B84055" w:rsidRPr="006953F2">
        <w:rPr>
          <w:color w:val="000000"/>
        </w:rPr>
        <w:t>, p</w:t>
      </w:r>
      <w:r w:rsidR="00C8595C" w:rsidRPr="006953F2">
        <w:rPr>
          <w:color w:val="000000"/>
        </w:rPr>
        <w:t xml:space="preserve">. </w:t>
      </w:r>
      <w:r w:rsidR="00BD33BB" w:rsidRPr="006953F2">
        <w:rPr>
          <w:color w:val="000000"/>
        </w:rPr>
        <w:t>217).</w:t>
      </w:r>
      <w:r w:rsidR="00EC7184" w:rsidRPr="006953F2">
        <w:rPr>
          <w:color w:val="000000"/>
        </w:rPr>
        <w:t xml:space="preserve"> </w:t>
      </w:r>
      <w:r w:rsidR="006556D8" w:rsidRPr="006953F2">
        <w:rPr>
          <w:color w:val="000000"/>
        </w:rPr>
        <w:t>Crucially, such widely held false beliefs are said to trivialize, deny, and even justify sexual violence against women (</w:t>
      </w:r>
      <w:r w:rsidR="00BF391C" w:rsidRPr="006953F2">
        <w:rPr>
          <w:color w:val="000000"/>
        </w:rPr>
        <w:t xml:space="preserve">Franiuk, Seefelt, Cepress &amp; Vandello, 2008; </w:t>
      </w:r>
      <w:r w:rsidR="006556D8" w:rsidRPr="006953F2">
        <w:rPr>
          <w:color w:val="1A1A1A"/>
        </w:rPr>
        <w:t>Lonsway &amp; Fitzgerald, 1995</w:t>
      </w:r>
      <w:r w:rsidR="006556D8" w:rsidRPr="006953F2">
        <w:rPr>
          <w:color w:val="000000"/>
        </w:rPr>
        <w:t>).</w:t>
      </w:r>
    </w:p>
    <w:p w14:paraId="1BF2B57F" w14:textId="77777777" w:rsidR="00684BD6" w:rsidRDefault="00823CD5" w:rsidP="00F81788">
      <w:pPr>
        <w:widowControl w:val="0"/>
        <w:autoSpaceDE w:val="0"/>
        <w:autoSpaceDN w:val="0"/>
        <w:adjustRightInd w:val="0"/>
        <w:spacing w:line="480" w:lineRule="auto"/>
        <w:ind w:firstLine="720"/>
        <w:contextualSpacing/>
        <w:rPr>
          <w:color w:val="000000"/>
        </w:rPr>
      </w:pPr>
      <w:r w:rsidRPr="009853A1">
        <w:rPr>
          <w:color w:val="000000"/>
        </w:rPr>
        <w:t>Research and anecdotal evidence into the crime of rape continues to suggest the persistence, and powerful impact of the existence of rape myths. Such myths may exist at a number of different levels in society from individual beliefs to how systems perceive and respond to victims and perpetrators (</w:t>
      </w:r>
      <w:r w:rsidR="004E56BD" w:rsidRPr="009853A1">
        <w:rPr>
          <w:color w:val="000000"/>
        </w:rPr>
        <w:t xml:space="preserve">Smith &amp; Skinner, 2012; </w:t>
      </w:r>
      <w:r w:rsidRPr="009853A1">
        <w:rPr>
          <w:color w:val="000000"/>
        </w:rPr>
        <w:t>Stern</w:t>
      </w:r>
      <w:r w:rsidR="004E56BD" w:rsidRPr="009853A1">
        <w:rPr>
          <w:color w:val="000000"/>
        </w:rPr>
        <w:t>,</w:t>
      </w:r>
      <w:r w:rsidRPr="009853A1">
        <w:rPr>
          <w:color w:val="000000"/>
        </w:rPr>
        <w:t xml:space="preserve"> 2010</w:t>
      </w:r>
      <w:r w:rsidRPr="006953F2">
        <w:rPr>
          <w:color w:val="000000"/>
        </w:rPr>
        <w:t xml:space="preserve">). </w:t>
      </w:r>
      <w:r w:rsidR="00EF09F0" w:rsidRPr="006953F2">
        <w:rPr>
          <w:color w:val="000000"/>
        </w:rPr>
        <w:t xml:space="preserve">In </w:t>
      </w:r>
      <w:r w:rsidR="00D66BE1" w:rsidRPr="006953F2">
        <w:rPr>
          <w:color w:val="000000"/>
        </w:rPr>
        <w:t xml:space="preserve">both </w:t>
      </w:r>
      <w:r w:rsidR="00EF09F0" w:rsidRPr="006953F2">
        <w:rPr>
          <w:color w:val="000000"/>
        </w:rPr>
        <w:t>the UK</w:t>
      </w:r>
      <w:r w:rsidR="00D66BE1" w:rsidRPr="006953F2">
        <w:rPr>
          <w:color w:val="000000"/>
        </w:rPr>
        <w:t xml:space="preserve"> and in India</w:t>
      </w:r>
      <w:r w:rsidR="00EF09F0" w:rsidRPr="006953F2">
        <w:rPr>
          <w:color w:val="000000"/>
        </w:rPr>
        <w:t>, m</w:t>
      </w:r>
      <w:r w:rsidRPr="006953F2">
        <w:rPr>
          <w:color w:val="000000"/>
        </w:rPr>
        <w:t>uch of the focus of extant literature has been on the criminal justice system, and support and provision for the victims (</w:t>
      </w:r>
      <w:r w:rsidR="00BF391C" w:rsidRPr="006953F2">
        <w:rPr>
          <w:color w:val="000000"/>
        </w:rPr>
        <w:t xml:space="preserve">Baxi, 2014; </w:t>
      </w:r>
      <w:r w:rsidRPr="006953F2">
        <w:rPr>
          <w:color w:val="000000"/>
        </w:rPr>
        <w:t>Westmorland &amp; Gangoli</w:t>
      </w:r>
      <w:r w:rsidR="00795523" w:rsidRPr="006953F2">
        <w:rPr>
          <w:color w:val="000000"/>
        </w:rPr>
        <w:t>,</w:t>
      </w:r>
      <w:r w:rsidRPr="006953F2">
        <w:rPr>
          <w:color w:val="000000"/>
        </w:rPr>
        <w:t xml:space="preserve"> 2012). Within such </w:t>
      </w:r>
      <w:r w:rsidR="009B3DAB" w:rsidRPr="006953F2">
        <w:rPr>
          <w:color w:val="000000"/>
        </w:rPr>
        <w:t xml:space="preserve">largely qualitative </w:t>
      </w:r>
      <w:r w:rsidRPr="006953F2">
        <w:rPr>
          <w:color w:val="000000"/>
        </w:rPr>
        <w:t>literature</w:t>
      </w:r>
      <w:r w:rsidR="00856855">
        <w:rPr>
          <w:color w:val="000000"/>
        </w:rPr>
        <w:t xml:space="preserve"> </w:t>
      </w:r>
      <w:r w:rsidR="00856855" w:rsidRPr="009D6495">
        <w:rPr>
          <w:color w:val="000000"/>
        </w:rPr>
        <w:t>in these countries</w:t>
      </w:r>
      <w:r w:rsidRPr="009D6495">
        <w:rPr>
          <w:color w:val="000000"/>
        </w:rPr>
        <w:t>,</w:t>
      </w:r>
      <w:r w:rsidRPr="006953F2">
        <w:rPr>
          <w:color w:val="000000"/>
        </w:rPr>
        <w:t xml:space="preserve"> there is </w:t>
      </w:r>
      <w:r w:rsidR="009B3DAB" w:rsidRPr="006953F2">
        <w:rPr>
          <w:color w:val="000000"/>
        </w:rPr>
        <w:t xml:space="preserve">some </w:t>
      </w:r>
      <w:r w:rsidRPr="006953F2">
        <w:rPr>
          <w:color w:val="000000"/>
        </w:rPr>
        <w:t xml:space="preserve">evidence of the existence of rape myths which </w:t>
      </w:r>
      <w:r w:rsidR="00B637D5" w:rsidRPr="006953F2">
        <w:rPr>
          <w:color w:val="000000"/>
        </w:rPr>
        <w:t xml:space="preserve">question victim credibility and </w:t>
      </w:r>
      <w:r w:rsidRPr="006953F2">
        <w:rPr>
          <w:color w:val="000000"/>
        </w:rPr>
        <w:t>attribute blame onto the victim (</w:t>
      </w:r>
      <w:r w:rsidR="00BF391C" w:rsidRPr="006953F2">
        <w:rPr>
          <w:color w:val="000000"/>
        </w:rPr>
        <w:t xml:space="preserve">Barn &amp; Kumari, 2015; </w:t>
      </w:r>
      <w:r w:rsidRPr="006953F2">
        <w:rPr>
          <w:color w:val="000000"/>
        </w:rPr>
        <w:t xml:space="preserve">Ellison </w:t>
      </w:r>
      <w:r w:rsidR="008A36A7" w:rsidRPr="006953F2">
        <w:rPr>
          <w:color w:val="000000"/>
        </w:rPr>
        <w:t xml:space="preserve">&amp; </w:t>
      </w:r>
      <w:r w:rsidRPr="006953F2">
        <w:rPr>
          <w:color w:val="000000"/>
        </w:rPr>
        <w:t>Munro</w:t>
      </w:r>
      <w:r w:rsidR="00795523" w:rsidRPr="006953F2">
        <w:rPr>
          <w:color w:val="000000"/>
        </w:rPr>
        <w:t>,</w:t>
      </w:r>
      <w:r w:rsidRPr="006953F2">
        <w:rPr>
          <w:color w:val="000000"/>
        </w:rPr>
        <w:t xml:space="preserve"> 2009). </w:t>
      </w:r>
      <w:r w:rsidR="00744245" w:rsidRPr="006953F2">
        <w:rPr>
          <w:color w:val="000000"/>
        </w:rPr>
        <w:t xml:space="preserve">Popular </w:t>
      </w:r>
      <w:r w:rsidR="00B07082" w:rsidRPr="006953F2">
        <w:rPr>
          <w:color w:val="000000"/>
        </w:rPr>
        <w:t xml:space="preserve">rape myths </w:t>
      </w:r>
      <w:r w:rsidR="00BC7F5D" w:rsidRPr="006953F2">
        <w:rPr>
          <w:color w:val="000000"/>
        </w:rPr>
        <w:t xml:space="preserve">focus on </w:t>
      </w:r>
      <w:r w:rsidR="00D5493C" w:rsidRPr="006953F2">
        <w:rPr>
          <w:color w:val="000000"/>
        </w:rPr>
        <w:t>victim’s clo</w:t>
      </w:r>
      <w:r w:rsidR="00431270" w:rsidRPr="006953F2">
        <w:rPr>
          <w:color w:val="000000"/>
        </w:rPr>
        <w:t>thing, alcohol consumption, etc.,</w:t>
      </w:r>
      <w:r w:rsidR="00D5493C" w:rsidRPr="006953F2">
        <w:rPr>
          <w:color w:val="000000"/>
        </w:rPr>
        <w:t xml:space="preserve"> and serve to </w:t>
      </w:r>
      <w:r w:rsidR="00254179" w:rsidRPr="006953F2">
        <w:rPr>
          <w:color w:val="000000"/>
        </w:rPr>
        <w:t xml:space="preserve">portray the victim as </w:t>
      </w:r>
      <w:r w:rsidR="003233A8" w:rsidRPr="006953F2">
        <w:rPr>
          <w:color w:val="000000"/>
        </w:rPr>
        <w:t xml:space="preserve">socially transgressive, personally </w:t>
      </w:r>
      <w:r w:rsidR="00254179" w:rsidRPr="006953F2">
        <w:rPr>
          <w:color w:val="000000"/>
        </w:rPr>
        <w:t xml:space="preserve">responsible, promiscuous, </w:t>
      </w:r>
      <w:r w:rsidR="00D5493C" w:rsidRPr="006953F2">
        <w:rPr>
          <w:color w:val="000000"/>
        </w:rPr>
        <w:t xml:space="preserve">and </w:t>
      </w:r>
      <w:r w:rsidR="00254179" w:rsidRPr="006953F2">
        <w:rPr>
          <w:color w:val="000000"/>
        </w:rPr>
        <w:t>a liar</w:t>
      </w:r>
      <w:r w:rsidR="003233A8" w:rsidRPr="006953F2">
        <w:rPr>
          <w:color w:val="000000"/>
        </w:rPr>
        <w:t>. Similarly</w:t>
      </w:r>
      <w:r w:rsidR="00254179" w:rsidRPr="006953F2">
        <w:rPr>
          <w:color w:val="000000"/>
        </w:rPr>
        <w:t xml:space="preserve">, </w:t>
      </w:r>
      <w:r w:rsidR="003233A8" w:rsidRPr="006953F2">
        <w:rPr>
          <w:color w:val="000000"/>
        </w:rPr>
        <w:t xml:space="preserve">the perpetrators are </w:t>
      </w:r>
      <w:r w:rsidR="00D16A86" w:rsidRPr="006953F2">
        <w:rPr>
          <w:color w:val="000000"/>
        </w:rPr>
        <w:t xml:space="preserve">generally </w:t>
      </w:r>
      <w:r w:rsidR="003233A8" w:rsidRPr="006953F2">
        <w:rPr>
          <w:color w:val="000000"/>
        </w:rPr>
        <w:lastRenderedPageBreak/>
        <w:t>portrayed as</w:t>
      </w:r>
      <w:r w:rsidR="00DF1019" w:rsidRPr="006953F2">
        <w:rPr>
          <w:color w:val="000000"/>
        </w:rPr>
        <w:t xml:space="preserve"> belonging to a lower strata of society, as sexually starved, as </w:t>
      </w:r>
      <w:r w:rsidR="00E33EAB" w:rsidRPr="006953F2">
        <w:rPr>
          <w:color w:val="000000"/>
        </w:rPr>
        <w:t xml:space="preserve">biologically predisposed to have sex, and as men who are misled by women’s </w:t>
      </w:r>
      <w:r w:rsidR="00431270" w:rsidRPr="006953F2">
        <w:rPr>
          <w:color w:val="000000"/>
        </w:rPr>
        <w:t xml:space="preserve">sexual </w:t>
      </w:r>
      <w:r w:rsidR="00431270" w:rsidRPr="008450EF">
        <w:rPr>
          <w:color w:val="000000"/>
        </w:rPr>
        <w:t>signals</w:t>
      </w:r>
      <w:r w:rsidR="006C3909" w:rsidRPr="008450EF">
        <w:rPr>
          <w:color w:val="000000"/>
        </w:rPr>
        <w:t xml:space="preserve"> (Mehta, 2016)</w:t>
      </w:r>
      <w:r w:rsidR="00E33EAB" w:rsidRPr="008450EF">
        <w:rPr>
          <w:color w:val="000000"/>
        </w:rPr>
        <w:t>.</w:t>
      </w:r>
      <w:r w:rsidR="00E33EAB" w:rsidRPr="006953F2">
        <w:rPr>
          <w:color w:val="000000"/>
        </w:rPr>
        <w:t xml:space="preserve"> </w:t>
      </w:r>
    </w:p>
    <w:p w14:paraId="6B940547" w14:textId="1CCDC3FF" w:rsidR="00EF09F0" w:rsidRPr="006953F2" w:rsidRDefault="00823CD5" w:rsidP="00F81788">
      <w:pPr>
        <w:widowControl w:val="0"/>
        <w:autoSpaceDE w:val="0"/>
        <w:autoSpaceDN w:val="0"/>
        <w:adjustRightInd w:val="0"/>
        <w:spacing w:line="480" w:lineRule="auto"/>
        <w:ind w:firstLine="720"/>
        <w:contextualSpacing/>
        <w:rPr>
          <w:color w:val="000000"/>
        </w:rPr>
      </w:pPr>
      <w:r w:rsidRPr="006953F2">
        <w:rPr>
          <w:color w:val="000000"/>
        </w:rPr>
        <w:t>Some researchers have asserted that rape myths can create cultural norms that may perpetuate sexual violence against women (Burt</w:t>
      </w:r>
      <w:r w:rsidR="00795523" w:rsidRPr="006953F2">
        <w:rPr>
          <w:color w:val="000000"/>
        </w:rPr>
        <w:t>,</w:t>
      </w:r>
      <w:r w:rsidRPr="006953F2">
        <w:rPr>
          <w:color w:val="000000"/>
        </w:rPr>
        <w:t xml:space="preserve"> 1980).</w:t>
      </w:r>
      <w:r w:rsidR="00431270" w:rsidRPr="006953F2">
        <w:rPr>
          <w:color w:val="000000"/>
        </w:rPr>
        <w:t xml:space="preserve"> Research carried out in the </w:t>
      </w:r>
      <w:r w:rsidR="00250062">
        <w:rPr>
          <w:color w:val="000000"/>
        </w:rPr>
        <w:t>US</w:t>
      </w:r>
      <w:r w:rsidR="00B95618">
        <w:rPr>
          <w:color w:val="000000"/>
        </w:rPr>
        <w:t>A</w:t>
      </w:r>
      <w:r w:rsidR="007B52A9">
        <w:rPr>
          <w:color w:val="000000"/>
        </w:rPr>
        <w:t xml:space="preserve"> </w:t>
      </w:r>
      <w:r w:rsidRPr="006953F2">
        <w:rPr>
          <w:color w:val="000000"/>
        </w:rPr>
        <w:t xml:space="preserve">suggests that men are more likely to demonstrate high levels of </w:t>
      </w:r>
      <w:r w:rsidR="001F4E4B" w:rsidRPr="006953F2">
        <w:rPr>
          <w:color w:val="000000"/>
        </w:rPr>
        <w:t xml:space="preserve">RMA </w:t>
      </w:r>
      <w:r w:rsidRPr="006953F2">
        <w:rPr>
          <w:color w:val="000000"/>
        </w:rPr>
        <w:t>(Aronowitz</w:t>
      </w:r>
      <w:r w:rsidR="00F81788" w:rsidRPr="006953F2">
        <w:rPr>
          <w:color w:val="000000"/>
        </w:rPr>
        <w:t>,</w:t>
      </w:r>
      <w:r w:rsidR="00F81788" w:rsidRPr="006953F2">
        <w:rPr>
          <w:color w:val="1A1A1A"/>
        </w:rPr>
        <w:t xml:space="preserve"> Lambert, </w:t>
      </w:r>
      <w:r w:rsidR="00AD5E18">
        <w:rPr>
          <w:color w:val="1A1A1A"/>
        </w:rPr>
        <w:t>&amp;</w:t>
      </w:r>
      <w:r w:rsidR="00F81788" w:rsidRPr="006953F2">
        <w:rPr>
          <w:color w:val="1A1A1A"/>
        </w:rPr>
        <w:t xml:space="preserve"> Davidoff</w:t>
      </w:r>
      <w:r w:rsidR="00F81788" w:rsidRPr="006953F2">
        <w:rPr>
          <w:color w:val="000000"/>
        </w:rPr>
        <w:t xml:space="preserve">, </w:t>
      </w:r>
      <w:r w:rsidRPr="006953F2">
        <w:rPr>
          <w:color w:val="000000"/>
        </w:rPr>
        <w:t xml:space="preserve">2012). In </w:t>
      </w:r>
      <w:r w:rsidR="00431270" w:rsidRPr="006953F2">
        <w:rPr>
          <w:color w:val="000000"/>
        </w:rPr>
        <w:t>the UK</w:t>
      </w:r>
      <w:r w:rsidRPr="006953F2">
        <w:rPr>
          <w:color w:val="000000"/>
        </w:rPr>
        <w:t xml:space="preserve"> and India, </w:t>
      </w:r>
      <w:r w:rsidR="001D7542" w:rsidRPr="008450EF">
        <w:rPr>
          <w:color w:val="000000"/>
        </w:rPr>
        <w:t>the</w:t>
      </w:r>
      <w:r w:rsidR="006C3909" w:rsidRPr="008450EF">
        <w:rPr>
          <w:color w:val="000000"/>
        </w:rPr>
        <w:t xml:space="preserve"> paucity of academic research </w:t>
      </w:r>
      <w:r w:rsidR="001D7542" w:rsidRPr="008450EF">
        <w:rPr>
          <w:color w:val="000000"/>
        </w:rPr>
        <w:t>has prevented the</w:t>
      </w:r>
      <w:r w:rsidR="006C3909" w:rsidRPr="008450EF">
        <w:rPr>
          <w:color w:val="000000"/>
        </w:rPr>
        <w:t xml:space="preserve"> </w:t>
      </w:r>
      <w:r w:rsidR="00B1302C" w:rsidRPr="008450EF">
        <w:rPr>
          <w:color w:val="000000"/>
        </w:rPr>
        <w:t>develop</w:t>
      </w:r>
      <w:r w:rsidR="001D7542" w:rsidRPr="008450EF">
        <w:rPr>
          <w:color w:val="000000"/>
        </w:rPr>
        <w:t>ment of</w:t>
      </w:r>
      <w:r w:rsidR="00B1302C" w:rsidRPr="008450EF">
        <w:rPr>
          <w:color w:val="000000"/>
        </w:rPr>
        <w:t xml:space="preserve"> nuanced understandings</w:t>
      </w:r>
      <w:r w:rsidR="00EF09F0" w:rsidRPr="008450EF">
        <w:rPr>
          <w:color w:val="000000"/>
        </w:rPr>
        <w:t xml:space="preserve"> of rape myths among different sections of the population</w:t>
      </w:r>
      <w:r w:rsidR="00B1302C" w:rsidRPr="008450EF">
        <w:rPr>
          <w:color w:val="000000"/>
        </w:rPr>
        <w:t>.</w:t>
      </w:r>
      <w:r w:rsidR="00E81A15" w:rsidRPr="006953F2">
        <w:rPr>
          <w:color w:val="000000"/>
        </w:rPr>
        <w:t xml:space="preserve"> </w:t>
      </w:r>
      <w:r w:rsidR="00FE4C57" w:rsidRPr="006953F2">
        <w:rPr>
          <w:color w:val="000000"/>
        </w:rPr>
        <w:t xml:space="preserve">Moreover, whilst there is growing emphasis on education and awareness around sexual consent, particularly among young people, </w:t>
      </w:r>
      <w:r w:rsidR="006C3909" w:rsidRPr="008450EF">
        <w:rPr>
          <w:color w:val="000000"/>
        </w:rPr>
        <w:t>there is a dearth of understanding about</w:t>
      </w:r>
      <w:r w:rsidR="00FE4C57" w:rsidRPr="006953F2">
        <w:rPr>
          <w:color w:val="000000"/>
        </w:rPr>
        <w:t xml:space="preserve"> the persistence of rape myths among different sections of society (</w:t>
      </w:r>
      <w:r w:rsidR="00BF391C" w:rsidRPr="006953F2">
        <w:t xml:space="preserve">Barn &amp; Kumari, 2015; </w:t>
      </w:r>
      <w:r w:rsidR="002E178A" w:rsidRPr="006953F2">
        <w:t xml:space="preserve">Coy, </w:t>
      </w:r>
      <w:r w:rsidR="002E178A" w:rsidRPr="006953F2">
        <w:rPr>
          <w:color w:val="1A1A1A"/>
        </w:rPr>
        <w:t>Kelly, Elvines, Garner, &amp; Kanyeredzi,</w:t>
      </w:r>
      <w:r w:rsidR="00BF391C" w:rsidRPr="006953F2">
        <w:t xml:space="preserve"> 2013</w:t>
      </w:r>
      <w:r w:rsidR="002E5FFA" w:rsidRPr="006953F2">
        <w:t>).</w:t>
      </w:r>
    </w:p>
    <w:p w14:paraId="0D737D88" w14:textId="10BE2875" w:rsidR="001D7542" w:rsidRPr="009D6495" w:rsidRDefault="009A6715" w:rsidP="009D6495">
      <w:pPr>
        <w:widowControl w:val="0"/>
        <w:autoSpaceDE w:val="0"/>
        <w:autoSpaceDN w:val="0"/>
        <w:adjustRightInd w:val="0"/>
        <w:spacing w:line="480" w:lineRule="auto"/>
        <w:ind w:firstLine="720"/>
        <w:contextualSpacing/>
      </w:pPr>
      <w:r w:rsidRPr="008450EF">
        <w:t xml:space="preserve">The </w:t>
      </w:r>
      <w:r w:rsidR="00B504E6" w:rsidRPr="008450EF">
        <w:t>colonial h</w:t>
      </w:r>
      <w:r w:rsidRPr="008450EF">
        <w:t xml:space="preserve">istory between India and the UK presents interesting dynamics in which to explore rape myth acceptance. </w:t>
      </w:r>
      <w:r w:rsidR="00B2682D" w:rsidRPr="008450EF">
        <w:t xml:space="preserve">Whilst there have been some changes over the last few decades, Indian laws </w:t>
      </w:r>
      <w:r w:rsidRPr="008450EF">
        <w:t>governing sexual assault</w:t>
      </w:r>
      <w:r w:rsidR="00B2682D" w:rsidRPr="008450EF">
        <w:t xml:space="preserve"> are deeply embedded in the British colonial legacy of the 1860 Indian Penal Code. </w:t>
      </w:r>
      <w:r w:rsidR="004163A0" w:rsidRPr="008450EF">
        <w:t xml:space="preserve">And, although </w:t>
      </w:r>
      <w:r w:rsidR="001A4D69" w:rsidRPr="008450EF">
        <w:t>sexual violence has emerged into the public discourse of both countries</w:t>
      </w:r>
      <w:r w:rsidR="004163A0" w:rsidRPr="008450EF">
        <w:t xml:space="preserve">, it is </w:t>
      </w:r>
      <w:r w:rsidRPr="008450EF">
        <w:t xml:space="preserve">India </w:t>
      </w:r>
      <w:r w:rsidR="004163A0" w:rsidRPr="008450EF">
        <w:t xml:space="preserve">that is more </w:t>
      </w:r>
      <w:r w:rsidRPr="008450EF">
        <w:t>often conceptualised as an unsafe and dangerous space for women and girls</w:t>
      </w:r>
      <w:r w:rsidR="00CE3681" w:rsidRPr="008450EF">
        <w:t xml:space="preserve"> (Durham, 2015; Roychowdhury, 2013)</w:t>
      </w:r>
      <w:r w:rsidRPr="008450EF">
        <w:t>.</w:t>
      </w:r>
      <w:r w:rsidR="001A4D69" w:rsidRPr="008450EF">
        <w:t xml:space="preserve"> Furthermore, as perceptions of sexual violence and c</w:t>
      </w:r>
      <w:r w:rsidR="001D7542" w:rsidRPr="008450EF">
        <w:t>ulpability for sexual assault are</w:t>
      </w:r>
      <w:r w:rsidR="001A4D69" w:rsidRPr="008450EF">
        <w:t xml:space="preserve"> inherently tied to cultural and gender</w:t>
      </w:r>
      <w:r w:rsidR="00CE3681" w:rsidRPr="008450EF">
        <w:t>ed</w:t>
      </w:r>
      <w:r w:rsidR="001A4D69" w:rsidRPr="008450EF">
        <w:t xml:space="preserve"> norms, there may be differences between the countries.</w:t>
      </w:r>
      <w:r w:rsidR="006C3847" w:rsidRPr="008450EF">
        <w:t xml:space="preserve"> </w:t>
      </w:r>
      <w:r w:rsidRPr="008450EF">
        <w:t xml:space="preserve">Therefore, the purpose of this study is to examine rape myth acceptance in the UK and India. </w:t>
      </w:r>
      <w:r w:rsidR="00812055" w:rsidRPr="008450EF">
        <w:t xml:space="preserve">In doing so, </w:t>
      </w:r>
      <w:r w:rsidR="00A378F8" w:rsidRPr="008450EF">
        <w:t xml:space="preserve">the paper presents </w:t>
      </w:r>
      <w:r w:rsidR="00795523" w:rsidRPr="008450EF">
        <w:t>both within and between country comparisons</w:t>
      </w:r>
      <w:r w:rsidR="00A378F8" w:rsidRPr="008450EF">
        <w:t xml:space="preserve"> to offer an understanding of </w:t>
      </w:r>
      <w:r w:rsidR="00431270" w:rsidRPr="008450EF">
        <w:t xml:space="preserve">rape myth acceptance. Furthermore, we explore whether country-specific cultural factors impact the endorsement of rape myths. </w:t>
      </w:r>
      <w:r w:rsidR="00795523" w:rsidRPr="008450EF">
        <w:t xml:space="preserve">The </w:t>
      </w:r>
      <w:r w:rsidR="00812055" w:rsidRPr="008450EF">
        <w:t xml:space="preserve">following literature review </w:t>
      </w:r>
      <w:r w:rsidR="001D7542" w:rsidRPr="008450EF">
        <w:t xml:space="preserve">begins with the USA before moving onto India and the UK (our 2 research sites), and </w:t>
      </w:r>
      <w:r w:rsidR="001D7542" w:rsidRPr="008450EF">
        <w:lastRenderedPageBreak/>
        <w:t>helps contextualise contemporary understandings of</w:t>
      </w:r>
      <w:r w:rsidR="00CE2FF8" w:rsidRPr="008450EF">
        <w:t xml:space="preserve"> rape myth acceptance</w:t>
      </w:r>
      <w:r w:rsidR="001D7542" w:rsidRPr="008450EF">
        <w:t>.</w:t>
      </w:r>
    </w:p>
    <w:p w14:paraId="679EE62C" w14:textId="1E615BFA" w:rsidR="00795523" w:rsidRPr="006953F2" w:rsidRDefault="00795523" w:rsidP="001F6CAE">
      <w:pPr>
        <w:widowControl w:val="0"/>
        <w:autoSpaceDE w:val="0"/>
        <w:autoSpaceDN w:val="0"/>
        <w:adjustRightInd w:val="0"/>
        <w:spacing w:line="480" w:lineRule="auto"/>
        <w:contextualSpacing/>
        <w:rPr>
          <w:b/>
          <w:sz w:val="28"/>
          <w:szCs w:val="28"/>
        </w:rPr>
      </w:pPr>
      <w:r w:rsidRPr="006953F2">
        <w:rPr>
          <w:b/>
          <w:sz w:val="28"/>
          <w:szCs w:val="28"/>
        </w:rPr>
        <w:t>Literature Review</w:t>
      </w:r>
    </w:p>
    <w:p w14:paraId="19CB619D" w14:textId="3F0C95FF" w:rsidR="00976DAB" w:rsidRPr="009D6495" w:rsidRDefault="00976DAB" w:rsidP="001F6CAE">
      <w:pPr>
        <w:widowControl w:val="0"/>
        <w:autoSpaceDE w:val="0"/>
        <w:autoSpaceDN w:val="0"/>
        <w:adjustRightInd w:val="0"/>
        <w:spacing w:line="480" w:lineRule="auto"/>
        <w:contextualSpacing/>
        <w:rPr>
          <w:b/>
        </w:rPr>
      </w:pPr>
      <w:r w:rsidRPr="006953F2">
        <w:rPr>
          <w:b/>
        </w:rPr>
        <w:t xml:space="preserve">Rape Myth Acceptance in the </w:t>
      </w:r>
      <w:r w:rsidRPr="009D6495">
        <w:rPr>
          <w:b/>
        </w:rPr>
        <w:t>US</w:t>
      </w:r>
      <w:r w:rsidR="00B95618" w:rsidRPr="009D6495">
        <w:rPr>
          <w:b/>
        </w:rPr>
        <w:t>A</w:t>
      </w:r>
    </w:p>
    <w:p w14:paraId="26647FA9" w14:textId="0DD6AB9F" w:rsidR="00812055" w:rsidRPr="006953F2" w:rsidRDefault="00CC1055" w:rsidP="00BF391C">
      <w:pPr>
        <w:widowControl w:val="0"/>
        <w:autoSpaceDE w:val="0"/>
        <w:autoSpaceDN w:val="0"/>
        <w:adjustRightInd w:val="0"/>
        <w:spacing w:line="480" w:lineRule="auto"/>
        <w:contextualSpacing/>
        <w:rPr>
          <w:color w:val="1A1A1A"/>
        </w:rPr>
      </w:pPr>
      <w:r w:rsidRPr="009D6495">
        <w:rPr>
          <w:color w:val="000000"/>
        </w:rPr>
        <w:t>The vast majority of the scholarly literature on key characteristics and factors in RMA has emerged in the USA</w:t>
      </w:r>
      <w:r w:rsidR="001F4E4B" w:rsidRPr="006953F2">
        <w:rPr>
          <w:color w:val="000000"/>
        </w:rPr>
        <w:t xml:space="preserve"> </w:t>
      </w:r>
      <w:r w:rsidR="00D63D96" w:rsidRPr="006953F2">
        <w:rPr>
          <w:color w:val="000000"/>
        </w:rPr>
        <w:t>(</w:t>
      </w:r>
      <w:r w:rsidR="008A36A7" w:rsidRPr="006953F2">
        <w:rPr>
          <w:color w:val="000000"/>
        </w:rPr>
        <w:t xml:space="preserve">Bohner, </w:t>
      </w:r>
      <w:r w:rsidR="008A36A7" w:rsidRPr="006953F2">
        <w:rPr>
          <w:color w:val="1A1A1A"/>
        </w:rPr>
        <w:t>Eyssel</w:t>
      </w:r>
      <w:r w:rsidR="00BF391C" w:rsidRPr="006953F2">
        <w:rPr>
          <w:color w:val="1A1A1A"/>
        </w:rPr>
        <w:t>, Pina, Siebler</w:t>
      </w:r>
      <w:r w:rsidR="008A36A7" w:rsidRPr="006953F2">
        <w:rPr>
          <w:color w:val="1A1A1A"/>
        </w:rPr>
        <w:t>, &amp; Viki, 2009;</w:t>
      </w:r>
      <w:r w:rsidR="008A36A7" w:rsidRPr="006953F2">
        <w:rPr>
          <w:color w:val="000000"/>
        </w:rPr>
        <w:t xml:space="preserve"> </w:t>
      </w:r>
      <w:r w:rsidR="008A36A7" w:rsidRPr="006953F2">
        <w:rPr>
          <w:color w:val="1A1A1A"/>
        </w:rPr>
        <w:t xml:space="preserve">Hayes-Smith &amp; Levett 2010; </w:t>
      </w:r>
      <w:r w:rsidR="00D63D96" w:rsidRPr="006953F2">
        <w:rPr>
          <w:color w:val="1A1A1A"/>
        </w:rPr>
        <w:t>Lonsway &amp; Fitzgerald 1995</w:t>
      </w:r>
      <w:r w:rsidR="008A36A7" w:rsidRPr="006953F2">
        <w:rPr>
          <w:color w:val="1A1A1A"/>
        </w:rPr>
        <w:t>; Payne, Lonsway, &amp; Fitzgerald, 1999</w:t>
      </w:r>
      <w:r w:rsidR="007B09B7" w:rsidRPr="006953F2">
        <w:rPr>
          <w:color w:val="1A1A1A"/>
        </w:rPr>
        <w:t>).</w:t>
      </w:r>
      <w:r w:rsidR="00CC5559" w:rsidRPr="006953F2">
        <w:rPr>
          <w:color w:val="1A1A1A"/>
        </w:rPr>
        <w:t xml:space="preserve"> </w:t>
      </w:r>
      <w:r w:rsidR="00532BED" w:rsidRPr="006953F2">
        <w:rPr>
          <w:color w:val="1A1A1A"/>
        </w:rPr>
        <w:t xml:space="preserve">These rape myths serve to attribute culpability to the victim while mitigating culpability for the perpetrator. For example, </w:t>
      </w:r>
      <w:r w:rsidR="00946900" w:rsidRPr="006953F2">
        <w:rPr>
          <w:color w:val="1A1A1A"/>
        </w:rPr>
        <w:t>Carmody</w:t>
      </w:r>
      <w:r w:rsidR="00532BED" w:rsidRPr="006953F2">
        <w:rPr>
          <w:color w:val="1A1A1A"/>
        </w:rPr>
        <w:t xml:space="preserve"> and Washington (2001) found that a very small proportion of participants thought that women secretly desire to be raped, </w:t>
      </w:r>
      <w:r w:rsidR="00D75C26" w:rsidRPr="009D6495">
        <w:rPr>
          <w:color w:val="1A1A1A"/>
        </w:rPr>
        <w:t>yet</w:t>
      </w:r>
      <w:r w:rsidR="00D75C26">
        <w:rPr>
          <w:color w:val="1A1A1A"/>
        </w:rPr>
        <w:t xml:space="preserve"> </w:t>
      </w:r>
      <w:r w:rsidR="00532BED" w:rsidRPr="006953F2">
        <w:rPr>
          <w:color w:val="1A1A1A"/>
        </w:rPr>
        <w:t>Aronowitz, Lambert, and Davidoff (2012) found that a substantial portion of college students thought that a woman is partially responsible for becoming a victim of sexual assault if she was intoxicated.</w:t>
      </w:r>
      <w:r w:rsidR="001F4E4B" w:rsidRPr="006953F2">
        <w:rPr>
          <w:color w:val="1A1A1A"/>
        </w:rPr>
        <w:t xml:space="preserve"> </w:t>
      </w:r>
      <w:r w:rsidR="00637D34" w:rsidRPr="006953F2">
        <w:rPr>
          <w:color w:val="1A1A1A"/>
        </w:rPr>
        <w:t xml:space="preserve">With regard to </w:t>
      </w:r>
      <w:r w:rsidR="008132D4" w:rsidRPr="006953F2">
        <w:rPr>
          <w:color w:val="1A1A1A"/>
        </w:rPr>
        <w:t>excusing perpetration</w:t>
      </w:r>
      <w:r w:rsidR="00637D34" w:rsidRPr="006953F2">
        <w:rPr>
          <w:color w:val="1A1A1A"/>
        </w:rPr>
        <w:t xml:space="preserve">, McMahon (2010) found the highest overall rape myth endorsement among college students were for perceptions that sometimes rape happens unintentionally (e.g., “rape happens when a guy’s sex drive gets out of control”). </w:t>
      </w:r>
    </w:p>
    <w:p w14:paraId="03C194C9" w14:textId="5840FE88" w:rsidR="00CF4A24" w:rsidRPr="006953F2" w:rsidRDefault="00B504E6" w:rsidP="00283061">
      <w:pPr>
        <w:widowControl w:val="0"/>
        <w:autoSpaceDE w:val="0"/>
        <w:autoSpaceDN w:val="0"/>
        <w:adjustRightInd w:val="0"/>
        <w:spacing w:line="480" w:lineRule="auto"/>
        <w:ind w:firstLine="720"/>
        <w:contextualSpacing/>
        <w:rPr>
          <w:color w:val="1A1A1A"/>
        </w:rPr>
      </w:pPr>
      <w:r w:rsidRPr="008450EF">
        <w:rPr>
          <w:color w:val="1A1A1A"/>
        </w:rPr>
        <w:t>In addition to exploring variation in the types of myths endorsed, much of this research has focused on identifying demographic characteristics associated with rape myth acceptance.</w:t>
      </w:r>
      <w:r>
        <w:rPr>
          <w:color w:val="1A1A1A"/>
        </w:rPr>
        <w:t xml:space="preserve"> </w:t>
      </w:r>
      <w:r w:rsidR="00532BED" w:rsidRPr="006953F2">
        <w:rPr>
          <w:color w:val="1A1A1A"/>
        </w:rPr>
        <w:t>One of the most consistent findings in this body of research is that men endorse rape myths more strongly than women (Lonsway &amp; Fitzgerald, 199</w:t>
      </w:r>
      <w:r w:rsidR="00946900" w:rsidRPr="006953F2">
        <w:rPr>
          <w:color w:val="1A1A1A"/>
        </w:rPr>
        <w:t>4</w:t>
      </w:r>
      <w:r w:rsidR="00532BED" w:rsidRPr="006953F2">
        <w:rPr>
          <w:color w:val="1A1A1A"/>
        </w:rPr>
        <w:t xml:space="preserve">; </w:t>
      </w:r>
      <w:r w:rsidR="00637D34" w:rsidRPr="006953F2">
        <w:rPr>
          <w:color w:val="1A1A1A"/>
        </w:rPr>
        <w:t xml:space="preserve">McMahon, 2010; </w:t>
      </w:r>
      <w:r w:rsidR="00532BED" w:rsidRPr="006953F2">
        <w:rPr>
          <w:color w:val="1A1A1A"/>
        </w:rPr>
        <w:t xml:space="preserve">Suarez &amp; Gadalla, 2010). </w:t>
      </w:r>
      <w:r w:rsidR="008132D4" w:rsidRPr="006953F2">
        <w:rPr>
          <w:color w:val="1A1A1A"/>
        </w:rPr>
        <w:t xml:space="preserve">This is perhaps unsurprising as rape myth acceptance is </w:t>
      </w:r>
      <w:r w:rsidR="00902F75" w:rsidRPr="006953F2">
        <w:rPr>
          <w:color w:val="1A1A1A"/>
        </w:rPr>
        <w:t xml:space="preserve">related to other </w:t>
      </w:r>
      <w:r w:rsidR="005729D2" w:rsidRPr="006953F2">
        <w:rPr>
          <w:color w:val="1A1A1A"/>
        </w:rPr>
        <w:t>prejudicial</w:t>
      </w:r>
      <w:r w:rsidR="00902F75" w:rsidRPr="006953F2">
        <w:rPr>
          <w:color w:val="1A1A1A"/>
        </w:rPr>
        <w:t xml:space="preserve"> attitudes such as sexism, racism, and homophobia (Anderson, Cooper, and Okamura, 1997; Suarez &amp; Gadalla, 2010). </w:t>
      </w:r>
      <w:r w:rsidR="00D478C8" w:rsidRPr="006953F2">
        <w:rPr>
          <w:color w:val="1A1A1A"/>
        </w:rPr>
        <w:t>A</w:t>
      </w:r>
      <w:r w:rsidR="00902F75" w:rsidRPr="006953F2">
        <w:rPr>
          <w:color w:val="1A1A1A"/>
        </w:rPr>
        <w:t>s most studies use college student samples, little research has been conducted with regard to age. However, Lonsway and Fitzgerald (</w:t>
      </w:r>
      <w:r w:rsidR="00124C5D" w:rsidRPr="006953F2">
        <w:rPr>
          <w:color w:val="1A1A1A"/>
        </w:rPr>
        <w:t>1994</w:t>
      </w:r>
      <w:r w:rsidR="00902F75" w:rsidRPr="006953F2">
        <w:rPr>
          <w:color w:val="1A1A1A"/>
        </w:rPr>
        <w:t xml:space="preserve">) suggest that age is </w:t>
      </w:r>
      <w:r w:rsidR="00124C5D" w:rsidRPr="006953F2">
        <w:rPr>
          <w:color w:val="1A1A1A"/>
        </w:rPr>
        <w:t xml:space="preserve">an important factor to consider. </w:t>
      </w:r>
      <w:r w:rsidR="00902F75" w:rsidRPr="006953F2">
        <w:rPr>
          <w:color w:val="1A1A1A"/>
        </w:rPr>
        <w:t>Whereas Anderson, Cooper, and Okamura (1997) suggest that older individuals may endorse more rape myths</w:t>
      </w:r>
      <w:r w:rsidR="00124C5D" w:rsidRPr="006953F2">
        <w:rPr>
          <w:color w:val="1A1A1A"/>
        </w:rPr>
        <w:t xml:space="preserve"> as they are more likely to hold traditional gender roles</w:t>
      </w:r>
      <w:r w:rsidR="00902F75" w:rsidRPr="006953F2">
        <w:rPr>
          <w:color w:val="1A1A1A"/>
        </w:rPr>
        <w:t xml:space="preserve">, other research suggests that </w:t>
      </w:r>
      <w:r w:rsidR="00124C5D" w:rsidRPr="006953F2">
        <w:rPr>
          <w:color w:val="1A1A1A"/>
        </w:rPr>
        <w:t xml:space="preserve">age is negatively related to rape </w:t>
      </w:r>
      <w:r w:rsidR="00124C5D" w:rsidRPr="006953F2">
        <w:rPr>
          <w:color w:val="1A1A1A"/>
        </w:rPr>
        <w:lastRenderedPageBreak/>
        <w:t xml:space="preserve">myth acceptance as individuals’ social networks and life experiences expand (Powers, Leili, Hagman, &amp; Cohn, 2015). </w:t>
      </w:r>
      <w:r w:rsidR="00124C5D" w:rsidRPr="008E4CD9">
        <w:rPr>
          <w:color w:val="1A1A1A"/>
        </w:rPr>
        <w:t xml:space="preserve">This is paralleled in research regarding perceptions </w:t>
      </w:r>
      <w:r w:rsidR="008E4CD9" w:rsidRPr="008E4CD9">
        <w:rPr>
          <w:color w:val="1A1A1A"/>
        </w:rPr>
        <w:t xml:space="preserve">of </w:t>
      </w:r>
      <w:r w:rsidR="00124C5D" w:rsidRPr="008E4CD9">
        <w:rPr>
          <w:color w:val="1A1A1A"/>
        </w:rPr>
        <w:t>intimate partner</w:t>
      </w:r>
      <w:r w:rsidR="001D7542">
        <w:rPr>
          <w:color w:val="1A1A1A"/>
        </w:rPr>
        <w:t xml:space="preserve"> </w:t>
      </w:r>
      <w:r w:rsidR="00124C5D" w:rsidRPr="006953F2">
        <w:rPr>
          <w:color w:val="1A1A1A"/>
        </w:rPr>
        <w:t xml:space="preserve">and sexual violence as adolescents and younger adults are more likely to hold problematic attitudes </w:t>
      </w:r>
      <w:r w:rsidR="00D478C8" w:rsidRPr="006953F2">
        <w:rPr>
          <w:color w:val="1A1A1A"/>
        </w:rPr>
        <w:t xml:space="preserve">compared to college samples </w:t>
      </w:r>
      <w:r w:rsidR="00124C5D" w:rsidRPr="006953F2">
        <w:rPr>
          <w:color w:val="1A1A1A"/>
        </w:rPr>
        <w:t>(</w:t>
      </w:r>
      <w:r w:rsidR="00C214E2" w:rsidRPr="006953F2">
        <w:rPr>
          <w:color w:val="1A1A1A"/>
        </w:rPr>
        <w:t>e.g., Anderson, Simpson-Taylor, &amp; Hermann, 2004</w:t>
      </w:r>
      <w:r w:rsidR="00124C5D" w:rsidRPr="006953F2">
        <w:rPr>
          <w:color w:val="1A1A1A"/>
        </w:rPr>
        <w:t xml:space="preserve">). </w:t>
      </w:r>
      <w:r w:rsidR="005729D2" w:rsidRPr="006953F2">
        <w:rPr>
          <w:color w:val="1A1A1A"/>
        </w:rPr>
        <w:t xml:space="preserve">In a meta-analysis of rape myth acceptance correlates, Suarez and Gadalla (2010) suggest that minorities may have moderately higher rape myth acceptance. </w:t>
      </w:r>
      <w:r w:rsidR="00D478C8" w:rsidRPr="006953F2">
        <w:rPr>
          <w:color w:val="1A1A1A"/>
        </w:rPr>
        <w:t>However, research has not thoroughly explored the mechanisms underlying these differences.</w:t>
      </w:r>
    </w:p>
    <w:p w14:paraId="17882B0F" w14:textId="635A0D54" w:rsidR="00283061" w:rsidRPr="00751CE1" w:rsidRDefault="00D478C8" w:rsidP="009D6495">
      <w:pPr>
        <w:widowControl w:val="0"/>
        <w:autoSpaceDE w:val="0"/>
        <w:autoSpaceDN w:val="0"/>
        <w:adjustRightInd w:val="0"/>
        <w:spacing w:line="480" w:lineRule="auto"/>
        <w:ind w:firstLine="720"/>
        <w:contextualSpacing/>
      </w:pPr>
      <w:r w:rsidRPr="006953F2">
        <w:rPr>
          <w:color w:val="1A1A1A"/>
        </w:rPr>
        <w:t>Less often is rape myth acceptance examined cross-nationally</w:t>
      </w:r>
      <w:r w:rsidR="00996F0C" w:rsidRPr="006953F2">
        <w:rPr>
          <w:color w:val="1A1A1A"/>
        </w:rPr>
        <w:t xml:space="preserve"> or cross-culturally</w:t>
      </w:r>
      <w:r w:rsidRPr="006953F2">
        <w:rPr>
          <w:color w:val="1A1A1A"/>
        </w:rPr>
        <w:t xml:space="preserve">. The majority of research that has been conducted using an international perspective has </w:t>
      </w:r>
      <w:r w:rsidR="007B52A9" w:rsidRPr="009D6495">
        <w:rPr>
          <w:color w:val="1A1A1A"/>
        </w:rPr>
        <w:t>concentrated</w:t>
      </w:r>
      <w:r w:rsidR="007B52A9">
        <w:rPr>
          <w:color w:val="1A1A1A"/>
        </w:rPr>
        <w:t xml:space="preserve"> </w:t>
      </w:r>
      <w:r w:rsidRPr="006953F2">
        <w:rPr>
          <w:color w:val="1A1A1A"/>
        </w:rPr>
        <w:t xml:space="preserve">on Asian cultures with a focus on China and Japan. </w:t>
      </w:r>
      <w:r w:rsidR="00996F0C" w:rsidRPr="006953F2">
        <w:rPr>
          <w:color w:val="1A1A1A"/>
        </w:rPr>
        <w:t xml:space="preserve">These studies indicate that </w:t>
      </w:r>
      <w:r w:rsidRPr="006953F2">
        <w:rPr>
          <w:color w:val="1A1A1A"/>
        </w:rPr>
        <w:t xml:space="preserve">Asian students may be more likely </w:t>
      </w:r>
      <w:r w:rsidR="00431270" w:rsidRPr="006953F2">
        <w:rPr>
          <w:color w:val="1A1A1A"/>
        </w:rPr>
        <w:t>than White students from the US</w:t>
      </w:r>
      <w:r w:rsidR="00B95618">
        <w:rPr>
          <w:color w:val="1A1A1A"/>
        </w:rPr>
        <w:t>A</w:t>
      </w:r>
      <w:r w:rsidR="00996F0C" w:rsidRPr="006953F2">
        <w:rPr>
          <w:color w:val="1A1A1A"/>
        </w:rPr>
        <w:t>/Canada</w:t>
      </w:r>
      <w:r w:rsidRPr="006953F2">
        <w:rPr>
          <w:color w:val="1A1A1A"/>
        </w:rPr>
        <w:t xml:space="preserve"> to assign culpability to female victims of sexual assault (</w:t>
      </w:r>
      <w:r w:rsidR="00996F0C" w:rsidRPr="006953F2">
        <w:rPr>
          <w:color w:val="1A1A1A"/>
        </w:rPr>
        <w:t xml:space="preserve">Kennedy &amp; Gorzalka, 2002; </w:t>
      </w:r>
      <w:r w:rsidR="00FB4BDB" w:rsidRPr="006953F2">
        <w:rPr>
          <w:color w:val="1A1A1A"/>
        </w:rPr>
        <w:t xml:space="preserve">Lee, Pomeroy, Yoo &amp; Rheinboldt, </w:t>
      </w:r>
      <w:r w:rsidRPr="006953F2">
        <w:rPr>
          <w:color w:val="1A1A1A"/>
        </w:rPr>
        <w:t>2005</w:t>
      </w:r>
      <w:r w:rsidR="00996F0C" w:rsidRPr="006953F2">
        <w:rPr>
          <w:color w:val="1A1A1A"/>
        </w:rPr>
        <w:t>; Mori</w:t>
      </w:r>
      <w:r w:rsidR="000970C2" w:rsidRPr="006953F2">
        <w:rPr>
          <w:color w:val="1A1A1A"/>
        </w:rPr>
        <w:t>, Bernat</w:t>
      </w:r>
      <w:r w:rsidR="00FB4BDB" w:rsidRPr="006953F2">
        <w:rPr>
          <w:color w:val="1A1A1A"/>
        </w:rPr>
        <w:t xml:space="preserve">, Glenn, Selle, &amp; Zarate, </w:t>
      </w:r>
      <w:r w:rsidR="00996F0C" w:rsidRPr="006953F2">
        <w:rPr>
          <w:color w:val="1A1A1A"/>
        </w:rPr>
        <w:t>1995</w:t>
      </w:r>
      <w:r w:rsidR="00944EC0" w:rsidRPr="006953F2">
        <w:rPr>
          <w:color w:val="1A1A1A"/>
        </w:rPr>
        <w:t xml:space="preserve">; Vonderhaar &amp; Carmody, 2015). </w:t>
      </w:r>
      <w:r w:rsidRPr="006953F2">
        <w:rPr>
          <w:color w:val="1A1A1A"/>
        </w:rPr>
        <w:t>This research often also finds meaningful gender differences in that men are more likely to endorse rape myths (</w:t>
      </w:r>
      <w:r w:rsidR="00996F0C" w:rsidRPr="006953F2">
        <w:rPr>
          <w:color w:val="1A1A1A"/>
        </w:rPr>
        <w:t xml:space="preserve">e.g., </w:t>
      </w:r>
      <w:r w:rsidR="00FB4BDB" w:rsidRPr="006953F2">
        <w:rPr>
          <w:color w:val="1A1A1A"/>
        </w:rPr>
        <w:t xml:space="preserve">Xue, Fang, Huang, Cui, Rhodes, &amp; Gelles, </w:t>
      </w:r>
      <w:r w:rsidRPr="006953F2">
        <w:rPr>
          <w:color w:val="1A1A1A"/>
        </w:rPr>
        <w:t>2016).</w:t>
      </w:r>
      <w:r w:rsidR="00B504E6">
        <w:rPr>
          <w:color w:val="1A1A1A"/>
        </w:rPr>
        <w:t xml:space="preserve"> </w:t>
      </w:r>
      <w:r w:rsidR="00B504E6" w:rsidRPr="008450EF">
        <w:rPr>
          <w:color w:val="1A1A1A"/>
        </w:rPr>
        <w:t xml:space="preserve">Expanding discussion of rape myths to other country contexts not only highlights variation in endorsement that may be related to macro-level structural and cultural factors, but also allows for the exploration of other demographic </w:t>
      </w:r>
      <w:r w:rsidR="00B504E6" w:rsidRPr="00751CE1">
        <w:t>characteristics (e.g., caste</w:t>
      </w:r>
      <w:r w:rsidR="007B7547" w:rsidRPr="00751CE1">
        <w:t xml:space="preserve"> in India</w:t>
      </w:r>
      <w:r w:rsidR="00B504E6" w:rsidRPr="00751CE1">
        <w:t xml:space="preserve">) that may impact rape myth acceptance. </w:t>
      </w:r>
      <w:r w:rsidR="007B7547" w:rsidRPr="00751CE1">
        <w:t>Such knowledge</w:t>
      </w:r>
      <w:r w:rsidR="009D231F" w:rsidRPr="00751CE1">
        <w:t xml:space="preserve"> can be used to tailor programs aimed at combatting rape myths to specific country contexts. For example, many college-campus based sexual violence programs in the USA focus on the role of alcohol in assigning culpability to female victims. However, alcohol and the culture of binge-drinking may not be a salient aspect of college students’ lives in all countries and therefore students may have stronger (or weaker) opinions surrounding those situations. By identifying rape myths that elicit stronger adherence, education and </w:t>
      </w:r>
      <w:r w:rsidR="00A37F1A" w:rsidRPr="00751CE1">
        <w:t>a</w:t>
      </w:r>
      <w:r w:rsidR="009D231F" w:rsidRPr="00751CE1">
        <w:t>d</w:t>
      </w:r>
      <w:r w:rsidR="00A37F1A" w:rsidRPr="00751CE1">
        <w:t>vocacy</w:t>
      </w:r>
      <w:r w:rsidR="009D231F" w:rsidRPr="00751CE1">
        <w:t xml:space="preserve"> efforts can more appropriately address these attitudes.</w:t>
      </w:r>
    </w:p>
    <w:p w14:paraId="0047562E" w14:textId="672B96A2" w:rsidR="00976DAB" w:rsidRPr="006953F2" w:rsidRDefault="00976DAB" w:rsidP="002413DA">
      <w:pPr>
        <w:widowControl w:val="0"/>
        <w:autoSpaceDE w:val="0"/>
        <w:autoSpaceDN w:val="0"/>
        <w:adjustRightInd w:val="0"/>
        <w:spacing w:line="480" w:lineRule="auto"/>
        <w:contextualSpacing/>
        <w:rPr>
          <w:b/>
          <w:color w:val="1A1A1A"/>
        </w:rPr>
      </w:pPr>
      <w:r w:rsidRPr="006953F2">
        <w:rPr>
          <w:b/>
          <w:color w:val="1A1A1A"/>
        </w:rPr>
        <w:lastRenderedPageBreak/>
        <w:t>Rape Myth Acceptance in the UK and India</w:t>
      </w:r>
    </w:p>
    <w:p w14:paraId="34758B42" w14:textId="5B0F9BB5" w:rsidR="00CF4A24" w:rsidRPr="00751CE1" w:rsidRDefault="00D75C26" w:rsidP="00FB4BDB">
      <w:pPr>
        <w:widowControl w:val="0"/>
        <w:autoSpaceDE w:val="0"/>
        <w:autoSpaceDN w:val="0"/>
        <w:adjustRightInd w:val="0"/>
        <w:spacing w:line="480" w:lineRule="auto"/>
        <w:contextualSpacing/>
        <w:rPr>
          <w:color w:val="000000"/>
        </w:rPr>
      </w:pPr>
      <w:r w:rsidRPr="009D6495">
        <w:rPr>
          <w:color w:val="000000"/>
        </w:rPr>
        <w:t>T</w:t>
      </w:r>
      <w:r w:rsidR="00C35C2A" w:rsidRPr="009D6495">
        <w:rPr>
          <w:color w:val="000000"/>
        </w:rPr>
        <w:t>he</w:t>
      </w:r>
      <w:r w:rsidR="002B077E" w:rsidRPr="009D6495">
        <w:rPr>
          <w:color w:val="000000"/>
        </w:rPr>
        <w:t xml:space="preserve">re is </w:t>
      </w:r>
      <w:r w:rsidR="000F0C3D" w:rsidRPr="009D6495">
        <w:rPr>
          <w:color w:val="000000"/>
        </w:rPr>
        <w:t>limited</w:t>
      </w:r>
      <w:r w:rsidR="00C35C2A" w:rsidRPr="009D6495">
        <w:rPr>
          <w:color w:val="000000"/>
        </w:rPr>
        <w:t xml:space="preserve"> empirical evidence </w:t>
      </w:r>
      <w:r w:rsidR="000F0C3D" w:rsidRPr="009D6495">
        <w:rPr>
          <w:color w:val="000000"/>
        </w:rPr>
        <w:t>on</w:t>
      </w:r>
      <w:r w:rsidR="000F0C3D" w:rsidRPr="006953F2">
        <w:rPr>
          <w:color w:val="000000"/>
        </w:rPr>
        <w:t xml:space="preserve"> </w:t>
      </w:r>
      <w:r w:rsidR="00C35C2A" w:rsidRPr="006953F2">
        <w:rPr>
          <w:color w:val="000000"/>
        </w:rPr>
        <w:t>the prevalence of rape myths surrounding female rape victims</w:t>
      </w:r>
      <w:r w:rsidR="000F0C3D">
        <w:rPr>
          <w:color w:val="000000"/>
        </w:rPr>
        <w:t xml:space="preserve"> </w:t>
      </w:r>
      <w:r w:rsidR="00C35C2A" w:rsidRPr="006953F2">
        <w:rPr>
          <w:color w:val="000000"/>
        </w:rPr>
        <w:t xml:space="preserve">in India and the UK. </w:t>
      </w:r>
      <w:r w:rsidR="009C7E57" w:rsidRPr="006953F2">
        <w:rPr>
          <w:color w:val="000000"/>
        </w:rPr>
        <w:t>Two</w:t>
      </w:r>
      <w:r w:rsidR="00C35C2A" w:rsidRPr="006953F2">
        <w:rPr>
          <w:color w:val="000000"/>
        </w:rPr>
        <w:t xml:space="preserve"> recent studies using samples of students in India find that rape m</w:t>
      </w:r>
      <w:r w:rsidR="00C23B3F" w:rsidRPr="006953F2">
        <w:rPr>
          <w:color w:val="000000"/>
        </w:rPr>
        <w:t>yth acceptance is r</w:t>
      </w:r>
      <w:r w:rsidR="00FB4BDB" w:rsidRPr="006953F2">
        <w:rPr>
          <w:color w:val="000000"/>
        </w:rPr>
        <w:t xml:space="preserve">ather common (Chudasama, </w:t>
      </w:r>
      <w:r w:rsidR="00365022" w:rsidRPr="006953F2">
        <w:t xml:space="preserve">Kadri, </w:t>
      </w:r>
      <w:r w:rsidR="00365022" w:rsidRPr="006953F2">
        <w:rPr>
          <w:bCs/>
        </w:rPr>
        <w:t xml:space="preserve">Zalavadiya, Joshi, Bhola, &amp; Verma, </w:t>
      </w:r>
      <w:r w:rsidR="00C23B3F" w:rsidRPr="006953F2">
        <w:rPr>
          <w:color w:val="000000"/>
        </w:rPr>
        <w:t>2013; Safri, 2015). For e</w:t>
      </w:r>
      <w:r w:rsidR="00FB4BDB" w:rsidRPr="006953F2">
        <w:rPr>
          <w:color w:val="000000"/>
        </w:rPr>
        <w:t>xample, Chudasama</w:t>
      </w:r>
      <w:r w:rsidR="00C23B3F" w:rsidRPr="006953F2">
        <w:rPr>
          <w:color w:val="000000"/>
        </w:rPr>
        <w:t xml:space="preserve"> </w:t>
      </w:r>
      <w:r w:rsidR="00BF391C" w:rsidRPr="006953F2">
        <w:rPr>
          <w:color w:val="000000"/>
        </w:rPr>
        <w:t>and colleagues</w:t>
      </w:r>
      <w:r w:rsidR="00365022" w:rsidRPr="006953F2">
        <w:rPr>
          <w:color w:val="000000"/>
        </w:rPr>
        <w:t xml:space="preserve"> </w:t>
      </w:r>
      <w:r w:rsidR="00C23B3F" w:rsidRPr="006953F2">
        <w:rPr>
          <w:color w:val="000000"/>
        </w:rPr>
        <w:t>(2013) reported that approximately a quarter of the sample repo</w:t>
      </w:r>
      <w:r w:rsidR="00AD4B5C" w:rsidRPr="006953F2">
        <w:rPr>
          <w:color w:val="000000"/>
        </w:rPr>
        <w:t xml:space="preserve">rted rape supportive </w:t>
      </w:r>
      <w:r w:rsidR="00AD4B5C" w:rsidRPr="00751CE1">
        <w:rPr>
          <w:color w:val="000000"/>
        </w:rPr>
        <w:t>attitudes</w:t>
      </w:r>
      <w:r w:rsidR="00BD6621" w:rsidRPr="00751CE1">
        <w:rPr>
          <w:color w:val="000000"/>
        </w:rPr>
        <w:t xml:space="preserve"> (that is, acceptance of rape myths</w:t>
      </w:r>
      <w:r w:rsidR="00CF7B99" w:rsidRPr="00751CE1">
        <w:rPr>
          <w:color w:val="000000"/>
        </w:rPr>
        <w:t xml:space="preserve"> that view the victim as blameworthy</w:t>
      </w:r>
      <w:r w:rsidR="00BD6621" w:rsidRPr="00751CE1">
        <w:rPr>
          <w:color w:val="000000"/>
        </w:rPr>
        <w:t>),</w:t>
      </w:r>
      <w:r w:rsidR="00AD4B5C" w:rsidRPr="00751CE1">
        <w:rPr>
          <w:color w:val="000000"/>
        </w:rPr>
        <w:t xml:space="preserve"> and b</w:t>
      </w:r>
      <w:r w:rsidR="00C23B3F" w:rsidRPr="00751CE1">
        <w:rPr>
          <w:color w:val="000000"/>
        </w:rPr>
        <w:t xml:space="preserve">oth studies report no significant association for sex or residential status on attitudes. However, it is important to note that while informative, these studies are limited to small select samples which may preclude generalizability. Furthermore, both are largely descriptive in nature and therefore meaningful structural and demographic variation in attitudes cannot be ascertained. </w:t>
      </w:r>
    </w:p>
    <w:p w14:paraId="1C6C2B36" w14:textId="54B0DA0A" w:rsidR="00CF4A24" w:rsidRPr="006953F2" w:rsidRDefault="003C52E6" w:rsidP="003C52E6">
      <w:pPr>
        <w:widowControl w:val="0"/>
        <w:autoSpaceDE w:val="0"/>
        <w:autoSpaceDN w:val="0"/>
        <w:adjustRightInd w:val="0"/>
        <w:spacing w:line="480" w:lineRule="auto"/>
        <w:ind w:firstLine="720"/>
        <w:contextualSpacing/>
        <w:rPr>
          <w:color w:val="000000"/>
        </w:rPr>
      </w:pPr>
      <w:r w:rsidRPr="00751CE1">
        <w:rPr>
          <w:color w:val="000000"/>
        </w:rPr>
        <w:t xml:space="preserve">In their </w:t>
      </w:r>
      <w:r w:rsidR="00C23B3F" w:rsidRPr="00751CE1">
        <w:rPr>
          <w:color w:val="000000"/>
        </w:rPr>
        <w:t>cross-national study of rape supportive attitudes in four countries, India, Ku</w:t>
      </w:r>
      <w:r w:rsidR="009C7E57" w:rsidRPr="00751CE1">
        <w:rPr>
          <w:color w:val="000000"/>
        </w:rPr>
        <w:t>w</w:t>
      </w:r>
      <w:r w:rsidR="00402584" w:rsidRPr="00751CE1">
        <w:rPr>
          <w:color w:val="000000"/>
        </w:rPr>
        <w:t>ait, Japan, and the US</w:t>
      </w:r>
      <w:r w:rsidR="00B95618" w:rsidRPr="00751CE1">
        <w:rPr>
          <w:color w:val="000000"/>
        </w:rPr>
        <w:t>A</w:t>
      </w:r>
      <w:r w:rsidRPr="00751CE1">
        <w:rPr>
          <w:color w:val="000000"/>
        </w:rPr>
        <w:t xml:space="preserve">, Nayak, Byrne, Martin, and Abraham (2003) concluded </w:t>
      </w:r>
      <w:r w:rsidR="0031450C" w:rsidRPr="00751CE1">
        <w:rPr>
          <w:color w:val="000000"/>
        </w:rPr>
        <w:t>that students in India, Japan, and Kuwait h</w:t>
      </w:r>
      <w:r w:rsidR="009C7E57" w:rsidRPr="00751CE1">
        <w:rPr>
          <w:color w:val="000000"/>
        </w:rPr>
        <w:t>eld</w:t>
      </w:r>
      <w:r w:rsidR="0031450C" w:rsidRPr="00751CE1">
        <w:rPr>
          <w:color w:val="000000"/>
        </w:rPr>
        <w:t xml:space="preserve"> more negative views regarding </w:t>
      </w:r>
      <w:r w:rsidR="00242E7B" w:rsidRPr="00751CE1">
        <w:rPr>
          <w:color w:val="000000"/>
        </w:rPr>
        <w:t xml:space="preserve">victims of </w:t>
      </w:r>
      <w:r w:rsidR="0031450C" w:rsidRPr="00751CE1">
        <w:rPr>
          <w:color w:val="000000"/>
        </w:rPr>
        <w:t>sexual</w:t>
      </w:r>
      <w:r w:rsidR="0031450C" w:rsidRPr="006953F2">
        <w:rPr>
          <w:color w:val="000000"/>
        </w:rPr>
        <w:t xml:space="preserve"> violence</w:t>
      </w:r>
      <w:r w:rsidR="00402584" w:rsidRPr="006953F2">
        <w:rPr>
          <w:color w:val="000000"/>
        </w:rPr>
        <w:t xml:space="preserve"> compared to students in the US</w:t>
      </w:r>
      <w:r w:rsidR="00B95618">
        <w:rPr>
          <w:color w:val="000000"/>
        </w:rPr>
        <w:t>A</w:t>
      </w:r>
      <w:r w:rsidR="0031450C" w:rsidRPr="006953F2">
        <w:rPr>
          <w:color w:val="000000"/>
        </w:rPr>
        <w:t xml:space="preserve">. Furthermore, they find consistent support for gender differences in attitudes as men in all countries were more likely to endorse problematic attitudes compared to women. </w:t>
      </w:r>
      <w:r w:rsidR="009C7E57" w:rsidRPr="006953F2">
        <w:rPr>
          <w:color w:val="000000"/>
        </w:rPr>
        <w:t>Similarly, a recent study inv</w:t>
      </w:r>
      <w:r w:rsidR="00402584" w:rsidRPr="006953F2">
        <w:rPr>
          <w:color w:val="000000"/>
        </w:rPr>
        <w:t>olving 637 students from the US</w:t>
      </w:r>
      <w:r w:rsidR="009C7E57" w:rsidRPr="006953F2">
        <w:rPr>
          <w:color w:val="000000"/>
        </w:rPr>
        <w:t>, Japan and India suggests that Indian students were most likely to endorse rape myths (Stephens</w:t>
      </w:r>
      <w:r w:rsidR="00BF391C" w:rsidRPr="006953F2">
        <w:rPr>
          <w:color w:val="000000"/>
        </w:rPr>
        <w:t xml:space="preserve"> et al.,</w:t>
      </w:r>
      <w:r w:rsidR="00293F81" w:rsidRPr="006953F2">
        <w:rPr>
          <w:color w:val="1A1A1A"/>
        </w:rPr>
        <w:t xml:space="preserve"> </w:t>
      </w:r>
      <w:r w:rsidR="009C7E57" w:rsidRPr="006953F2">
        <w:rPr>
          <w:color w:val="000000"/>
        </w:rPr>
        <w:t xml:space="preserve">2016). The overarching explanation of these studies is </w:t>
      </w:r>
      <w:r w:rsidR="0031450C" w:rsidRPr="006953F2">
        <w:rPr>
          <w:color w:val="000000"/>
        </w:rPr>
        <w:t>that gender roles</w:t>
      </w:r>
      <w:r w:rsidR="009C7E57" w:rsidRPr="006953F2">
        <w:rPr>
          <w:color w:val="000000"/>
        </w:rPr>
        <w:t>,</w:t>
      </w:r>
      <w:r w:rsidR="0031450C" w:rsidRPr="006953F2">
        <w:rPr>
          <w:color w:val="000000"/>
        </w:rPr>
        <w:t xml:space="preserve"> and more restrictive cultural norms found in non-Westernized cultures may explain these negative attitudes about violence against women. However, due to the nature of the</w:t>
      </w:r>
      <w:r w:rsidR="00161FE1" w:rsidRPr="006953F2">
        <w:rPr>
          <w:color w:val="000000"/>
        </w:rPr>
        <w:t>se</w:t>
      </w:r>
      <w:r w:rsidR="0031450C" w:rsidRPr="006953F2">
        <w:rPr>
          <w:color w:val="000000"/>
        </w:rPr>
        <w:t xml:space="preserve"> stud</w:t>
      </w:r>
      <w:r w:rsidR="00161FE1" w:rsidRPr="006953F2">
        <w:rPr>
          <w:color w:val="000000"/>
        </w:rPr>
        <w:t>ies</w:t>
      </w:r>
      <w:r w:rsidR="0031450C" w:rsidRPr="006953F2">
        <w:rPr>
          <w:color w:val="000000"/>
        </w:rPr>
        <w:t xml:space="preserve"> (cross-cultural comparison with relatively small samples), they </w:t>
      </w:r>
      <w:r w:rsidR="00161FE1" w:rsidRPr="006953F2">
        <w:rPr>
          <w:color w:val="000000"/>
        </w:rPr>
        <w:t>are</w:t>
      </w:r>
      <w:r w:rsidR="0031450C" w:rsidRPr="006953F2">
        <w:rPr>
          <w:color w:val="000000"/>
        </w:rPr>
        <w:t xml:space="preserve"> unable to isolate how these attitudes may differ within each country context. Furthermore, they examined sexual violence attitudes as a uni-dimensional construct. It is possible that the exploration of different types of rape myths may reveal nuances in these attitudes. </w:t>
      </w:r>
      <w:r w:rsidR="006F4ACD" w:rsidRPr="006953F2">
        <w:rPr>
          <w:color w:val="000000"/>
        </w:rPr>
        <w:t xml:space="preserve">The current study builds </w:t>
      </w:r>
      <w:r w:rsidR="006F4ACD" w:rsidRPr="006953F2">
        <w:rPr>
          <w:color w:val="000000"/>
        </w:rPr>
        <w:lastRenderedPageBreak/>
        <w:t xml:space="preserve">on </w:t>
      </w:r>
      <w:r w:rsidR="006F4ACD" w:rsidRPr="008450EF">
        <w:rPr>
          <w:color w:val="000000"/>
        </w:rPr>
        <w:t xml:space="preserve">this </w:t>
      </w:r>
      <w:r w:rsidR="00250062" w:rsidRPr="008450EF">
        <w:rPr>
          <w:color w:val="000000"/>
        </w:rPr>
        <w:t xml:space="preserve">research by employing a larger sample size that allows for multivariate analyses of the unique factors within each country that contribute to rape myth adherence as well as comparing between countries controlling for common correlates. Furthermore, India is compared to a Westernized country </w:t>
      </w:r>
      <w:r w:rsidR="00427465" w:rsidRPr="008450EF">
        <w:rPr>
          <w:color w:val="000000"/>
        </w:rPr>
        <w:t>in which it shares a historical context (UK) and from where many laws governing sexual violence are derived.</w:t>
      </w:r>
      <w:r w:rsidR="00427465">
        <w:rPr>
          <w:color w:val="000000"/>
        </w:rPr>
        <w:t xml:space="preserve"> </w:t>
      </w:r>
    </w:p>
    <w:p w14:paraId="5598FB89" w14:textId="2B4BF09D" w:rsidR="00293F81" w:rsidRPr="006953F2" w:rsidRDefault="00614939" w:rsidP="00293F81">
      <w:pPr>
        <w:widowControl w:val="0"/>
        <w:autoSpaceDE w:val="0"/>
        <w:autoSpaceDN w:val="0"/>
        <w:adjustRightInd w:val="0"/>
        <w:spacing w:line="480" w:lineRule="auto"/>
        <w:ind w:firstLine="720"/>
        <w:contextualSpacing/>
        <w:rPr>
          <w:color w:val="000000"/>
        </w:rPr>
      </w:pPr>
      <w:r w:rsidRPr="006953F2">
        <w:rPr>
          <w:color w:val="000000"/>
        </w:rPr>
        <w:t>I</w:t>
      </w:r>
      <w:r w:rsidR="00302A12" w:rsidRPr="006953F2">
        <w:rPr>
          <w:color w:val="000000"/>
        </w:rPr>
        <w:t xml:space="preserve">nterestingly, </w:t>
      </w:r>
      <w:r w:rsidRPr="006953F2">
        <w:rPr>
          <w:color w:val="000000"/>
        </w:rPr>
        <w:t xml:space="preserve">in the UK, with the exception of some limited work into RMA and female victims, </w:t>
      </w:r>
      <w:r w:rsidR="00302A12" w:rsidRPr="006953F2">
        <w:rPr>
          <w:color w:val="000000"/>
        </w:rPr>
        <w:t xml:space="preserve">there has been a greater </w:t>
      </w:r>
      <w:r w:rsidR="005503CB" w:rsidRPr="006953F2">
        <w:rPr>
          <w:color w:val="000000"/>
        </w:rPr>
        <w:t xml:space="preserve">recent </w:t>
      </w:r>
      <w:r w:rsidR="00302A12" w:rsidRPr="006953F2">
        <w:rPr>
          <w:color w:val="000000"/>
        </w:rPr>
        <w:t xml:space="preserve">research focus on male rape than female rape </w:t>
      </w:r>
      <w:r w:rsidR="00A9787D" w:rsidRPr="006953F2">
        <w:rPr>
          <w:color w:val="000000"/>
        </w:rPr>
        <w:t>(Abdullah-Khan, 2008; Coxell</w:t>
      </w:r>
      <w:r w:rsidR="00293F81" w:rsidRPr="006953F2">
        <w:rPr>
          <w:color w:val="000000"/>
        </w:rPr>
        <w:t>,</w:t>
      </w:r>
      <w:r w:rsidR="00A9787D" w:rsidRPr="006953F2">
        <w:rPr>
          <w:color w:val="000000"/>
        </w:rPr>
        <w:t xml:space="preserve"> </w:t>
      </w:r>
      <w:r w:rsidR="00293F81" w:rsidRPr="006953F2">
        <w:rPr>
          <w:color w:val="1A1A1A"/>
        </w:rPr>
        <w:t xml:space="preserve">King, </w:t>
      </w:r>
      <w:r w:rsidR="00A9787D" w:rsidRPr="006953F2">
        <w:rPr>
          <w:color w:val="000000"/>
        </w:rPr>
        <w:t xml:space="preserve">Fisher &amp; Pina, 2013; </w:t>
      </w:r>
      <w:r w:rsidR="009E432B" w:rsidRPr="006953F2">
        <w:rPr>
          <w:color w:val="1A1A1A"/>
        </w:rPr>
        <w:t>Mezey, &amp; Kell</w:t>
      </w:r>
      <w:r w:rsidR="009E432B" w:rsidRPr="006953F2">
        <w:rPr>
          <w:color w:val="000000"/>
        </w:rPr>
        <w:t xml:space="preserve">, 2000; </w:t>
      </w:r>
      <w:r w:rsidR="00A9787D" w:rsidRPr="006953F2">
        <w:rPr>
          <w:color w:val="000000"/>
        </w:rPr>
        <w:t>Mezey &amp; King, 1989).</w:t>
      </w:r>
      <w:r w:rsidR="006E2053" w:rsidRPr="006953F2">
        <w:rPr>
          <w:color w:val="000000"/>
        </w:rPr>
        <w:t xml:space="preserve"> </w:t>
      </w:r>
      <w:r w:rsidR="000F2D1B" w:rsidRPr="006953F2">
        <w:rPr>
          <w:color w:val="000000"/>
        </w:rPr>
        <w:t xml:space="preserve">Moreover, a </w:t>
      </w:r>
      <w:r w:rsidR="006E2053" w:rsidRPr="006953F2">
        <w:rPr>
          <w:color w:val="000000"/>
        </w:rPr>
        <w:t xml:space="preserve">recent </w:t>
      </w:r>
      <w:r w:rsidR="000F2D1B" w:rsidRPr="006953F2">
        <w:rPr>
          <w:color w:val="000000"/>
        </w:rPr>
        <w:t xml:space="preserve">critique of </w:t>
      </w:r>
      <w:r w:rsidR="006E2053" w:rsidRPr="006953F2">
        <w:rPr>
          <w:color w:val="000000"/>
        </w:rPr>
        <w:t>rape myth acceptance literat</w:t>
      </w:r>
      <w:r w:rsidR="000F2D1B" w:rsidRPr="006953F2">
        <w:rPr>
          <w:color w:val="000000"/>
        </w:rPr>
        <w:t xml:space="preserve">ure argues that definitions of rape myths have failed to acknowledge male victims of serious assault (Maxwell </w:t>
      </w:r>
      <w:r w:rsidR="006F4ACD" w:rsidRPr="006953F2">
        <w:rPr>
          <w:color w:val="000000"/>
        </w:rPr>
        <w:t xml:space="preserve">&amp; </w:t>
      </w:r>
      <w:r w:rsidR="000F2D1B" w:rsidRPr="006953F2">
        <w:rPr>
          <w:color w:val="000000"/>
        </w:rPr>
        <w:t>Scott</w:t>
      </w:r>
      <w:r w:rsidR="006F4ACD" w:rsidRPr="006953F2">
        <w:rPr>
          <w:color w:val="000000"/>
        </w:rPr>
        <w:t>,</w:t>
      </w:r>
      <w:r w:rsidR="000F2D1B" w:rsidRPr="006953F2">
        <w:rPr>
          <w:color w:val="000000"/>
        </w:rPr>
        <w:t xml:space="preserve"> 2014). </w:t>
      </w:r>
      <w:r w:rsidR="00F12500" w:rsidRPr="006953F2">
        <w:rPr>
          <w:color w:val="000000"/>
        </w:rPr>
        <w:t>Although this paper is focused on female victims of rape, who are in the majority, it is important to acknowledge that men can also be victims of rape, and women may well be perpetrators (Davies</w:t>
      </w:r>
      <w:r w:rsidR="00293F81" w:rsidRPr="006953F2">
        <w:rPr>
          <w:color w:val="000000"/>
        </w:rPr>
        <w:t xml:space="preserve">, </w:t>
      </w:r>
      <w:r w:rsidR="00293F81" w:rsidRPr="006953F2">
        <w:rPr>
          <w:color w:val="1A1A1A"/>
        </w:rPr>
        <w:t>Gilston, &amp; Rogers,</w:t>
      </w:r>
      <w:r w:rsidR="00293F81" w:rsidRPr="006953F2">
        <w:rPr>
          <w:color w:val="000000"/>
        </w:rPr>
        <w:t xml:space="preserve"> </w:t>
      </w:r>
      <w:r w:rsidR="00F12500" w:rsidRPr="006953F2">
        <w:rPr>
          <w:color w:val="000000"/>
        </w:rPr>
        <w:t xml:space="preserve">2012). </w:t>
      </w:r>
      <w:r w:rsidR="00E74234" w:rsidRPr="006953F2">
        <w:rPr>
          <w:color w:val="000000"/>
        </w:rPr>
        <w:t>On the whole</w:t>
      </w:r>
      <w:r w:rsidR="006F4ACD" w:rsidRPr="003860B4">
        <w:rPr>
          <w:color w:val="000000"/>
        </w:rPr>
        <w:t>,</w:t>
      </w:r>
      <w:r w:rsidR="00E74234" w:rsidRPr="003860B4">
        <w:rPr>
          <w:color w:val="000000"/>
        </w:rPr>
        <w:t xml:space="preserve"> </w:t>
      </w:r>
      <w:r w:rsidR="00B95618" w:rsidRPr="009D6495">
        <w:rPr>
          <w:color w:val="000000"/>
        </w:rPr>
        <w:t>the UK</w:t>
      </w:r>
      <w:r w:rsidR="00B95618" w:rsidRPr="006953F2">
        <w:rPr>
          <w:color w:val="000000"/>
        </w:rPr>
        <w:t xml:space="preserve"> </w:t>
      </w:r>
      <w:r w:rsidR="006F4ACD" w:rsidRPr="006953F2">
        <w:rPr>
          <w:color w:val="000000"/>
        </w:rPr>
        <w:t>RMA</w:t>
      </w:r>
      <w:r w:rsidR="00E74234" w:rsidRPr="006953F2">
        <w:rPr>
          <w:color w:val="000000"/>
        </w:rPr>
        <w:t xml:space="preserve"> literature has turned its attention to media portrayals and its impact, as well as engaging with a critique of the RMA methodological framework</w:t>
      </w:r>
      <w:r w:rsidR="007F5FC7" w:rsidRPr="006953F2">
        <w:rPr>
          <w:color w:val="000000"/>
        </w:rPr>
        <w:t xml:space="preserve"> (</w:t>
      </w:r>
      <w:r w:rsidR="00BF391C" w:rsidRPr="006953F2">
        <w:rPr>
          <w:color w:val="000000"/>
        </w:rPr>
        <w:t xml:space="preserve">Gurnham, 2016; </w:t>
      </w:r>
      <w:r w:rsidR="007471E0" w:rsidRPr="006953F2">
        <w:rPr>
          <w:color w:val="000000"/>
        </w:rPr>
        <w:t xml:space="preserve">O’Hara, 2012; </w:t>
      </w:r>
      <w:r w:rsidR="007F5FC7" w:rsidRPr="006953F2">
        <w:rPr>
          <w:color w:val="000000"/>
        </w:rPr>
        <w:t>Reece, 2014</w:t>
      </w:r>
      <w:r w:rsidR="000970C2" w:rsidRPr="006953F2">
        <w:rPr>
          <w:color w:val="000000"/>
        </w:rPr>
        <w:t>).</w:t>
      </w:r>
    </w:p>
    <w:p w14:paraId="01B7AD5D" w14:textId="5D8F8B84" w:rsidR="000D0560" w:rsidRPr="006953F2" w:rsidRDefault="00614939" w:rsidP="00996F0C">
      <w:pPr>
        <w:widowControl w:val="0"/>
        <w:autoSpaceDE w:val="0"/>
        <w:autoSpaceDN w:val="0"/>
        <w:adjustRightInd w:val="0"/>
        <w:spacing w:line="480" w:lineRule="auto"/>
        <w:ind w:firstLine="720"/>
        <w:contextualSpacing/>
      </w:pPr>
      <w:r w:rsidRPr="006953F2">
        <w:rPr>
          <w:color w:val="000000"/>
        </w:rPr>
        <w:t>In her analysis</w:t>
      </w:r>
      <w:r w:rsidR="005755E2" w:rsidRPr="006953F2">
        <w:rPr>
          <w:color w:val="000000"/>
        </w:rPr>
        <w:t xml:space="preserve"> of three rape cases in the UK and the USA</w:t>
      </w:r>
      <w:r w:rsidRPr="006953F2">
        <w:rPr>
          <w:color w:val="000000"/>
        </w:rPr>
        <w:t xml:space="preserve">, O’Hara </w:t>
      </w:r>
      <w:r w:rsidR="005755E2" w:rsidRPr="006953F2">
        <w:rPr>
          <w:color w:val="000000"/>
        </w:rPr>
        <w:t xml:space="preserve">(2012) documents the propensity of mainstream media to perpetuate rape myths which contribute to images of ‘monster rapists’, ‘virginal victims’, or ‘promiscuous women’. In a forensic analysis of 124 newspaper articles related to three rape incidents, the author suggests that </w:t>
      </w:r>
      <w:r w:rsidR="005755E2" w:rsidRPr="006953F2">
        <w:t xml:space="preserve">the </w:t>
      </w:r>
      <w:r w:rsidR="005755E2" w:rsidRPr="004612DE">
        <w:t>‘impact of the attacks on th</w:t>
      </w:r>
      <w:r w:rsidR="005755E2" w:rsidRPr="00A378F8">
        <w:t xml:space="preserve">e victims was largely overlooked, which had the effect of </w:t>
      </w:r>
      <w:r w:rsidR="005755E2" w:rsidRPr="00D31D2F">
        <w:t>trivialising the crime’ (O’ Hara</w:t>
      </w:r>
      <w:r w:rsidR="006F4ACD" w:rsidRPr="00D31D2F">
        <w:t>,</w:t>
      </w:r>
      <w:r w:rsidR="005755E2" w:rsidRPr="00D31D2F">
        <w:t xml:space="preserve"> 2012</w:t>
      </w:r>
      <w:r w:rsidR="00CF4A24" w:rsidRPr="00D31D2F">
        <w:t xml:space="preserve">, p. </w:t>
      </w:r>
      <w:r w:rsidR="005755E2" w:rsidRPr="00D31D2F">
        <w:t>256).</w:t>
      </w:r>
      <w:r w:rsidR="00F472EE" w:rsidRPr="006953F2">
        <w:t xml:space="preserve"> </w:t>
      </w:r>
      <w:r w:rsidR="00DD46FC" w:rsidRPr="006953F2">
        <w:t xml:space="preserve">Whilst such literature promotes our understanding of the impact of rape myths in the perpetuation of patriarchal power structures, and the gender justice gap, other recent scholarship has questioned </w:t>
      </w:r>
      <w:r w:rsidR="00DD46FC" w:rsidRPr="00751CE1">
        <w:t xml:space="preserve">the </w:t>
      </w:r>
      <w:r w:rsidR="00CF7B99" w:rsidRPr="00751CE1">
        <w:t>authority</w:t>
      </w:r>
      <w:r w:rsidR="00CF7B99" w:rsidRPr="006953F2">
        <w:t xml:space="preserve"> </w:t>
      </w:r>
      <w:r w:rsidR="00DD46FC" w:rsidRPr="006953F2">
        <w:t>of the RMA literature</w:t>
      </w:r>
      <w:r w:rsidR="000D0560" w:rsidRPr="006953F2">
        <w:rPr>
          <w:color w:val="000000"/>
        </w:rPr>
        <w:t xml:space="preserve"> (</w:t>
      </w:r>
      <w:r w:rsidR="00BF391C" w:rsidRPr="006953F2">
        <w:rPr>
          <w:color w:val="000000"/>
        </w:rPr>
        <w:t>Gurnham, 2016; Reece, 2014</w:t>
      </w:r>
      <w:r w:rsidR="000D0560" w:rsidRPr="006953F2">
        <w:rPr>
          <w:color w:val="000000"/>
        </w:rPr>
        <w:t>).</w:t>
      </w:r>
    </w:p>
    <w:p w14:paraId="706EE0E8" w14:textId="66E83013" w:rsidR="0038416E" w:rsidRPr="006953F2" w:rsidRDefault="00A32DD5" w:rsidP="00AA1185">
      <w:pPr>
        <w:widowControl w:val="0"/>
        <w:autoSpaceDE w:val="0"/>
        <w:autoSpaceDN w:val="0"/>
        <w:adjustRightInd w:val="0"/>
        <w:spacing w:line="480" w:lineRule="auto"/>
        <w:ind w:firstLine="720"/>
        <w:contextualSpacing/>
      </w:pPr>
      <w:r w:rsidRPr="006953F2">
        <w:lastRenderedPageBreak/>
        <w:t xml:space="preserve">In the last few years, both India and the UK have witnessed the persistent media reporting of </w:t>
      </w:r>
      <w:r w:rsidR="00046C29" w:rsidRPr="006953F2">
        <w:t xml:space="preserve">two </w:t>
      </w:r>
      <w:r w:rsidRPr="006953F2">
        <w:t>high profile rape cases (</w:t>
      </w:r>
      <w:r w:rsidR="00046C29" w:rsidRPr="006953F2">
        <w:t xml:space="preserve">notably </w:t>
      </w:r>
      <w:r w:rsidRPr="006953F2">
        <w:t xml:space="preserve">Nirbhaya, and Ched Evans respectively) which have contributed to a national discourse around </w:t>
      </w:r>
      <w:r w:rsidR="002E6229" w:rsidRPr="008450EF">
        <w:t>victim blaming,</w:t>
      </w:r>
      <w:r w:rsidR="002E6229">
        <w:t xml:space="preserve"> </w:t>
      </w:r>
      <w:r w:rsidRPr="006953F2">
        <w:t xml:space="preserve">sexual consent, and women’s right to the protection of the law (Dutta </w:t>
      </w:r>
      <w:r w:rsidR="00AD5E18">
        <w:t>&amp;</w:t>
      </w:r>
      <w:r w:rsidRPr="006953F2">
        <w:t xml:space="preserve"> Sircar, 2013, Gormley, 2016). </w:t>
      </w:r>
      <w:r w:rsidR="004E64C1" w:rsidRPr="006953F2">
        <w:t>T</w:t>
      </w:r>
      <w:r w:rsidR="00046C29" w:rsidRPr="006953F2">
        <w:t xml:space="preserve">he Nirbhaya case of stranger rape and murder of a young woman by multiple perpetrators </w:t>
      </w:r>
      <w:r w:rsidR="004E64C1" w:rsidRPr="006953F2">
        <w:t>led to mass protests in India that challenged the criminal justice system and res</w:t>
      </w:r>
      <w:r w:rsidR="005C552E" w:rsidRPr="006953F2">
        <w:t>ulted in the conviction of all six</w:t>
      </w:r>
      <w:r w:rsidR="004E64C1" w:rsidRPr="006953F2">
        <w:t xml:space="preserve"> rapists. The Ched Evans case involving </w:t>
      </w:r>
      <w:r w:rsidR="00046C29" w:rsidRPr="006953F2">
        <w:t>the rape of a</w:t>
      </w:r>
      <w:r w:rsidR="00061373" w:rsidRPr="006953F2">
        <w:t xml:space="preserve">n intoxicated </w:t>
      </w:r>
      <w:r w:rsidR="00046C29" w:rsidRPr="006953F2">
        <w:t>young woman by a</w:t>
      </w:r>
      <w:r w:rsidR="00B169A0" w:rsidRPr="006953F2">
        <w:t>n international soccer player</w:t>
      </w:r>
      <w:r w:rsidR="00046C29" w:rsidRPr="006953F2">
        <w:t xml:space="preserve"> </w:t>
      </w:r>
      <w:r w:rsidR="004E64C1" w:rsidRPr="006953F2">
        <w:t>led to a conviction and a</w:t>
      </w:r>
      <w:r w:rsidR="00426149" w:rsidRPr="006953F2">
        <w:t xml:space="preserve"> subsequent</w:t>
      </w:r>
      <w:r w:rsidR="004E64C1" w:rsidRPr="006953F2">
        <w:t xml:space="preserve"> acquittal. Questions were raised in both countries about appropriate </w:t>
      </w:r>
      <w:r w:rsidR="0025032B" w:rsidRPr="006953F2">
        <w:t xml:space="preserve">punishment, rehabilitation, </w:t>
      </w:r>
      <w:r w:rsidR="004E64C1" w:rsidRPr="006953F2">
        <w:t xml:space="preserve">safety and security of women from rapists, and responsibility on the part of women. The Nirbhaya case has </w:t>
      </w:r>
      <w:r w:rsidR="00523F5C" w:rsidRPr="009D6495">
        <w:t>resulted in</w:t>
      </w:r>
      <w:r w:rsidR="004E64C1" w:rsidRPr="006953F2">
        <w:t xml:space="preserve"> </w:t>
      </w:r>
      <w:r w:rsidR="00445C3D">
        <w:t xml:space="preserve">the strengthening of anti-rape legislation, </w:t>
      </w:r>
      <w:r w:rsidR="00445C3D" w:rsidRPr="006953F2">
        <w:t xml:space="preserve">numerous blogs, academic papers, TV documentaries / plays, </w:t>
      </w:r>
      <w:r w:rsidR="00445C3D">
        <w:t xml:space="preserve">and </w:t>
      </w:r>
      <w:r w:rsidR="00426149" w:rsidRPr="006953F2">
        <w:t xml:space="preserve">a specific </w:t>
      </w:r>
      <w:r w:rsidR="00445C3D">
        <w:t xml:space="preserve">government </w:t>
      </w:r>
      <w:r w:rsidR="00426149" w:rsidRPr="006953F2">
        <w:t xml:space="preserve">fund </w:t>
      </w:r>
      <w:r w:rsidR="00445C3D">
        <w:t xml:space="preserve">(Nirbhaya) </w:t>
      </w:r>
      <w:r w:rsidR="00426149" w:rsidRPr="006953F2">
        <w:t xml:space="preserve">earmarked for </w:t>
      </w:r>
      <w:r w:rsidR="0025032B" w:rsidRPr="006953F2">
        <w:t>the promotion of safety and security of women and girls</w:t>
      </w:r>
      <w:r w:rsidR="00426149" w:rsidRPr="006953F2">
        <w:t xml:space="preserve">, </w:t>
      </w:r>
      <w:r w:rsidR="004E64C1" w:rsidRPr="006953F2">
        <w:t xml:space="preserve">The Ched Evans case has </w:t>
      </w:r>
      <w:r w:rsidR="00A45170" w:rsidRPr="006953F2">
        <w:t xml:space="preserve">had considerable discussion in the media, </w:t>
      </w:r>
      <w:r w:rsidR="005C552E" w:rsidRPr="006953F2">
        <w:t xml:space="preserve">but the acquittal of the soccer player has been questioned by a feminist movement about the legality of focusing on the victim’s past sexual history. Incidentally, it was this focus </w:t>
      </w:r>
      <w:r w:rsidR="0025032B" w:rsidRPr="006953F2">
        <w:t xml:space="preserve">on past history </w:t>
      </w:r>
      <w:r w:rsidR="005C552E" w:rsidRPr="006953F2">
        <w:t xml:space="preserve">in the court that is said to have resulted to the acquittal </w:t>
      </w:r>
      <w:r w:rsidR="00AA1185" w:rsidRPr="006953F2">
        <w:t xml:space="preserve">of Ched Evans. </w:t>
      </w:r>
      <w:r w:rsidR="0038416E" w:rsidRPr="006953F2">
        <w:t>Although previous sexual history is permissible in rare circumstances under section 41 of the Youth and criminal Evidence Act 1999, the</w:t>
      </w:r>
      <w:r w:rsidR="00B95618">
        <w:t xml:space="preserve"> </w:t>
      </w:r>
      <w:r w:rsidR="00B95618" w:rsidRPr="009D6495">
        <w:t>UK</w:t>
      </w:r>
      <w:r w:rsidR="0038416E" w:rsidRPr="006953F2">
        <w:t xml:space="preserve"> government has now announced a review of the use of rape complainants’ sexual history in court cases (Walker, 2016). </w:t>
      </w:r>
    </w:p>
    <w:p w14:paraId="05125CCC" w14:textId="72167A2D" w:rsidR="0068759A" w:rsidRDefault="00A5639B" w:rsidP="009D6495">
      <w:pPr>
        <w:widowControl w:val="0"/>
        <w:autoSpaceDE w:val="0"/>
        <w:autoSpaceDN w:val="0"/>
        <w:adjustRightInd w:val="0"/>
        <w:spacing w:line="480" w:lineRule="auto"/>
        <w:ind w:firstLine="720"/>
        <w:contextualSpacing/>
      </w:pPr>
      <w:r w:rsidRPr="008450EF">
        <w:t xml:space="preserve">Both cases </w:t>
      </w:r>
      <w:r w:rsidR="007E0AAE" w:rsidRPr="008450EF">
        <w:t xml:space="preserve">served as a backdrop to the exposure of victim blaming and rape mythology in society. </w:t>
      </w:r>
      <w:r w:rsidR="00094C04" w:rsidRPr="008450EF">
        <w:t>Moreover</w:t>
      </w:r>
      <w:r w:rsidR="00E23C1A" w:rsidRPr="008450EF">
        <w:t>, m</w:t>
      </w:r>
      <w:r w:rsidR="007E0AAE" w:rsidRPr="008450EF">
        <w:t>ainstream and social media have revealed deeply held assumptions about victim culpability, and victim blaming</w:t>
      </w:r>
      <w:r w:rsidR="00E23C1A" w:rsidRPr="008450EF">
        <w:t xml:space="preserve"> in both country contexts</w:t>
      </w:r>
      <w:r w:rsidR="007E0AAE" w:rsidRPr="008450EF">
        <w:t xml:space="preserve">. </w:t>
      </w:r>
      <w:r w:rsidR="00E23C1A" w:rsidRPr="008450EF">
        <w:t>It is estimated that 8 out of 10 r</w:t>
      </w:r>
      <w:r w:rsidR="00F21E8D" w:rsidRPr="008450EF">
        <w:t>ape in</w:t>
      </w:r>
      <w:r w:rsidR="00AA6A20">
        <w:t>c</w:t>
      </w:r>
      <w:r w:rsidR="00F21E8D" w:rsidRPr="008450EF">
        <w:t>idents</w:t>
      </w:r>
      <w:r w:rsidR="00E23C1A" w:rsidRPr="008450EF">
        <w:t xml:space="preserve"> remain unreported in both India and the UK. Given the colonial history between India and the UK, there has been some criticism that suggests </w:t>
      </w:r>
      <w:r w:rsidR="00E23C1A" w:rsidRPr="008450EF">
        <w:lastRenderedPageBreak/>
        <w:t xml:space="preserve">that whilst India is conceptualised as an unsafe and dangerous space for women and girls, the same view is less likely to be held for the UK (Durham, 2015; Roychowdhury, 2013). </w:t>
      </w:r>
      <w:r w:rsidR="00977FD3" w:rsidRPr="008450EF">
        <w:t xml:space="preserve">Crucially, </w:t>
      </w:r>
      <w:r w:rsidR="004D2EBA" w:rsidRPr="008450EF">
        <w:t xml:space="preserve">the process of urbanisation is </w:t>
      </w:r>
      <w:r w:rsidR="00977FD3" w:rsidRPr="008450EF">
        <w:t xml:space="preserve">currently </w:t>
      </w:r>
      <w:r w:rsidR="004D2EBA" w:rsidRPr="008450EF">
        <w:t xml:space="preserve">underway in India, </w:t>
      </w:r>
      <w:r w:rsidR="00977FD3" w:rsidRPr="008450EF">
        <w:t xml:space="preserve">whilst </w:t>
      </w:r>
      <w:r w:rsidR="004D2EBA" w:rsidRPr="008450EF">
        <w:t xml:space="preserve">girls and women have been living in urban spaces in the UK for longer. The entry of women into further and higher education, and the labour market is also relatively new in India in comparison with the UK. Arguably, the change in social and gendered norms could be </w:t>
      </w:r>
      <w:r w:rsidR="00977FD3" w:rsidRPr="008450EF">
        <w:t xml:space="preserve">conceptualised as leading to a change in attitudes </w:t>
      </w:r>
      <w:r w:rsidR="00D928DE" w:rsidRPr="008450EF">
        <w:t xml:space="preserve">regarding sexual equality, the role of women, and perceptions of rape victims and perpetrators. </w:t>
      </w:r>
      <w:r w:rsidR="004D2EBA" w:rsidRPr="008450EF">
        <w:t xml:space="preserve"> </w:t>
      </w:r>
      <w:r w:rsidR="007E0AAE" w:rsidRPr="008450EF">
        <w:t>In the absence of academic research, the need to learn about the nature and extent of rape myth acceptance has also been identified (Barn, Barn, Raimondi &amp; Mukherjee, 2017;</w:t>
      </w:r>
      <w:r w:rsidR="00081D80" w:rsidRPr="008450EF">
        <w:t xml:space="preserve"> </w:t>
      </w:r>
      <w:r w:rsidR="007E0AAE" w:rsidRPr="008450EF">
        <w:t xml:space="preserve">Gurnham, 2016; </w:t>
      </w:r>
      <w:r w:rsidR="00081D80" w:rsidRPr="008450EF">
        <w:t>Kumari &amp; Barn, 2017</w:t>
      </w:r>
      <w:r w:rsidR="007E0AAE" w:rsidRPr="008450EF">
        <w:t xml:space="preserve">). </w:t>
      </w:r>
      <w:r w:rsidR="0068759A" w:rsidRPr="008450EF">
        <w:t>A comparative study into rape myth acceptance involving a student population could shed important light on the current values and beliefs in both countries.</w:t>
      </w:r>
      <w:r w:rsidR="0068759A">
        <w:t xml:space="preserve"> </w:t>
      </w:r>
    </w:p>
    <w:p w14:paraId="671E3B18" w14:textId="4DC3CD94" w:rsidR="00D37BE9" w:rsidRPr="006953F2" w:rsidRDefault="00A73837" w:rsidP="004E56BD">
      <w:pPr>
        <w:spacing w:line="480" w:lineRule="auto"/>
        <w:contextualSpacing/>
        <w:rPr>
          <w:b/>
          <w:sz w:val="28"/>
          <w:szCs w:val="28"/>
        </w:rPr>
      </w:pPr>
      <w:r w:rsidRPr="006953F2">
        <w:rPr>
          <w:b/>
          <w:sz w:val="28"/>
          <w:szCs w:val="28"/>
        </w:rPr>
        <w:t>Current Study</w:t>
      </w:r>
    </w:p>
    <w:p w14:paraId="3C298874" w14:textId="4DE8ABDF" w:rsidR="005D2D10" w:rsidRPr="006953F2" w:rsidRDefault="006B121E" w:rsidP="004E56BD">
      <w:pPr>
        <w:spacing w:line="480" w:lineRule="auto"/>
        <w:contextualSpacing/>
      </w:pPr>
      <w:r w:rsidRPr="006953F2">
        <w:t xml:space="preserve">The extant </w:t>
      </w:r>
      <w:r w:rsidR="00A73837" w:rsidRPr="006953F2">
        <w:t xml:space="preserve">empirical literature </w:t>
      </w:r>
      <w:r w:rsidRPr="006953F2">
        <w:t xml:space="preserve">into rape myths </w:t>
      </w:r>
      <w:r w:rsidR="00A73837" w:rsidRPr="006953F2">
        <w:t>underscore</w:t>
      </w:r>
      <w:r w:rsidRPr="006953F2">
        <w:t>s</w:t>
      </w:r>
      <w:r w:rsidR="00A73837" w:rsidRPr="006953F2">
        <w:t xml:space="preserve"> the importance of </w:t>
      </w:r>
      <w:r w:rsidR="002413DA" w:rsidRPr="006953F2">
        <w:t>extending studies</w:t>
      </w:r>
      <w:r w:rsidR="00A73837" w:rsidRPr="006953F2">
        <w:t xml:space="preserve"> of RMA beyond the USA to explore the unique cross-cultural variation between countries. To that end, t</w:t>
      </w:r>
      <w:r w:rsidR="00CF6838" w:rsidRPr="006953F2">
        <w:t xml:space="preserve">his study offers new insights about two country contexts where there has been much </w:t>
      </w:r>
      <w:r w:rsidR="00025E0D" w:rsidRPr="006953F2">
        <w:t xml:space="preserve">recent </w:t>
      </w:r>
      <w:r w:rsidR="00CF6838" w:rsidRPr="006953F2">
        <w:t>debate and discussion</w:t>
      </w:r>
      <w:r w:rsidR="00AD4B5C" w:rsidRPr="006953F2">
        <w:t xml:space="preserve"> about rape and victim blaming</w:t>
      </w:r>
      <w:r w:rsidR="000D0560" w:rsidRPr="006953F2">
        <w:t>, but little empirical research in this area,</w:t>
      </w:r>
      <w:r w:rsidR="00AD4B5C" w:rsidRPr="006953F2">
        <w:t xml:space="preserve"> and in doing so w</w:t>
      </w:r>
      <w:r w:rsidR="00A73837" w:rsidRPr="006953F2">
        <w:t>e include</w:t>
      </w:r>
      <w:r w:rsidR="00123CE3">
        <w:t>d</w:t>
      </w:r>
      <w:r w:rsidR="00A73837" w:rsidRPr="006953F2">
        <w:t xml:space="preserve"> both within and between country analyses. </w:t>
      </w:r>
      <w:r w:rsidR="007D0949" w:rsidRPr="006953F2">
        <w:t>The UK</w:t>
      </w:r>
      <w:r w:rsidR="005D2D10" w:rsidRPr="006953F2">
        <w:t xml:space="preserve"> and India are compared to examine cross-cultural variation in the types of rape myths endorsed. Previous studies in these countries have yet to offer such understandings into contemporary thinking among young adults. </w:t>
      </w:r>
      <w:r w:rsidR="00A73837" w:rsidRPr="006953F2">
        <w:t>With regard to within country explorations of RMA, t</w:t>
      </w:r>
      <w:r w:rsidR="00CF6838" w:rsidRPr="006953F2">
        <w:t>h</w:t>
      </w:r>
      <w:r w:rsidR="00A73837" w:rsidRPr="006953F2">
        <w:t>is</w:t>
      </w:r>
      <w:r w:rsidR="00CF6838" w:rsidRPr="006953F2">
        <w:t xml:space="preserve"> study builds on extant literature by including</w:t>
      </w:r>
      <w:r w:rsidR="00A73837" w:rsidRPr="006953F2">
        <w:t xml:space="preserve"> covariates that have been found to exert an impact in USA samples and ones that may be unique to each country including</w:t>
      </w:r>
      <w:r w:rsidR="00CF6838" w:rsidRPr="006953F2">
        <w:t xml:space="preserve"> </w:t>
      </w:r>
      <w:r w:rsidR="00025E0D" w:rsidRPr="006953F2">
        <w:t>caste, religion, ethnicity, gender, age, and education</w:t>
      </w:r>
      <w:r w:rsidR="00A73837" w:rsidRPr="006953F2">
        <w:t xml:space="preserve">. </w:t>
      </w:r>
    </w:p>
    <w:p w14:paraId="2D1C1949" w14:textId="77777777" w:rsidR="009D6495" w:rsidRDefault="009D6495" w:rsidP="004E56BD">
      <w:pPr>
        <w:spacing w:line="480" w:lineRule="auto"/>
        <w:contextualSpacing/>
        <w:rPr>
          <w:b/>
          <w:sz w:val="28"/>
          <w:szCs w:val="28"/>
        </w:rPr>
      </w:pPr>
    </w:p>
    <w:p w14:paraId="4C792AC0" w14:textId="79B80EC6" w:rsidR="00027184" w:rsidRPr="006953F2" w:rsidRDefault="00027184" w:rsidP="004E56BD">
      <w:pPr>
        <w:spacing w:line="480" w:lineRule="auto"/>
        <w:contextualSpacing/>
        <w:rPr>
          <w:b/>
          <w:sz w:val="28"/>
          <w:szCs w:val="28"/>
        </w:rPr>
      </w:pPr>
      <w:r w:rsidRPr="006953F2">
        <w:rPr>
          <w:b/>
          <w:sz w:val="28"/>
          <w:szCs w:val="28"/>
        </w:rPr>
        <w:lastRenderedPageBreak/>
        <w:t>Method</w:t>
      </w:r>
    </w:p>
    <w:p w14:paraId="7E1F7715" w14:textId="5E48D205" w:rsidR="00027184" w:rsidRPr="006953F2" w:rsidRDefault="00027184" w:rsidP="004E56BD">
      <w:pPr>
        <w:spacing w:line="480" w:lineRule="auto"/>
        <w:contextualSpacing/>
        <w:rPr>
          <w:b/>
        </w:rPr>
      </w:pPr>
      <w:r w:rsidRPr="006953F2">
        <w:rPr>
          <w:b/>
        </w:rPr>
        <w:t>Sample</w:t>
      </w:r>
    </w:p>
    <w:p w14:paraId="24AD67F6" w14:textId="0966F599" w:rsidR="00E31C84" w:rsidRPr="006953F2" w:rsidRDefault="00565D40" w:rsidP="00E31C84">
      <w:pPr>
        <w:spacing w:line="480" w:lineRule="auto"/>
        <w:contextualSpacing/>
      </w:pPr>
      <w:r w:rsidRPr="006953F2">
        <w:t xml:space="preserve">Characteristic sample details are provided in Table 1. </w:t>
      </w:r>
      <w:r w:rsidR="00025E0D" w:rsidRPr="009D6495">
        <w:t xml:space="preserve">The sample comprised </w:t>
      </w:r>
      <w:r w:rsidR="008E0C25" w:rsidRPr="009D6495">
        <w:t xml:space="preserve">693 university </w:t>
      </w:r>
      <w:r w:rsidR="008E0C25" w:rsidRPr="00751CE1">
        <w:t>students, 461 (India), and 232 (UK)</w:t>
      </w:r>
      <w:r w:rsidR="00C50AD3" w:rsidRPr="00751CE1">
        <w:t>.</w:t>
      </w:r>
      <w:r w:rsidR="008451B6" w:rsidRPr="00751CE1">
        <w:t xml:space="preserve"> </w:t>
      </w:r>
      <w:r w:rsidR="00C50AD3" w:rsidRPr="00751CE1">
        <w:t>There was</w:t>
      </w:r>
      <w:r w:rsidR="00755A50" w:rsidRPr="00751CE1">
        <w:t xml:space="preserve"> a higher proportion of </w:t>
      </w:r>
      <w:r w:rsidR="00B46135" w:rsidRPr="00751CE1">
        <w:t xml:space="preserve">women (274 India and 164 UK) </w:t>
      </w:r>
      <w:r w:rsidR="00755A50" w:rsidRPr="00751CE1">
        <w:t xml:space="preserve">and undergraduate </w:t>
      </w:r>
      <w:r w:rsidR="000970C2" w:rsidRPr="00751CE1">
        <w:t>students</w:t>
      </w:r>
      <w:r w:rsidR="008451B6" w:rsidRPr="00751CE1">
        <w:t xml:space="preserve"> in both countries</w:t>
      </w:r>
      <w:r w:rsidR="000970C2" w:rsidRPr="00751CE1">
        <w:t xml:space="preserve">. </w:t>
      </w:r>
      <w:r w:rsidR="0061608B" w:rsidRPr="00751CE1">
        <w:t xml:space="preserve">Approximately 9% of the same were missing on demographic information. </w:t>
      </w:r>
      <w:r w:rsidR="006834FD" w:rsidRPr="00751CE1">
        <w:t>Overall, approximately 66% of the sample were undergraduate students with the majority of the graduate students pursuing Master’s degrees (29%</w:t>
      </w:r>
      <w:r w:rsidR="00402584" w:rsidRPr="00751CE1">
        <w:t xml:space="preserve"> of the overall sample</w:t>
      </w:r>
      <w:r w:rsidR="006834FD" w:rsidRPr="00751CE1">
        <w:t xml:space="preserve">). </w:t>
      </w:r>
      <w:r w:rsidR="00940FEF" w:rsidRPr="00751CE1">
        <w:t>A</w:t>
      </w:r>
      <w:r w:rsidRPr="00751CE1">
        <w:t>lthough the range was wider in the UK</w:t>
      </w:r>
      <w:r w:rsidR="007475C0" w:rsidRPr="00751CE1">
        <w:t xml:space="preserve"> (18 to 61 </w:t>
      </w:r>
      <w:r w:rsidR="00940FEF" w:rsidRPr="00751CE1">
        <w:t xml:space="preserve">(UK) </w:t>
      </w:r>
      <w:r w:rsidR="007475C0" w:rsidRPr="00751CE1">
        <w:t xml:space="preserve">vs 17 to 25 </w:t>
      </w:r>
      <w:r w:rsidR="00940FEF" w:rsidRPr="00751CE1">
        <w:t>(India)</w:t>
      </w:r>
      <w:r w:rsidR="007475C0" w:rsidRPr="00751CE1">
        <w:t>)</w:t>
      </w:r>
      <w:r w:rsidR="00940FEF" w:rsidRPr="00751CE1">
        <w:t xml:space="preserve">, the mean age of the students was approximately 21. </w:t>
      </w:r>
      <w:r w:rsidR="00402584" w:rsidRPr="00751CE1">
        <w:t xml:space="preserve">In addition to the above </w:t>
      </w:r>
      <w:r w:rsidR="00B855E6" w:rsidRPr="00751CE1">
        <w:t xml:space="preserve">mentioned </w:t>
      </w:r>
      <w:r w:rsidR="00402584" w:rsidRPr="00751CE1">
        <w:t>characteristics, information was collected on a number of demographic and cultural characteristics specific to each country. In India, these included mother</w:t>
      </w:r>
      <w:r w:rsidR="00B855E6" w:rsidRPr="00751CE1">
        <w:t xml:space="preserve"> </w:t>
      </w:r>
      <w:r w:rsidR="00402584" w:rsidRPr="00751CE1">
        <w:t>tongue, religion and caste. As shown, the sample was predominately Hindi speaking (70%), and Hindu (59%). A small minority reported belonging to a s</w:t>
      </w:r>
      <w:r w:rsidR="00402584" w:rsidRPr="00751CE1">
        <w:rPr>
          <w:color w:val="000000"/>
        </w:rPr>
        <w:t>cheduled caste/scheduled tribe</w:t>
      </w:r>
      <w:r w:rsidR="00402584" w:rsidRPr="00751CE1">
        <w:rPr>
          <w:rFonts w:ascii="Arial" w:hAnsi="Arial" w:cs="Arial"/>
          <w:color w:val="000000"/>
          <w:sz w:val="26"/>
          <w:szCs w:val="26"/>
        </w:rPr>
        <w:t xml:space="preserve"> </w:t>
      </w:r>
      <w:r w:rsidR="00402584" w:rsidRPr="00751CE1">
        <w:t>(</w:t>
      </w:r>
      <w:r w:rsidR="00B46135" w:rsidRPr="00751CE1">
        <w:t>13</w:t>
      </w:r>
      <w:r w:rsidR="00402584" w:rsidRPr="00751CE1">
        <w:t>%). In the UK, comparable characteristics included race and religion. The majority of the sample was White (5</w:t>
      </w:r>
      <w:r w:rsidR="00B46135" w:rsidRPr="00751CE1">
        <w:t>9</w:t>
      </w:r>
      <w:r w:rsidR="00402584" w:rsidRPr="00751CE1">
        <w:t>%). Religion was fairly diverse with 3</w:t>
      </w:r>
      <w:r w:rsidR="00B46135" w:rsidRPr="00751CE1">
        <w:t>7</w:t>
      </w:r>
      <w:r w:rsidR="00402584" w:rsidRPr="00751CE1">
        <w:t>% reporting being Christians</w:t>
      </w:r>
      <w:r w:rsidR="00402584" w:rsidRPr="006953F2">
        <w:t xml:space="preserve"> and almost a quarter reporting non-Christian religion. </w:t>
      </w:r>
    </w:p>
    <w:p w14:paraId="63BB9C00" w14:textId="6B63777B" w:rsidR="00464CA1" w:rsidRPr="006953F2" w:rsidRDefault="00CA75FD" w:rsidP="004E56BD">
      <w:pPr>
        <w:contextualSpacing/>
        <w:rPr>
          <w:b/>
        </w:rPr>
      </w:pPr>
      <w:r w:rsidRPr="006953F2">
        <w:rPr>
          <w:b/>
        </w:rPr>
        <w:t>Rape Myth Acceptance</w:t>
      </w:r>
    </w:p>
    <w:p w14:paraId="5CAED723" w14:textId="7CD6A46F" w:rsidR="00FE6EF0" w:rsidRPr="006953F2" w:rsidRDefault="00FE6EF0" w:rsidP="004E56BD">
      <w:pPr>
        <w:contextualSpacing/>
        <w:rPr>
          <w:b/>
        </w:rPr>
      </w:pPr>
    </w:p>
    <w:p w14:paraId="2CF8F6D9" w14:textId="2A02CFC6" w:rsidR="00283061" w:rsidRPr="00751CE1" w:rsidRDefault="00FE6EF0" w:rsidP="009A4046">
      <w:pPr>
        <w:spacing w:line="480" w:lineRule="auto"/>
        <w:contextualSpacing/>
      </w:pPr>
      <w:r w:rsidRPr="006953F2">
        <w:t xml:space="preserve">Rape myth acceptance was measured with </w:t>
      </w:r>
      <w:r w:rsidR="003011A3">
        <w:t xml:space="preserve">19 </w:t>
      </w:r>
      <w:r w:rsidR="00E31C84" w:rsidRPr="006953F2">
        <w:t>questions included in the</w:t>
      </w:r>
      <w:r w:rsidRPr="006953F2">
        <w:t xml:space="preserve"> Illinois Rape Myth Acceptance</w:t>
      </w:r>
      <w:r w:rsidR="009A4046" w:rsidRPr="006953F2">
        <w:t xml:space="preserve"> </w:t>
      </w:r>
      <w:r w:rsidR="003011A3">
        <w:t>Scale</w:t>
      </w:r>
      <w:r w:rsidRPr="006953F2">
        <w:t xml:space="preserve"> (</w:t>
      </w:r>
      <w:r w:rsidR="009A4046" w:rsidRPr="006953F2">
        <w:t>IRMA-SF</w:t>
      </w:r>
      <w:r w:rsidR="00AD5E18" w:rsidRPr="009D6495">
        <w:rPr>
          <w:highlight w:val="yellow"/>
        </w:rPr>
        <w:t>;</w:t>
      </w:r>
      <w:r w:rsidR="009A4046" w:rsidRPr="006953F2">
        <w:t xml:space="preserve"> </w:t>
      </w:r>
      <w:r w:rsidR="00CA75FD" w:rsidRPr="006953F2">
        <w:t>Payn</w:t>
      </w:r>
      <w:r w:rsidR="00433CD4" w:rsidRPr="006953F2">
        <w:t>e,</w:t>
      </w:r>
      <w:r w:rsidR="00CA75FD" w:rsidRPr="006953F2">
        <w:t xml:space="preserve"> Lonsway,</w:t>
      </w:r>
      <w:r w:rsidR="00433CD4" w:rsidRPr="006953F2">
        <w:t xml:space="preserve"> &amp; Fitzgerald,</w:t>
      </w:r>
      <w:r w:rsidR="00CA75FD" w:rsidRPr="006953F2">
        <w:t xml:space="preserve"> 1999</w:t>
      </w:r>
      <w:r w:rsidR="00E31C84" w:rsidRPr="006953F2">
        <w:t xml:space="preserve">; McMahon </w:t>
      </w:r>
      <w:r w:rsidR="00AD5E18">
        <w:t>&amp;</w:t>
      </w:r>
      <w:r w:rsidR="00E31C84" w:rsidRPr="006953F2">
        <w:t xml:space="preserve"> Farmer, 2011</w:t>
      </w:r>
      <w:r w:rsidRPr="006953F2">
        <w:t xml:space="preserve">). This survey is a widely used measure of rape myth acceptance with repeated demonstrable validity and reliability. </w:t>
      </w:r>
      <w:r w:rsidR="00E31C84" w:rsidRPr="006953F2">
        <w:t xml:space="preserve">These questions measure several facets of rape myths such as that women are culpable because </w:t>
      </w:r>
      <w:r w:rsidR="006658B3" w:rsidRPr="006953F2">
        <w:t>of their behaviour (e.g., “if a girl</w:t>
      </w:r>
      <w:r w:rsidR="00E31C84" w:rsidRPr="006953F2">
        <w:t xml:space="preserve"> is raped while she is drunk, she is at least somewhat responsible for letting things ge</w:t>
      </w:r>
      <w:r w:rsidR="006658B3" w:rsidRPr="006953F2">
        <w:t>t out of control) and that men</w:t>
      </w:r>
      <w:r w:rsidR="00E31C84" w:rsidRPr="006953F2">
        <w:t xml:space="preserve"> are not fully responsible for their behaviour (e.g., “guys don’t usually intend to force sex on a girl, but sometimes they get too sexually carried away”). In addition, the scale includes </w:t>
      </w:r>
      <w:r w:rsidR="00E31C84" w:rsidRPr="006953F2">
        <w:lastRenderedPageBreak/>
        <w:t xml:space="preserve">items that measure the idea that women lie about being raped (e.g., “a lot of girls lead guys on and then </w:t>
      </w:r>
      <w:r w:rsidR="003011A3">
        <w:t>cry rape</w:t>
      </w:r>
      <w:r w:rsidR="00E31C84" w:rsidRPr="006953F2">
        <w:t xml:space="preserve">”) or that sexual violence is not as detrimental as reported (e.g., “girls exaggerate how much rape affects them”). </w:t>
      </w:r>
      <w:r w:rsidR="003011A3" w:rsidRPr="008450EF">
        <w:t>These items appear on a 5 point Likert scale ranging from Strongly Disagree to Strongly Agree.</w:t>
      </w:r>
      <w:r w:rsidR="003011A3">
        <w:t xml:space="preserve"> </w:t>
      </w:r>
      <w:r w:rsidR="00E31C84" w:rsidRPr="006953F2">
        <w:t xml:space="preserve">These items are averaged together to provide an overall score of rape myth acceptance. The scale had demonstrable reliability in both countries with a Cronbach’s alpha of </w:t>
      </w:r>
      <w:r w:rsidR="005032FB" w:rsidRPr="006953F2">
        <w:t xml:space="preserve">0.90 in </w:t>
      </w:r>
      <w:r w:rsidR="005032FB" w:rsidRPr="00751CE1">
        <w:t xml:space="preserve">the UK </w:t>
      </w:r>
      <w:r w:rsidR="006222BD" w:rsidRPr="00751CE1">
        <w:t>and 0.</w:t>
      </w:r>
      <w:r w:rsidR="00B46135" w:rsidRPr="00751CE1">
        <w:t>90</w:t>
      </w:r>
      <w:r w:rsidR="006222BD" w:rsidRPr="00751CE1">
        <w:t xml:space="preserve"> in India.</w:t>
      </w:r>
    </w:p>
    <w:p w14:paraId="5ACF2A5C" w14:textId="77777777" w:rsidR="00CA75FD" w:rsidRPr="00751CE1" w:rsidRDefault="00CA75FD" w:rsidP="00CA75FD">
      <w:pPr>
        <w:spacing w:line="480" w:lineRule="auto"/>
        <w:contextualSpacing/>
        <w:rPr>
          <w:b/>
        </w:rPr>
      </w:pPr>
      <w:r w:rsidRPr="00751CE1">
        <w:rPr>
          <w:b/>
        </w:rPr>
        <w:t>Procedure</w:t>
      </w:r>
    </w:p>
    <w:p w14:paraId="186CCF07" w14:textId="29D91E2A" w:rsidR="00CA75FD" w:rsidRPr="006953F2" w:rsidRDefault="00CA75FD" w:rsidP="00AA3363">
      <w:pPr>
        <w:spacing w:line="480" w:lineRule="auto"/>
        <w:contextualSpacing/>
      </w:pPr>
      <w:r w:rsidRPr="00751CE1">
        <w:t>The survey was conducted during 2015</w:t>
      </w:r>
      <w:r w:rsidR="00B855E6" w:rsidRPr="00751CE1">
        <w:t xml:space="preserve"> </w:t>
      </w:r>
      <w:r w:rsidRPr="00751CE1">
        <w:t>-</w:t>
      </w:r>
      <w:r w:rsidR="00B855E6" w:rsidRPr="00751CE1">
        <w:t xml:space="preserve"> </w:t>
      </w:r>
      <w:r w:rsidRPr="00751CE1">
        <w:t xml:space="preserve">2016 in India and the UK. </w:t>
      </w:r>
      <w:r w:rsidR="00493369" w:rsidRPr="00751CE1">
        <w:t xml:space="preserve">Students </w:t>
      </w:r>
      <w:r w:rsidR="004C1559" w:rsidRPr="00751CE1">
        <w:t xml:space="preserve">located </w:t>
      </w:r>
      <w:r w:rsidR="001413D7" w:rsidRPr="00751CE1">
        <w:t xml:space="preserve">in </w:t>
      </w:r>
      <w:r w:rsidR="004C1559" w:rsidRPr="00751CE1">
        <w:t xml:space="preserve">two </w:t>
      </w:r>
      <w:r w:rsidR="001413D7" w:rsidRPr="00751CE1">
        <w:t>universities in London</w:t>
      </w:r>
      <w:r w:rsidR="004C1559" w:rsidRPr="00751CE1">
        <w:t>,</w:t>
      </w:r>
      <w:r w:rsidR="001413D7" w:rsidRPr="00751CE1">
        <w:t xml:space="preserve"> and </w:t>
      </w:r>
      <w:r w:rsidR="004C1559" w:rsidRPr="00751CE1">
        <w:t xml:space="preserve">three universities in </w:t>
      </w:r>
      <w:r w:rsidR="001413D7" w:rsidRPr="00751CE1">
        <w:t xml:space="preserve">Delhi contributed to the data collection. </w:t>
      </w:r>
      <w:r w:rsidR="008B79FB" w:rsidRPr="00751CE1">
        <w:t>A</w:t>
      </w:r>
      <w:r w:rsidR="001413D7" w:rsidRPr="00751CE1">
        <w:t xml:space="preserve"> pilot exercise</w:t>
      </w:r>
      <w:r w:rsidR="008B79FB" w:rsidRPr="00751CE1">
        <w:t xml:space="preserve">, in the form of small group discussions, helped </w:t>
      </w:r>
      <w:r w:rsidR="00DF1F71" w:rsidRPr="00751CE1">
        <w:t xml:space="preserve">establish </w:t>
      </w:r>
      <w:r w:rsidR="008B79FB" w:rsidRPr="00751CE1">
        <w:t>the suitability of the IRMA scale</w:t>
      </w:r>
      <w:r w:rsidR="00CC1A80" w:rsidRPr="00751CE1">
        <w:t xml:space="preserve">, </w:t>
      </w:r>
      <w:r w:rsidR="008B79FB" w:rsidRPr="00751CE1">
        <w:t xml:space="preserve">its linguistic relevance for the </w:t>
      </w:r>
      <w:r w:rsidR="00402584" w:rsidRPr="00751CE1">
        <w:t xml:space="preserve">UK and </w:t>
      </w:r>
      <w:r w:rsidR="00122442" w:rsidRPr="00751CE1">
        <w:t xml:space="preserve">the </w:t>
      </w:r>
      <w:r w:rsidR="008B79FB" w:rsidRPr="00751CE1">
        <w:t>Indian context</w:t>
      </w:r>
      <w:r w:rsidR="00CC1A80" w:rsidRPr="00751CE1">
        <w:t>, and English language proficiency of the participants in India</w:t>
      </w:r>
      <w:r w:rsidR="008B79FB" w:rsidRPr="00751CE1">
        <w:t xml:space="preserve">. </w:t>
      </w:r>
      <w:r w:rsidR="001413D7" w:rsidRPr="00751CE1">
        <w:t>The survey was issued in English in both settings</w:t>
      </w:r>
      <w:r w:rsidR="00E54B33" w:rsidRPr="00751CE1">
        <w:t xml:space="preserve">, and it </w:t>
      </w:r>
      <w:r w:rsidR="001413D7" w:rsidRPr="00751CE1">
        <w:t>was administered online via university departments, and face</w:t>
      </w:r>
      <w:r w:rsidR="00A07514" w:rsidRPr="00751CE1">
        <w:t>-</w:t>
      </w:r>
      <w:r w:rsidR="001413D7" w:rsidRPr="00751CE1">
        <w:t>to</w:t>
      </w:r>
      <w:r w:rsidR="00A07514" w:rsidRPr="00751CE1">
        <w:t>-</w:t>
      </w:r>
      <w:r w:rsidR="001413D7" w:rsidRPr="00751CE1">
        <w:t xml:space="preserve">face in </w:t>
      </w:r>
      <w:r w:rsidR="00A07514" w:rsidRPr="00751CE1">
        <w:t xml:space="preserve">a paper survey in </w:t>
      </w:r>
      <w:r w:rsidR="001413D7" w:rsidRPr="00751CE1">
        <w:t xml:space="preserve">both countries. </w:t>
      </w:r>
      <w:r w:rsidR="00A07514" w:rsidRPr="00751CE1">
        <w:t>I</w:t>
      </w:r>
      <w:r w:rsidR="00574BAB" w:rsidRPr="00751CE1">
        <w:t>n spite of its obvious</w:t>
      </w:r>
      <w:r w:rsidR="00A07514" w:rsidRPr="00751CE1">
        <w:t xml:space="preserve"> anonymity, </w:t>
      </w:r>
      <w:r w:rsidR="00574BAB" w:rsidRPr="00751CE1">
        <w:t>the online survey</w:t>
      </w:r>
      <w:r w:rsidR="00574BAB">
        <w:t xml:space="preserve"> </w:t>
      </w:r>
      <w:r w:rsidR="00A07514" w:rsidRPr="006953F2">
        <w:t xml:space="preserve">proved to be less popular as a method of data collection. </w:t>
      </w:r>
      <w:r w:rsidR="004C1559" w:rsidRPr="006953F2">
        <w:t>The vast majority of the respondents (80%)</w:t>
      </w:r>
      <w:r w:rsidR="008B79FB" w:rsidRPr="006953F2">
        <w:t>, in both countries,</w:t>
      </w:r>
      <w:r w:rsidR="004C1559" w:rsidRPr="006953F2">
        <w:t xml:space="preserve"> completed the survey in a classroom setting.</w:t>
      </w:r>
      <w:r w:rsidR="00A07514" w:rsidRPr="006953F2">
        <w:t xml:space="preserve"> The option to have face-to-face interaction with the researchers may have ensured a higher rate of completion for the paper survey.</w:t>
      </w:r>
      <w:r w:rsidR="004C1559" w:rsidRPr="006953F2">
        <w:t xml:space="preserve"> </w:t>
      </w:r>
      <w:r w:rsidRPr="006953F2">
        <w:t xml:space="preserve">In line with the </w:t>
      </w:r>
      <w:r w:rsidR="001D7542">
        <w:t xml:space="preserve">researchers’ university </w:t>
      </w:r>
      <w:r w:rsidRPr="006953F2">
        <w:t xml:space="preserve">ethics guidelines, participants were reassured of anonymity, </w:t>
      </w:r>
      <w:r w:rsidRPr="00751CE1">
        <w:t>confidentiality, informed consent, right to withdraw, and secure storage of data</w:t>
      </w:r>
      <w:r w:rsidR="0028719F" w:rsidRPr="00751CE1">
        <w:t xml:space="preserve"> (Iphofen, 2016)</w:t>
      </w:r>
      <w:r w:rsidRPr="00751CE1">
        <w:t>.</w:t>
      </w:r>
      <w:r w:rsidRPr="006953F2">
        <w:t xml:space="preserve"> </w:t>
      </w:r>
    </w:p>
    <w:p w14:paraId="61099CB2" w14:textId="77777777" w:rsidR="00AA3363" w:rsidRPr="006953F2" w:rsidRDefault="00CE0324" w:rsidP="00AA3363">
      <w:pPr>
        <w:spacing w:line="480" w:lineRule="auto"/>
        <w:contextualSpacing/>
        <w:rPr>
          <w:b/>
        </w:rPr>
      </w:pPr>
      <w:r w:rsidRPr="006953F2">
        <w:rPr>
          <w:b/>
        </w:rPr>
        <w:t>Analytic Strategy</w:t>
      </w:r>
      <w:r w:rsidRPr="006953F2">
        <w:rPr>
          <w:b/>
        </w:rPr>
        <w:tab/>
      </w:r>
    </w:p>
    <w:p w14:paraId="7E76A7B0" w14:textId="03428446" w:rsidR="00061373" w:rsidRPr="009D6495" w:rsidRDefault="00402584" w:rsidP="005F447C">
      <w:pPr>
        <w:spacing w:line="480" w:lineRule="auto"/>
        <w:contextualSpacing/>
      </w:pPr>
      <w:r w:rsidRPr="006953F2">
        <w:t>The analysis proceeded</w:t>
      </w:r>
      <w:r w:rsidR="00CE0324" w:rsidRPr="006953F2">
        <w:t xml:space="preserve"> in three stages. </w:t>
      </w:r>
      <w:r w:rsidR="005D2D10" w:rsidRPr="006953F2">
        <w:t xml:space="preserve">First, descriptive statistics regarding acceptance of the various rape myths included in the scale </w:t>
      </w:r>
      <w:r w:rsidRPr="006953F2">
        <w:t xml:space="preserve">were </w:t>
      </w:r>
      <w:r w:rsidR="005D2D10" w:rsidRPr="006953F2">
        <w:t xml:space="preserve">explored. </w:t>
      </w:r>
      <w:r w:rsidR="00D7386A" w:rsidRPr="006953F2">
        <w:t>Mean differences b</w:t>
      </w:r>
      <w:r w:rsidR="005D2D10" w:rsidRPr="006953F2">
        <w:t xml:space="preserve">etween </w:t>
      </w:r>
      <w:r w:rsidRPr="006953F2">
        <w:t>the UK</w:t>
      </w:r>
      <w:r w:rsidR="00D7386A" w:rsidRPr="006953F2">
        <w:t xml:space="preserve"> and India </w:t>
      </w:r>
      <w:r w:rsidRPr="006953F2">
        <w:t>were</w:t>
      </w:r>
      <w:r w:rsidR="005D2D10" w:rsidRPr="006953F2">
        <w:t xml:space="preserve"> assessed usi</w:t>
      </w:r>
      <w:r w:rsidR="00D7386A" w:rsidRPr="006953F2">
        <w:t>ng two</w:t>
      </w:r>
      <w:r w:rsidR="00C35768" w:rsidRPr="006953F2">
        <w:t xml:space="preserve"> sample</w:t>
      </w:r>
      <w:r w:rsidR="00D7386A" w:rsidRPr="006953F2">
        <w:t xml:space="preserve"> t-tests with unequal variances.</w:t>
      </w:r>
      <w:r w:rsidR="00C35768" w:rsidRPr="006953F2">
        <w:t xml:space="preserve"> Second, </w:t>
      </w:r>
      <w:r w:rsidR="005F447C" w:rsidRPr="006953F2">
        <w:t xml:space="preserve">using OLS, </w:t>
      </w:r>
      <w:r w:rsidR="00C35768" w:rsidRPr="006953F2">
        <w:t>the overa</w:t>
      </w:r>
      <w:r w:rsidRPr="006953F2">
        <w:t>ll rape myth acceptance score was</w:t>
      </w:r>
      <w:r w:rsidR="00C35768" w:rsidRPr="006953F2">
        <w:t xml:space="preserve"> regressed on country with common correlates </w:t>
      </w:r>
      <w:r w:rsidR="00C35768" w:rsidRPr="00751CE1">
        <w:lastRenderedPageBreak/>
        <w:t>between</w:t>
      </w:r>
      <w:r w:rsidR="005F447C" w:rsidRPr="00751CE1">
        <w:t xml:space="preserve"> the countries </w:t>
      </w:r>
      <w:r w:rsidR="00C35768" w:rsidRPr="00751CE1">
        <w:t xml:space="preserve">included as controls. </w:t>
      </w:r>
      <w:r w:rsidR="005F447C" w:rsidRPr="00751CE1">
        <w:t>These control variables include</w:t>
      </w:r>
      <w:r w:rsidR="00123CE3" w:rsidRPr="00751CE1">
        <w:t>d</w:t>
      </w:r>
      <w:r w:rsidR="005F447C" w:rsidRPr="00751CE1">
        <w:t xml:space="preserve"> gender, age, and religion (Christian, Hindu, Other). </w:t>
      </w:r>
      <w:r w:rsidR="00C35768" w:rsidRPr="00751CE1">
        <w:t xml:space="preserve">Finally, </w:t>
      </w:r>
      <w:r w:rsidRPr="00751CE1">
        <w:t xml:space="preserve">the same analytic strategy was </w:t>
      </w:r>
      <w:r w:rsidR="005F447C" w:rsidRPr="00751CE1">
        <w:t xml:space="preserve">used for within country models </w:t>
      </w:r>
      <w:r w:rsidR="00C35768" w:rsidRPr="00751CE1">
        <w:t xml:space="preserve">to examine country-specific </w:t>
      </w:r>
      <w:r w:rsidR="005F447C" w:rsidRPr="00751CE1">
        <w:t xml:space="preserve">correlates </w:t>
      </w:r>
      <w:r w:rsidR="00C35768" w:rsidRPr="00751CE1">
        <w:t xml:space="preserve">that </w:t>
      </w:r>
      <w:r w:rsidR="005F447C" w:rsidRPr="00751CE1">
        <w:t xml:space="preserve">may </w:t>
      </w:r>
      <w:r w:rsidR="00C35768" w:rsidRPr="00751CE1">
        <w:t xml:space="preserve">provide cultural context to rape myth </w:t>
      </w:r>
      <w:r w:rsidR="000970C2" w:rsidRPr="00751CE1">
        <w:t>acceptance</w:t>
      </w:r>
      <w:r w:rsidR="00C35768" w:rsidRPr="00751CE1">
        <w:t>.</w:t>
      </w:r>
      <w:r w:rsidR="005F447C" w:rsidRPr="00751CE1">
        <w:t xml:space="preserve"> For </w:t>
      </w:r>
      <w:r w:rsidRPr="00751CE1">
        <w:t>the UK,</w:t>
      </w:r>
      <w:r w:rsidR="005F447C" w:rsidRPr="00751CE1">
        <w:t xml:space="preserve"> these variables include</w:t>
      </w:r>
      <w:r w:rsidRPr="00751CE1">
        <w:t>d</w:t>
      </w:r>
      <w:r w:rsidR="005F447C" w:rsidRPr="00751CE1">
        <w:t xml:space="preserve"> gender, age, race, </w:t>
      </w:r>
      <w:r w:rsidR="007524BF" w:rsidRPr="00751CE1">
        <w:t xml:space="preserve">and </w:t>
      </w:r>
      <w:r w:rsidR="005F447C" w:rsidRPr="00751CE1">
        <w:t>religion (Christian, non-Christian, no religion). For India these variables include</w:t>
      </w:r>
      <w:r w:rsidRPr="00751CE1">
        <w:t>d</w:t>
      </w:r>
      <w:r w:rsidR="005F447C" w:rsidRPr="00751CE1">
        <w:t xml:space="preserve"> gender, age, religion (Hindu, Muslim, Other), mother</w:t>
      </w:r>
      <w:r w:rsidR="00B855E6" w:rsidRPr="00751CE1">
        <w:t xml:space="preserve"> </w:t>
      </w:r>
      <w:r w:rsidR="005F447C" w:rsidRPr="00751CE1">
        <w:t>tongue (Hindi, Urdu, Other),</w:t>
      </w:r>
      <w:r w:rsidR="007524BF" w:rsidRPr="00751CE1">
        <w:t xml:space="preserve"> and</w:t>
      </w:r>
      <w:r w:rsidR="005F447C" w:rsidRPr="00751CE1">
        <w:t xml:space="preserve"> caste.</w:t>
      </w:r>
      <w:r w:rsidR="0061608B">
        <w:t xml:space="preserve"> </w:t>
      </w:r>
      <w:r w:rsidR="0061608B" w:rsidRPr="009D6495">
        <w:t>Some of the participants were missing data on the demographic characteristics. Missing data w</w:t>
      </w:r>
      <w:r w:rsidR="00123CE3" w:rsidRPr="009D6495">
        <w:t>ere</w:t>
      </w:r>
      <w:r w:rsidR="0061608B" w:rsidRPr="009D6495">
        <w:t xml:space="preserve"> handled through listwise deletion.</w:t>
      </w:r>
    </w:p>
    <w:p w14:paraId="6A7C01D8" w14:textId="2FD84A12" w:rsidR="00464CA1" w:rsidRPr="006953F2" w:rsidRDefault="00F55B13" w:rsidP="005F447C">
      <w:pPr>
        <w:spacing w:line="480" w:lineRule="auto"/>
        <w:contextualSpacing/>
      </w:pPr>
      <w:r w:rsidRPr="006953F2">
        <w:rPr>
          <w:b/>
          <w:sz w:val="28"/>
          <w:szCs w:val="28"/>
        </w:rPr>
        <w:t>Results</w:t>
      </w:r>
    </w:p>
    <w:p w14:paraId="245ED7EA" w14:textId="7884BCD2" w:rsidR="002413DA" w:rsidRPr="006953F2" w:rsidRDefault="008E57E4" w:rsidP="008E57E4">
      <w:pPr>
        <w:spacing w:line="480" w:lineRule="auto"/>
        <w:contextualSpacing/>
      </w:pPr>
      <w:r w:rsidRPr="006953F2">
        <w:t>Table 2 displays item specific rape myth acceptance scores as well as mean differences between countries</w:t>
      </w:r>
      <w:r w:rsidRPr="008450EF">
        <w:t xml:space="preserve">. </w:t>
      </w:r>
      <w:r w:rsidR="007F1129" w:rsidRPr="008450EF">
        <w:t xml:space="preserve">Given the number of comparisons, </w:t>
      </w:r>
      <w:r w:rsidR="008E4CD9" w:rsidRPr="008450EF">
        <w:t>a</w:t>
      </w:r>
      <w:r w:rsidR="007F1129" w:rsidRPr="008450EF">
        <w:t xml:space="preserve"> Bonferroni corrected p-value of .0026 is used.</w:t>
      </w:r>
      <w:r w:rsidR="007F1129" w:rsidRPr="00E73B59">
        <w:t xml:space="preserve"> </w:t>
      </w:r>
      <w:r w:rsidRPr="00E73B59">
        <w:t>As</w:t>
      </w:r>
      <w:r w:rsidRPr="006953F2">
        <w:t xml:space="preserve"> shown, overall rape myth acceptance was fairly low with most average scores being in the Disagree or Strongly Disagree range. The myth that elicited the highest endorsement in the UK sample pertained to whether women are culp</w:t>
      </w:r>
      <w:r w:rsidR="00B46135">
        <w:t xml:space="preserve">able if they are </w:t>
      </w:r>
      <w:r w:rsidR="007B155F">
        <w:t>‘</w:t>
      </w:r>
      <w:r w:rsidR="00B46135">
        <w:t xml:space="preserve">sexually </w:t>
      </w:r>
      <w:r w:rsidR="00654148">
        <w:t>provocative</w:t>
      </w:r>
      <w:r w:rsidR="007B155F">
        <w:t>’</w:t>
      </w:r>
      <w:r w:rsidRPr="006953F2">
        <w:t xml:space="preserve"> (</w:t>
      </w:r>
      <w:r w:rsidRPr="006953F2">
        <w:rPr>
          <w:i/>
        </w:rPr>
        <w:t>M</w:t>
      </w:r>
      <w:r w:rsidRPr="006953F2">
        <w:t>=2.</w:t>
      </w:r>
      <w:r w:rsidRPr="00751CE1">
        <w:t>39</w:t>
      </w:r>
      <w:r w:rsidR="00B46135" w:rsidRPr="00751CE1">
        <w:t xml:space="preserve">, </w:t>
      </w:r>
      <w:r w:rsidR="00B46135" w:rsidRPr="00751CE1">
        <w:rPr>
          <w:i/>
        </w:rPr>
        <w:t>SD</w:t>
      </w:r>
      <w:r w:rsidR="00B46135" w:rsidRPr="00751CE1">
        <w:t>=1.20</w:t>
      </w:r>
      <w:r w:rsidRPr="00751CE1">
        <w:t>) whereas the highest endorsement among Indian students pertained to sexual assault occurring as a result of men’s sex drive (</w:t>
      </w:r>
      <w:r w:rsidRPr="00751CE1">
        <w:rPr>
          <w:i/>
        </w:rPr>
        <w:t>M</w:t>
      </w:r>
      <w:r w:rsidRPr="00751CE1">
        <w:t>=2.7</w:t>
      </w:r>
      <w:r w:rsidR="00B46135" w:rsidRPr="00751CE1">
        <w:t xml:space="preserve">2, </w:t>
      </w:r>
      <w:r w:rsidR="00B46135" w:rsidRPr="00751CE1">
        <w:rPr>
          <w:i/>
        </w:rPr>
        <w:t>SD</w:t>
      </w:r>
      <w:r w:rsidR="00B46135" w:rsidRPr="00751CE1">
        <w:t>=1.32</w:t>
      </w:r>
      <w:r w:rsidRPr="00751CE1">
        <w:t xml:space="preserve">). </w:t>
      </w:r>
      <w:r w:rsidR="002A503B" w:rsidRPr="00751CE1">
        <w:t xml:space="preserve">The </w:t>
      </w:r>
      <w:r w:rsidRPr="00751CE1">
        <w:t>tw</w:t>
      </w:r>
      <w:r w:rsidR="00402584" w:rsidRPr="00751CE1">
        <w:t>o items that elicited the lowes</w:t>
      </w:r>
      <w:r w:rsidRPr="00751CE1">
        <w:t>t agreement for both countries were that sexual assault must involve a weapon (</w:t>
      </w:r>
      <w:r w:rsidRPr="00751CE1">
        <w:rPr>
          <w:i/>
        </w:rPr>
        <w:t>M</w:t>
      </w:r>
      <w:r w:rsidRPr="00751CE1">
        <w:t>=1.14</w:t>
      </w:r>
      <w:r w:rsidR="00B46135" w:rsidRPr="00751CE1">
        <w:t xml:space="preserve">, </w:t>
      </w:r>
      <w:r w:rsidR="00B46135" w:rsidRPr="00751CE1">
        <w:rPr>
          <w:i/>
        </w:rPr>
        <w:t>SD</w:t>
      </w:r>
      <w:r w:rsidR="00B46135" w:rsidRPr="00751CE1">
        <w:t>=0.41)</w:t>
      </w:r>
      <w:r w:rsidRPr="00751CE1">
        <w:t xml:space="preserve"> UK and </w:t>
      </w:r>
      <w:r w:rsidR="00895628" w:rsidRPr="00751CE1">
        <w:rPr>
          <w:i/>
        </w:rPr>
        <w:t>M</w:t>
      </w:r>
      <w:r w:rsidR="00895628" w:rsidRPr="00751CE1">
        <w:t>=1.4</w:t>
      </w:r>
      <w:r w:rsidR="00B46135" w:rsidRPr="00751CE1">
        <w:t xml:space="preserve">3, </w:t>
      </w:r>
      <w:r w:rsidR="00B46135" w:rsidRPr="00751CE1">
        <w:rPr>
          <w:i/>
        </w:rPr>
        <w:t>SD</w:t>
      </w:r>
      <w:r w:rsidR="00B46135" w:rsidRPr="00751CE1">
        <w:t>=0.82</w:t>
      </w:r>
      <w:r w:rsidR="00895628" w:rsidRPr="00751CE1">
        <w:t xml:space="preserve"> India</w:t>
      </w:r>
      <w:r w:rsidR="000970C2" w:rsidRPr="00751CE1">
        <w:t>) and</w:t>
      </w:r>
      <w:r w:rsidRPr="00751CE1">
        <w:t xml:space="preserve"> th</w:t>
      </w:r>
      <w:r w:rsidR="00895628" w:rsidRPr="00751CE1">
        <w:t>at women desire to be assaulted (</w:t>
      </w:r>
      <w:r w:rsidR="00895628" w:rsidRPr="00751CE1">
        <w:rPr>
          <w:i/>
        </w:rPr>
        <w:t>M</w:t>
      </w:r>
      <w:r w:rsidR="00895628" w:rsidRPr="00751CE1">
        <w:t>=1.1</w:t>
      </w:r>
      <w:r w:rsidR="00B46135" w:rsidRPr="00751CE1">
        <w:t xml:space="preserve">8, </w:t>
      </w:r>
      <w:r w:rsidR="00B46135" w:rsidRPr="00751CE1">
        <w:rPr>
          <w:i/>
        </w:rPr>
        <w:t>SD</w:t>
      </w:r>
      <w:r w:rsidR="00B46135" w:rsidRPr="00751CE1">
        <w:t>=0.49)</w:t>
      </w:r>
      <w:r w:rsidR="00AC37DD" w:rsidRPr="00751CE1">
        <w:t xml:space="preserve"> UK</w:t>
      </w:r>
      <w:r w:rsidR="00895628" w:rsidRPr="00751CE1">
        <w:t xml:space="preserve"> and </w:t>
      </w:r>
      <w:r w:rsidR="00BD48B7" w:rsidRPr="00751CE1">
        <w:rPr>
          <w:i/>
        </w:rPr>
        <w:t>M</w:t>
      </w:r>
      <w:r w:rsidR="00BD48B7" w:rsidRPr="00751CE1">
        <w:t>=</w:t>
      </w:r>
      <w:r w:rsidR="00895628" w:rsidRPr="00751CE1">
        <w:t>1.39</w:t>
      </w:r>
      <w:r w:rsidR="00B46135" w:rsidRPr="00751CE1">
        <w:t xml:space="preserve">, </w:t>
      </w:r>
      <w:r w:rsidR="00B46135" w:rsidRPr="00751CE1">
        <w:rPr>
          <w:i/>
        </w:rPr>
        <w:t>SD</w:t>
      </w:r>
      <w:r w:rsidR="00B46135" w:rsidRPr="00751CE1">
        <w:t>=0.82</w:t>
      </w:r>
      <w:r w:rsidR="00895628" w:rsidRPr="00751CE1">
        <w:t xml:space="preserve"> India).</w:t>
      </w:r>
      <w:r w:rsidR="00895628" w:rsidRPr="006953F2">
        <w:t xml:space="preserve"> </w:t>
      </w:r>
    </w:p>
    <w:p w14:paraId="7065D983" w14:textId="174CCD30" w:rsidR="00895628" w:rsidRPr="006953F2" w:rsidRDefault="00895628" w:rsidP="008E57E4">
      <w:pPr>
        <w:spacing w:line="480" w:lineRule="auto"/>
        <w:contextualSpacing/>
      </w:pPr>
      <w:r w:rsidRPr="006953F2">
        <w:tab/>
        <w:t>With regard to the differences between countries, Indian students fairly consistent</w:t>
      </w:r>
      <w:r w:rsidR="00402584" w:rsidRPr="006953F2">
        <w:t>ly endorsed rape myths more</w:t>
      </w:r>
      <w:r w:rsidRPr="006953F2">
        <w:t xml:space="preserve"> than UK students with 15 out of the 19 items being statistically different between the countries. </w:t>
      </w:r>
      <w:r w:rsidR="007256E6" w:rsidRPr="008450EF">
        <w:t xml:space="preserve">Given the gender distribution between the two countries, sensitivity analyses using regression analyses controlling for gender were conducted. As shown in Table 2, 3 of the significant 15 comparisons become non-significant when gender is included. </w:t>
      </w:r>
      <w:r w:rsidRPr="008450EF">
        <w:t>The largest of these</w:t>
      </w:r>
      <w:r w:rsidR="007256E6" w:rsidRPr="008450EF">
        <w:t xml:space="preserve"> significant</w:t>
      </w:r>
      <w:r w:rsidRPr="006953F2">
        <w:t xml:space="preserve"> differences pertain</w:t>
      </w:r>
      <w:r w:rsidR="00942F5D" w:rsidRPr="006953F2">
        <w:t>ed</w:t>
      </w:r>
      <w:r w:rsidRPr="006953F2">
        <w:t xml:space="preserve"> to the perception that it is </w:t>
      </w:r>
      <w:r w:rsidRPr="006953F2">
        <w:lastRenderedPageBreak/>
        <w:t>acceptable for a man to push for intercourse if a woman is willing to engage in any sexual activity (i.e., “making out”). The mean difference between the two countries on this item was 0.7</w:t>
      </w:r>
      <w:r w:rsidR="00AA7AE5">
        <w:t>2</w:t>
      </w:r>
      <w:r w:rsidRPr="006953F2">
        <w:t xml:space="preserve">. </w:t>
      </w:r>
      <w:r w:rsidR="003C5C90" w:rsidRPr="006953F2">
        <w:t>However, t</w:t>
      </w:r>
      <w:r w:rsidRPr="006953F2">
        <w:t xml:space="preserve">he majority of the significant differences were </w:t>
      </w:r>
      <w:r w:rsidR="003C5C90" w:rsidRPr="006953F2">
        <w:t xml:space="preserve">less in magnitude, typically </w:t>
      </w:r>
      <w:r w:rsidRPr="006953F2">
        <w:t>between 0.4 and 0.5 of a point</w:t>
      </w:r>
      <w:r w:rsidR="003C5C90" w:rsidRPr="006953F2">
        <w:t xml:space="preserve">. </w:t>
      </w:r>
      <w:r w:rsidR="003C5C90" w:rsidRPr="00D94B66">
        <w:t>The type of myth that seemed to elicit the most agreement between the countries</w:t>
      </w:r>
      <w:r w:rsidR="00D94B66" w:rsidRPr="00D94B66">
        <w:t xml:space="preserve"> (i.e., the difference in the mean scores was the smallest)</w:t>
      </w:r>
      <w:r w:rsidR="003C5C90" w:rsidRPr="00D94B66">
        <w:t xml:space="preserve"> pertained to the culpability of women based on their clothing</w:t>
      </w:r>
      <w:r w:rsidR="00D94B66" w:rsidRPr="00D94B66">
        <w:t xml:space="preserve">. </w:t>
      </w:r>
      <w:r w:rsidR="003C5C90" w:rsidRPr="006953F2">
        <w:t xml:space="preserve">Two items that measure this perception were not statistically significant between the two countries. </w:t>
      </w:r>
    </w:p>
    <w:p w14:paraId="2EE02445" w14:textId="5618B4FD" w:rsidR="000F59D7" w:rsidRPr="00751CE1" w:rsidRDefault="000F59D7" w:rsidP="000F59D7">
      <w:pPr>
        <w:spacing w:line="480" w:lineRule="auto"/>
        <w:contextualSpacing/>
      </w:pPr>
      <w:r w:rsidRPr="006953F2">
        <w:tab/>
        <w:t>Regression analysis suggests that the difference in rape myth acceptance be</w:t>
      </w:r>
      <w:r w:rsidR="00402584" w:rsidRPr="006953F2">
        <w:t xml:space="preserve">tween the </w:t>
      </w:r>
      <w:r w:rsidR="00402584" w:rsidRPr="00751CE1">
        <w:t>two countries persisted</w:t>
      </w:r>
      <w:r w:rsidRPr="00751CE1">
        <w:t xml:space="preserve"> once relevant demographic characteristics are included. As shown in Table 3, Indian students endorsed rape myths more tha</w:t>
      </w:r>
      <w:r w:rsidR="00CF2B68" w:rsidRPr="00751CE1">
        <w:t>n their UK counterparts (B=0.16</w:t>
      </w:r>
      <w:r w:rsidRPr="00751CE1">
        <w:t xml:space="preserve">, </w:t>
      </w:r>
      <w:r w:rsidRPr="00751CE1">
        <w:rPr>
          <w:i/>
        </w:rPr>
        <w:t>p</w:t>
      </w:r>
      <w:r w:rsidR="00833EA4" w:rsidRPr="00751CE1">
        <w:t>&lt;0.05).  O</w:t>
      </w:r>
      <w:r w:rsidRPr="00751CE1">
        <w:t>verall, men endorsed rape myths more than women and this was the strongest effect with regard to magnitude (B=0.3</w:t>
      </w:r>
      <w:r w:rsidR="00AA7AE5" w:rsidRPr="00751CE1">
        <w:t>5</w:t>
      </w:r>
      <w:r w:rsidRPr="00751CE1">
        <w:t xml:space="preserve">, </w:t>
      </w:r>
      <w:r w:rsidR="00BD48B7" w:rsidRPr="00751CE1">
        <w:rPr>
          <w:i/>
        </w:rPr>
        <w:t>p</w:t>
      </w:r>
      <w:r w:rsidRPr="00751CE1">
        <w:t>&lt;0.001). Conversely, older students were less likely to endorse rape myths as were students who were not Christian or Hindu.</w:t>
      </w:r>
    </w:p>
    <w:p w14:paraId="6C93ACA2" w14:textId="0E441BE4" w:rsidR="003F3105" w:rsidRPr="00751CE1" w:rsidRDefault="00942F5D" w:rsidP="00AA7AE5">
      <w:pPr>
        <w:spacing w:line="480" w:lineRule="auto"/>
        <w:contextualSpacing/>
      </w:pPr>
      <w:r w:rsidRPr="00751CE1">
        <w:tab/>
        <w:t xml:space="preserve">In order to explore whether country-specific correlates exerted a meaningful impact on rape myth acceptance, within country analyses were employed and those results appear in Table 4. For the UK, </w:t>
      </w:r>
      <w:r w:rsidR="00CF2B68" w:rsidRPr="00751CE1">
        <w:t>male students were more likely to endorse rape myths (B=0.2</w:t>
      </w:r>
      <w:r w:rsidR="00AA7AE5" w:rsidRPr="00751CE1">
        <w:t>1</w:t>
      </w:r>
      <w:r w:rsidR="00CF2B68" w:rsidRPr="00751CE1">
        <w:t xml:space="preserve">, </w:t>
      </w:r>
      <w:r w:rsidR="00CF2B68" w:rsidRPr="00751CE1">
        <w:rPr>
          <w:i/>
        </w:rPr>
        <w:t>p</w:t>
      </w:r>
      <w:r w:rsidR="00CF2B68" w:rsidRPr="00751CE1">
        <w:t xml:space="preserve">&lt;0.05) and </w:t>
      </w:r>
      <w:r w:rsidRPr="00751CE1">
        <w:t xml:space="preserve">White students and those who identified as being non-religious </w:t>
      </w:r>
      <w:r w:rsidR="00611C4A" w:rsidRPr="00751CE1">
        <w:t xml:space="preserve">(compared to Christian) </w:t>
      </w:r>
      <w:r w:rsidRPr="00751CE1">
        <w:t>were less likely to endorse rape myths (B=-0.2</w:t>
      </w:r>
      <w:r w:rsidR="00CF2B68" w:rsidRPr="00751CE1">
        <w:t>7</w:t>
      </w:r>
      <w:r w:rsidRPr="00751CE1">
        <w:t xml:space="preserve">, </w:t>
      </w:r>
      <w:r w:rsidRPr="00751CE1">
        <w:rPr>
          <w:i/>
        </w:rPr>
        <w:t>p</w:t>
      </w:r>
      <w:r w:rsidRPr="00751CE1">
        <w:t>&lt;0.01 and B=-0.</w:t>
      </w:r>
      <w:r w:rsidR="00CF2B68" w:rsidRPr="00751CE1">
        <w:t>16</w:t>
      </w:r>
      <w:r w:rsidRPr="00751CE1">
        <w:t xml:space="preserve">, </w:t>
      </w:r>
      <w:r w:rsidRPr="00751CE1">
        <w:rPr>
          <w:i/>
        </w:rPr>
        <w:t>p</w:t>
      </w:r>
      <w:r w:rsidRPr="00751CE1">
        <w:t xml:space="preserve">&lt;0.05 respectively). </w:t>
      </w:r>
    </w:p>
    <w:p w14:paraId="2F36B240" w14:textId="7D1E0213" w:rsidR="000F59D7" w:rsidRPr="006953F2" w:rsidRDefault="00942F5D" w:rsidP="009D6495">
      <w:pPr>
        <w:spacing w:line="480" w:lineRule="auto"/>
        <w:ind w:firstLine="720"/>
        <w:contextualSpacing/>
      </w:pPr>
      <w:r w:rsidRPr="00751CE1">
        <w:t xml:space="preserve">In India, gender was significant with men being more </w:t>
      </w:r>
      <w:r w:rsidR="000970C2" w:rsidRPr="00751CE1">
        <w:t>likely</w:t>
      </w:r>
      <w:r w:rsidRPr="00751CE1">
        <w:t xml:space="preserve"> to endorse rape myths (B=0.</w:t>
      </w:r>
      <w:r w:rsidR="00CF2B68" w:rsidRPr="00751CE1">
        <w:t>33</w:t>
      </w:r>
      <w:r w:rsidRPr="00751CE1">
        <w:t xml:space="preserve">, </w:t>
      </w:r>
      <w:r w:rsidRPr="00751CE1">
        <w:rPr>
          <w:i/>
        </w:rPr>
        <w:t>p</w:t>
      </w:r>
      <w:r w:rsidRPr="00751CE1">
        <w:t xml:space="preserve">&lt;0.001). </w:t>
      </w:r>
      <w:r w:rsidR="00BD48B7" w:rsidRPr="00751CE1">
        <w:t xml:space="preserve">Those who identified as </w:t>
      </w:r>
      <w:r w:rsidR="007914CB" w:rsidRPr="00751CE1">
        <w:t xml:space="preserve">belonging to a scheduled / tribal caste </w:t>
      </w:r>
      <w:r w:rsidR="00BD48B7" w:rsidRPr="00751CE1">
        <w:t>were mo</w:t>
      </w:r>
      <w:r w:rsidR="000856A3" w:rsidRPr="00751CE1">
        <w:t>re likely to endorse rape myths</w:t>
      </w:r>
      <w:r w:rsidR="00BD48B7" w:rsidRPr="00751CE1">
        <w:t xml:space="preserve"> (B=0.2</w:t>
      </w:r>
      <w:r w:rsidR="00AA7AE5" w:rsidRPr="00751CE1">
        <w:t>7</w:t>
      </w:r>
      <w:r w:rsidR="00BD48B7" w:rsidRPr="00751CE1">
        <w:t xml:space="preserve">, </w:t>
      </w:r>
      <w:r w:rsidR="00BD48B7" w:rsidRPr="00751CE1">
        <w:rPr>
          <w:i/>
        </w:rPr>
        <w:t>p</w:t>
      </w:r>
      <w:r w:rsidR="00BD48B7" w:rsidRPr="00751CE1">
        <w:t>&lt;0.01). Similar to the UK, age was inversely related to rape myth acceptance such that older students were less likely to endorse those beliefs</w:t>
      </w:r>
      <w:r w:rsidR="00CF2B68" w:rsidRPr="00751CE1">
        <w:t xml:space="preserve"> (B=-0.04</w:t>
      </w:r>
      <w:r w:rsidR="00A44194" w:rsidRPr="00751CE1">
        <w:t xml:space="preserve">, </w:t>
      </w:r>
      <w:r w:rsidR="00A44194" w:rsidRPr="00751CE1">
        <w:rPr>
          <w:i/>
        </w:rPr>
        <w:t>p</w:t>
      </w:r>
      <w:r w:rsidR="00A44194" w:rsidRPr="00751CE1">
        <w:t>&lt;0.001).</w:t>
      </w:r>
      <w:r w:rsidR="000F59D7" w:rsidRPr="006953F2">
        <w:t xml:space="preserve"> </w:t>
      </w:r>
    </w:p>
    <w:p w14:paraId="48E9B8FE" w14:textId="77777777" w:rsidR="009D6495" w:rsidRDefault="009D6495" w:rsidP="004E56BD">
      <w:pPr>
        <w:contextualSpacing/>
        <w:rPr>
          <w:b/>
          <w:sz w:val="28"/>
          <w:szCs w:val="28"/>
        </w:rPr>
      </w:pPr>
    </w:p>
    <w:p w14:paraId="496ACEDA" w14:textId="77777777" w:rsidR="009D6495" w:rsidRDefault="009D6495" w:rsidP="004E56BD">
      <w:pPr>
        <w:contextualSpacing/>
        <w:rPr>
          <w:b/>
          <w:sz w:val="28"/>
          <w:szCs w:val="28"/>
        </w:rPr>
      </w:pPr>
    </w:p>
    <w:p w14:paraId="218E4E39" w14:textId="77777777" w:rsidR="009D6495" w:rsidRDefault="009D6495" w:rsidP="004E56BD">
      <w:pPr>
        <w:contextualSpacing/>
        <w:rPr>
          <w:b/>
          <w:sz w:val="28"/>
          <w:szCs w:val="28"/>
        </w:rPr>
      </w:pPr>
    </w:p>
    <w:p w14:paraId="6503E97C" w14:textId="2ED305C9" w:rsidR="00D37BE9" w:rsidRPr="006953F2" w:rsidRDefault="00D37BE9" w:rsidP="004E56BD">
      <w:pPr>
        <w:contextualSpacing/>
        <w:rPr>
          <w:b/>
          <w:sz w:val="28"/>
          <w:szCs w:val="28"/>
        </w:rPr>
      </w:pPr>
      <w:r w:rsidRPr="006953F2">
        <w:rPr>
          <w:b/>
          <w:sz w:val="28"/>
          <w:szCs w:val="28"/>
        </w:rPr>
        <w:lastRenderedPageBreak/>
        <w:t>Discussion</w:t>
      </w:r>
    </w:p>
    <w:p w14:paraId="3F287073" w14:textId="77777777" w:rsidR="001413D7" w:rsidRPr="006953F2" w:rsidRDefault="001413D7" w:rsidP="004E56BD">
      <w:pPr>
        <w:contextualSpacing/>
        <w:rPr>
          <w:b/>
        </w:rPr>
      </w:pPr>
    </w:p>
    <w:p w14:paraId="7B0BC332" w14:textId="2910D687" w:rsidR="008C24C8" w:rsidRDefault="001413D7" w:rsidP="007471E0">
      <w:pPr>
        <w:spacing w:line="480" w:lineRule="auto"/>
        <w:contextualSpacing/>
      </w:pPr>
      <w:r w:rsidRPr="006953F2">
        <w:t xml:space="preserve">The overall purpose of this study was to contribute to the literature on rape myth acceptance in </w:t>
      </w:r>
      <w:r w:rsidR="001D7542">
        <w:t>India and the UK</w:t>
      </w:r>
      <w:r w:rsidRPr="006953F2">
        <w:t xml:space="preserve">. </w:t>
      </w:r>
      <w:r w:rsidR="00DE1A25" w:rsidRPr="006953F2">
        <w:t xml:space="preserve">Our findings show </w:t>
      </w:r>
      <w:r w:rsidR="00F959C2" w:rsidRPr="008450EF">
        <w:t>that</w:t>
      </w:r>
      <w:r w:rsidR="00F959C2">
        <w:t xml:space="preserve"> </w:t>
      </w:r>
      <w:r w:rsidR="00DE1A25" w:rsidRPr="006953F2">
        <w:t>rape myth acceptance was fairly low for both countries</w:t>
      </w:r>
      <w:r w:rsidR="003518A2" w:rsidRPr="006953F2">
        <w:t xml:space="preserve">. </w:t>
      </w:r>
      <w:r w:rsidR="00DE1A25" w:rsidRPr="006953F2">
        <w:t xml:space="preserve">The low acceptance rate in both countries </w:t>
      </w:r>
      <w:r w:rsidR="00A07514" w:rsidRPr="006953F2">
        <w:t>may</w:t>
      </w:r>
      <w:r w:rsidR="00DE1A25" w:rsidRPr="006953F2">
        <w:t xml:space="preserve"> be explained by the fact that both groups of respondents were similar by virtue of their student background. One could argue that the progressive elements of university education</w:t>
      </w:r>
      <w:r w:rsidR="009F32A3" w:rsidRPr="006953F2">
        <w:t>, and persistent media reporting of high profile rape cases around sexual consent (mentioned above)</w:t>
      </w:r>
      <w:r w:rsidR="00DE1A25" w:rsidRPr="006953F2">
        <w:t xml:space="preserve"> </w:t>
      </w:r>
      <w:r w:rsidR="00A07514" w:rsidRPr="006953F2">
        <w:t xml:space="preserve">may </w:t>
      </w:r>
      <w:r w:rsidR="009F32A3" w:rsidRPr="006953F2">
        <w:t xml:space="preserve">have </w:t>
      </w:r>
      <w:r w:rsidR="00DE1A25" w:rsidRPr="006953F2">
        <w:t>predispose</w:t>
      </w:r>
      <w:r w:rsidR="009F32A3" w:rsidRPr="006953F2">
        <w:t>d</w:t>
      </w:r>
      <w:r w:rsidR="00DE1A25" w:rsidRPr="006953F2">
        <w:t xml:space="preserve"> young people </w:t>
      </w:r>
      <w:r w:rsidR="00C77346" w:rsidRPr="006953F2">
        <w:t>to less orthodox and more liberal thinking</w:t>
      </w:r>
      <w:r w:rsidR="00C77346" w:rsidRPr="005C2BAA">
        <w:t xml:space="preserve">. </w:t>
      </w:r>
      <w:r w:rsidR="005C2BAA">
        <w:t xml:space="preserve">There may be substantial variation within </w:t>
      </w:r>
      <w:r w:rsidR="008A5AA6">
        <w:t xml:space="preserve">the countries with regard to rape myth acceptance. This may be particularly true of India with its enormous regional, ethnic, religious, caste and linguistic diversity. Therefore, we would anticipate rape myth </w:t>
      </w:r>
      <w:r w:rsidR="008C24C8">
        <w:t xml:space="preserve">acceptance to be higher in community samples of individuals living in rural settings with little or no access to education, and where gendered norms may be far more regressive. Future research should aim to explore how rape myth acceptance functions within different parts of each country. </w:t>
      </w:r>
    </w:p>
    <w:p w14:paraId="584C59CC" w14:textId="3E19885C" w:rsidR="00594508" w:rsidRDefault="003518A2" w:rsidP="00594508">
      <w:pPr>
        <w:spacing w:line="480" w:lineRule="auto"/>
        <w:contextualSpacing/>
        <w:rPr>
          <w:highlight w:val="yellow"/>
        </w:rPr>
      </w:pPr>
      <w:r w:rsidRPr="006953F2">
        <w:tab/>
      </w:r>
      <w:r w:rsidR="009761A0" w:rsidRPr="006953F2">
        <w:t>D</w:t>
      </w:r>
      <w:r w:rsidRPr="006953F2">
        <w:t xml:space="preserve">espite the relatively low endorsement in both countries, both on individual items and overall, Indian </w:t>
      </w:r>
      <w:r w:rsidRPr="00751CE1">
        <w:t xml:space="preserve">students </w:t>
      </w:r>
      <w:r w:rsidR="00833EA4" w:rsidRPr="00751CE1">
        <w:t>indicate</w:t>
      </w:r>
      <w:r w:rsidR="00523F5C" w:rsidRPr="00751CE1">
        <w:t xml:space="preserve"> </w:t>
      </w:r>
      <w:r w:rsidR="009761A0" w:rsidRPr="00751CE1">
        <w:t xml:space="preserve">higher rape myth acceptance. </w:t>
      </w:r>
      <w:r w:rsidR="00E10B09" w:rsidRPr="00751CE1">
        <w:t>In regard to within country comparisons</w:t>
      </w:r>
      <w:r w:rsidR="00CF2B68" w:rsidRPr="00751CE1">
        <w:t xml:space="preserve">, </w:t>
      </w:r>
      <w:r w:rsidR="00525CDB" w:rsidRPr="00751CE1">
        <w:t xml:space="preserve">men </w:t>
      </w:r>
      <w:r w:rsidR="00E10B09" w:rsidRPr="00751CE1">
        <w:t>endorse</w:t>
      </w:r>
      <w:r w:rsidR="00525CDB" w:rsidRPr="00751CE1">
        <w:t>d</w:t>
      </w:r>
      <w:r w:rsidR="00E10B09" w:rsidRPr="00751CE1">
        <w:t xml:space="preserve"> rape myths more than women. This finding is consistent w</w:t>
      </w:r>
      <w:r w:rsidR="009761A0" w:rsidRPr="00751CE1">
        <w:t xml:space="preserve">ith previous research in </w:t>
      </w:r>
      <w:r w:rsidR="008F06F4" w:rsidRPr="00751CE1">
        <w:t>India</w:t>
      </w:r>
      <w:r w:rsidR="000B0C4F" w:rsidRPr="00751CE1">
        <w:t xml:space="preserve"> which </w:t>
      </w:r>
      <w:r w:rsidR="005E1818" w:rsidRPr="00751CE1">
        <w:t xml:space="preserve">has </w:t>
      </w:r>
      <w:r w:rsidR="000B0C4F" w:rsidRPr="00751CE1">
        <w:t>identifie</w:t>
      </w:r>
      <w:r w:rsidR="005E1818" w:rsidRPr="00751CE1">
        <w:t>d</w:t>
      </w:r>
      <w:r w:rsidR="000B0C4F" w:rsidRPr="00751CE1">
        <w:t xml:space="preserve"> such a gender disparity</w:t>
      </w:r>
      <w:r w:rsidR="00D77391" w:rsidRPr="00751CE1">
        <w:t xml:space="preserve"> (</w:t>
      </w:r>
      <w:r w:rsidR="008F06F4" w:rsidRPr="00751CE1">
        <w:rPr>
          <w:color w:val="000000"/>
        </w:rPr>
        <w:t>Chudasama et al., 2013; Safri, 2015</w:t>
      </w:r>
      <w:r w:rsidR="00D77391" w:rsidRPr="00751CE1">
        <w:t>)</w:t>
      </w:r>
      <w:r w:rsidR="00E10B09" w:rsidRPr="00751CE1">
        <w:t xml:space="preserve">. </w:t>
      </w:r>
      <w:r w:rsidR="00886326" w:rsidRPr="00751CE1">
        <w:t>In a socially conservative society such as India</w:t>
      </w:r>
      <w:r w:rsidR="00574BAB" w:rsidRPr="00751CE1">
        <w:t xml:space="preserve">, </w:t>
      </w:r>
      <w:r w:rsidR="00886326" w:rsidRPr="00751CE1">
        <w:t>the majority of marriages are still arranged by the parents / wider family</w:t>
      </w:r>
      <w:r w:rsidR="00574BAB" w:rsidRPr="00751CE1">
        <w:t xml:space="preserve">, especially in urban areas (Panda, 2016). In spite of this however, </w:t>
      </w:r>
      <w:r w:rsidR="00886326" w:rsidRPr="00751CE1">
        <w:t xml:space="preserve">pre-marital relationships are not uncommon, but </w:t>
      </w:r>
      <w:r w:rsidR="00574BAB" w:rsidRPr="00751CE1">
        <w:t xml:space="preserve">remain </w:t>
      </w:r>
      <w:r w:rsidR="00886326" w:rsidRPr="00751CE1">
        <w:t xml:space="preserve">subject to disapproval and a negative </w:t>
      </w:r>
      <w:r w:rsidR="00B50836" w:rsidRPr="00751CE1">
        <w:t xml:space="preserve">social </w:t>
      </w:r>
      <w:r w:rsidR="00886326" w:rsidRPr="00751CE1">
        <w:t>gaze</w:t>
      </w:r>
      <w:r w:rsidR="00574BAB" w:rsidRPr="00751CE1">
        <w:t xml:space="preserve">. Moreover, </w:t>
      </w:r>
      <w:r w:rsidR="00886326" w:rsidRPr="00751CE1">
        <w:t xml:space="preserve">it seems that greater </w:t>
      </w:r>
      <w:r w:rsidR="00243BA0" w:rsidRPr="00751CE1">
        <w:t xml:space="preserve">social blame </w:t>
      </w:r>
      <w:r w:rsidR="00886326" w:rsidRPr="00751CE1">
        <w:t>is held for the female</w:t>
      </w:r>
      <w:r w:rsidR="00574BAB" w:rsidRPr="00751CE1">
        <w:t>, and particularly the female</w:t>
      </w:r>
      <w:r w:rsidR="00886326" w:rsidRPr="00751CE1">
        <w:t xml:space="preserve"> victim in cases of sexual violence. It is the </w:t>
      </w:r>
      <w:r w:rsidR="00850EB1" w:rsidRPr="00751CE1">
        <w:t>female transgressive nature that is held to be provocative and responsible wh</w:t>
      </w:r>
      <w:r w:rsidR="001D7542" w:rsidRPr="00751CE1">
        <w:t>ile</w:t>
      </w:r>
      <w:r w:rsidR="00850EB1" w:rsidRPr="00751CE1">
        <w:t xml:space="preserve"> the male perpetrator is </w:t>
      </w:r>
      <w:r w:rsidR="00D952FE" w:rsidRPr="00751CE1">
        <w:t>regarded as someone with a sense of entitlement</w:t>
      </w:r>
      <w:r w:rsidR="007B155F" w:rsidRPr="00751CE1">
        <w:t>, or as ‘biologically predisposed’</w:t>
      </w:r>
      <w:r w:rsidR="00D952FE" w:rsidRPr="00751CE1">
        <w:t>,</w:t>
      </w:r>
      <w:r w:rsidR="00594508">
        <w:t xml:space="preserve"> </w:t>
      </w:r>
      <w:r w:rsidR="00D952FE" w:rsidRPr="006953F2">
        <w:lastRenderedPageBreak/>
        <w:t>especially if the woman is perceived to have given initial agreement and</w:t>
      </w:r>
      <w:r w:rsidR="00BA4A1A" w:rsidRPr="006953F2">
        <w:t xml:space="preserve"> consent by showing willing to </w:t>
      </w:r>
      <w:r w:rsidR="00D952FE" w:rsidRPr="006953F2">
        <w:t>‘make out’</w:t>
      </w:r>
      <w:r w:rsidR="00D952FE" w:rsidRPr="00751CE1">
        <w:t xml:space="preserve">. </w:t>
      </w:r>
      <w:r w:rsidR="00594508" w:rsidRPr="00751CE1">
        <w:t xml:space="preserve">It is important to point out however that our findings show that the rape myth that elicited the highest endorsement in the UK sample pertained to whether women are culpable if they are ‘sexually provocative’, whereas the highest endorsement among Indian students pertained to sexual assault occurring as a result of men’s sex drive. Clearly, the UK sample attribute blame on the female victim, whilst the Indian sample excuse the male perpetrator’s behaviour. And both are problematic beliefs. </w:t>
      </w:r>
      <w:r w:rsidR="00A718E1" w:rsidRPr="00751CE1">
        <w:t>T</w:t>
      </w:r>
      <w:r w:rsidR="00A718E1" w:rsidRPr="006953F2">
        <w:t xml:space="preserve">he act of rape is also </w:t>
      </w:r>
      <w:r w:rsidR="009761A0" w:rsidRPr="006953F2">
        <w:t>trivialised</w:t>
      </w:r>
      <w:r w:rsidR="00A718E1" w:rsidRPr="006953F2">
        <w:t xml:space="preserve"> by failing to understand the emotional and psychological impact on the female victim. In a framework of victim blaming, </w:t>
      </w:r>
      <w:r w:rsidR="003F6D85" w:rsidRPr="006953F2">
        <w:t xml:space="preserve">the aftermath </w:t>
      </w:r>
      <w:r w:rsidR="008C7473" w:rsidRPr="006953F2">
        <w:t xml:space="preserve">of rape </w:t>
      </w:r>
      <w:r w:rsidR="003F6D85" w:rsidRPr="006953F2">
        <w:t xml:space="preserve">is considered </w:t>
      </w:r>
      <w:r w:rsidR="008C7473" w:rsidRPr="006953F2">
        <w:t xml:space="preserve">overly exaggerated and a state which the victim should simply </w:t>
      </w:r>
      <w:r w:rsidR="008C7473" w:rsidRPr="00751CE1">
        <w:t xml:space="preserve">accept. </w:t>
      </w:r>
    </w:p>
    <w:p w14:paraId="27B65682" w14:textId="6B5BB00E" w:rsidR="0029005B" w:rsidRPr="006953F2" w:rsidRDefault="00C33A7D" w:rsidP="009D6495">
      <w:pPr>
        <w:spacing w:line="480" w:lineRule="auto"/>
        <w:ind w:firstLine="720"/>
        <w:contextualSpacing/>
      </w:pPr>
      <w:r w:rsidRPr="009D6495">
        <w:t>Overall, t</w:t>
      </w:r>
      <w:r w:rsidR="0029005B" w:rsidRPr="009D6495">
        <w:t xml:space="preserve">he greater likelihood of RMA endorsement by Indian </w:t>
      </w:r>
      <w:r w:rsidR="007B155F" w:rsidRPr="009D6495">
        <w:t xml:space="preserve">students </w:t>
      </w:r>
      <w:r w:rsidR="0029005B" w:rsidRPr="009D6495">
        <w:t xml:space="preserve">may </w:t>
      </w:r>
      <w:r w:rsidR="00833EA4" w:rsidRPr="009D6495">
        <w:t xml:space="preserve">be understood within the framework of existing gender roles, </w:t>
      </w:r>
      <w:r w:rsidR="00E12C01" w:rsidRPr="009D6495">
        <w:t xml:space="preserve">gender inequity, male dominance </w:t>
      </w:r>
      <w:r w:rsidR="00833EA4" w:rsidRPr="009D6495">
        <w:t>and restrictive cultural norms</w:t>
      </w:r>
      <w:r w:rsidR="00E12C01" w:rsidRPr="009D6495">
        <w:t xml:space="preserve"> (Nayak et al., 2003</w:t>
      </w:r>
      <w:r w:rsidR="00E12C01" w:rsidRPr="00751CE1">
        <w:t>).</w:t>
      </w:r>
      <w:r w:rsidR="00EB40A0" w:rsidRPr="00751CE1">
        <w:t xml:space="preserve"> </w:t>
      </w:r>
      <w:r w:rsidR="00AC4A69" w:rsidRPr="00751CE1">
        <w:t>India, as an emerging modern economy, is experiencing vast change through the processes of globalisation, neo-liberalism, urbanisation, and women’s entry into the labour market</w:t>
      </w:r>
      <w:r w:rsidR="00E1335B" w:rsidRPr="00751CE1">
        <w:t xml:space="preserve"> and public spaces</w:t>
      </w:r>
      <w:r w:rsidR="00AC4A69" w:rsidRPr="00751CE1">
        <w:t xml:space="preserve">. The greater visibility of women in </w:t>
      </w:r>
      <w:r w:rsidR="00E1335B" w:rsidRPr="00751CE1">
        <w:t>former ‘male spaces’</w:t>
      </w:r>
      <w:r w:rsidR="00AC4A69" w:rsidRPr="00751CE1">
        <w:t xml:space="preserve"> is </w:t>
      </w:r>
      <w:r w:rsidR="00E1335B" w:rsidRPr="00751CE1">
        <w:t xml:space="preserve">not only </w:t>
      </w:r>
      <w:r w:rsidR="00AC4A69" w:rsidRPr="00751CE1">
        <w:t>challenging gender roles and male dominance</w:t>
      </w:r>
      <w:r w:rsidR="00E1335B" w:rsidRPr="00751CE1">
        <w:t xml:space="preserve">, but </w:t>
      </w:r>
      <w:r w:rsidR="00E1335B" w:rsidRPr="00751CE1">
        <w:rPr>
          <w:color w:val="000000"/>
          <w:lang w:val="en-US"/>
        </w:rPr>
        <w:t xml:space="preserve"> female ‘western’ lifestyles are being equated with an invitation to rape (Butcher 2017)</w:t>
      </w:r>
      <w:r w:rsidR="00E1335B" w:rsidRPr="00751CE1">
        <w:t xml:space="preserve">. </w:t>
      </w:r>
      <w:r w:rsidR="00AC4A69" w:rsidRPr="00751CE1">
        <w:t>Male resistance to such processes is likely to strengthen patriarchal beliefs about a woman’s place. Indeed, b</w:t>
      </w:r>
      <w:r w:rsidR="002057C2" w:rsidRPr="00751CE1">
        <w:t xml:space="preserve">eliefs which continue to perceive </w:t>
      </w:r>
      <w:r w:rsidR="00594508" w:rsidRPr="00751CE1">
        <w:t xml:space="preserve">men as biologically predisposed to have sex with no regard for women’s feelings and emotions, </w:t>
      </w:r>
      <w:r w:rsidR="00EC6DDE" w:rsidRPr="00751CE1">
        <w:t xml:space="preserve">and </w:t>
      </w:r>
      <w:r w:rsidR="00E27CC8" w:rsidRPr="00751CE1">
        <w:t xml:space="preserve">which </w:t>
      </w:r>
      <w:r w:rsidR="00153119" w:rsidRPr="00751CE1">
        <w:t xml:space="preserve">attribute </w:t>
      </w:r>
      <w:r w:rsidR="00E27CC8" w:rsidRPr="00751CE1">
        <w:t xml:space="preserve">blame </w:t>
      </w:r>
      <w:r w:rsidR="00153119" w:rsidRPr="00751CE1">
        <w:t xml:space="preserve">on </w:t>
      </w:r>
      <w:r w:rsidR="002057C2" w:rsidRPr="00751CE1">
        <w:t xml:space="preserve">women victims of sexual violence perpetuate an ideology of violence and continue to uphold systems and structures of gender oppression. </w:t>
      </w:r>
      <w:r w:rsidR="00953895" w:rsidRPr="00751CE1">
        <w:t>In a country such as India with its many social divisions including caste, class, religion, and region</w:t>
      </w:r>
      <w:r w:rsidR="00777505" w:rsidRPr="00751CE1">
        <w:t>;</w:t>
      </w:r>
      <w:r w:rsidR="00953895" w:rsidRPr="00751CE1">
        <w:t xml:space="preserve"> </w:t>
      </w:r>
      <w:r w:rsidR="00253176" w:rsidRPr="00751CE1">
        <w:t xml:space="preserve">the impact of hierarchical power structures </w:t>
      </w:r>
      <w:r w:rsidR="001412E2" w:rsidRPr="00751CE1">
        <w:t xml:space="preserve">and social influences </w:t>
      </w:r>
      <w:r w:rsidR="00E1335B" w:rsidRPr="00751CE1">
        <w:t xml:space="preserve">also </w:t>
      </w:r>
      <w:r w:rsidR="00253176" w:rsidRPr="00751CE1">
        <w:t xml:space="preserve">need to be understood to appreciate the experiences of female victims of sexual violence at different levels in society. </w:t>
      </w:r>
      <w:r w:rsidR="00153119" w:rsidRPr="00751CE1">
        <w:t xml:space="preserve">In other words, some female victims may be </w:t>
      </w:r>
      <w:r w:rsidR="00153119" w:rsidRPr="00751CE1">
        <w:lastRenderedPageBreak/>
        <w:t>seen as more blameworthy than others. Future research could explore attitudes towards female victims from diverse backgrounds including caste, religion, social class and age.</w:t>
      </w:r>
      <w:r w:rsidR="00153119">
        <w:t xml:space="preserve"> </w:t>
      </w:r>
    </w:p>
    <w:p w14:paraId="70BD02F2" w14:textId="23418971" w:rsidR="009761A0" w:rsidRPr="006953F2" w:rsidRDefault="00B774B0" w:rsidP="00CE1970">
      <w:pPr>
        <w:spacing w:line="480" w:lineRule="auto"/>
        <w:ind w:firstLine="720"/>
        <w:contextualSpacing/>
      </w:pPr>
      <w:r w:rsidRPr="006953F2">
        <w:t>In addition to a greater propensity among male respondents to endorse rape myths</w:t>
      </w:r>
      <w:r w:rsidR="00E26869" w:rsidRPr="006953F2">
        <w:t xml:space="preserve"> in India</w:t>
      </w:r>
      <w:r w:rsidR="00525CDB" w:rsidRPr="006953F2">
        <w:t xml:space="preserve">, </w:t>
      </w:r>
      <w:r w:rsidRPr="006953F2">
        <w:t>our study indicates other differences on the basis of age, caste,</w:t>
      </w:r>
      <w:r w:rsidR="00CF2B68">
        <w:t xml:space="preserve"> and</w:t>
      </w:r>
      <w:r w:rsidRPr="006953F2">
        <w:t xml:space="preserve"> religion. </w:t>
      </w:r>
      <w:r w:rsidR="009761A0" w:rsidRPr="006953F2">
        <w:t>In our India sample, we also asked our respondents to tell us whether they were registered as belonging to a scheduled / tribal caste. Our analysis shows that those who reported belonging to th</w:t>
      </w:r>
      <w:r w:rsidR="001D7542">
        <w:t>ese</w:t>
      </w:r>
      <w:r w:rsidR="009761A0" w:rsidRPr="006953F2">
        <w:t xml:space="preserve"> group</w:t>
      </w:r>
      <w:r w:rsidR="001D7542">
        <w:t>s</w:t>
      </w:r>
      <w:r w:rsidR="009761A0" w:rsidRPr="006953F2">
        <w:t xml:space="preserve"> were more likely to endorse rape myths. Given that only 12% of our sample were from this grouping</w:t>
      </w:r>
      <w:r w:rsidR="001D7542">
        <w:t>s</w:t>
      </w:r>
      <w:r w:rsidR="009761A0" w:rsidRPr="006953F2">
        <w:t>, further research is needed to understand this difference. Speculation about social class, education, or urban / rural differences would be unhelpful at this stage; however a specific focus on caste in future research could reveal important insights. Moreover, future research involving larger samples of diverse populations on the axes of religion, caste, and social class, among university student and non-student groups could make a useful contribution to our understanding of rape myths in India.</w:t>
      </w:r>
    </w:p>
    <w:p w14:paraId="1F7EDB9F" w14:textId="1484BF06" w:rsidR="009706C6" w:rsidRDefault="00B774B0" w:rsidP="00833EA4">
      <w:pPr>
        <w:spacing w:line="480" w:lineRule="auto"/>
        <w:ind w:firstLine="720"/>
        <w:contextualSpacing/>
      </w:pPr>
      <w:r w:rsidRPr="006953F2">
        <w:t xml:space="preserve">In line with previous literature on rape myths, our findings </w:t>
      </w:r>
      <w:r w:rsidR="009E1A77" w:rsidRPr="008450EF">
        <w:t xml:space="preserve">suggest </w:t>
      </w:r>
      <w:r w:rsidRPr="008450EF">
        <w:t>that</w:t>
      </w:r>
      <w:r w:rsidRPr="006953F2">
        <w:t xml:space="preserve"> age </w:t>
      </w:r>
      <w:r w:rsidR="009761A0" w:rsidRPr="006953F2">
        <w:t xml:space="preserve">in both countries </w:t>
      </w:r>
      <w:r w:rsidRPr="006953F2">
        <w:t xml:space="preserve">was inversely related to rape myth acceptance </w:t>
      </w:r>
      <w:r w:rsidR="004456CA" w:rsidRPr="006953F2">
        <w:t>in that</w:t>
      </w:r>
      <w:r w:rsidRPr="006953F2">
        <w:t xml:space="preserve"> older </w:t>
      </w:r>
      <w:r w:rsidR="004456CA" w:rsidRPr="006953F2">
        <w:t>respondents</w:t>
      </w:r>
      <w:r w:rsidRPr="006953F2">
        <w:t xml:space="preserve"> were less likely to endorse rape myths. </w:t>
      </w:r>
      <w:r w:rsidR="009761A0" w:rsidRPr="006953F2">
        <w:t xml:space="preserve">This is consistent with prior </w:t>
      </w:r>
      <w:r w:rsidR="009706C6">
        <w:t>literature</w:t>
      </w:r>
      <w:r w:rsidR="009706C6" w:rsidRPr="006953F2">
        <w:t xml:space="preserve"> </w:t>
      </w:r>
      <w:r w:rsidR="009761A0" w:rsidRPr="006953F2">
        <w:t>(e.g., Powers, Leili, Hagman, &amp; Cohn, 2015) and suggests that future research should examine how age serves to temper misconceptions regarding sexual violence.</w:t>
      </w:r>
      <w:r w:rsidR="00CE1970" w:rsidRPr="006953F2">
        <w:t xml:space="preserve"> </w:t>
      </w:r>
    </w:p>
    <w:p w14:paraId="59531F2F" w14:textId="24EEC7AC" w:rsidR="001336ED" w:rsidRDefault="00195C21" w:rsidP="00947477">
      <w:pPr>
        <w:spacing w:line="480" w:lineRule="auto"/>
        <w:ind w:firstLine="720"/>
        <w:contextualSpacing/>
      </w:pPr>
      <w:r w:rsidRPr="006953F2">
        <w:t>Overall, g</w:t>
      </w:r>
      <w:r w:rsidR="002E09CC" w:rsidRPr="006953F2">
        <w:t xml:space="preserve">iven the largely middle class background of study respondents, it is not surprising that </w:t>
      </w:r>
      <w:r w:rsidR="00116460" w:rsidRPr="006953F2">
        <w:t xml:space="preserve">many respondents believe that perpetrators of rape are from among the lower classes. Moreover, the idea that own locality is safer is also endorsed. Research evidence </w:t>
      </w:r>
      <w:r w:rsidR="007E2CC7" w:rsidRPr="006953F2">
        <w:t xml:space="preserve">shows that media portrayals of rape victims and </w:t>
      </w:r>
      <w:r w:rsidR="000970C2" w:rsidRPr="006953F2">
        <w:t>perpetrators</w:t>
      </w:r>
      <w:r w:rsidR="007E2CC7" w:rsidRPr="006953F2">
        <w:t xml:space="preserve"> are not only powerful but they also serve to depict </w:t>
      </w:r>
      <w:r w:rsidR="000970C2" w:rsidRPr="006953F2">
        <w:t>stereotypical</w:t>
      </w:r>
      <w:r w:rsidR="007E2CC7" w:rsidRPr="006953F2">
        <w:t xml:space="preserve"> ideas of victims and perpetrators (</w:t>
      </w:r>
      <w:r w:rsidR="005267B4" w:rsidRPr="006953F2">
        <w:t>O’Hara</w:t>
      </w:r>
      <w:r w:rsidR="000B0C4F" w:rsidRPr="006953F2">
        <w:t>,</w:t>
      </w:r>
      <w:r w:rsidR="005267B4" w:rsidRPr="006953F2">
        <w:t xml:space="preserve"> 2012</w:t>
      </w:r>
      <w:r w:rsidR="007E2CC7" w:rsidRPr="006953F2">
        <w:t xml:space="preserve">). The 2012 </w:t>
      </w:r>
      <w:r w:rsidR="00B50836" w:rsidRPr="006953F2">
        <w:t xml:space="preserve">Nirbhaya </w:t>
      </w:r>
      <w:r w:rsidR="007E2CC7" w:rsidRPr="006953F2">
        <w:t xml:space="preserve">rape case </w:t>
      </w:r>
      <w:r w:rsidR="00B50836" w:rsidRPr="006953F2">
        <w:t xml:space="preserve">in Delhi </w:t>
      </w:r>
      <w:r w:rsidR="007E2CC7" w:rsidRPr="006953F2">
        <w:t xml:space="preserve">is a classic example of this. Here, the young woman was raped not in her ‘own’ neighbourhood; and the perpetrators were from a lower </w:t>
      </w:r>
      <w:r w:rsidR="005267B4" w:rsidRPr="006953F2">
        <w:t xml:space="preserve">socio-economic </w:t>
      </w:r>
      <w:r w:rsidR="007E2CC7" w:rsidRPr="006953F2">
        <w:lastRenderedPageBreak/>
        <w:t>background.</w:t>
      </w:r>
      <w:r w:rsidR="003C3F72" w:rsidRPr="006953F2">
        <w:t xml:space="preserve"> </w:t>
      </w:r>
      <w:r w:rsidR="00A97E80" w:rsidRPr="006953F2">
        <w:t>Th</w:t>
      </w:r>
      <w:r w:rsidR="00371EA6" w:rsidRPr="006953F2">
        <w:t>e</w:t>
      </w:r>
      <w:r w:rsidR="005267B4" w:rsidRPr="006953F2">
        <w:t xml:space="preserve"> emphasis on such aspects</w:t>
      </w:r>
      <w:r w:rsidR="00282E30">
        <w:t>,</w:t>
      </w:r>
      <w:r w:rsidR="005267B4" w:rsidRPr="006953F2">
        <w:t xml:space="preserve"> in an atypical rape case</w:t>
      </w:r>
      <w:r w:rsidR="00282E30">
        <w:t>,</w:t>
      </w:r>
      <w:r w:rsidR="005267B4" w:rsidRPr="006953F2">
        <w:t xml:space="preserve"> run the risk of perpetuating fears and apprehensions about the crime of rape. </w:t>
      </w:r>
      <w:r w:rsidR="00A96F32" w:rsidRPr="006953F2">
        <w:t>Thus, beliefs such as ‘own locality is safer’, and that ‘guys from nice middle</w:t>
      </w:r>
      <w:r w:rsidR="00BE0052" w:rsidRPr="006953F2">
        <w:t xml:space="preserve"> </w:t>
      </w:r>
      <w:r w:rsidR="00A96F32" w:rsidRPr="006953F2">
        <w:t xml:space="preserve">class homes almost always never rape’ become embedded in the popular discourse.  </w:t>
      </w:r>
    </w:p>
    <w:p w14:paraId="52E2009F" w14:textId="578912D9" w:rsidR="00DB6A5B" w:rsidRPr="006953F2" w:rsidRDefault="002A6FBF">
      <w:pPr>
        <w:spacing w:line="480" w:lineRule="auto"/>
        <w:ind w:firstLine="720"/>
        <w:contextualSpacing/>
      </w:pPr>
      <w:r w:rsidRPr="008450EF">
        <w:t>Although they were items that were endorsed the least,</w:t>
      </w:r>
      <w:r w:rsidR="00E94DAD" w:rsidRPr="008450EF">
        <w:t xml:space="preserve"> our findings show that </w:t>
      </w:r>
      <w:r w:rsidR="009E1A77" w:rsidRPr="008450EF">
        <w:t>some</w:t>
      </w:r>
      <w:r w:rsidR="009E1A77">
        <w:t xml:space="preserve"> </w:t>
      </w:r>
      <w:r w:rsidR="00E94DAD" w:rsidRPr="006953F2">
        <w:t>respondents</w:t>
      </w:r>
      <w:r w:rsidR="00DB6A5B" w:rsidRPr="006953F2">
        <w:t>, in both countries,</w:t>
      </w:r>
      <w:r w:rsidR="00E94DAD" w:rsidRPr="006953F2">
        <w:t xml:space="preserve"> adhered to clothing myths such as </w:t>
      </w:r>
      <w:r w:rsidR="00DB6A5B" w:rsidRPr="006953F2">
        <w:t xml:space="preserve">‘skimpy, and ‘slutty’ clothes leading to rape. Scholarly research </w:t>
      </w:r>
      <w:r w:rsidR="000D5764" w:rsidRPr="006953F2">
        <w:t xml:space="preserve">has helped promote our understanding of </w:t>
      </w:r>
      <w:r w:rsidR="00134EEF" w:rsidRPr="006953F2">
        <w:t xml:space="preserve">such thinking within the context of attribution theory where women who </w:t>
      </w:r>
      <w:r w:rsidR="00D06C19" w:rsidRPr="006953F2">
        <w:t xml:space="preserve">transgress traditional gender norms by wearing provocative clothes are regarded as worthy of punishment (Grubb &amp; Turner, 2012). </w:t>
      </w:r>
      <w:r w:rsidR="000E6D38" w:rsidRPr="008450EF">
        <w:t>Such views serve to restrict women’</w:t>
      </w:r>
      <w:r w:rsidR="00712675" w:rsidRPr="008450EF">
        <w:t xml:space="preserve">s sense of agency, </w:t>
      </w:r>
      <w:r w:rsidR="000E6D38" w:rsidRPr="008450EF">
        <w:t xml:space="preserve">autonomy </w:t>
      </w:r>
      <w:r w:rsidR="00712675" w:rsidRPr="008450EF">
        <w:t>and freedom and result in victim blaming</w:t>
      </w:r>
      <w:r w:rsidR="001D7542" w:rsidRPr="008450EF">
        <w:t xml:space="preserve"> (Begum </w:t>
      </w:r>
      <w:r w:rsidR="00AD5E18">
        <w:t>&amp;</w:t>
      </w:r>
      <w:r w:rsidR="001D7542" w:rsidRPr="008450EF">
        <w:t xml:space="preserve"> Barn, </w:t>
      </w:r>
      <w:r w:rsidR="00D408C7">
        <w:t>2018</w:t>
      </w:r>
      <w:r w:rsidR="001D7542" w:rsidRPr="008450EF">
        <w:t>)</w:t>
      </w:r>
      <w:r w:rsidR="00712675" w:rsidRPr="008450EF">
        <w:t>.</w:t>
      </w:r>
    </w:p>
    <w:p w14:paraId="1DDD3F91" w14:textId="40A4FACE" w:rsidR="00947477" w:rsidRPr="006953F2" w:rsidRDefault="00755C64" w:rsidP="00CE1970">
      <w:pPr>
        <w:widowControl w:val="0"/>
        <w:autoSpaceDE w:val="0"/>
        <w:autoSpaceDN w:val="0"/>
        <w:adjustRightInd w:val="0"/>
        <w:spacing w:line="480" w:lineRule="auto"/>
        <w:ind w:firstLine="720"/>
        <w:rPr>
          <w:color w:val="000000"/>
        </w:rPr>
      </w:pPr>
      <w:r w:rsidRPr="006953F2">
        <w:t xml:space="preserve">In the UK sample, </w:t>
      </w:r>
      <w:r w:rsidR="00D01B84" w:rsidRPr="006953F2">
        <w:t>race</w:t>
      </w:r>
      <w:r w:rsidR="00CE1970" w:rsidRPr="006953F2">
        <w:t xml:space="preserve"> was related to endorsement where White students </w:t>
      </w:r>
      <w:r w:rsidR="00D01B84" w:rsidRPr="006953F2">
        <w:t>endorsed rape myths less than minority respondents. These findings echo previous</w:t>
      </w:r>
      <w:r w:rsidR="00CE1970" w:rsidRPr="006953F2">
        <w:t xml:space="preserve"> research carried out in the US</w:t>
      </w:r>
      <w:r w:rsidR="00B95618">
        <w:t>A</w:t>
      </w:r>
      <w:r w:rsidR="00D01B84" w:rsidRPr="006953F2">
        <w:t xml:space="preserve"> which </w:t>
      </w:r>
      <w:r w:rsidR="00B34A0C" w:rsidRPr="006953F2">
        <w:t xml:space="preserve">has </w:t>
      </w:r>
      <w:r w:rsidR="00D01B84" w:rsidRPr="006953F2">
        <w:t xml:space="preserve">documented </w:t>
      </w:r>
      <w:r w:rsidR="004C04C8" w:rsidRPr="006953F2">
        <w:t xml:space="preserve">the propensity of </w:t>
      </w:r>
      <w:r w:rsidR="00CE1970" w:rsidRPr="006953F2">
        <w:t>racial minorities</w:t>
      </w:r>
      <w:r w:rsidR="004C04C8" w:rsidRPr="006953F2">
        <w:t xml:space="preserve"> to endorse rape myt</w:t>
      </w:r>
      <w:r w:rsidR="00CE1970" w:rsidRPr="006953F2">
        <w:t xml:space="preserve">hs to a greater degree than their White counterparts </w:t>
      </w:r>
      <w:r w:rsidR="004C04C8" w:rsidRPr="006953F2">
        <w:t>(</w:t>
      </w:r>
      <w:r w:rsidR="004C04C8" w:rsidRPr="006953F2">
        <w:rPr>
          <w:color w:val="000000"/>
        </w:rPr>
        <w:t xml:space="preserve">Giacopassi &amp; Dull, 1986; </w:t>
      </w:r>
      <w:r w:rsidR="00D77391" w:rsidRPr="006953F2">
        <w:rPr>
          <w:color w:val="000000"/>
        </w:rPr>
        <w:t>Mori et al., 1995</w:t>
      </w:r>
      <w:r w:rsidR="00525CDB" w:rsidRPr="006953F2">
        <w:rPr>
          <w:color w:val="000000"/>
        </w:rPr>
        <w:t>; Suarez &amp; Gadalla, 2010</w:t>
      </w:r>
      <w:r w:rsidR="00862B06" w:rsidRPr="006953F2">
        <w:rPr>
          <w:color w:val="000000"/>
        </w:rPr>
        <w:t xml:space="preserve">). </w:t>
      </w:r>
      <w:r w:rsidR="007A0B6F" w:rsidRPr="006953F2">
        <w:rPr>
          <w:color w:val="000000"/>
        </w:rPr>
        <w:t xml:space="preserve">Whether such differences </w:t>
      </w:r>
      <w:r w:rsidR="00A07514" w:rsidRPr="006953F2">
        <w:rPr>
          <w:color w:val="000000"/>
        </w:rPr>
        <w:t xml:space="preserve">may </w:t>
      </w:r>
      <w:r w:rsidR="006E274E" w:rsidRPr="006953F2">
        <w:rPr>
          <w:color w:val="000000"/>
        </w:rPr>
        <w:t>be attributed to gender roles, restrictive cultural norms, or lack of education about sexual violence is unclear. For example, whilst cross-cult</w:t>
      </w:r>
      <w:r w:rsidR="00CE1970" w:rsidRPr="006953F2">
        <w:rPr>
          <w:color w:val="000000"/>
        </w:rPr>
        <w:t>ural differences between the US</w:t>
      </w:r>
      <w:r w:rsidR="00B95618">
        <w:rPr>
          <w:color w:val="000000"/>
        </w:rPr>
        <w:t>A</w:t>
      </w:r>
      <w:r w:rsidR="006E274E" w:rsidRPr="006953F2">
        <w:rPr>
          <w:color w:val="000000"/>
        </w:rPr>
        <w:t xml:space="preserve"> and other countries might be explained as a consequence of education and awareness (particularly given that federally funded universities in the USA are required to provide rape prevention programs), such an explanation is less convincing in our study. Whilst there is a move towards this in the UK, neither the </w:t>
      </w:r>
      <w:r w:rsidR="00B95618">
        <w:rPr>
          <w:color w:val="000000"/>
        </w:rPr>
        <w:t>UK</w:t>
      </w:r>
      <w:r w:rsidR="00B95618" w:rsidRPr="006953F2">
        <w:rPr>
          <w:color w:val="000000"/>
        </w:rPr>
        <w:t xml:space="preserve"> </w:t>
      </w:r>
      <w:r w:rsidR="006E274E" w:rsidRPr="006953F2">
        <w:rPr>
          <w:color w:val="000000"/>
        </w:rPr>
        <w:t xml:space="preserve">or Indian universities currently have mandatory rape prevention programs. The differences found between the UK and India are therefore much more likely to be located in social and cultural experiences. </w:t>
      </w:r>
      <w:r w:rsidR="00811467" w:rsidRPr="006953F2">
        <w:rPr>
          <w:color w:val="000000"/>
        </w:rPr>
        <w:t>Studies employing</w:t>
      </w:r>
      <w:r w:rsidR="00932A4B" w:rsidRPr="006953F2">
        <w:rPr>
          <w:color w:val="000000"/>
        </w:rPr>
        <w:t xml:space="preserve"> qualitative research methods to tease out the ways in which gender roles, and cultural norms operate within the patriarchal belief </w:t>
      </w:r>
      <w:r w:rsidR="00932A4B" w:rsidRPr="006953F2">
        <w:rPr>
          <w:color w:val="000000"/>
        </w:rPr>
        <w:lastRenderedPageBreak/>
        <w:t>systems in these countries; and how these are related to rape myth acceptance</w:t>
      </w:r>
      <w:r w:rsidR="00811467" w:rsidRPr="006953F2">
        <w:rPr>
          <w:color w:val="000000"/>
        </w:rPr>
        <w:t>, could make an important contribution to the literature in this area</w:t>
      </w:r>
      <w:r w:rsidR="00932A4B" w:rsidRPr="006953F2">
        <w:rPr>
          <w:color w:val="000000"/>
        </w:rPr>
        <w:t>.</w:t>
      </w:r>
    </w:p>
    <w:p w14:paraId="02A29832" w14:textId="6D139C86" w:rsidR="00BC628A" w:rsidRPr="009D6495" w:rsidRDefault="00D77391" w:rsidP="00BC628A">
      <w:pPr>
        <w:spacing w:line="480" w:lineRule="auto"/>
        <w:contextualSpacing/>
        <w:rPr>
          <w:b/>
        </w:rPr>
      </w:pPr>
      <w:r w:rsidRPr="009D6495">
        <w:rPr>
          <w:b/>
        </w:rPr>
        <w:t xml:space="preserve">Policy </w:t>
      </w:r>
      <w:r w:rsidR="00642252" w:rsidRPr="009D6495">
        <w:rPr>
          <w:b/>
        </w:rPr>
        <w:t>Recommendations</w:t>
      </w:r>
    </w:p>
    <w:p w14:paraId="30AA55A2" w14:textId="143680DD" w:rsidR="00F327AD" w:rsidRPr="006953F2" w:rsidRDefault="00EF7913" w:rsidP="005266CF">
      <w:pPr>
        <w:widowControl w:val="0"/>
        <w:autoSpaceDE w:val="0"/>
        <w:autoSpaceDN w:val="0"/>
        <w:adjustRightInd w:val="0"/>
        <w:spacing w:after="240" w:line="480" w:lineRule="auto"/>
        <w:rPr>
          <w:rFonts w:ascii="Times" w:hAnsi="Times" w:cs="Times"/>
          <w:color w:val="000000"/>
          <w:lang w:eastAsia="en-US"/>
        </w:rPr>
      </w:pPr>
      <w:r w:rsidRPr="006953F2">
        <w:t xml:space="preserve">In addition to making an academic contribution to the literature, rape myth acceptance research has the potential for social, cultural, and policy implications. </w:t>
      </w:r>
      <w:r w:rsidR="00F327AD" w:rsidRPr="006953F2">
        <w:t>Firstly, th</w:t>
      </w:r>
      <w:r w:rsidR="00803BF3" w:rsidRPr="006953F2">
        <w:t>e helping professions</w:t>
      </w:r>
      <w:r w:rsidR="00F327AD" w:rsidRPr="006953F2">
        <w:t>,</w:t>
      </w:r>
      <w:r w:rsidR="00803BF3" w:rsidRPr="006953F2">
        <w:t xml:space="preserve"> involving health, social work, and criminal justice, have much to gain from a better understanding of rape myth acceptance. A competent and skilled workforce that is better able to understand victims and perpetrators </w:t>
      </w:r>
      <w:r w:rsidR="00A07514" w:rsidRPr="006953F2">
        <w:t xml:space="preserve">may </w:t>
      </w:r>
      <w:r w:rsidR="00803BF3" w:rsidRPr="006953F2">
        <w:t xml:space="preserve">help reduce rape myth acceptance, </w:t>
      </w:r>
      <w:r w:rsidR="00F327AD" w:rsidRPr="006953F2">
        <w:t xml:space="preserve">deter crime, </w:t>
      </w:r>
      <w:r w:rsidR="003D2BF1" w:rsidRPr="006953F2">
        <w:t xml:space="preserve">and provide better help and support. </w:t>
      </w:r>
      <w:r w:rsidR="00F327AD" w:rsidRPr="006953F2">
        <w:t>Secondly, our</w:t>
      </w:r>
      <w:r w:rsidR="00BC628A" w:rsidRPr="006953F2">
        <w:t xml:space="preserve"> findings point to the need for education </w:t>
      </w:r>
      <w:r w:rsidR="002F7D3E" w:rsidRPr="006953F2">
        <w:t xml:space="preserve">and awareness. In both India, and the UK, there is currently little or no provision for </w:t>
      </w:r>
      <w:r w:rsidR="000970C2" w:rsidRPr="006953F2">
        <w:t>systematic</w:t>
      </w:r>
      <w:r w:rsidR="002F7D3E" w:rsidRPr="006953F2">
        <w:t xml:space="preserve"> program</w:t>
      </w:r>
      <w:r w:rsidR="00D739D6">
        <w:t>s</w:t>
      </w:r>
      <w:r w:rsidR="002F7D3E" w:rsidRPr="006953F2">
        <w:t xml:space="preserve"> for education and awareness around sexual consent within universities or in other arenas. In India, the</w:t>
      </w:r>
      <w:r w:rsidR="00833EA4">
        <w:t xml:space="preserve"> government</w:t>
      </w:r>
      <w:r w:rsidR="002F7D3E" w:rsidRPr="006953F2">
        <w:t xml:space="preserve"> Nirbhaya fund was set up following the horrific rape incident of 2012. </w:t>
      </w:r>
      <w:r w:rsidR="008A4FB1" w:rsidRPr="006953F2">
        <w:t>Given that t</w:t>
      </w:r>
      <w:r w:rsidR="002F7D3E" w:rsidRPr="006953F2">
        <w:t xml:space="preserve">he sole purpose of this fund is to work towards promoting the </w:t>
      </w:r>
      <w:r w:rsidR="008A4FB1" w:rsidRPr="006953F2">
        <w:t>s</w:t>
      </w:r>
      <w:r w:rsidR="002F7D3E" w:rsidRPr="006953F2">
        <w:t>afety and security of women and girls</w:t>
      </w:r>
      <w:r w:rsidR="008A4FB1" w:rsidRPr="006953F2">
        <w:t xml:space="preserve">, creative and innovative ways of utilising this </w:t>
      </w:r>
      <w:r w:rsidR="00800857" w:rsidRPr="006953F2">
        <w:t xml:space="preserve">resource </w:t>
      </w:r>
      <w:r w:rsidR="008A4FB1" w:rsidRPr="006953F2">
        <w:t>could be an important development</w:t>
      </w:r>
      <w:r w:rsidR="00712675">
        <w:t xml:space="preserve">. </w:t>
      </w:r>
      <w:r w:rsidR="00712675" w:rsidRPr="008450EF">
        <w:t>W</w:t>
      </w:r>
      <w:r w:rsidR="00AE30C7" w:rsidRPr="008450EF">
        <w:t>e</w:t>
      </w:r>
      <w:r w:rsidR="00AE30C7" w:rsidRPr="006953F2">
        <w:t xml:space="preserve"> would argue that </w:t>
      </w:r>
      <w:r w:rsidR="00800857" w:rsidRPr="006953F2">
        <w:t xml:space="preserve">projects which focus on education and awareness to challenge rape myths </w:t>
      </w:r>
      <w:r w:rsidR="0021497C" w:rsidRPr="006953F2">
        <w:t>could be</w:t>
      </w:r>
      <w:r w:rsidR="00800857" w:rsidRPr="006953F2">
        <w:t xml:space="preserve"> given a priority (Vadagam, Khutwad, Damle</w:t>
      </w:r>
      <w:r w:rsidR="00766B9B" w:rsidRPr="006953F2">
        <w:t>,</w:t>
      </w:r>
      <w:r w:rsidR="00800857" w:rsidRPr="006953F2">
        <w:t xml:space="preserve"> &amp; Patil, 2015)</w:t>
      </w:r>
      <w:r w:rsidR="008A4FB1" w:rsidRPr="006953F2">
        <w:t>. In the UK, following the example of Oxford and Cambridge, a few universities have begun to hold induction workshops on sexual c</w:t>
      </w:r>
      <w:r w:rsidR="0021497C" w:rsidRPr="006953F2">
        <w:t xml:space="preserve">onsent. </w:t>
      </w:r>
      <w:r w:rsidR="005266CF" w:rsidRPr="006953F2">
        <w:t>In line with the National Union of Students Report (2011), we suggest that a cross-institutional policy is developed to r</w:t>
      </w:r>
      <w:r w:rsidR="005266CF" w:rsidRPr="006953F2">
        <w:rPr>
          <w:color w:val="000000"/>
          <w:lang w:eastAsia="en-US"/>
        </w:rPr>
        <w:t>aise awareness of rape myths and to challenge negative attitudes and stereotypes.</w:t>
      </w:r>
      <w:r w:rsidR="005266CF" w:rsidRPr="006953F2">
        <w:rPr>
          <w:rFonts w:ascii="Times" w:hAnsi="Times" w:cs="Times"/>
          <w:color w:val="000000"/>
          <w:sz w:val="26"/>
          <w:szCs w:val="26"/>
          <w:lang w:eastAsia="en-US"/>
        </w:rPr>
        <w:t xml:space="preserve"> </w:t>
      </w:r>
      <w:r w:rsidR="0021497C" w:rsidRPr="006953F2">
        <w:t xml:space="preserve">Such </w:t>
      </w:r>
      <w:r w:rsidR="008A4FB1" w:rsidRPr="006953F2">
        <w:t>initiative</w:t>
      </w:r>
      <w:r w:rsidR="0021497C" w:rsidRPr="006953F2">
        <w:t>s</w:t>
      </w:r>
      <w:r w:rsidR="008A4FB1" w:rsidRPr="006953F2">
        <w:t xml:space="preserve"> </w:t>
      </w:r>
      <w:r w:rsidR="0021497C" w:rsidRPr="006953F2">
        <w:t>c</w:t>
      </w:r>
      <w:r w:rsidR="008A4FB1" w:rsidRPr="006953F2">
        <w:t>ould benefit from becoming mandatory to help raise understanding and awareness of rape myths across the higher education sector</w:t>
      </w:r>
      <w:r w:rsidR="00766B9B" w:rsidRPr="006953F2">
        <w:t xml:space="preserve"> (Lewis, Marine,</w:t>
      </w:r>
      <w:r w:rsidR="0021497C" w:rsidRPr="006953F2">
        <w:t xml:space="preserve"> &amp; Kenney, 2016)</w:t>
      </w:r>
      <w:r w:rsidR="008A4FB1" w:rsidRPr="006953F2">
        <w:t xml:space="preserve">. </w:t>
      </w:r>
      <w:r w:rsidR="00780599" w:rsidRPr="006953F2">
        <w:t>There is some research evidence to suggest</w:t>
      </w:r>
      <w:r w:rsidR="00110F57" w:rsidRPr="006953F2">
        <w:t xml:space="preserve"> the efficacy of a rigorously designed and implemented sexual assault resistance program in decreasing the </w:t>
      </w:r>
      <w:r w:rsidR="000970C2" w:rsidRPr="006953F2">
        <w:t>occurrence</w:t>
      </w:r>
      <w:r w:rsidR="00110F57" w:rsidRPr="006953F2">
        <w:t xml:space="preserve"> of rape, attempted rape, and other victimisation experiences (Senn, </w:t>
      </w:r>
      <w:r w:rsidR="00110F57" w:rsidRPr="006953F2">
        <w:rPr>
          <w:color w:val="1A1A1A"/>
        </w:rPr>
        <w:t xml:space="preserve">Eliasziw, </w:t>
      </w:r>
      <w:r w:rsidR="00110F57" w:rsidRPr="006953F2">
        <w:rPr>
          <w:color w:val="1A1A1A"/>
        </w:rPr>
        <w:lastRenderedPageBreak/>
        <w:t>Barata, Thurston, Newby-Clark, Radtke, &amp; Hobden, 2015)</w:t>
      </w:r>
      <w:r w:rsidR="00110F57" w:rsidRPr="006953F2">
        <w:t>.</w:t>
      </w:r>
      <w:r w:rsidR="00780599" w:rsidRPr="006953F2">
        <w:t xml:space="preserve"> This is an encouraging finding, from a Canadian study, </w:t>
      </w:r>
      <w:r w:rsidR="00110F57" w:rsidRPr="006953F2">
        <w:t xml:space="preserve">that requires further replication in diverse contexts. </w:t>
      </w:r>
    </w:p>
    <w:p w14:paraId="453E46E9" w14:textId="000EAFA3" w:rsidR="00DE3D9E" w:rsidRPr="009D6495" w:rsidRDefault="00DE3D9E" w:rsidP="002F0832">
      <w:pPr>
        <w:spacing w:line="480" w:lineRule="auto"/>
        <w:contextualSpacing/>
        <w:rPr>
          <w:b/>
        </w:rPr>
      </w:pPr>
      <w:r w:rsidRPr="009D6495">
        <w:rPr>
          <w:b/>
        </w:rPr>
        <w:t>Limitations</w:t>
      </w:r>
      <w:r w:rsidR="007A0B6F" w:rsidRPr="009D6495">
        <w:rPr>
          <w:b/>
        </w:rPr>
        <w:t xml:space="preserve"> </w:t>
      </w:r>
    </w:p>
    <w:p w14:paraId="4EBC1597" w14:textId="20CD6261" w:rsidR="003355DE" w:rsidRPr="006953F2" w:rsidRDefault="00B01E3F" w:rsidP="00A30D3A">
      <w:pPr>
        <w:spacing w:line="480" w:lineRule="auto"/>
        <w:contextualSpacing/>
        <w:rPr>
          <w:color w:val="000000"/>
        </w:rPr>
      </w:pPr>
      <w:r w:rsidRPr="006953F2">
        <w:t xml:space="preserve">Although this UK / India comparison </w:t>
      </w:r>
      <w:r w:rsidR="00CA6F11" w:rsidRPr="006953F2">
        <w:t>is novel and adds to the extant literature, there are a number of limitations to this study. Firstly, the study is based on measures of rape myth acceptance that have been developed</w:t>
      </w:r>
      <w:r w:rsidR="008A6152" w:rsidRPr="006953F2">
        <w:t xml:space="preserve"> and largely validated using US</w:t>
      </w:r>
      <w:r w:rsidR="00B95618">
        <w:t>A</w:t>
      </w:r>
      <w:r w:rsidR="00CA6F11" w:rsidRPr="006953F2">
        <w:t xml:space="preserve"> populations. Further research is needed to help test and strengthen the validation of these measures. </w:t>
      </w:r>
      <w:r w:rsidR="00AE39D9" w:rsidRPr="006953F2">
        <w:t xml:space="preserve">Crucially, whilst the </w:t>
      </w:r>
      <w:r w:rsidR="00AE39D9" w:rsidRPr="006953F2">
        <w:rPr>
          <w:color w:val="000000"/>
        </w:rPr>
        <w:t>basic principles of reliability and validity of the well-established social psychological measures of IRMA are widely recognised (</w:t>
      </w:r>
      <w:r w:rsidR="00E17478" w:rsidRPr="006953F2">
        <w:rPr>
          <w:color w:val="000000"/>
        </w:rPr>
        <w:t xml:space="preserve">Conaghan &amp; Russell, 2014; </w:t>
      </w:r>
      <w:r w:rsidR="00AE39D9" w:rsidRPr="006953F2">
        <w:rPr>
          <w:color w:val="000000"/>
        </w:rPr>
        <w:t xml:space="preserve">Krahe, 2013), it is important to engage in critical scholarship that challenges </w:t>
      </w:r>
      <w:r w:rsidR="00093A21" w:rsidRPr="006953F2">
        <w:rPr>
          <w:color w:val="000000"/>
        </w:rPr>
        <w:t xml:space="preserve">the premise of research constructs </w:t>
      </w:r>
      <w:r w:rsidR="00AE39D9" w:rsidRPr="006953F2">
        <w:rPr>
          <w:color w:val="000000"/>
        </w:rPr>
        <w:t>in this area (</w:t>
      </w:r>
      <w:r w:rsidR="00E17478" w:rsidRPr="006953F2">
        <w:rPr>
          <w:color w:val="000000"/>
        </w:rPr>
        <w:t xml:space="preserve">Gurnham, 2016; </w:t>
      </w:r>
      <w:r w:rsidR="00AE39D9" w:rsidRPr="006953F2">
        <w:rPr>
          <w:color w:val="000000"/>
        </w:rPr>
        <w:t>Reece</w:t>
      </w:r>
      <w:r w:rsidR="00E17478" w:rsidRPr="006953F2">
        <w:rPr>
          <w:color w:val="000000"/>
        </w:rPr>
        <w:t>,</w:t>
      </w:r>
      <w:r w:rsidR="00AE39D9" w:rsidRPr="006953F2">
        <w:rPr>
          <w:color w:val="000000"/>
        </w:rPr>
        <w:t xml:space="preserve"> 2014). </w:t>
      </w:r>
      <w:r w:rsidR="00914B6C" w:rsidRPr="006953F2">
        <w:t>Secondly, the study is b</w:t>
      </w:r>
      <w:r w:rsidR="00CA6F11" w:rsidRPr="006953F2">
        <w:t>ased on cross-sectional data which does not lend itself to ca</w:t>
      </w:r>
      <w:r w:rsidR="009351F2" w:rsidRPr="006953F2">
        <w:t>usal</w:t>
      </w:r>
      <w:r w:rsidR="00CA6F11" w:rsidRPr="006953F2">
        <w:t xml:space="preserve"> relationships. Thirdly, the sample is rather narrow as it is only focused on a university student population</w:t>
      </w:r>
      <w:r w:rsidR="009E3C9C" w:rsidRPr="006953F2">
        <w:t>.</w:t>
      </w:r>
      <w:r w:rsidR="001A0AED" w:rsidRPr="006953F2">
        <w:t xml:space="preserve"> </w:t>
      </w:r>
      <w:r w:rsidR="009351F2" w:rsidRPr="006953F2">
        <w:t xml:space="preserve">A study of similarly aged young people who </w:t>
      </w:r>
      <w:r w:rsidR="00AE39D9" w:rsidRPr="006953F2">
        <w:t>did not</w:t>
      </w:r>
      <w:r w:rsidR="009351F2" w:rsidRPr="006953F2">
        <w:t xml:space="preserve"> go to university would be useful </w:t>
      </w:r>
      <w:r w:rsidR="00AE39D9" w:rsidRPr="006953F2">
        <w:t xml:space="preserve">in understanding the pervasiveness of rape myth acceptance amongst this group. </w:t>
      </w:r>
      <w:r w:rsidR="00205B22" w:rsidRPr="006953F2">
        <w:t>Crucially</w:t>
      </w:r>
      <w:r w:rsidR="00AE39D9" w:rsidRPr="006953F2">
        <w:t>,</w:t>
      </w:r>
      <w:r w:rsidR="006C642D" w:rsidRPr="006953F2">
        <w:t xml:space="preserve"> not only is our student </w:t>
      </w:r>
      <w:r w:rsidR="009E3C9C" w:rsidRPr="006953F2">
        <w:t xml:space="preserve">sample not representative of other groups in the general population, it is also not representative of students elsewhere in the UK and India. </w:t>
      </w:r>
    </w:p>
    <w:p w14:paraId="622133F4" w14:textId="24D71021" w:rsidR="00D37BE9" w:rsidRPr="006953F2" w:rsidRDefault="003355DE" w:rsidP="00F17B81">
      <w:pPr>
        <w:widowControl w:val="0"/>
        <w:autoSpaceDE w:val="0"/>
        <w:autoSpaceDN w:val="0"/>
        <w:adjustRightInd w:val="0"/>
        <w:spacing w:after="240" w:line="480" w:lineRule="auto"/>
        <w:ind w:firstLine="720"/>
        <w:rPr>
          <w:rFonts w:ascii="Times" w:hAnsi="Times" w:cs="Times"/>
          <w:color w:val="000000"/>
        </w:rPr>
      </w:pPr>
      <w:r w:rsidRPr="006953F2">
        <w:rPr>
          <w:color w:val="000000"/>
        </w:rPr>
        <w:t>Despite these limitations, and in the absence of key literature in this area, our study provides novel comparative findings on rape myth acceptance among college students in the UK and India. The study therefore makes an important contribution to the extant literature to address this paucity of knowledge and understanding to help develop country-specific and appropriate policy, practice, and education and awareness programs.</w:t>
      </w:r>
    </w:p>
    <w:p w14:paraId="6C85BE5E" w14:textId="2DD69682" w:rsidR="00464CA1" w:rsidRPr="006953F2" w:rsidRDefault="00464CA1" w:rsidP="004E56BD">
      <w:pPr>
        <w:contextualSpacing/>
        <w:rPr>
          <w:b/>
          <w:sz w:val="28"/>
          <w:szCs w:val="28"/>
        </w:rPr>
      </w:pPr>
      <w:r w:rsidRPr="006953F2">
        <w:rPr>
          <w:b/>
          <w:sz w:val="28"/>
          <w:szCs w:val="28"/>
        </w:rPr>
        <w:t>Declaration of conflicting interests</w:t>
      </w:r>
    </w:p>
    <w:p w14:paraId="4D4DB7A3" w14:textId="2821C64D" w:rsidR="00464CA1" w:rsidRPr="006953F2" w:rsidRDefault="00464CA1" w:rsidP="004E56BD">
      <w:pPr>
        <w:widowControl w:val="0"/>
        <w:autoSpaceDE w:val="0"/>
        <w:autoSpaceDN w:val="0"/>
        <w:adjustRightInd w:val="0"/>
        <w:spacing w:after="240" w:line="300" w:lineRule="atLeast"/>
        <w:contextualSpacing/>
        <w:rPr>
          <w:color w:val="000000"/>
        </w:rPr>
      </w:pPr>
      <w:r w:rsidRPr="006953F2">
        <w:rPr>
          <w:color w:val="000000"/>
        </w:rPr>
        <w:t xml:space="preserve">The authors declared no potential conflicts of interest with respect to the research, authorship, and/or publication of this article. </w:t>
      </w:r>
    </w:p>
    <w:p w14:paraId="00DCF7F1" w14:textId="77777777" w:rsidR="00642252" w:rsidRPr="006953F2" w:rsidRDefault="00642252" w:rsidP="004E56BD">
      <w:pPr>
        <w:widowControl w:val="0"/>
        <w:autoSpaceDE w:val="0"/>
        <w:autoSpaceDN w:val="0"/>
        <w:adjustRightInd w:val="0"/>
        <w:spacing w:after="240" w:line="300" w:lineRule="atLeast"/>
        <w:contextualSpacing/>
        <w:rPr>
          <w:color w:val="000000"/>
        </w:rPr>
      </w:pPr>
    </w:p>
    <w:p w14:paraId="1C58D3E4" w14:textId="371B5F05" w:rsidR="00464CA1" w:rsidRPr="006953F2" w:rsidRDefault="00464CA1" w:rsidP="004E56BD">
      <w:pPr>
        <w:contextualSpacing/>
        <w:rPr>
          <w:b/>
          <w:sz w:val="28"/>
          <w:szCs w:val="28"/>
        </w:rPr>
      </w:pPr>
      <w:r w:rsidRPr="006953F2">
        <w:rPr>
          <w:b/>
          <w:sz w:val="28"/>
          <w:szCs w:val="28"/>
        </w:rPr>
        <w:lastRenderedPageBreak/>
        <w:t>Funding</w:t>
      </w:r>
    </w:p>
    <w:p w14:paraId="3E8011EA" w14:textId="22B55267" w:rsidR="00A30D3A" w:rsidRPr="009853A1" w:rsidRDefault="00464CA1" w:rsidP="00283061">
      <w:pPr>
        <w:widowControl w:val="0"/>
        <w:autoSpaceDE w:val="0"/>
        <w:autoSpaceDN w:val="0"/>
        <w:adjustRightInd w:val="0"/>
        <w:spacing w:after="240" w:line="300" w:lineRule="atLeast"/>
        <w:contextualSpacing/>
        <w:rPr>
          <w:color w:val="000000"/>
        </w:rPr>
      </w:pPr>
      <w:r w:rsidRPr="006953F2">
        <w:rPr>
          <w:color w:val="000000"/>
        </w:rPr>
        <w:t>The authors received no financial support for the res</w:t>
      </w:r>
      <w:r w:rsidR="00433CD4" w:rsidRPr="006953F2">
        <w:rPr>
          <w:color w:val="000000"/>
        </w:rPr>
        <w:t>earch, authorship, and/or publi</w:t>
      </w:r>
      <w:r w:rsidRPr="006953F2">
        <w:rPr>
          <w:color w:val="000000"/>
        </w:rPr>
        <w:t>cation of this article.</w:t>
      </w:r>
      <w:r w:rsidRPr="009853A1">
        <w:rPr>
          <w:color w:val="000000"/>
        </w:rPr>
        <w:t xml:space="preserve"> </w:t>
      </w:r>
    </w:p>
    <w:p w14:paraId="21270EC3" w14:textId="6A08531C" w:rsidR="008A6152" w:rsidRPr="009853A1" w:rsidRDefault="008A6152" w:rsidP="00283061">
      <w:pPr>
        <w:widowControl w:val="0"/>
        <w:autoSpaceDE w:val="0"/>
        <w:autoSpaceDN w:val="0"/>
        <w:adjustRightInd w:val="0"/>
        <w:spacing w:after="240" w:line="300" w:lineRule="atLeast"/>
        <w:contextualSpacing/>
        <w:rPr>
          <w:color w:val="000000"/>
        </w:rPr>
      </w:pPr>
    </w:p>
    <w:p w14:paraId="08D9C2CE" w14:textId="77777777" w:rsidR="00712675" w:rsidRDefault="00712675" w:rsidP="004E56BD">
      <w:pPr>
        <w:contextualSpacing/>
        <w:rPr>
          <w:b/>
          <w:sz w:val="28"/>
          <w:szCs w:val="28"/>
        </w:rPr>
      </w:pPr>
    </w:p>
    <w:p w14:paraId="55B785C7" w14:textId="37269D64" w:rsidR="00D14437" w:rsidRPr="009853A1" w:rsidRDefault="00D37BE9" w:rsidP="004E56BD">
      <w:pPr>
        <w:contextualSpacing/>
        <w:rPr>
          <w:b/>
          <w:sz w:val="28"/>
          <w:szCs w:val="28"/>
        </w:rPr>
      </w:pPr>
      <w:r w:rsidRPr="009853A1">
        <w:rPr>
          <w:b/>
          <w:sz w:val="28"/>
          <w:szCs w:val="28"/>
        </w:rPr>
        <w:t>References</w:t>
      </w:r>
    </w:p>
    <w:p w14:paraId="2C4CD6A7" w14:textId="77777777" w:rsidR="00302A12" w:rsidRPr="009853A1" w:rsidRDefault="00302A12" w:rsidP="004E56BD">
      <w:pPr>
        <w:contextualSpacing/>
        <w:rPr>
          <w:b/>
        </w:rPr>
      </w:pPr>
    </w:p>
    <w:p w14:paraId="3D23AE93" w14:textId="7B559609" w:rsidR="001B4F17" w:rsidRPr="00EC1495" w:rsidRDefault="001B4F17" w:rsidP="004379F3">
      <w:pPr>
        <w:contextualSpacing/>
        <w:rPr>
          <w:color w:val="1A1A1A"/>
        </w:rPr>
      </w:pPr>
      <w:r w:rsidRPr="00EC1495">
        <w:rPr>
          <w:color w:val="1A1A1A"/>
        </w:rPr>
        <w:t xml:space="preserve">Abdullah-Khan, N. (2008). </w:t>
      </w:r>
      <w:r w:rsidRPr="00EC1495">
        <w:rPr>
          <w:i/>
          <w:iCs/>
          <w:color w:val="1A1A1A"/>
        </w:rPr>
        <w:t>Male rape: The emergence of a social and legal issue</w:t>
      </w:r>
      <w:r w:rsidRPr="00EC1495">
        <w:rPr>
          <w:color w:val="1A1A1A"/>
        </w:rPr>
        <w:t xml:space="preserve">. </w:t>
      </w:r>
      <w:r w:rsidR="00A86EFE" w:rsidRPr="00EC1495">
        <w:rPr>
          <w:color w:val="1A1A1A"/>
        </w:rPr>
        <w:t xml:space="preserve">Basingstoke, England: </w:t>
      </w:r>
      <w:r w:rsidRPr="00EC1495">
        <w:rPr>
          <w:color w:val="1A1A1A"/>
        </w:rPr>
        <w:t>Palgrave Macmillan.</w:t>
      </w:r>
    </w:p>
    <w:p w14:paraId="1CED18BE" w14:textId="77777777" w:rsidR="001B4F17" w:rsidRPr="00EC1495" w:rsidRDefault="001B4F17" w:rsidP="008C6EF0">
      <w:pPr>
        <w:ind w:left="720" w:hanging="720"/>
        <w:contextualSpacing/>
        <w:rPr>
          <w:b/>
        </w:rPr>
      </w:pPr>
    </w:p>
    <w:p w14:paraId="4EDAF49C" w14:textId="5373906D" w:rsidR="001B4F17" w:rsidRPr="00EC1495" w:rsidRDefault="001B4F17" w:rsidP="004379F3">
      <w:pPr>
        <w:contextualSpacing/>
      </w:pPr>
      <w:r w:rsidRPr="00EC1495">
        <w:t xml:space="preserve">Anderson, V. N., Simpson-Taylor, D., &amp; Herrmann, D. J. (2004). Gender, </w:t>
      </w:r>
      <w:r w:rsidR="00B95618" w:rsidRPr="009D6495">
        <w:t>age, and</w:t>
      </w:r>
      <w:r w:rsidRPr="00EC1495">
        <w:t xml:space="preserve"> rape- supportive rules. </w:t>
      </w:r>
      <w:r w:rsidRPr="00EC1495">
        <w:rPr>
          <w:i/>
        </w:rPr>
        <w:t>Sex Roles, 50</w:t>
      </w:r>
      <w:r w:rsidRPr="00EC1495">
        <w:t>(1-2), 77-90.</w:t>
      </w:r>
    </w:p>
    <w:p w14:paraId="40E6D85E" w14:textId="77777777" w:rsidR="001B4F17" w:rsidRPr="00EC1495" w:rsidRDefault="001B4F17" w:rsidP="008C6EF0">
      <w:pPr>
        <w:ind w:left="720" w:hanging="720"/>
        <w:contextualSpacing/>
      </w:pPr>
    </w:p>
    <w:p w14:paraId="730763DD" w14:textId="77777777" w:rsidR="001B4F17" w:rsidRPr="00EC1495" w:rsidRDefault="001B4F17" w:rsidP="004379F3">
      <w:pPr>
        <w:contextualSpacing/>
      </w:pPr>
      <w:r w:rsidRPr="00EC1495">
        <w:t xml:space="preserve">Anderson, K.B., Cooper, H., &amp; Okamura, L. (1997). Individual differences and attitudes toward rape: A meta-analytic review. </w:t>
      </w:r>
      <w:r w:rsidRPr="00EC1495">
        <w:rPr>
          <w:i/>
        </w:rPr>
        <w:t>Personality and Social Psychology Bulletin, 23</w:t>
      </w:r>
      <w:r w:rsidRPr="00EC1495">
        <w:t xml:space="preserve">(3), 295-315. </w:t>
      </w:r>
    </w:p>
    <w:p w14:paraId="7D8F0DB1" w14:textId="77777777" w:rsidR="001B4F17" w:rsidRPr="00EC1495" w:rsidRDefault="001B4F17" w:rsidP="008C6EF0">
      <w:pPr>
        <w:ind w:left="720" w:hanging="720"/>
        <w:contextualSpacing/>
      </w:pPr>
    </w:p>
    <w:p w14:paraId="740D3B9B" w14:textId="7D271AA0" w:rsidR="001B4F17" w:rsidRPr="00EC1495" w:rsidRDefault="001B4F17" w:rsidP="004379F3">
      <w:pPr>
        <w:contextualSpacing/>
        <w:rPr>
          <w:color w:val="1A1A1A"/>
        </w:rPr>
      </w:pPr>
      <w:r w:rsidRPr="00EC1495">
        <w:rPr>
          <w:color w:val="1A1A1A"/>
        </w:rPr>
        <w:t xml:space="preserve">Aronowitz, T., Lambert, C. A., &amp; Davidoff, S. (2012). The role of rape myth acceptance in the social norms regarding sexual behavior among college students. </w:t>
      </w:r>
      <w:r w:rsidR="00CC74D3" w:rsidRPr="00EC1495">
        <w:rPr>
          <w:i/>
          <w:iCs/>
          <w:color w:val="1A1A1A"/>
        </w:rPr>
        <w:t>Journal of Community Health N</w:t>
      </w:r>
      <w:r w:rsidRPr="00EC1495">
        <w:rPr>
          <w:i/>
          <w:iCs/>
          <w:color w:val="1A1A1A"/>
        </w:rPr>
        <w:t>ursing</w:t>
      </w:r>
      <w:r w:rsidRPr="00EC1495">
        <w:rPr>
          <w:color w:val="1A1A1A"/>
        </w:rPr>
        <w:t xml:space="preserve">, </w:t>
      </w:r>
      <w:r w:rsidRPr="00EC1495">
        <w:rPr>
          <w:i/>
          <w:iCs/>
          <w:color w:val="1A1A1A"/>
        </w:rPr>
        <w:t>29</w:t>
      </w:r>
      <w:r w:rsidRPr="00EC1495">
        <w:rPr>
          <w:color w:val="1A1A1A"/>
        </w:rPr>
        <w:t>(3), 173-182.</w:t>
      </w:r>
    </w:p>
    <w:p w14:paraId="2F6E54F9" w14:textId="77777777" w:rsidR="00FB4BDB" w:rsidRPr="00EC1495" w:rsidRDefault="00FB4BDB" w:rsidP="008C6EF0">
      <w:pPr>
        <w:ind w:left="720" w:hanging="720"/>
        <w:contextualSpacing/>
        <w:rPr>
          <w:color w:val="1A1A1A"/>
        </w:rPr>
      </w:pPr>
    </w:p>
    <w:p w14:paraId="36BE9412" w14:textId="2A0DCB9E" w:rsidR="00FB4BDB" w:rsidRPr="00EC1495" w:rsidRDefault="00FB4BDB" w:rsidP="004379F3">
      <w:pPr>
        <w:contextualSpacing/>
        <w:rPr>
          <w:color w:val="1A1A1A"/>
        </w:rPr>
      </w:pPr>
      <w:r w:rsidRPr="00EC1495">
        <w:rPr>
          <w:color w:val="1A1A1A"/>
        </w:rPr>
        <w:t>Barn, R., &amp; Ku</w:t>
      </w:r>
      <w:r w:rsidR="00D92E37" w:rsidRPr="00EC1495">
        <w:rPr>
          <w:color w:val="1A1A1A"/>
        </w:rPr>
        <w:t>mari, V. (2015). Understanding c</w:t>
      </w:r>
      <w:r w:rsidRPr="00EC1495">
        <w:rPr>
          <w:color w:val="1A1A1A"/>
        </w:rPr>
        <w:t>omplainant</w:t>
      </w:r>
      <w:r w:rsidR="00D92E37" w:rsidRPr="00EC1495">
        <w:rPr>
          <w:color w:val="1A1A1A"/>
        </w:rPr>
        <w:t xml:space="preserve"> c</w:t>
      </w:r>
      <w:r w:rsidR="004379F3" w:rsidRPr="00EC1495">
        <w:rPr>
          <w:color w:val="1A1A1A"/>
        </w:rPr>
        <w:t xml:space="preserve">redibility in rape appeals: a </w:t>
      </w:r>
      <w:r w:rsidR="00D92E37" w:rsidRPr="00EC1495">
        <w:rPr>
          <w:color w:val="1A1A1A"/>
        </w:rPr>
        <w:t>c</w:t>
      </w:r>
      <w:r w:rsidRPr="00EC1495">
        <w:rPr>
          <w:color w:val="1A1A1A"/>
        </w:rPr>
        <w:t>ase st</w:t>
      </w:r>
      <w:r w:rsidR="004379F3" w:rsidRPr="00EC1495">
        <w:rPr>
          <w:color w:val="1A1A1A"/>
        </w:rPr>
        <w:t>u</w:t>
      </w:r>
      <w:r w:rsidR="00D92E37" w:rsidRPr="00EC1495">
        <w:rPr>
          <w:color w:val="1A1A1A"/>
        </w:rPr>
        <w:t>dy of h</w:t>
      </w:r>
      <w:r w:rsidRPr="00EC1495">
        <w:rPr>
          <w:color w:val="1A1A1A"/>
        </w:rPr>
        <w:t>ig</w:t>
      </w:r>
      <w:r w:rsidR="004379F3" w:rsidRPr="00EC1495">
        <w:rPr>
          <w:color w:val="1A1A1A"/>
        </w:rPr>
        <w:t>h</w:t>
      </w:r>
      <w:r w:rsidR="00D92E37" w:rsidRPr="00EC1495">
        <w:rPr>
          <w:color w:val="1A1A1A"/>
        </w:rPr>
        <w:t xml:space="preserve"> c</w:t>
      </w:r>
      <w:r w:rsidRPr="00EC1495">
        <w:rPr>
          <w:color w:val="1A1A1A"/>
        </w:rPr>
        <w:t>o</w:t>
      </w:r>
      <w:r w:rsidR="004379F3" w:rsidRPr="00EC1495">
        <w:rPr>
          <w:color w:val="1A1A1A"/>
        </w:rPr>
        <w:t>u</w:t>
      </w:r>
      <w:r w:rsidR="00D92E37" w:rsidRPr="00EC1495">
        <w:rPr>
          <w:color w:val="1A1A1A"/>
        </w:rPr>
        <w:t>rt j</w:t>
      </w:r>
      <w:r w:rsidR="004379F3" w:rsidRPr="00EC1495">
        <w:rPr>
          <w:color w:val="1A1A1A"/>
        </w:rPr>
        <w:t>u</w:t>
      </w:r>
      <w:r w:rsidR="00D92E37" w:rsidRPr="00EC1495">
        <w:rPr>
          <w:color w:val="1A1A1A"/>
        </w:rPr>
        <w:t>dgments and j</w:t>
      </w:r>
      <w:r w:rsidR="004379F3" w:rsidRPr="00EC1495">
        <w:rPr>
          <w:color w:val="1A1A1A"/>
        </w:rPr>
        <w:t>u</w:t>
      </w:r>
      <w:r w:rsidRPr="00EC1495">
        <w:rPr>
          <w:color w:val="1A1A1A"/>
        </w:rPr>
        <w:t>dges’ perspe</w:t>
      </w:r>
      <w:r w:rsidR="004379F3" w:rsidRPr="00EC1495">
        <w:rPr>
          <w:color w:val="1A1A1A"/>
        </w:rPr>
        <w:t>c</w:t>
      </w:r>
      <w:r w:rsidR="00D92E37" w:rsidRPr="00EC1495">
        <w:rPr>
          <w:color w:val="1A1A1A"/>
        </w:rPr>
        <w:t>tives in I</w:t>
      </w:r>
      <w:r w:rsidRPr="00EC1495">
        <w:rPr>
          <w:color w:val="1A1A1A"/>
        </w:rPr>
        <w:t xml:space="preserve">ndia. </w:t>
      </w:r>
      <w:r w:rsidRPr="00EC1495">
        <w:rPr>
          <w:i/>
          <w:iCs/>
          <w:color w:val="1A1A1A"/>
        </w:rPr>
        <w:t>British Journal of Criminology</w:t>
      </w:r>
      <w:r w:rsidRPr="00EC1495">
        <w:rPr>
          <w:color w:val="1A1A1A"/>
        </w:rPr>
        <w:t xml:space="preserve">, </w:t>
      </w:r>
      <w:r w:rsidRPr="00EC1495">
        <w:rPr>
          <w:i/>
          <w:iCs/>
          <w:color w:val="1A1A1A"/>
        </w:rPr>
        <w:t>55</w:t>
      </w:r>
      <w:r w:rsidRPr="00EC1495">
        <w:rPr>
          <w:color w:val="1A1A1A"/>
        </w:rPr>
        <w:t>(3), 435-453.</w:t>
      </w:r>
    </w:p>
    <w:p w14:paraId="372A97D0" w14:textId="77777777" w:rsidR="00AD129D" w:rsidRPr="00EC1495" w:rsidRDefault="00AD129D" w:rsidP="004379F3">
      <w:pPr>
        <w:contextualSpacing/>
      </w:pPr>
    </w:p>
    <w:p w14:paraId="26868082" w14:textId="2155B50F" w:rsidR="007914CB" w:rsidRPr="00EC1495" w:rsidRDefault="00AD129D" w:rsidP="007914CB">
      <w:pPr>
        <w:rPr>
          <w:rFonts w:eastAsia="Times New Roman"/>
        </w:rPr>
      </w:pPr>
      <w:r w:rsidRPr="00EC1495">
        <w:t xml:space="preserve">Barn, B.S., Barn, R., Raimondi, F. &amp; Mukherjee, U. (2017). </w:t>
      </w:r>
      <w:r w:rsidRPr="00EC1495">
        <w:rPr>
          <w:lang w:eastAsia="en-US"/>
        </w:rPr>
        <w:t>Exploring the Interaction Between The Fourth E</w:t>
      </w:r>
      <w:r w:rsidR="007914CB" w:rsidRPr="00EC1495">
        <w:rPr>
          <w:lang w:eastAsia="en-US"/>
        </w:rPr>
        <w:t xml:space="preserve">state and Twitter: A Case Study, Peer Reviewed Full Paper, 1-7. </w:t>
      </w:r>
      <w:r w:rsidR="007914CB" w:rsidRPr="00EC1495">
        <w:rPr>
          <w:rFonts w:eastAsia="Times New Roman"/>
          <w:shd w:val="clear" w:color="auto" w:fill="FFFFFF"/>
        </w:rPr>
        <w:t>The Third International Conference on Human</w:t>
      </w:r>
      <w:r w:rsidR="007914CB" w:rsidRPr="00EC1495">
        <w:rPr>
          <w:rFonts w:eastAsia="Times New Roman"/>
        </w:rPr>
        <w:t xml:space="preserve"> </w:t>
      </w:r>
      <w:r w:rsidR="007914CB" w:rsidRPr="00EC1495">
        <w:rPr>
          <w:rFonts w:eastAsia="Times New Roman"/>
          <w:shd w:val="clear" w:color="auto" w:fill="FFFFFF"/>
        </w:rPr>
        <w:t>and Social Analytics, HUSO, Nice.</w:t>
      </w:r>
    </w:p>
    <w:p w14:paraId="700FCF45" w14:textId="77777777" w:rsidR="007914CB" w:rsidRPr="00EC1495" w:rsidRDefault="007914CB" w:rsidP="00FE4C57">
      <w:pPr>
        <w:rPr>
          <w:color w:val="000000"/>
          <w:lang w:eastAsia="en-US"/>
        </w:rPr>
      </w:pPr>
    </w:p>
    <w:p w14:paraId="612155B9" w14:textId="0236D1B8" w:rsidR="00FE4C57" w:rsidRDefault="00FE4C57" w:rsidP="00FE4C57">
      <w:pPr>
        <w:rPr>
          <w:rFonts w:eastAsia="Times New Roman"/>
          <w:color w:val="222222"/>
          <w:shd w:val="clear" w:color="auto" w:fill="FFFFFF"/>
        </w:rPr>
      </w:pPr>
      <w:r w:rsidRPr="00EC1495">
        <w:rPr>
          <w:rFonts w:eastAsia="Times New Roman"/>
          <w:color w:val="222222"/>
          <w:shd w:val="clear" w:color="auto" w:fill="FFFFFF"/>
        </w:rPr>
        <w:t>Baxi, P. (2014). Public secrets of law: Rape trials in India</w:t>
      </w:r>
      <w:r w:rsidR="00A86EFE" w:rsidRPr="00EC1495">
        <w:rPr>
          <w:rFonts w:eastAsia="Times New Roman"/>
          <w:color w:val="222222"/>
          <w:shd w:val="clear" w:color="auto" w:fill="FFFFFF"/>
        </w:rPr>
        <w:t>, Oxford, England: Oxford University Press.</w:t>
      </w:r>
    </w:p>
    <w:p w14:paraId="235032CE" w14:textId="77777777" w:rsidR="001D7542" w:rsidRDefault="001D7542" w:rsidP="00FE4C57">
      <w:pPr>
        <w:rPr>
          <w:rFonts w:eastAsia="Times New Roman"/>
          <w:color w:val="222222"/>
          <w:shd w:val="clear" w:color="auto" w:fill="FFFFFF"/>
        </w:rPr>
      </w:pPr>
    </w:p>
    <w:p w14:paraId="31E6D34B" w14:textId="09FA5177" w:rsidR="001D7542" w:rsidRPr="00FF09C9" w:rsidRDefault="001D7542" w:rsidP="008450EF">
      <w:pPr>
        <w:spacing w:before="120"/>
        <w:rPr>
          <w:lang w:val="en-US"/>
        </w:rPr>
      </w:pPr>
      <w:r w:rsidRPr="008450EF">
        <w:rPr>
          <w:lang w:val="en-US"/>
        </w:rPr>
        <w:t xml:space="preserve">Begum, L. &amp; Barn, R. (2018). </w:t>
      </w:r>
      <w:r w:rsidR="008450EF">
        <w:rPr>
          <w:lang w:val="en-US"/>
        </w:rPr>
        <w:t xml:space="preserve">Gendered Surveillance, Lingerie and Rape Myths: A Postcolonial Exploration of the Middle-Class Female Body in the Urban Indian Context, </w:t>
      </w:r>
      <w:r w:rsidRPr="008450EF">
        <w:rPr>
          <w:lang w:val="en-US"/>
        </w:rPr>
        <w:t>Gender,</w:t>
      </w:r>
      <w:r w:rsidR="00CF7B99">
        <w:rPr>
          <w:lang w:val="en-US"/>
        </w:rPr>
        <w:t xml:space="preserve"> Place and Culture,</w:t>
      </w:r>
      <w:r w:rsidRPr="008450EF">
        <w:rPr>
          <w:lang w:val="en-US"/>
        </w:rPr>
        <w:t xml:space="preserve"> forthcoming</w:t>
      </w:r>
    </w:p>
    <w:p w14:paraId="56B9D32A" w14:textId="77777777" w:rsidR="001D7542" w:rsidRPr="00EC1495" w:rsidRDefault="001D7542" w:rsidP="00FE4C57">
      <w:pPr>
        <w:rPr>
          <w:rFonts w:eastAsia="Times New Roman"/>
        </w:rPr>
      </w:pPr>
    </w:p>
    <w:p w14:paraId="48180BDE" w14:textId="5203FB42" w:rsidR="001B4F17" w:rsidRDefault="001B4F17" w:rsidP="008A6152">
      <w:pPr>
        <w:contextualSpacing/>
        <w:rPr>
          <w:color w:val="1A1A1A"/>
        </w:rPr>
      </w:pPr>
      <w:r w:rsidRPr="00EC1495">
        <w:rPr>
          <w:color w:val="1A1A1A"/>
        </w:rPr>
        <w:t xml:space="preserve">Bohner, G., Eyssel, F., Pina, A., Siebler, F., &amp; Viki, G. T. (2009). Rape myth acceptance: Cognitive, affective and behavioural effects of beliefs that blame the victim and exonerate the perpetrator. </w:t>
      </w:r>
      <w:r w:rsidR="00CC74D3" w:rsidRPr="00EC1495">
        <w:rPr>
          <w:color w:val="1A1A1A"/>
        </w:rPr>
        <w:t xml:space="preserve">In: Horvath, Miranda A. H. and Brown, Jennifer M., (Eds.), </w:t>
      </w:r>
      <w:r w:rsidRPr="00EC1495">
        <w:rPr>
          <w:color w:val="1A1A1A"/>
        </w:rPr>
        <w:t>R</w:t>
      </w:r>
      <w:r w:rsidRPr="00EC1495">
        <w:rPr>
          <w:iCs/>
          <w:color w:val="1A1A1A"/>
        </w:rPr>
        <w:t xml:space="preserve">ape: Challenging </w:t>
      </w:r>
      <w:r w:rsidR="00CC74D3" w:rsidRPr="00EC1495">
        <w:rPr>
          <w:iCs/>
          <w:color w:val="1A1A1A"/>
        </w:rPr>
        <w:t>contemporary t</w:t>
      </w:r>
      <w:r w:rsidRPr="00EC1495">
        <w:rPr>
          <w:iCs/>
          <w:color w:val="1A1A1A"/>
        </w:rPr>
        <w:t>hinking</w:t>
      </w:r>
      <w:r w:rsidR="00CC74D3" w:rsidRPr="00EC1495">
        <w:rPr>
          <w:color w:val="1A1A1A"/>
        </w:rPr>
        <w:t xml:space="preserve"> (pp. </w:t>
      </w:r>
      <w:r w:rsidRPr="00EC1495">
        <w:rPr>
          <w:color w:val="1A1A1A"/>
        </w:rPr>
        <w:t>17-45</w:t>
      </w:r>
      <w:r w:rsidR="00CC74D3" w:rsidRPr="00EC1495">
        <w:rPr>
          <w:color w:val="1A1A1A"/>
        </w:rPr>
        <w:t>)</w:t>
      </w:r>
      <w:r w:rsidRPr="00EC1495">
        <w:rPr>
          <w:color w:val="1A1A1A"/>
        </w:rPr>
        <w:t>.</w:t>
      </w:r>
      <w:r w:rsidR="00CC74D3" w:rsidRPr="00EC1495">
        <w:rPr>
          <w:color w:val="1A1A1A"/>
        </w:rPr>
        <w:t xml:space="preserve"> </w:t>
      </w:r>
      <w:r w:rsidR="008D0710" w:rsidRPr="00EC1495">
        <w:rPr>
          <w:color w:val="1A1A1A"/>
        </w:rPr>
        <w:t xml:space="preserve">Cullompton, England: </w:t>
      </w:r>
      <w:r w:rsidR="000552F8" w:rsidRPr="00EC1495">
        <w:rPr>
          <w:color w:val="1A1A1A"/>
        </w:rPr>
        <w:t>Willan Publishing</w:t>
      </w:r>
      <w:r w:rsidR="008D0710" w:rsidRPr="00EC1495">
        <w:rPr>
          <w:color w:val="1A1A1A"/>
        </w:rPr>
        <w:t>.</w:t>
      </w:r>
    </w:p>
    <w:p w14:paraId="426D6348" w14:textId="77777777" w:rsidR="00AA6A20" w:rsidRDefault="00AA6A20" w:rsidP="008A6152">
      <w:pPr>
        <w:contextualSpacing/>
        <w:rPr>
          <w:color w:val="1A1A1A"/>
        </w:rPr>
      </w:pPr>
    </w:p>
    <w:p w14:paraId="4438579D" w14:textId="77777777" w:rsidR="00AA6A20" w:rsidRPr="00AA6A20" w:rsidRDefault="00AA6A20" w:rsidP="00AA6A20">
      <w:pPr>
        <w:rPr>
          <w:rFonts w:eastAsia="Times New Roman"/>
        </w:rPr>
      </w:pPr>
      <w:r w:rsidRPr="009D6495">
        <w:rPr>
          <w:rFonts w:eastAsia="Times New Roman"/>
          <w:color w:val="222222"/>
          <w:shd w:val="clear" w:color="auto" w:fill="FFFFFF"/>
        </w:rPr>
        <w:t>Breitenbecher, K. H. (2006). The relationships among self-blame, psychological distress, and sexual victimization.</w:t>
      </w:r>
      <w:r w:rsidRPr="009D6495">
        <w:rPr>
          <w:rStyle w:val="apple-converted-space"/>
          <w:rFonts w:eastAsia="Times New Roman"/>
          <w:color w:val="222222"/>
          <w:shd w:val="clear" w:color="auto" w:fill="FFFFFF"/>
        </w:rPr>
        <w:t> </w:t>
      </w:r>
      <w:r w:rsidRPr="009D6495">
        <w:rPr>
          <w:rFonts w:eastAsia="Times New Roman"/>
          <w:i/>
          <w:iCs/>
          <w:color w:val="222222"/>
        </w:rPr>
        <w:t>Journal of interpersonal violence</w:t>
      </w:r>
      <w:r w:rsidRPr="009D6495">
        <w:rPr>
          <w:rFonts w:eastAsia="Times New Roman"/>
          <w:color w:val="222222"/>
          <w:shd w:val="clear" w:color="auto" w:fill="FFFFFF"/>
        </w:rPr>
        <w:t>,</w:t>
      </w:r>
      <w:r w:rsidRPr="009D6495">
        <w:rPr>
          <w:rStyle w:val="apple-converted-space"/>
          <w:rFonts w:eastAsia="Times New Roman"/>
          <w:color w:val="222222"/>
          <w:shd w:val="clear" w:color="auto" w:fill="FFFFFF"/>
        </w:rPr>
        <w:t> </w:t>
      </w:r>
      <w:r w:rsidRPr="009D6495">
        <w:rPr>
          <w:rFonts w:eastAsia="Times New Roman"/>
          <w:i/>
          <w:iCs/>
          <w:color w:val="222222"/>
        </w:rPr>
        <w:t>21</w:t>
      </w:r>
      <w:r w:rsidRPr="009D6495">
        <w:rPr>
          <w:rFonts w:eastAsia="Times New Roman"/>
          <w:color w:val="222222"/>
          <w:shd w:val="clear" w:color="auto" w:fill="FFFFFF"/>
        </w:rPr>
        <w:t>(5), 597-611.</w:t>
      </w:r>
    </w:p>
    <w:p w14:paraId="798696B9" w14:textId="77777777" w:rsidR="00AA6A20" w:rsidRPr="00EC1495" w:rsidRDefault="00AA6A20" w:rsidP="008A6152">
      <w:pPr>
        <w:contextualSpacing/>
        <w:rPr>
          <w:color w:val="1A1A1A"/>
        </w:rPr>
      </w:pPr>
    </w:p>
    <w:p w14:paraId="5D8C1E16" w14:textId="33E35821" w:rsidR="001B4F17" w:rsidRDefault="001B4F17" w:rsidP="004379F3">
      <w:pPr>
        <w:contextualSpacing/>
        <w:rPr>
          <w:color w:val="1A1A1A"/>
        </w:rPr>
      </w:pPr>
      <w:r w:rsidRPr="00EC1495">
        <w:rPr>
          <w:color w:val="1A1A1A"/>
        </w:rPr>
        <w:t xml:space="preserve">Burt, M. R. (1980). Cultural myths and supports for rape. </w:t>
      </w:r>
      <w:r w:rsidR="000552F8" w:rsidRPr="00EC1495">
        <w:rPr>
          <w:i/>
          <w:iCs/>
          <w:color w:val="1A1A1A"/>
        </w:rPr>
        <w:t>Journal of Personality and Social P</w:t>
      </w:r>
      <w:r w:rsidRPr="00EC1495">
        <w:rPr>
          <w:i/>
          <w:iCs/>
          <w:color w:val="1A1A1A"/>
        </w:rPr>
        <w:t>sychology</w:t>
      </w:r>
      <w:r w:rsidRPr="00EC1495">
        <w:rPr>
          <w:color w:val="1A1A1A"/>
        </w:rPr>
        <w:t xml:space="preserve">, </w:t>
      </w:r>
      <w:r w:rsidRPr="00EC1495">
        <w:rPr>
          <w:i/>
          <w:iCs/>
          <w:color w:val="1A1A1A"/>
        </w:rPr>
        <w:t>38</w:t>
      </w:r>
      <w:r w:rsidRPr="00EC1495">
        <w:rPr>
          <w:color w:val="1A1A1A"/>
        </w:rPr>
        <w:t>(2), 217.</w:t>
      </w:r>
    </w:p>
    <w:p w14:paraId="0DD0B10D" w14:textId="77777777" w:rsidR="00E1335B" w:rsidRDefault="00E1335B" w:rsidP="004379F3">
      <w:pPr>
        <w:contextualSpacing/>
        <w:rPr>
          <w:color w:val="1A1A1A"/>
        </w:rPr>
      </w:pPr>
    </w:p>
    <w:p w14:paraId="550CC6AB" w14:textId="6313F807" w:rsidR="00E1335B" w:rsidRPr="009D6495" w:rsidRDefault="00E1335B" w:rsidP="009D6495">
      <w:pPr>
        <w:widowControl w:val="0"/>
        <w:autoSpaceDE w:val="0"/>
        <w:autoSpaceDN w:val="0"/>
        <w:adjustRightInd w:val="0"/>
        <w:rPr>
          <w:lang w:eastAsia="en-US"/>
        </w:rPr>
      </w:pPr>
      <w:r w:rsidRPr="00751CE1">
        <w:rPr>
          <w:lang w:eastAsia="en-US"/>
        </w:rPr>
        <w:t xml:space="preserve">Butcher, M. (2017). Defying Delhi’s enclosures: strategies for managing a difficult city, </w:t>
      </w:r>
      <w:r w:rsidRPr="00751CE1">
        <w:rPr>
          <w:lang w:eastAsia="en-US"/>
        </w:rPr>
        <w:lastRenderedPageBreak/>
        <w:t>Gender, Place &amp; Culture.</w:t>
      </w:r>
    </w:p>
    <w:p w14:paraId="636B150C" w14:textId="77777777" w:rsidR="001B4F17" w:rsidRPr="00EC1495" w:rsidRDefault="001B4F17" w:rsidP="009D6495">
      <w:pPr>
        <w:contextualSpacing/>
        <w:rPr>
          <w:color w:val="1A1A1A"/>
        </w:rPr>
      </w:pPr>
    </w:p>
    <w:p w14:paraId="1E134C25" w14:textId="20D667E4" w:rsidR="001B4F17" w:rsidRPr="00EC1495" w:rsidRDefault="001B4F17" w:rsidP="004379F3">
      <w:pPr>
        <w:contextualSpacing/>
        <w:rPr>
          <w:color w:val="1A1A1A"/>
        </w:rPr>
      </w:pPr>
      <w:r w:rsidRPr="00EC1495">
        <w:rPr>
          <w:color w:val="1A1A1A"/>
        </w:rPr>
        <w:t xml:space="preserve">Carmody, D.C. &amp; Washington, L.M. (2001). </w:t>
      </w:r>
      <w:r w:rsidR="00095770">
        <w:rPr>
          <w:color w:val="1A1A1A"/>
        </w:rPr>
        <w:t>Rape myth acceptance among college women: The impact of race and prior victimization</w:t>
      </w:r>
      <w:r w:rsidRPr="00EC1495">
        <w:rPr>
          <w:color w:val="1A1A1A"/>
        </w:rPr>
        <w:t xml:space="preserve">. </w:t>
      </w:r>
      <w:r w:rsidRPr="00EC1495">
        <w:rPr>
          <w:i/>
          <w:color w:val="1A1A1A"/>
        </w:rPr>
        <w:t>Journal of Interpersonal Violence, 16</w:t>
      </w:r>
      <w:r w:rsidRPr="00EC1495">
        <w:rPr>
          <w:color w:val="1A1A1A"/>
        </w:rPr>
        <w:t>,</w:t>
      </w:r>
      <w:r w:rsidR="000552F8" w:rsidRPr="00EC1495">
        <w:rPr>
          <w:color w:val="1A1A1A"/>
        </w:rPr>
        <w:t xml:space="preserve"> </w:t>
      </w:r>
      <w:r w:rsidRPr="00EC1495">
        <w:rPr>
          <w:color w:val="1A1A1A"/>
        </w:rPr>
        <w:t>424–436.</w:t>
      </w:r>
    </w:p>
    <w:p w14:paraId="655CF8A9" w14:textId="330153EF" w:rsidR="001B4F17" w:rsidRPr="00EC1495" w:rsidRDefault="000552F8" w:rsidP="000552F8">
      <w:pPr>
        <w:tabs>
          <w:tab w:val="left" w:pos="3192"/>
        </w:tabs>
        <w:ind w:left="720" w:hanging="720"/>
        <w:contextualSpacing/>
        <w:rPr>
          <w:color w:val="1A1A1A"/>
        </w:rPr>
      </w:pPr>
      <w:r w:rsidRPr="00EC1495">
        <w:rPr>
          <w:color w:val="1A1A1A"/>
        </w:rPr>
        <w:tab/>
      </w:r>
      <w:r w:rsidRPr="00EC1495">
        <w:rPr>
          <w:color w:val="1A1A1A"/>
        </w:rPr>
        <w:tab/>
      </w:r>
    </w:p>
    <w:p w14:paraId="3ABC67B4" w14:textId="75EED8BC" w:rsidR="001B4F17" w:rsidRPr="00EC1495" w:rsidRDefault="001B4F17" w:rsidP="004379F3">
      <w:pPr>
        <w:contextualSpacing/>
        <w:rPr>
          <w:color w:val="1A1A1A"/>
        </w:rPr>
      </w:pPr>
      <w:r w:rsidRPr="00EC1495">
        <w:t>Chudasama, R. K</w:t>
      </w:r>
      <w:r w:rsidR="00365022" w:rsidRPr="00EC1495">
        <w:t xml:space="preserve">; Kadri, A.M; </w:t>
      </w:r>
      <w:r w:rsidR="00365022" w:rsidRPr="00EC1495">
        <w:rPr>
          <w:bCs/>
        </w:rPr>
        <w:t xml:space="preserve">Zalavadiya, D; Joshi, N; Bhola, C; &amp; Verma, M. </w:t>
      </w:r>
      <w:r w:rsidRPr="00EC1495">
        <w:t xml:space="preserve">(2013). </w:t>
      </w:r>
      <w:r w:rsidRPr="00EC1495">
        <w:rPr>
          <w:color w:val="1A1A1A"/>
        </w:rPr>
        <w:t xml:space="preserve">Attitude and myths towards rape among medical students in Rajkot, India. </w:t>
      </w:r>
      <w:r w:rsidRPr="00EC1495">
        <w:rPr>
          <w:i/>
          <w:iCs/>
          <w:color w:val="1A1A1A"/>
        </w:rPr>
        <w:t>Online Journal of Health and Allied Sciences</w:t>
      </w:r>
      <w:r w:rsidRPr="00EC1495">
        <w:rPr>
          <w:color w:val="1A1A1A"/>
        </w:rPr>
        <w:t xml:space="preserve">, </w:t>
      </w:r>
      <w:r w:rsidRPr="00EC1495">
        <w:rPr>
          <w:i/>
          <w:iCs/>
          <w:color w:val="1A1A1A"/>
        </w:rPr>
        <w:t>12</w:t>
      </w:r>
      <w:r w:rsidRPr="00EC1495">
        <w:rPr>
          <w:color w:val="1A1A1A"/>
        </w:rPr>
        <w:t>(3).</w:t>
      </w:r>
      <w:r w:rsidR="000552F8" w:rsidRPr="00EC1495">
        <w:rPr>
          <w:color w:val="1A1A1A"/>
        </w:rPr>
        <w:t xml:space="preserve"> 1-6.</w:t>
      </w:r>
    </w:p>
    <w:p w14:paraId="68E324FA" w14:textId="77777777" w:rsidR="001B4F17" w:rsidRPr="00EC1495" w:rsidRDefault="001B4F17" w:rsidP="008C6EF0">
      <w:pPr>
        <w:ind w:left="720" w:hanging="720"/>
        <w:contextualSpacing/>
        <w:rPr>
          <w:color w:val="1A1A1A"/>
        </w:rPr>
      </w:pPr>
    </w:p>
    <w:p w14:paraId="6D0E7AB0" w14:textId="76561EFE" w:rsidR="001B4F17" w:rsidRPr="00EC1495" w:rsidRDefault="001B4F17" w:rsidP="004379F3">
      <w:pPr>
        <w:widowControl w:val="0"/>
        <w:autoSpaceDE w:val="0"/>
        <w:autoSpaceDN w:val="0"/>
        <w:adjustRightInd w:val="0"/>
        <w:spacing w:after="240" w:line="260" w:lineRule="atLeast"/>
        <w:contextualSpacing/>
        <w:rPr>
          <w:color w:val="000000"/>
        </w:rPr>
      </w:pPr>
      <w:r w:rsidRPr="00EC1495">
        <w:rPr>
          <w:color w:val="000000"/>
        </w:rPr>
        <w:t>Conaghan, J. and Russell, Y. (2014).</w:t>
      </w:r>
      <w:r w:rsidR="000552F8" w:rsidRPr="00EC1495">
        <w:rPr>
          <w:color w:val="000000"/>
        </w:rPr>
        <w:t xml:space="preserve"> </w:t>
      </w:r>
      <w:r w:rsidRPr="00EC1495">
        <w:rPr>
          <w:color w:val="000000"/>
        </w:rPr>
        <w:t>Rape Myths, Law, and Feminist</w:t>
      </w:r>
      <w:r w:rsidR="000552F8" w:rsidRPr="00EC1495">
        <w:rPr>
          <w:color w:val="000000"/>
        </w:rPr>
        <w:t xml:space="preserve"> Research: ‘Myths about Myths’? </w:t>
      </w:r>
      <w:r w:rsidRPr="00EC1495">
        <w:rPr>
          <w:i/>
          <w:iCs/>
          <w:color w:val="000000"/>
        </w:rPr>
        <w:t xml:space="preserve">Feminist Legal Studies, </w:t>
      </w:r>
      <w:r w:rsidRPr="00EC1495">
        <w:rPr>
          <w:iCs/>
          <w:color w:val="000000"/>
        </w:rPr>
        <w:t>22</w:t>
      </w:r>
      <w:r w:rsidRPr="00EC1495">
        <w:rPr>
          <w:i/>
          <w:iCs/>
          <w:color w:val="000000"/>
        </w:rPr>
        <w:t xml:space="preserve">, </w:t>
      </w:r>
      <w:r w:rsidRPr="00EC1495">
        <w:rPr>
          <w:color w:val="000000"/>
        </w:rPr>
        <w:t>25-48</w:t>
      </w:r>
      <w:r w:rsidR="000552F8" w:rsidRPr="00EC1495">
        <w:rPr>
          <w:color w:val="000000"/>
        </w:rPr>
        <w:t>.</w:t>
      </w:r>
      <w:r w:rsidRPr="00EC1495">
        <w:rPr>
          <w:color w:val="000000"/>
        </w:rPr>
        <w:t xml:space="preserve"> </w:t>
      </w:r>
    </w:p>
    <w:p w14:paraId="5F85930B" w14:textId="77777777" w:rsidR="001B4F17" w:rsidRPr="00EC1495" w:rsidRDefault="001B4F17" w:rsidP="008C6EF0">
      <w:pPr>
        <w:widowControl w:val="0"/>
        <w:autoSpaceDE w:val="0"/>
        <w:autoSpaceDN w:val="0"/>
        <w:adjustRightInd w:val="0"/>
        <w:spacing w:after="240" w:line="260" w:lineRule="atLeast"/>
        <w:ind w:left="720" w:hanging="720"/>
        <w:contextualSpacing/>
        <w:rPr>
          <w:color w:val="000000"/>
        </w:rPr>
      </w:pPr>
    </w:p>
    <w:p w14:paraId="2266F66C" w14:textId="534E3AEF" w:rsidR="001B4F17" w:rsidRPr="00EC1495" w:rsidRDefault="001B4F17" w:rsidP="004379F3">
      <w:pPr>
        <w:contextualSpacing/>
        <w:rPr>
          <w:color w:val="1A1A1A"/>
        </w:rPr>
      </w:pPr>
      <w:r w:rsidRPr="00EC1495">
        <w:rPr>
          <w:color w:val="1A1A1A"/>
        </w:rPr>
        <w:t xml:space="preserve">Coxell, A. W., King, B., Mezey, G. C., &amp; Kell, P. (2000). Sexual molestation of men: Interviews with 224 men attending a genitourinary medicine service. </w:t>
      </w:r>
      <w:r w:rsidR="000552F8" w:rsidRPr="00EC1495">
        <w:rPr>
          <w:i/>
          <w:iCs/>
          <w:color w:val="1A1A1A"/>
        </w:rPr>
        <w:t>International J</w:t>
      </w:r>
      <w:r w:rsidRPr="00EC1495">
        <w:rPr>
          <w:i/>
          <w:iCs/>
          <w:color w:val="1A1A1A"/>
        </w:rPr>
        <w:t>ournal of STD &amp; AIDS</w:t>
      </w:r>
      <w:r w:rsidRPr="00EC1495">
        <w:rPr>
          <w:color w:val="1A1A1A"/>
        </w:rPr>
        <w:t xml:space="preserve">, </w:t>
      </w:r>
      <w:r w:rsidRPr="00EC1495">
        <w:rPr>
          <w:i/>
          <w:iCs/>
          <w:color w:val="1A1A1A"/>
        </w:rPr>
        <w:t>11</w:t>
      </w:r>
      <w:r w:rsidRPr="00EC1495">
        <w:rPr>
          <w:color w:val="1A1A1A"/>
        </w:rPr>
        <w:t>(9), 574-578.</w:t>
      </w:r>
    </w:p>
    <w:p w14:paraId="61484485" w14:textId="77777777" w:rsidR="000B0C4F" w:rsidRPr="00EC1495" w:rsidRDefault="000B0C4F" w:rsidP="008C6EF0">
      <w:pPr>
        <w:ind w:left="720" w:hanging="720"/>
        <w:contextualSpacing/>
        <w:rPr>
          <w:color w:val="1A1A1A"/>
        </w:rPr>
      </w:pPr>
    </w:p>
    <w:p w14:paraId="2FCC6611" w14:textId="489BCC33" w:rsidR="000B0C4F" w:rsidRPr="00EC1495" w:rsidRDefault="000B0C4F" w:rsidP="004379F3">
      <w:pPr>
        <w:contextualSpacing/>
        <w:rPr>
          <w:color w:val="1A1A1A"/>
        </w:rPr>
      </w:pPr>
      <w:r w:rsidRPr="00EC1495">
        <w:rPr>
          <w:color w:val="1A1A1A"/>
        </w:rPr>
        <w:t xml:space="preserve">Coy, M., Kelly, L., Elvines, F., Garner, M., &amp; Kanyeredzi, A. (2013). “Sex without consent, I suppose that is rape”: How young people in England understand sexual consent. </w:t>
      </w:r>
      <w:r w:rsidRPr="00EC1495">
        <w:rPr>
          <w:i/>
          <w:iCs/>
          <w:color w:val="1A1A1A"/>
        </w:rPr>
        <w:t>Office of the Children’s Commissioner</w:t>
      </w:r>
      <w:r w:rsidRPr="00EC1495">
        <w:rPr>
          <w:color w:val="1A1A1A"/>
        </w:rPr>
        <w:t>.</w:t>
      </w:r>
    </w:p>
    <w:p w14:paraId="1BF59E44" w14:textId="77777777" w:rsidR="00D11321" w:rsidRPr="00EC1495" w:rsidRDefault="00D11321" w:rsidP="008C6EF0">
      <w:pPr>
        <w:ind w:left="720" w:hanging="720"/>
        <w:contextualSpacing/>
        <w:rPr>
          <w:color w:val="1A1A1A"/>
        </w:rPr>
      </w:pPr>
    </w:p>
    <w:p w14:paraId="51EBD228" w14:textId="4DB6296B" w:rsidR="001B4F17" w:rsidRPr="00EC1495" w:rsidRDefault="001B4F17" w:rsidP="004379F3">
      <w:pPr>
        <w:contextualSpacing/>
        <w:rPr>
          <w:color w:val="1A1A1A"/>
        </w:rPr>
      </w:pPr>
      <w:r w:rsidRPr="00EC1495">
        <w:rPr>
          <w:color w:val="1A1A1A"/>
        </w:rPr>
        <w:t xml:space="preserve">Davies, M., Gilston, J., &amp; Rogers, P. (2012). Examining the relationship between male rape myth acceptance, female rape myth acceptance, victim blame, homophobia, gender roles, and ambivalent sexism. </w:t>
      </w:r>
      <w:r w:rsidR="000552F8" w:rsidRPr="00EC1495">
        <w:rPr>
          <w:i/>
          <w:iCs/>
          <w:color w:val="1A1A1A"/>
        </w:rPr>
        <w:t>Journal of Interpersonal V</w:t>
      </w:r>
      <w:r w:rsidRPr="00EC1495">
        <w:rPr>
          <w:i/>
          <w:iCs/>
          <w:color w:val="1A1A1A"/>
        </w:rPr>
        <w:t>iolence</w:t>
      </w:r>
      <w:r w:rsidRPr="00EC1495">
        <w:rPr>
          <w:color w:val="1A1A1A"/>
        </w:rPr>
        <w:t xml:space="preserve">, </w:t>
      </w:r>
      <w:r w:rsidR="000552F8" w:rsidRPr="00EC1495">
        <w:rPr>
          <w:i/>
          <w:color w:val="1A1A1A"/>
        </w:rPr>
        <w:t>27</w:t>
      </w:r>
      <w:r w:rsidR="000552F8" w:rsidRPr="00EC1495">
        <w:rPr>
          <w:color w:val="1A1A1A"/>
        </w:rPr>
        <w:t>(14), 2807-2823.</w:t>
      </w:r>
    </w:p>
    <w:p w14:paraId="5EEA17F4" w14:textId="77777777" w:rsidR="001B4F17" w:rsidRPr="00EC1495" w:rsidRDefault="001B4F17" w:rsidP="008C6EF0">
      <w:pPr>
        <w:ind w:left="720" w:hanging="720"/>
        <w:contextualSpacing/>
        <w:rPr>
          <w:color w:val="1A1A1A"/>
        </w:rPr>
      </w:pPr>
    </w:p>
    <w:p w14:paraId="05FF0950" w14:textId="77777777" w:rsidR="008B7BF4" w:rsidRPr="00EC1495" w:rsidRDefault="008B7BF4" w:rsidP="008B7BF4">
      <w:pPr>
        <w:rPr>
          <w:rFonts w:eastAsia="Times New Roman"/>
        </w:rPr>
      </w:pPr>
      <w:r w:rsidRPr="00EC1495">
        <w:rPr>
          <w:rFonts w:eastAsia="Times New Roman"/>
          <w:color w:val="222222"/>
          <w:shd w:val="clear" w:color="auto" w:fill="FFFFFF"/>
        </w:rPr>
        <w:t>Durham, M. G. (2015). Scene of the crime: News discourse of rape in India and the geopolitics of sexual assault. </w:t>
      </w:r>
      <w:r w:rsidRPr="00EC1495">
        <w:rPr>
          <w:rFonts w:eastAsia="Times New Roman"/>
          <w:i/>
          <w:iCs/>
          <w:color w:val="222222"/>
        </w:rPr>
        <w:t>Feminist Media Studies</w:t>
      </w:r>
      <w:r w:rsidRPr="00EC1495">
        <w:rPr>
          <w:rFonts w:eastAsia="Times New Roman"/>
          <w:color w:val="222222"/>
          <w:shd w:val="clear" w:color="auto" w:fill="FFFFFF"/>
        </w:rPr>
        <w:t>, </w:t>
      </w:r>
      <w:r w:rsidRPr="00EC1495">
        <w:rPr>
          <w:rFonts w:eastAsia="Times New Roman"/>
          <w:i/>
          <w:iCs/>
          <w:color w:val="222222"/>
        </w:rPr>
        <w:t>15</w:t>
      </w:r>
      <w:r w:rsidRPr="00EC1495">
        <w:rPr>
          <w:rFonts w:eastAsia="Times New Roman"/>
          <w:color w:val="222222"/>
          <w:shd w:val="clear" w:color="auto" w:fill="FFFFFF"/>
        </w:rPr>
        <w:t>(2), 175-191.</w:t>
      </w:r>
    </w:p>
    <w:p w14:paraId="45BE1815" w14:textId="77777777" w:rsidR="000552F8" w:rsidRPr="00EC1495" w:rsidRDefault="000552F8" w:rsidP="008A6152">
      <w:pPr>
        <w:contextualSpacing/>
        <w:rPr>
          <w:color w:val="1A1A1A"/>
        </w:rPr>
      </w:pPr>
    </w:p>
    <w:p w14:paraId="55A5DA29" w14:textId="50BBA203" w:rsidR="001B4F17" w:rsidRPr="00EC1495" w:rsidRDefault="001B4F17" w:rsidP="004379F3">
      <w:pPr>
        <w:contextualSpacing/>
        <w:rPr>
          <w:b/>
        </w:rPr>
      </w:pPr>
      <w:r w:rsidRPr="00EC1495">
        <w:rPr>
          <w:color w:val="1A1A1A"/>
        </w:rPr>
        <w:t>Dutta, D., &amp; Sircar</w:t>
      </w:r>
      <w:r w:rsidR="000552F8" w:rsidRPr="00EC1495">
        <w:rPr>
          <w:color w:val="1A1A1A"/>
        </w:rPr>
        <w:t>, O. (2013). India's winter of discontent: Some feminist dilemmas in the wake of a r</w:t>
      </w:r>
      <w:r w:rsidRPr="00EC1495">
        <w:rPr>
          <w:color w:val="1A1A1A"/>
        </w:rPr>
        <w:t xml:space="preserve">ape. </w:t>
      </w:r>
      <w:r w:rsidRPr="00EC1495">
        <w:rPr>
          <w:i/>
          <w:iCs/>
          <w:color w:val="1A1A1A"/>
        </w:rPr>
        <w:t>Feminist Studies</w:t>
      </w:r>
      <w:r w:rsidRPr="00EC1495">
        <w:rPr>
          <w:color w:val="1A1A1A"/>
        </w:rPr>
        <w:t xml:space="preserve">, </w:t>
      </w:r>
      <w:r w:rsidRPr="00EC1495">
        <w:rPr>
          <w:i/>
          <w:iCs/>
          <w:color w:val="1A1A1A"/>
        </w:rPr>
        <w:t>39</w:t>
      </w:r>
      <w:r w:rsidRPr="00EC1495">
        <w:rPr>
          <w:color w:val="1A1A1A"/>
        </w:rPr>
        <w:t>(1), 293-306.</w:t>
      </w:r>
    </w:p>
    <w:p w14:paraId="56AF2DA9" w14:textId="77777777" w:rsidR="001B4F17" w:rsidRPr="00EC1495" w:rsidRDefault="001B4F17" w:rsidP="008C6EF0">
      <w:pPr>
        <w:ind w:left="720" w:hanging="720"/>
        <w:contextualSpacing/>
      </w:pPr>
    </w:p>
    <w:p w14:paraId="19779346" w14:textId="77777777" w:rsidR="001B4F17" w:rsidRPr="00EC1495" w:rsidRDefault="001B4F17" w:rsidP="004379F3">
      <w:pPr>
        <w:contextualSpacing/>
        <w:rPr>
          <w:rFonts w:eastAsia="Times New Roman"/>
        </w:rPr>
      </w:pPr>
      <w:r w:rsidRPr="00EC1495">
        <w:rPr>
          <w:rFonts w:eastAsia="Times New Roman"/>
        </w:rPr>
        <w:t xml:space="preserve">Ellison, L., &amp; Munro, V. E. (2009). Reacting to rape exploring mock jurors' assessments of complainant credibility, </w:t>
      </w:r>
      <w:r w:rsidRPr="00EC1495">
        <w:rPr>
          <w:rFonts w:eastAsia="Times New Roman"/>
          <w:i/>
          <w:iCs/>
        </w:rPr>
        <w:t>British Journal of Criminology</w:t>
      </w:r>
      <w:r w:rsidRPr="00EC1495">
        <w:rPr>
          <w:rFonts w:eastAsia="Times New Roman"/>
        </w:rPr>
        <w:t xml:space="preserve">, </w:t>
      </w:r>
      <w:r w:rsidRPr="00EC1495">
        <w:rPr>
          <w:rFonts w:eastAsia="Times New Roman"/>
          <w:i/>
          <w:iCs/>
        </w:rPr>
        <w:t>49</w:t>
      </w:r>
      <w:r w:rsidRPr="00EC1495">
        <w:rPr>
          <w:rFonts w:eastAsia="Times New Roman"/>
        </w:rPr>
        <w:t>(2), 202-219.</w:t>
      </w:r>
    </w:p>
    <w:p w14:paraId="1B59A6F8" w14:textId="77777777" w:rsidR="001B4F17" w:rsidRPr="00EC1495" w:rsidRDefault="001B4F17" w:rsidP="008C6EF0">
      <w:pPr>
        <w:ind w:left="720" w:hanging="720"/>
        <w:contextualSpacing/>
        <w:rPr>
          <w:rFonts w:eastAsia="Times New Roman"/>
        </w:rPr>
      </w:pPr>
    </w:p>
    <w:p w14:paraId="596736F5" w14:textId="77777777" w:rsidR="001B4F17" w:rsidRPr="00EC1495" w:rsidRDefault="001B4F17" w:rsidP="004379F3">
      <w:pPr>
        <w:contextualSpacing/>
        <w:rPr>
          <w:color w:val="1A1A1A"/>
        </w:rPr>
      </w:pPr>
      <w:r w:rsidRPr="00EC1495">
        <w:rPr>
          <w:color w:val="1A1A1A"/>
        </w:rPr>
        <w:t xml:space="preserve">Fisher, N. L., &amp; Pina, A. (2013). An overview of the literature on female-perpetrated adult male sexual victimization. </w:t>
      </w:r>
      <w:r w:rsidRPr="00EC1495">
        <w:rPr>
          <w:i/>
          <w:iCs/>
          <w:color w:val="1A1A1A"/>
        </w:rPr>
        <w:t>Aggression and Violent Behavior</w:t>
      </w:r>
      <w:r w:rsidRPr="00EC1495">
        <w:rPr>
          <w:color w:val="1A1A1A"/>
        </w:rPr>
        <w:t xml:space="preserve">, </w:t>
      </w:r>
      <w:r w:rsidRPr="00EC1495">
        <w:rPr>
          <w:i/>
          <w:iCs/>
          <w:color w:val="1A1A1A"/>
        </w:rPr>
        <w:t>18</w:t>
      </w:r>
      <w:r w:rsidRPr="00EC1495">
        <w:rPr>
          <w:color w:val="1A1A1A"/>
        </w:rPr>
        <w:t>(1), 54-61.</w:t>
      </w:r>
    </w:p>
    <w:p w14:paraId="41E5D743" w14:textId="77777777" w:rsidR="00811467" w:rsidRPr="00EC1495" w:rsidRDefault="00811467" w:rsidP="004379F3">
      <w:pPr>
        <w:contextualSpacing/>
        <w:rPr>
          <w:color w:val="1A1A1A"/>
        </w:rPr>
      </w:pPr>
    </w:p>
    <w:p w14:paraId="0F4ACF3D" w14:textId="43FD05B1" w:rsidR="00D86682" w:rsidRPr="00EC1495" w:rsidRDefault="00D86682" w:rsidP="00D86682">
      <w:pPr>
        <w:widowControl w:val="0"/>
        <w:autoSpaceDE w:val="0"/>
        <w:autoSpaceDN w:val="0"/>
        <w:adjustRightInd w:val="0"/>
        <w:spacing w:after="240" w:line="320" w:lineRule="atLeast"/>
        <w:rPr>
          <w:rFonts w:ascii="Times" w:hAnsi="Times" w:cs="Times"/>
          <w:color w:val="000000"/>
        </w:rPr>
      </w:pPr>
      <w:r w:rsidRPr="00EC1495">
        <w:rPr>
          <w:color w:val="000000"/>
        </w:rPr>
        <w:t xml:space="preserve">Franiuk, R., Seefelt, J. L., Cepress, S. L., &amp; Vandello, J. A. (2008). Prevalence and effects of rape myths in print journalism: the Kobe Bryant case. </w:t>
      </w:r>
      <w:r w:rsidRPr="00EC1495">
        <w:rPr>
          <w:rFonts w:ascii="Times" w:hAnsi="Times" w:cs="Times"/>
          <w:i/>
          <w:iCs/>
          <w:color w:val="000000"/>
        </w:rPr>
        <w:t>Violence Against Women, 14</w:t>
      </w:r>
      <w:r w:rsidRPr="00EC1495">
        <w:rPr>
          <w:color w:val="000000"/>
        </w:rPr>
        <w:t xml:space="preserve">(3), 287-309. </w:t>
      </w:r>
    </w:p>
    <w:p w14:paraId="753AE040" w14:textId="37829386" w:rsidR="00195C21" w:rsidRPr="00EC1495" w:rsidRDefault="00195C21" w:rsidP="004379F3">
      <w:pPr>
        <w:contextualSpacing/>
        <w:rPr>
          <w:color w:val="1A1A1A"/>
        </w:rPr>
      </w:pPr>
      <w:r w:rsidRPr="00EC1495">
        <w:rPr>
          <w:color w:val="1A1A1A"/>
        </w:rPr>
        <w:t xml:space="preserve">Gayer, L., &amp; Jaffrelot, C. (2012). </w:t>
      </w:r>
      <w:r w:rsidRPr="00EC1495">
        <w:rPr>
          <w:i/>
          <w:iCs/>
          <w:color w:val="1A1A1A"/>
        </w:rPr>
        <w:t>Muslims in Indian Cities: Trajectories of Marginalisation</w:t>
      </w:r>
      <w:r w:rsidRPr="00EC1495">
        <w:rPr>
          <w:color w:val="1A1A1A"/>
        </w:rPr>
        <w:t xml:space="preserve">. </w:t>
      </w:r>
      <w:r w:rsidR="00EB62E7" w:rsidRPr="00EC1495">
        <w:rPr>
          <w:color w:val="1A1A1A"/>
        </w:rPr>
        <w:t xml:space="preserve">New York, NY: </w:t>
      </w:r>
      <w:r w:rsidRPr="00EC1495">
        <w:rPr>
          <w:color w:val="1A1A1A"/>
        </w:rPr>
        <w:t>Columbia University Press.</w:t>
      </w:r>
    </w:p>
    <w:p w14:paraId="6C11F5AE" w14:textId="77777777" w:rsidR="00811467" w:rsidRPr="00EC1495" w:rsidRDefault="00811467" w:rsidP="004379F3">
      <w:pPr>
        <w:contextualSpacing/>
        <w:rPr>
          <w:color w:val="1A1A1A"/>
        </w:rPr>
      </w:pPr>
    </w:p>
    <w:p w14:paraId="28398667" w14:textId="77777777" w:rsidR="00811467" w:rsidRPr="00EC1495" w:rsidRDefault="00811467" w:rsidP="00811467">
      <w:pPr>
        <w:rPr>
          <w:rFonts w:eastAsia="Times New Roman"/>
        </w:rPr>
      </w:pPr>
      <w:r w:rsidRPr="00EC1495">
        <w:rPr>
          <w:rFonts w:eastAsia="Times New Roman"/>
          <w:color w:val="222222"/>
          <w:shd w:val="clear" w:color="auto" w:fill="FFFFFF"/>
        </w:rPr>
        <w:t>Giacopassi, D. J., &amp; Dull, R. T. (1986). Gender and racial differences in the acceptance of rape myths within a college population.</w:t>
      </w:r>
      <w:r w:rsidRPr="00EC1495">
        <w:rPr>
          <w:rStyle w:val="apple-converted-space"/>
          <w:rFonts w:eastAsia="Times New Roman"/>
          <w:color w:val="222222"/>
          <w:shd w:val="clear" w:color="auto" w:fill="FFFFFF"/>
        </w:rPr>
        <w:t> </w:t>
      </w:r>
      <w:r w:rsidRPr="00EC1495">
        <w:rPr>
          <w:rFonts w:eastAsia="Times New Roman"/>
          <w:i/>
          <w:iCs/>
          <w:color w:val="222222"/>
        </w:rPr>
        <w:t>Sex Roles</w:t>
      </w:r>
      <w:r w:rsidRPr="00EC1495">
        <w:rPr>
          <w:rFonts w:eastAsia="Times New Roman"/>
          <w:color w:val="222222"/>
          <w:shd w:val="clear" w:color="auto" w:fill="FFFFFF"/>
        </w:rPr>
        <w:t>,</w:t>
      </w:r>
      <w:r w:rsidRPr="00EC1495">
        <w:rPr>
          <w:rStyle w:val="apple-converted-space"/>
          <w:rFonts w:eastAsia="Times New Roman"/>
          <w:color w:val="222222"/>
          <w:shd w:val="clear" w:color="auto" w:fill="FFFFFF"/>
        </w:rPr>
        <w:t> </w:t>
      </w:r>
      <w:r w:rsidRPr="00EC1495">
        <w:rPr>
          <w:rFonts w:eastAsia="Times New Roman"/>
          <w:i/>
          <w:iCs/>
          <w:color w:val="222222"/>
        </w:rPr>
        <w:t>15</w:t>
      </w:r>
      <w:r w:rsidRPr="00EC1495">
        <w:rPr>
          <w:rFonts w:eastAsia="Times New Roman"/>
          <w:color w:val="222222"/>
          <w:shd w:val="clear" w:color="auto" w:fill="FFFFFF"/>
        </w:rPr>
        <w:t>(1), 63-75.</w:t>
      </w:r>
    </w:p>
    <w:p w14:paraId="080AF70C" w14:textId="77777777" w:rsidR="00811467" w:rsidRPr="00EC1495" w:rsidRDefault="00811467" w:rsidP="004379F3">
      <w:pPr>
        <w:contextualSpacing/>
        <w:rPr>
          <w:color w:val="1A1A1A"/>
        </w:rPr>
      </w:pPr>
    </w:p>
    <w:p w14:paraId="3E5893DE" w14:textId="77777777" w:rsidR="00176201" w:rsidRPr="00EC1495" w:rsidRDefault="00176201" w:rsidP="00176201">
      <w:pPr>
        <w:rPr>
          <w:rFonts w:eastAsia="Times New Roman"/>
          <w:color w:val="222222"/>
          <w:shd w:val="clear" w:color="auto" w:fill="FFFFFF"/>
        </w:rPr>
      </w:pPr>
      <w:r w:rsidRPr="00EC1495">
        <w:rPr>
          <w:rFonts w:eastAsia="Times New Roman"/>
          <w:color w:val="222222"/>
          <w:shd w:val="clear" w:color="auto" w:fill="FFFFFF"/>
        </w:rPr>
        <w:t>Gormley, L. (2016). Rape myths and the rights of victims: why the UK needs to ratify the Istanbul Convention. </w:t>
      </w:r>
      <w:r w:rsidRPr="00EC1495">
        <w:rPr>
          <w:rFonts w:eastAsia="Times New Roman"/>
          <w:i/>
          <w:iCs/>
          <w:color w:val="222222"/>
        </w:rPr>
        <w:t>Women, Peace and Security</w:t>
      </w:r>
      <w:r w:rsidRPr="00EC1495">
        <w:rPr>
          <w:rFonts w:eastAsia="Times New Roman"/>
          <w:color w:val="222222"/>
          <w:shd w:val="clear" w:color="auto" w:fill="FFFFFF"/>
        </w:rPr>
        <w:t>.</w:t>
      </w:r>
    </w:p>
    <w:p w14:paraId="760C71FC" w14:textId="77777777" w:rsidR="00766B9B" w:rsidRPr="00EC1495" w:rsidRDefault="00766B9B" w:rsidP="00176201">
      <w:pPr>
        <w:rPr>
          <w:rFonts w:eastAsia="Times New Roman"/>
          <w:color w:val="222222"/>
          <w:shd w:val="clear" w:color="auto" w:fill="FFFFFF"/>
        </w:rPr>
      </w:pPr>
    </w:p>
    <w:p w14:paraId="52A28E89" w14:textId="77777777" w:rsidR="00766B9B" w:rsidRPr="00EC1495" w:rsidRDefault="00766B9B" w:rsidP="00766B9B">
      <w:pPr>
        <w:rPr>
          <w:rFonts w:eastAsia="Times New Roman"/>
        </w:rPr>
      </w:pPr>
      <w:r w:rsidRPr="00EC1495">
        <w:rPr>
          <w:rFonts w:eastAsia="Times New Roman"/>
          <w:color w:val="222222"/>
          <w:shd w:val="clear" w:color="auto" w:fill="FFFFFF"/>
        </w:rPr>
        <w:lastRenderedPageBreak/>
        <w:t>Grubb, A., &amp; Turner, E. (2012). Attribution of blame in rape cases: A review of the impact of rape myth acceptance, gender role conformity and substance use on victim blaming.</w:t>
      </w:r>
      <w:r w:rsidRPr="00EC1495">
        <w:rPr>
          <w:rStyle w:val="apple-converted-space"/>
          <w:rFonts w:eastAsia="Times New Roman"/>
          <w:color w:val="222222"/>
          <w:shd w:val="clear" w:color="auto" w:fill="FFFFFF"/>
        </w:rPr>
        <w:t> </w:t>
      </w:r>
      <w:r w:rsidRPr="00EC1495">
        <w:rPr>
          <w:rFonts w:eastAsia="Times New Roman"/>
          <w:i/>
          <w:iCs/>
          <w:color w:val="222222"/>
        </w:rPr>
        <w:t>Aggression and Violent Behavior</w:t>
      </w:r>
      <w:r w:rsidRPr="00EC1495">
        <w:rPr>
          <w:rFonts w:eastAsia="Times New Roman"/>
          <w:color w:val="222222"/>
          <w:shd w:val="clear" w:color="auto" w:fill="FFFFFF"/>
        </w:rPr>
        <w:t>,</w:t>
      </w:r>
      <w:r w:rsidRPr="00EC1495">
        <w:rPr>
          <w:rStyle w:val="apple-converted-space"/>
          <w:rFonts w:eastAsia="Times New Roman"/>
          <w:color w:val="222222"/>
          <w:shd w:val="clear" w:color="auto" w:fill="FFFFFF"/>
        </w:rPr>
        <w:t> </w:t>
      </w:r>
      <w:r w:rsidRPr="00EC1495">
        <w:rPr>
          <w:rFonts w:eastAsia="Times New Roman"/>
          <w:i/>
          <w:iCs/>
          <w:color w:val="222222"/>
        </w:rPr>
        <w:t>17</w:t>
      </w:r>
      <w:r w:rsidRPr="00EC1495">
        <w:rPr>
          <w:rFonts w:eastAsia="Times New Roman"/>
          <w:color w:val="222222"/>
          <w:shd w:val="clear" w:color="auto" w:fill="FFFFFF"/>
        </w:rPr>
        <w:t>(5), 443-452.</w:t>
      </w:r>
    </w:p>
    <w:p w14:paraId="567DC1EA" w14:textId="77777777" w:rsidR="00766B9B" w:rsidRPr="00EC1495" w:rsidRDefault="00766B9B" w:rsidP="00176201">
      <w:pPr>
        <w:rPr>
          <w:rFonts w:eastAsia="Times New Roman"/>
        </w:rPr>
      </w:pPr>
    </w:p>
    <w:p w14:paraId="08BD6BE4" w14:textId="63BF1C01" w:rsidR="001B4F17" w:rsidRPr="00EC1495" w:rsidRDefault="001B4F17" w:rsidP="004379F3">
      <w:pPr>
        <w:contextualSpacing/>
        <w:rPr>
          <w:color w:val="1A1A1A"/>
        </w:rPr>
      </w:pPr>
      <w:r w:rsidRPr="00EC1495">
        <w:rPr>
          <w:color w:val="1A1A1A"/>
        </w:rPr>
        <w:t>Gurnham, D. (2016). Victim</w:t>
      </w:r>
      <w:r w:rsidRPr="00EC1495">
        <w:rPr>
          <w:rFonts w:ascii="Monaco" w:hAnsi="Monaco" w:cs="Monaco"/>
          <w:color w:val="1A1A1A"/>
        </w:rPr>
        <w:t>‐</w:t>
      </w:r>
      <w:r w:rsidRPr="00EC1495">
        <w:rPr>
          <w:color w:val="1A1A1A"/>
        </w:rPr>
        <w:t xml:space="preserve">blame as a symptom of rape myth acceptance? Another look at how young people in England understand sexual consent. </w:t>
      </w:r>
      <w:r w:rsidRPr="00EC1495">
        <w:rPr>
          <w:i/>
          <w:iCs/>
          <w:color w:val="1A1A1A"/>
        </w:rPr>
        <w:t>Legal Studies</w:t>
      </w:r>
      <w:r w:rsidR="00323838" w:rsidRPr="00EC1495">
        <w:rPr>
          <w:color w:val="1A1A1A"/>
        </w:rPr>
        <w:t xml:space="preserve">, </w:t>
      </w:r>
      <w:r w:rsidR="00323838" w:rsidRPr="00EC1495">
        <w:rPr>
          <w:i/>
          <w:color w:val="1A1A1A"/>
        </w:rPr>
        <w:t>36</w:t>
      </w:r>
      <w:r w:rsidR="00323838" w:rsidRPr="00EC1495">
        <w:rPr>
          <w:color w:val="1A1A1A"/>
        </w:rPr>
        <w:t>(2), 258-278.</w:t>
      </w:r>
    </w:p>
    <w:p w14:paraId="65E0C445" w14:textId="77777777" w:rsidR="001B4F17" w:rsidRPr="00EC1495" w:rsidRDefault="001B4F17" w:rsidP="008C6EF0">
      <w:pPr>
        <w:ind w:left="720" w:hanging="720"/>
        <w:contextualSpacing/>
        <w:rPr>
          <w:color w:val="1A1A1A"/>
        </w:rPr>
      </w:pPr>
    </w:p>
    <w:p w14:paraId="422D3A70" w14:textId="77777777" w:rsidR="001B4F17" w:rsidRPr="00EC1495" w:rsidRDefault="001B4F17" w:rsidP="004379F3">
      <w:pPr>
        <w:contextualSpacing/>
        <w:rPr>
          <w:rFonts w:eastAsia="Times New Roman"/>
        </w:rPr>
      </w:pPr>
      <w:r w:rsidRPr="00EC1495">
        <w:rPr>
          <w:color w:val="1A1A1A"/>
        </w:rPr>
        <w:t xml:space="preserve">Hayes-Smith, R. M., &amp; Levett, L. M. (2010). Student perceptions of sexual assault resources and prevalence of rape myth attitudes. </w:t>
      </w:r>
      <w:r w:rsidRPr="00EC1495">
        <w:rPr>
          <w:i/>
          <w:iCs/>
          <w:color w:val="1A1A1A"/>
        </w:rPr>
        <w:t>Feminist Criminology</w:t>
      </w:r>
      <w:r w:rsidRPr="00EC1495">
        <w:rPr>
          <w:color w:val="1A1A1A"/>
        </w:rPr>
        <w:t xml:space="preserve">, </w:t>
      </w:r>
      <w:r w:rsidRPr="00EC1495">
        <w:rPr>
          <w:i/>
          <w:iCs/>
          <w:color w:val="1A1A1A"/>
        </w:rPr>
        <w:t>5</w:t>
      </w:r>
      <w:r w:rsidRPr="00EC1495">
        <w:rPr>
          <w:color w:val="1A1A1A"/>
        </w:rPr>
        <w:t>(4), 335-354.</w:t>
      </w:r>
    </w:p>
    <w:p w14:paraId="5C27A04B" w14:textId="77777777" w:rsidR="001B4F17" w:rsidRPr="00EC1495" w:rsidRDefault="001B4F17" w:rsidP="008C6EF0">
      <w:pPr>
        <w:ind w:left="720" w:hanging="720"/>
        <w:contextualSpacing/>
        <w:rPr>
          <w:rFonts w:eastAsia="Times New Roman"/>
        </w:rPr>
      </w:pPr>
    </w:p>
    <w:p w14:paraId="773D53A1" w14:textId="48BA345F" w:rsidR="001B4F17" w:rsidRDefault="001B4F17" w:rsidP="004379F3">
      <w:pPr>
        <w:contextualSpacing/>
        <w:rPr>
          <w:color w:val="1A1A1A"/>
        </w:rPr>
      </w:pPr>
      <w:r w:rsidRPr="00EC1495">
        <w:rPr>
          <w:color w:val="1A1A1A"/>
        </w:rPr>
        <w:t xml:space="preserve">Hayes, R. M., Lorenz, K., &amp; Bell, K. A. (2013). Victim blaming others: Rape myth acceptance and the just world belief. </w:t>
      </w:r>
      <w:r w:rsidRPr="00EC1495">
        <w:rPr>
          <w:i/>
          <w:iCs/>
          <w:color w:val="1A1A1A"/>
        </w:rPr>
        <w:t>Feminist Criminology</w:t>
      </w:r>
      <w:r w:rsidRPr="00EC1495">
        <w:rPr>
          <w:color w:val="1A1A1A"/>
        </w:rPr>
        <w:t xml:space="preserve">, </w:t>
      </w:r>
      <w:r w:rsidR="00323838" w:rsidRPr="00EC1495">
        <w:rPr>
          <w:i/>
          <w:color w:val="1A1A1A"/>
        </w:rPr>
        <w:t>8</w:t>
      </w:r>
      <w:r w:rsidR="00323838" w:rsidRPr="00EC1495">
        <w:rPr>
          <w:color w:val="1A1A1A"/>
        </w:rPr>
        <w:t>(3), 202-220.</w:t>
      </w:r>
    </w:p>
    <w:p w14:paraId="3C03440E" w14:textId="77777777" w:rsidR="0028719F" w:rsidRDefault="0028719F" w:rsidP="004379F3">
      <w:pPr>
        <w:contextualSpacing/>
        <w:rPr>
          <w:color w:val="1A1A1A"/>
        </w:rPr>
      </w:pPr>
    </w:p>
    <w:p w14:paraId="2B86B43C" w14:textId="77777777" w:rsidR="0028719F" w:rsidRPr="0028719F" w:rsidRDefault="0028719F" w:rsidP="0028719F">
      <w:pPr>
        <w:rPr>
          <w:rFonts w:eastAsia="Times New Roman"/>
        </w:rPr>
      </w:pPr>
      <w:r w:rsidRPr="00751CE1">
        <w:rPr>
          <w:rFonts w:eastAsia="Times New Roman"/>
          <w:color w:val="222222"/>
          <w:shd w:val="clear" w:color="auto" w:fill="FFFFFF"/>
        </w:rPr>
        <w:t>Iphofen, R. (2016).</w:t>
      </w:r>
      <w:r w:rsidRPr="00751CE1">
        <w:rPr>
          <w:rStyle w:val="apple-converted-space"/>
          <w:rFonts w:eastAsia="Times New Roman"/>
          <w:color w:val="222222"/>
          <w:shd w:val="clear" w:color="auto" w:fill="FFFFFF"/>
        </w:rPr>
        <w:t> </w:t>
      </w:r>
      <w:r w:rsidRPr="00751CE1">
        <w:rPr>
          <w:rFonts w:eastAsia="Times New Roman"/>
          <w:i/>
          <w:iCs/>
          <w:color w:val="222222"/>
        </w:rPr>
        <w:t>Ethical decision making in social research: A practical guide</w:t>
      </w:r>
      <w:r w:rsidRPr="00751CE1">
        <w:rPr>
          <w:rFonts w:eastAsia="Times New Roman"/>
          <w:color w:val="222222"/>
          <w:shd w:val="clear" w:color="auto" w:fill="FFFFFF"/>
        </w:rPr>
        <w:t>. Springer.</w:t>
      </w:r>
    </w:p>
    <w:p w14:paraId="6456AFFD" w14:textId="77777777" w:rsidR="0028719F" w:rsidRPr="00EC1495" w:rsidRDefault="0028719F" w:rsidP="004379F3">
      <w:pPr>
        <w:contextualSpacing/>
        <w:rPr>
          <w:color w:val="1A1A1A"/>
        </w:rPr>
      </w:pPr>
    </w:p>
    <w:p w14:paraId="4E7D5B7D" w14:textId="1D084637" w:rsidR="00FE4C57" w:rsidRPr="00EC1495" w:rsidRDefault="00FE4C57" w:rsidP="00FE4C57">
      <w:pPr>
        <w:contextualSpacing/>
        <w:rPr>
          <w:color w:val="1A1A1A"/>
        </w:rPr>
      </w:pPr>
      <w:r w:rsidRPr="00EC1495">
        <w:rPr>
          <w:color w:val="1A1A1A"/>
        </w:rPr>
        <w:t xml:space="preserve">Katz, J., &amp; Moore, J. (2013). Bystander education training for campus sexual assault prevention: An initial meta-analysis. </w:t>
      </w:r>
      <w:r w:rsidRPr="00EC1495">
        <w:rPr>
          <w:i/>
          <w:color w:val="1A1A1A"/>
        </w:rPr>
        <w:t>Violence and Victims, 28</w:t>
      </w:r>
      <w:r w:rsidRPr="00EC1495">
        <w:rPr>
          <w:color w:val="1A1A1A"/>
        </w:rPr>
        <w:t>(6), 1054-1067.</w:t>
      </w:r>
    </w:p>
    <w:p w14:paraId="3A2BBB41" w14:textId="77777777" w:rsidR="00FE4C57" w:rsidRPr="00EC1495" w:rsidRDefault="00FE4C57" w:rsidP="00FE4C57">
      <w:pPr>
        <w:ind w:left="720" w:hanging="720"/>
        <w:contextualSpacing/>
        <w:rPr>
          <w:color w:val="1A1A1A"/>
        </w:rPr>
      </w:pPr>
    </w:p>
    <w:p w14:paraId="3ABB7538" w14:textId="77777777" w:rsidR="00FE4C57" w:rsidRDefault="00FE4C57" w:rsidP="00FE4C57">
      <w:pPr>
        <w:contextualSpacing/>
        <w:rPr>
          <w:color w:val="1A1A1A"/>
        </w:rPr>
      </w:pPr>
      <w:r w:rsidRPr="00EC1495">
        <w:rPr>
          <w:color w:val="1A1A1A"/>
        </w:rPr>
        <w:t xml:space="preserve">Kennedy, M.A., &amp; Gorzalka, B.B. (2002). Asian and non-Asian attitudes toward rape, sexual harassment, and sexuality. </w:t>
      </w:r>
      <w:r w:rsidRPr="00EC1495">
        <w:rPr>
          <w:i/>
          <w:color w:val="1A1A1A"/>
        </w:rPr>
        <w:t>Sex Roles, 46</w:t>
      </w:r>
      <w:r w:rsidRPr="00EC1495">
        <w:rPr>
          <w:color w:val="1A1A1A"/>
        </w:rPr>
        <w:t>(7), 227-238.</w:t>
      </w:r>
    </w:p>
    <w:p w14:paraId="189700DD" w14:textId="77777777" w:rsidR="00474734" w:rsidRDefault="00474734" w:rsidP="00474734">
      <w:pPr>
        <w:rPr>
          <w:rFonts w:ascii="Arial" w:eastAsia="Times New Roman" w:hAnsi="Arial" w:cs="Arial"/>
          <w:color w:val="222222"/>
          <w:sz w:val="20"/>
          <w:szCs w:val="20"/>
          <w:shd w:val="clear" w:color="auto" w:fill="FFFFFF"/>
        </w:rPr>
      </w:pPr>
    </w:p>
    <w:p w14:paraId="7FDB3BED" w14:textId="67D4B3A4" w:rsidR="00474734" w:rsidRPr="00FC0C4B" w:rsidRDefault="00474734" w:rsidP="00474734">
      <w:pPr>
        <w:rPr>
          <w:rFonts w:eastAsia="Times New Roman"/>
        </w:rPr>
      </w:pPr>
      <w:r w:rsidRPr="009D6495">
        <w:rPr>
          <w:rFonts w:eastAsia="Times New Roman"/>
          <w:color w:val="222222"/>
          <w:shd w:val="clear" w:color="auto" w:fill="FFFFFF"/>
        </w:rPr>
        <w:t>Kelly, L. (1987). The continuum of sexual violence. In</w:t>
      </w:r>
      <w:r w:rsidRPr="009D6495">
        <w:rPr>
          <w:rStyle w:val="apple-converted-space"/>
          <w:rFonts w:eastAsia="Times New Roman"/>
          <w:color w:val="222222"/>
          <w:shd w:val="clear" w:color="auto" w:fill="FFFFFF"/>
        </w:rPr>
        <w:t> </w:t>
      </w:r>
      <w:r w:rsidRPr="009D6495">
        <w:rPr>
          <w:rFonts w:eastAsia="Times New Roman"/>
          <w:i/>
          <w:iCs/>
          <w:color w:val="222222"/>
        </w:rPr>
        <w:t xml:space="preserve">Women, violence and social control, eds. </w:t>
      </w:r>
      <w:r w:rsidRPr="009D6495">
        <w:rPr>
          <w:rFonts w:eastAsia="Times New Roman"/>
          <w:iCs/>
          <w:color w:val="222222"/>
        </w:rPr>
        <w:t>Maynard, M. and Hanmer, J.</w:t>
      </w:r>
      <w:r w:rsidRPr="009D6495">
        <w:rPr>
          <w:rFonts w:eastAsia="Times New Roman"/>
          <w:color w:val="222222"/>
          <w:shd w:val="clear" w:color="auto" w:fill="FFFFFF"/>
        </w:rPr>
        <w:t xml:space="preserve"> Palgrave Macmillan UK.</w:t>
      </w:r>
    </w:p>
    <w:p w14:paraId="4AF80909" w14:textId="77777777" w:rsidR="00474734" w:rsidRDefault="00474734" w:rsidP="00FE4C57">
      <w:pPr>
        <w:contextualSpacing/>
        <w:rPr>
          <w:color w:val="1A1A1A"/>
        </w:rPr>
      </w:pPr>
    </w:p>
    <w:p w14:paraId="4CC5A390" w14:textId="2B666583" w:rsidR="001B4F17" w:rsidRPr="00EC1495" w:rsidRDefault="001B4F17" w:rsidP="004379F3">
      <w:pPr>
        <w:widowControl w:val="0"/>
        <w:autoSpaceDE w:val="0"/>
        <w:autoSpaceDN w:val="0"/>
        <w:adjustRightInd w:val="0"/>
        <w:spacing w:after="240" w:line="260" w:lineRule="atLeast"/>
        <w:contextualSpacing/>
        <w:rPr>
          <w:rStyle w:val="Hyperlink"/>
        </w:rPr>
      </w:pPr>
      <w:r w:rsidRPr="00EC1495">
        <w:rPr>
          <w:color w:val="000000"/>
        </w:rPr>
        <w:t>Krahé</w:t>
      </w:r>
      <w:r w:rsidR="00D51D4C" w:rsidRPr="00EC1495">
        <w:rPr>
          <w:color w:val="000000"/>
        </w:rPr>
        <w:t>, B.</w:t>
      </w:r>
      <w:r w:rsidRPr="00EC1495">
        <w:rPr>
          <w:color w:val="000000"/>
        </w:rPr>
        <w:t xml:space="preserve"> (2013). ‘Myths about Rape Myths? Let the Evidence Speak. A Comment on Reece’, Retrieved from </w:t>
      </w:r>
      <w:hyperlink r:id="rId11" w:history="1">
        <w:r w:rsidRPr="00EC1495">
          <w:rPr>
            <w:rStyle w:val="Hyperlink"/>
          </w:rPr>
          <w:t>https://www.google.co.uk/search?client=safari&amp;rls=en&amp;q=B.+Krahe%CC%81,+%E2%80%98Myths+about+Rape+Myths%3F+Let+the+Evidence+Speak.+A+Comment+on+Reece+(2013)%E2%80%99+(2013)&amp;ie=UTF-8&amp;oe=UTF-8&amp;gfe_rd=cr&amp;ei=ZsQsWOfTHIvDaPTVhOAC</w:t>
        </w:r>
      </w:hyperlink>
    </w:p>
    <w:p w14:paraId="77EC7B88" w14:textId="77777777" w:rsidR="00FE4C57" w:rsidRPr="00EC1495" w:rsidRDefault="00FE4C57" w:rsidP="004379F3">
      <w:pPr>
        <w:widowControl w:val="0"/>
        <w:autoSpaceDE w:val="0"/>
        <w:autoSpaceDN w:val="0"/>
        <w:adjustRightInd w:val="0"/>
        <w:spacing w:after="240" w:line="260" w:lineRule="atLeast"/>
        <w:contextualSpacing/>
        <w:rPr>
          <w:rStyle w:val="Hyperlink"/>
        </w:rPr>
      </w:pPr>
    </w:p>
    <w:p w14:paraId="6D6E3647" w14:textId="4D1EB49F" w:rsidR="00FE4C57" w:rsidRPr="00EC1495" w:rsidRDefault="00FE4C57" w:rsidP="00FE4C57">
      <w:pPr>
        <w:contextualSpacing/>
        <w:rPr>
          <w:color w:val="1A1A1A"/>
        </w:rPr>
      </w:pPr>
      <w:r w:rsidRPr="00EC1495">
        <w:rPr>
          <w:color w:val="1A1A1A"/>
        </w:rPr>
        <w:t>Kumari, V., &amp; Barn, R. (2017). Sentencing in rape cases: A critical appraisal</w:t>
      </w:r>
      <w:r w:rsidR="00D92E37" w:rsidRPr="00EC1495">
        <w:rPr>
          <w:color w:val="1A1A1A"/>
        </w:rPr>
        <w:t xml:space="preserve"> of judicial decisions in India.</w:t>
      </w:r>
      <w:r w:rsidRPr="00EC1495">
        <w:rPr>
          <w:color w:val="1A1A1A"/>
        </w:rPr>
        <w:t xml:space="preserve"> </w:t>
      </w:r>
      <w:r w:rsidRPr="00EC1495">
        <w:rPr>
          <w:i/>
          <w:color w:val="1A1A1A"/>
        </w:rPr>
        <w:t xml:space="preserve">Indian </w:t>
      </w:r>
      <w:r w:rsidR="00EB62E7" w:rsidRPr="00EC1495">
        <w:rPr>
          <w:i/>
          <w:color w:val="1A1A1A"/>
        </w:rPr>
        <w:t>Journal of Law Institute, 51</w:t>
      </w:r>
      <w:r w:rsidR="00EB62E7" w:rsidRPr="00EC1495">
        <w:rPr>
          <w:color w:val="1A1A1A"/>
        </w:rPr>
        <w:t>(1</w:t>
      </w:r>
      <w:r w:rsidR="007914CB" w:rsidRPr="00EC1495">
        <w:rPr>
          <w:color w:val="1A1A1A"/>
        </w:rPr>
        <w:t>), 26-40.</w:t>
      </w:r>
    </w:p>
    <w:p w14:paraId="5520BC27" w14:textId="77777777" w:rsidR="001B4F17" w:rsidRPr="00EC1495" w:rsidRDefault="001B4F17" w:rsidP="008A6152">
      <w:pPr>
        <w:widowControl w:val="0"/>
        <w:autoSpaceDE w:val="0"/>
        <w:autoSpaceDN w:val="0"/>
        <w:adjustRightInd w:val="0"/>
        <w:spacing w:after="240" w:line="260" w:lineRule="atLeast"/>
        <w:contextualSpacing/>
        <w:rPr>
          <w:color w:val="000000"/>
        </w:rPr>
      </w:pPr>
    </w:p>
    <w:p w14:paraId="68801B9C" w14:textId="77777777" w:rsidR="001B4F17" w:rsidRPr="00EC1495" w:rsidRDefault="001B4F17" w:rsidP="008A6152">
      <w:pPr>
        <w:contextualSpacing/>
        <w:rPr>
          <w:color w:val="1A1A1A"/>
        </w:rPr>
      </w:pPr>
      <w:r w:rsidRPr="00EC1495">
        <w:rPr>
          <w:color w:val="1A1A1A"/>
        </w:rPr>
        <w:t xml:space="preserve">Lee, J., Pomeroy, E.C., Yoo, S., &amp; Rheinboldt, K.T. (2005). Attitudes toward rape: A comparison between Asian and Caucasian college students. </w:t>
      </w:r>
      <w:r w:rsidRPr="00EC1495">
        <w:rPr>
          <w:i/>
          <w:color w:val="1A1A1A"/>
        </w:rPr>
        <w:t>Violence Against Women, 11</w:t>
      </w:r>
      <w:r w:rsidRPr="00EC1495">
        <w:rPr>
          <w:color w:val="1A1A1A"/>
        </w:rPr>
        <w:t>(2), 177-196.</w:t>
      </w:r>
    </w:p>
    <w:p w14:paraId="40198E60" w14:textId="77777777" w:rsidR="0021497C" w:rsidRPr="00EC1495" w:rsidRDefault="0021497C" w:rsidP="008A6152">
      <w:pPr>
        <w:contextualSpacing/>
        <w:rPr>
          <w:color w:val="1A1A1A"/>
        </w:rPr>
      </w:pPr>
    </w:p>
    <w:p w14:paraId="25092F11" w14:textId="77777777" w:rsidR="0021497C" w:rsidRPr="00EC1495" w:rsidRDefault="0021497C" w:rsidP="0021497C">
      <w:pPr>
        <w:rPr>
          <w:rFonts w:eastAsia="Times New Roman"/>
        </w:rPr>
      </w:pPr>
      <w:r w:rsidRPr="00EC1495">
        <w:rPr>
          <w:rFonts w:eastAsia="Times New Roman"/>
          <w:color w:val="222222"/>
          <w:shd w:val="clear" w:color="auto" w:fill="FFFFFF"/>
        </w:rPr>
        <w:t>Lewis, R., Marine, S., &amp; Kenney, K. (2016). I get together with my friends and try to change it’. Young feminist students resist ‘laddism’,‘rape culture’and ‘everyday sexism.</w:t>
      </w:r>
      <w:r w:rsidRPr="00EC1495">
        <w:rPr>
          <w:rStyle w:val="apple-converted-space"/>
          <w:rFonts w:eastAsia="Times New Roman"/>
          <w:color w:val="222222"/>
          <w:shd w:val="clear" w:color="auto" w:fill="FFFFFF"/>
        </w:rPr>
        <w:t> </w:t>
      </w:r>
      <w:r w:rsidRPr="00EC1495">
        <w:rPr>
          <w:rFonts w:eastAsia="Times New Roman"/>
          <w:i/>
          <w:iCs/>
          <w:color w:val="222222"/>
        </w:rPr>
        <w:t>Journal of Gender Studies</w:t>
      </w:r>
      <w:r w:rsidRPr="00EC1495">
        <w:rPr>
          <w:rFonts w:eastAsia="Times New Roman"/>
          <w:color w:val="222222"/>
          <w:shd w:val="clear" w:color="auto" w:fill="FFFFFF"/>
        </w:rPr>
        <w:t>, 1-17.</w:t>
      </w:r>
    </w:p>
    <w:p w14:paraId="2F77E140" w14:textId="77777777" w:rsidR="0021497C" w:rsidRPr="00EC1495" w:rsidRDefault="0021497C" w:rsidP="008A6152">
      <w:pPr>
        <w:contextualSpacing/>
        <w:rPr>
          <w:color w:val="1A1A1A"/>
        </w:rPr>
      </w:pPr>
    </w:p>
    <w:p w14:paraId="422D7233" w14:textId="77777777" w:rsidR="001B4F17" w:rsidRPr="00EC1495" w:rsidRDefault="001B4F17" w:rsidP="004379F3">
      <w:pPr>
        <w:contextualSpacing/>
        <w:rPr>
          <w:color w:val="1A1A1A"/>
        </w:rPr>
      </w:pPr>
      <w:r w:rsidRPr="00EC1495">
        <w:rPr>
          <w:color w:val="1A1A1A"/>
        </w:rPr>
        <w:t xml:space="preserve">Lonsway, K.A., &amp; Fitzgerald, L.F. (1994). Rape myths in review. </w:t>
      </w:r>
      <w:r w:rsidRPr="00EC1495">
        <w:rPr>
          <w:i/>
          <w:color w:val="1A1A1A"/>
        </w:rPr>
        <w:t>Psychology of Women Quarterly, 18</w:t>
      </w:r>
      <w:r w:rsidRPr="00EC1495">
        <w:rPr>
          <w:color w:val="1A1A1A"/>
        </w:rPr>
        <w:t xml:space="preserve">, 133-164. </w:t>
      </w:r>
    </w:p>
    <w:p w14:paraId="6E0BE5B6" w14:textId="77777777" w:rsidR="00FE4C57" w:rsidRPr="00EC1495" w:rsidRDefault="00FE4C57" w:rsidP="004379F3">
      <w:pPr>
        <w:contextualSpacing/>
        <w:rPr>
          <w:color w:val="1A1A1A"/>
        </w:rPr>
      </w:pPr>
    </w:p>
    <w:p w14:paraId="7B5E6F5D" w14:textId="4D166E73" w:rsidR="00FE4C57" w:rsidRDefault="00FE4C57" w:rsidP="00FE4C57">
      <w:pPr>
        <w:contextualSpacing/>
        <w:rPr>
          <w:color w:val="1A1A1A"/>
        </w:rPr>
      </w:pPr>
      <w:r w:rsidRPr="00EC1495">
        <w:rPr>
          <w:color w:val="1A1A1A"/>
        </w:rPr>
        <w:t xml:space="preserve">Lonsway, K. A., &amp; Fitzgerald, L. F. (1995). Attitudinal antecedents of rape myth acceptance: A theoretical and empirical reexamination. </w:t>
      </w:r>
      <w:r w:rsidRPr="00EC1495">
        <w:rPr>
          <w:i/>
          <w:iCs/>
          <w:color w:val="1A1A1A"/>
        </w:rPr>
        <w:t>Journal of Personality and Social Psychology</w:t>
      </w:r>
      <w:r w:rsidRPr="00EC1495">
        <w:rPr>
          <w:color w:val="1A1A1A"/>
        </w:rPr>
        <w:t xml:space="preserve">, </w:t>
      </w:r>
      <w:r w:rsidRPr="00EC1495">
        <w:rPr>
          <w:i/>
          <w:iCs/>
          <w:color w:val="1A1A1A"/>
        </w:rPr>
        <w:t>68</w:t>
      </w:r>
      <w:r w:rsidRPr="00EC1495">
        <w:rPr>
          <w:color w:val="1A1A1A"/>
        </w:rPr>
        <w:t>(4), 704</w:t>
      </w:r>
      <w:r w:rsidR="00D92E37" w:rsidRPr="00EC1495">
        <w:rPr>
          <w:color w:val="1A1A1A"/>
        </w:rPr>
        <w:t>-711</w:t>
      </w:r>
      <w:r w:rsidRPr="00EC1495">
        <w:rPr>
          <w:color w:val="1A1A1A"/>
        </w:rPr>
        <w:t>.</w:t>
      </w:r>
    </w:p>
    <w:p w14:paraId="56CF19BF" w14:textId="77777777" w:rsidR="00FC0C4B" w:rsidRDefault="00FC0C4B" w:rsidP="00FE4C57">
      <w:pPr>
        <w:contextualSpacing/>
        <w:rPr>
          <w:color w:val="1A1A1A"/>
        </w:rPr>
      </w:pPr>
    </w:p>
    <w:p w14:paraId="552C3B7B" w14:textId="77777777" w:rsidR="00FC0C4B" w:rsidRPr="00FC0C4B" w:rsidRDefault="00FC0C4B" w:rsidP="00FC0C4B">
      <w:pPr>
        <w:rPr>
          <w:rFonts w:eastAsia="Times New Roman"/>
        </w:rPr>
      </w:pPr>
      <w:r w:rsidRPr="009D6495">
        <w:rPr>
          <w:rFonts w:eastAsia="Times New Roman"/>
          <w:color w:val="222222"/>
          <w:shd w:val="clear" w:color="auto" w:fill="FFFFFF"/>
        </w:rPr>
        <w:lastRenderedPageBreak/>
        <w:t>MacKinnon, C. A. (1982). Feminism, Marxism, method, and the state: An agenda for theory.</w:t>
      </w:r>
      <w:r w:rsidRPr="009D6495">
        <w:rPr>
          <w:rStyle w:val="apple-converted-space"/>
          <w:rFonts w:eastAsia="Times New Roman"/>
          <w:color w:val="222222"/>
          <w:shd w:val="clear" w:color="auto" w:fill="FFFFFF"/>
        </w:rPr>
        <w:t> </w:t>
      </w:r>
      <w:r w:rsidRPr="009D6495">
        <w:rPr>
          <w:rFonts w:eastAsia="Times New Roman"/>
          <w:i/>
          <w:iCs/>
          <w:color w:val="222222"/>
        </w:rPr>
        <w:t>Signs: Journal of Women in Culture and Society</w:t>
      </w:r>
      <w:r w:rsidRPr="009D6495">
        <w:rPr>
          <w:rFonts w:eastAsia="Times New Roman"/>
          <w:color w:val="222222"/>
          <w:shd w:val="clear" w:color="auto" w:fill="FFFFFF"/>
        </w:rPr>
        <w:t>,</w:t>
      </w:r>
      <w:r w:rsidRPr="009D6495">
        <w:rPr>
          <w:rStyle w:val="apple-converted-space"/>
          <w:rFonts w:eastAsia="Times New Roman"/>
          <w:color w:val="222222"/>
          <w:shd w:val="clear" w:color="auto" w:fill="FFFFFF"/>
        </w:rPr>
        <w:t> </w:t>
      </w:r>
      <w:r w:rsidRPr="009D6495">
        <w:rPr>
          <w:rFonts w:eastAsia="Times New Roman"/>
          <w:i/>
          <w:iCs/>
          <w:color w:val="222222"/>
        </w:rPr>
        <w:t>7</w:t>
      </w:r>
      <w:r w:rsidRPr="009D6495">
        <w:rPr>
          <w:rFonts w:eastAsia="Times New Roman"/>
          <w:color w:val="222222"/>
          <w:shd w:val="clear" w:color="auto" w:fill="FFFFFF"/>
        </w:rPr>
        <w:t>(3), 515-544.</w:t>
      </w:r>
    </w:p>
    <w:p w14:paraId="621BA54D" w14:textId="77777777" w:rsidR="00FC0C4B" w:rsidRPr="00EC1495" w:rsidRDefault="00FC0C4B" w:rsidP="00FE4C57">
      <w:pPr>
        <w:contextualSpacing/>
        <w:rPr>
          <w:color w:val="1A1A1A"/>
        </w:rPr>
      </w:pPr>
    </w:p>
    <w:p w14:paraId="515EBB29" w14:textId="77777777" w:rsidR="00095770" w:rsidRDefault="00095770" w:rsidP="004379F3">
      <w:pPr>
        <w:contextualSpacing/>
        <w:rPr>
          <w:color w:val="1A1A1A"/>
        </w:rPr>
      </w:pPr>
      <w:r w:rsidRPr="005C2BAA">
        <w:rPr>
          <w:color w:val="1A1A1A"/>
        </w:rPr>
        <w:t xml:space="preserve">Mason, G.E., Riger, S., &amp; Foley, L.A. (2004). The impact of past sexual experiences on attributions of responsibility for rape. </w:t>
      </w:r>
      <w:r w:rsidRPr="005C2BAA">
        <w:rPr>
          <w:i/>
          <w:color w:val="1A1A1A"/>
        </w:rPr>
        <w:t>Journal of Interpersonal Violence, 19</w:t>
      </w:r>
      <w:r w:rsidRPr="005C2BAA">
        <w:rPr>
          <w:color w:val="1A1A1A"/>
        </w:rPr>
        <w:t>(10), 1157-1171.</w:t>
      </w:r>
      <w:r>
        <w:rPr>
          <w:color w:val="1A1A1A"/>
        </w:rPr>
        <w:t xml:space="preserve"> </w:t>
      </w:r>
    </w:p>
    <w:p w14:paraId="0801E1D4" w14:textId="3A3EEE42" w:rsidR="00095770" w:rsidRDefault="00095770" w:rsidP="004379F3">
      <w:pPr>
        <w:contextualSpacing/>
        <w:rPr>
          <w:color w:val="1A1A1A"/>
        </w:rPr>
      </w:pPr>
      <w:r>
        <w:rPr>
          <w:color w:val="1A1A1A"/>
        </w:rPr>
        <w:t xml:space="preserve"> </w:t>
      </w:r>
    </w:p>
    <w:p w14:paraId="0F079994" w14:textId="77777777" w:rsidR="001B4F17" w:rsidRPr="00EC1495" w:rsidRDefault="001B4F17" w:rsidP="004379F3">
      <w:pPr>
        <w:contextualSpacing/>
        <w:rPr>
          <w:color w:val="1A1A1A"/>
        </w:rPr>
      </w:pPr>
      <w:r w:rsidRPr="00EC1495">
        <w:rPr>
          <w:color w:val="1A1A1A"/>
        </w:rPr>
        <w:t xml:space="preserve">McMahon, S. (2010). Rape myth beliefs and bystander attitudes among incoming college students. </w:t>
      </w:r>
      <w:r w:rsidRPr="00EC1495">
        <w:rPr>
          <w:i/>
          <w:color w:val="1A1A1A"/>
        </w:rPr>
        <w:t>Journal of American College Health, 59</w:t>
      </w:r>
      <w:r w:rsidRPr="00EC1495">
        <w:rPr>
          <w:color w:val="1A1A1A"/>
        </w:rPr>
        <w:t>, 3-11.</w:t>
      </w:r>
    </w:p>
    <w:p w14:paraId="319B89E0" w14:textId="77777777" w:rsidR="001B4F17" w:rsidRPr="00EC1495" w:rsidRDefault="001B4F17" w:rsidP="008C6EF0">
      <w:pPr>
        <w:ind w:left="720" w:hanging="720"/>
        <w:contextualSpacing/>
        <w:rPr>
          <w:color w:val="1A1A1A"/>
        </w:rPr>
      </w:pPr>
    </w:p>
    <w:p w14:paraId="37051850" w14:textId="26654E9A" w:rsidR="001B4F17" w:rsidRPr="00EC1495" w:rsidRDefault="001B4F17" w:rsidP="004379F3">
      <w:pPr>
        <w:contextualSpacing/>
        <w:rPr>
          <w:color w:val="1A1A1A"/>
        </w:rPr>
      </w:pPr>
      <w:r w:rsidRPr="00EC1495">
        <w:rPr>
          <w:color w:val="1A1A1A"/>
        </w:rPr>
        <w:t xml:space="preserve">McMahon, S., &amp; Farmer, G.L. (2011). An updated measure for assessing subtle rape myths. </w:t>
      </w:r>
      <w:r w:rsidRPr="00EC1495">
        <w:rPr>
          <w:i/>
          <w:color w:val="1A1A1A"/>
        </w:rPr>
        <w:t>Social Work Research, 35</w:t>
      </w:r>
      <w:r w:rsidRPr="00EC1495">
        <w:rPr>
          <w:color w:val="1A1A1A"/>
        </w:rPr>
        <w:t>(2), 71-81.</w:t>
      </w:r>
    </w:p>
    <w:p w14:paraId="640A67DB" w14:textId="77777777" w:rsidR="004D6B15" w:rsidRPr="00EC1495" w:rsidRDefault="004D6B15" w:rsidP="004379F3">
      <w:pPr>
        <w:contextualSpacing/>
        <w:rPr>
          <w:color w:val="1A1A1A"/>
        </w:rPr>
      </w:pPr>
    </w:p>
    <w:p w14:paraId="634C2DE3" w14:textId="77777777" w:rsidR="004D6B15" w:rsidRDefault="004D6B15" w:rsidP="004D6B15">
      <w:pPr>
        <w:rPr>
          <w:rFonts w:eastAsia="Times New Roman"/>
          <w:color w:val="222222"/>
          <w:shd w:val="clear" w:color="auto" w:fill="FFFFFF"/>
        </w:rPr>
      </w:pPr>
      <w:r w:rsidRPr="00EC1495">
        <w:rPr>
          <w:rFonts w:eastAsia="Times New Roman"/>
          <w:color w:val="222222"/>
          <w:shd w:val="clear" w:color="auto" w:fill="FFFFFF"/>
        </w:rPr>
        <w:t>Maxwell, L., &amp; Scott, G. (2014). A review of the role of radical feminist theories in the understanding of rape myth acceptance.</w:t>
      </w:r>
      <w:r w:rsidRPr="00EC1495">
        <w:rPr>
          <w:rStyle w:val="apple-converted-space"/>
          <w:rFonts w:eastAsia="Times New Roman"/>
          <w:color w:val="222222"/>
          <w:shd w:val="clear" w:color="auto" w:fill="FFFFFF"/>
        </w:rPr>
        <w:t> </w:t>
      </w:r>
      <w:r w:rsidRPr="00EC1495">
        <w:rPr>
          <w:rFonts w:eastAsia="Times New Roman"/>
          <w:i/>
          <w:iCs/>
          <w:color w:val="222222"/>
        </w:rPr>
        <w:t>Journal of Sexual Aggression</w:t>
      </w:r>
      <w:r w:rsidRPr="00EC1495">
        <w:rPr>
          <w:rFonts w:eastAsia="Times New Roman"/>
          <w:color w:val="222222"/>
          <w:shd w:val="clear" w:color="auto" w:fill="FFFFFF"/>
        </w:rPr>
        <w:t>,</w:t>
      </w:r>
      <w:r w:rsidRPr="00EC1495">
        <w:rPr>
          <w:rStyle w:val="apple-converted-space"/>
          <w:rFonts w:eastAsia="Times New Roman"/>
          <w:color w:val="222222"/>
          <w:shd w:val="clear" w:color="auto" w:fill="FFFFFF"/>
        </w:rPr>
        <w:t> </w:t>
      </w:r>
      <w:r w:rsidRPr="00EC1495">
        <w:rPr>
          <w:rFonts w:eastAsia="Times New Roman"/>
          <w:i/>
          <w:iCs/>
          <w:color w:val="222222"/>
        </w:rPr>
        <w:t>20</w:t>
      </w:r>
      <w:r w:rsidRPr="00EC1495">
        <w:rPr>
          <w:rFonts w:eastAsia="Times New Roman"/>
          <w:color w:val="222222"/>
          <w:shd w:val="clear" w:color="auto" w:fill="FFFFFF"/>
        </w:rPr>
        <w:t>(1), 40-54.</w:t>
      </w:r>
    </w:p>
    <w:p w14:paraId="6DAD8CB9" w14:textId="77777777" w:rsidR="006C3909" w:rsidRDefault="006C3909" w:rsidP="004D6B15">
      <w:pPr>
        <w:rPr>
          <w:rFonts w:eastAsia="Times New Roman"/>
          <w:color w:val="222222"/>
          <w:shd w:val="clear" w:color="auto" w:fill="FFFFFF"/>
        </w:rPr>
      </w:pPr>
    </w:p>
    <w:p w14:paraId="47D92C46" w14:textId="20751271" w:rsidR="006C3909" w:rsidRPr="00EC1495" w:rsidRDefault="006C3909" w:rsidP="004D6B15">
      <w:pPr>
        <w:rPr>
          <w:rFonts w:eastAsia="Times New Roman"/>
        </w:rPr>
      </w:pPr>
      <w:r w:rsidRPr="005C2BAA">
        <w:rPr>
          <w:rFonts w:eastAsia="Times New Roman"/>
          <w:color w:val="222222"/>
          <w:shd w:val="clear" w:color="auto" w:fill="FFFFFF"/>
        </w:rPr>
        <w:t>Mehta, D. (2016). Anatomy of Violence, Film, Hamilton Mehta Productions.</w:t>
      </w:r>
    </w:p>
    <w:p w14:paraId="7E3F368A" w14:textId="77777777" w:rsidR="004D6B15" w:rsidRPr="00EC1495" w:rsidRDefault="004D6B15" w:rsidP="004379F3">
      <w:pPr>
        <w:contextualSpacing/>
        <w:rPr>
          <w:color w:val="1A1A1A"/>
        </w:rPr>
      </w:pPr>
    </w:p>
    <w:p w14:paraId="3C40F257" w14:textId="2AF9A100" w:rsidR="008B1E7C" w:rsidRPr="00EC1495" w:rsidRDefault="008B1E7C" w:rsidP="008B1E7C">
      <w:pPr>
        <w:widowControl w:val="0"/>
        <w:autoSpaceDE w:val="0"/>
        <w:autoSpaceDN w:val="0"/>
        <w:adjustRightInd w:val="0"/>
        <w:spacing w:after="240" w:line="280" w:lineRule="atLeast"/>
        <w:rPr>
          <w:color w:val="000000"/>
        </w:rPr>
      </w:pPr>
      <w:r w:rsidRPr="00EC1495">
        <w:rPr>
          <w:color w:val="000000"/>
        </w:rPr>
        <w:t xml:space="preserve">Mezey, G., &amp; King, M. (2000). </w:t>
      </w:r>
      <w:r w:rsidRPr="00EC1495">
        <w:rPr>
          <w:i/>
          <w:iCs/>
          <w:color w:val="000000"/>
        </w:rPr>
        <w:t xml:space="preserve">Male victims of sexual assault </w:t>
      </w:r>
      <w:r w:rsidRPr="00EC1495">
        <w:rPr>
          <w:color w:val="000000"/>
        </w:rPr>
        <w:t xml:space="preserve">(2nd ed.). Oxford, UK: Oxford University Press. </w:t>
      </w:r>
    </w:p>
    <w:p w14:paraId="3F7EF7AE" w14:textId="11F0633C" w:rsidR="0002014A" w:rsidRPr="00EC1495" w:rsidRDefault="0002014A" w:rsidP="004379F3">
      <w:pPr>
        <w:widowControl w:val="0"/>
        <w:autoSpaceDE w:val="0"/>
        <w:autoSpaceDN w:val="0"/>
        <w:adjustRightInd w:val="0"/>
        <w:spacing w:after="240"/>
        <w:rPr>
          <w:rFonts w:ascii="Times" w:hAnsi="Times" w:cs="Times"/>
          <w:color w:val="000000"/>
        </w:rPr>
      </w:pPr>
      <w:r w:rsidRPr="00EC1495">
        <w:rPr>
          <w:color w:val="000000"/>
        </w:rPr>
        <w:t>Mills, C. S., &amp; Granoff, B. J. (1992). Date and acquaintance rape among a sample of</w:t>
      </w:r>
      <w:r w:rsidR="00323838" w:rsidRPr="00EC1495">
        <w:rPr>
          <w:color w:val="000000"/>
        </w:rPr>
        <w:t xml:space="preserve"> college students. </w:t>
      </w:r>
      <w:r w:rsidR="00323838" w:rsidRPr="00EC1495">
        <w:rPr>
          <w:i/>
          <w:color w:val="000000"/>
        </w:rPr>
        <w:t xml:space="preserve">Social Work, </w:t>
      </w:r>
      <w:r w:rsidRPr="00EC1495">
        <w:rPr>
          <w:i/>
          <w:color w:val="000000"/>
        </w:rPr>
        <w:t>37</w:t>
      </w:r>
      <w:r w:rsidRPr="00EC1495">
        <w:rPr>
          <w:color w:val="000000"/>
        </w:rPr>
        <w:t xml:space="preserve">, 504-509. </w:t>
      </w:r>
    </w:p>
    <w:p w14:paraId="7FCB0FEF" w14:textId="77777777" w:rsidR="001B4F17" w:rsidRPr="00EC1495" w:rsidRDefault="001B4F17" w:rsidP="004379F3">
      <w:pPr>
        <w:contextualSpacing/>
        <w:rPr>
          <w:color w:val="1A1A1A"/>
        </w:rPr>
      </w:pPr>
      <w:r w:rsidRPr="00EC1495">
        <w:rPr>
          <w:color w:val="1A1A1A"/>
        </w:rPr>
        <w:t xml:space="preserve">Ministry of Justice (2013). An overview of sexual offending in England and Wales, Ministry of Justice/Home Office/Office for National Statistics, Statistical Bulletin: Retrieved from </w:t>
      </w:r>
      <w:hyperlink r:id="rId12" w:history="1">
        <w:r w:rsidRPr="00EC1495">
          <w:rPr>
            <w:rStyle w:val="Hyperlink"/>
          </w:rPr>
          <w:t>http://webarchive.nationalarchives.gov.uk/20160105160709/https://www.gov.uk/government/uploads/system/uploads/attachment_data/file/214970/sexual-offending-overview-jan-2013.pdf</w:t>
        </w:r>
      </w:hyperlink>
    </w:p>
    <w:p w14:paraId="2C2F33FE" w14:textId="77777777" w:rsidR="001B4F17" w:rsidRPr="00EC1495" w:rsidRDefault="001B4F17" w:rsidP="008C6EF0">
      <w:pPr>
        <w:ind w:left="720" w:hanging="720"/>
        <w:contextualSpacing/>
        <w:rPr>
          <w:color w:val="1A1A1A"/>
        </w:rPr>
      </w:pPr>
    </w:p>
    <w:p w14:paraId="29EA6DF8" w14:textId="77777777" w:rsidR="001B4F17" w:rsidRPr="00EC1495" w:rsidRDefault="001B4F17" w:rsidP="004379F3">
      <w:pPr>
        <w:contextualSpacing/>
        <w:rPr>
          <w:color w:val="1A1A1A"/>
        </w:rPr>
      </w:pPr>
      <w:r w:rsidRPr="00EC1495">
        <w:rPr>
          <w:color w:val="1A1A1A"/>
        </w:rPr>
        <w:t xml:space="preserve">Mori, L., Bernat, J.A., Glenn, P.A., Selle, L.L., Zarate, M.G. (1995). Attitudes toward rape: Gender and ethnic differences across Asian and Caucasian college students. </w:t>
      </w:r>
      <w:r w:rsidRPr="00EC1495">
        <w:rPr>
          <w:i/>
          <w:color w:val="1A1A1A"/>
        </w:rPr>
        <w:t>Sex Roles, 32</w:t>
      </w:r>
      <w:r w:rsidRPr="00EC1495">
        <w:rPr>
          <w:color w:val="1A1A1A"/>
        </w:rPr>
        <w:t>(7), 457-467.</w:t>
      </w:r>
    </w:p>
    <w:p w14:paraId="008F2800" w14:textId="77777777" w:rsidR="00F254B8" w:rsidRPr="00EC1495" w:rsidRDefault="00F254B8" w:rsidP="008C6EF0">
      <w:pPr>
        <w:ind w:left="720" w:hanging="720"/>
        <w:contextualSpacing/>
        <w:rPr>
          <w:color w:val="1A1A1A"/>
        </w:rPr>
      </w:pPr>
    </w:p>
    <w:p w14:paraId="7FF9FCDF" w14:textId="1278EB9A" w:rsidR="001B4F17" w:rsidRPr="00751CE1" w:rsidRDefault="001B4F17" w:rsidP="008A6152">
      <w:pPr>
        <w:contextualSpacing/>
      </w:pPr>
      <w:r w:rsidRPr="00751CE1">
        <w:rPr>
          <w:color w:val="000000"/>
        </w:rPr>
        <w:t>National Crime Records Bureau. (201</w:t>
      </w:r>
      <w:r w:rsidR="006507B8" w:rsidRPr="00751CE1">
        <w:rPr>
          <w:color w:val="000000"/>
        </w:rPr>
        <w:t>7</w:t>
      </w:r>
      <w:r w:rsidRPr="00751CE1">
        <w:rPr>
          <w:color w:val="000000"/>
        </w:rPr>
        <w:t>). Crime in India: 201</w:t>
      </w:r>
      <w:r w:rsidR="006507B8" w:rsidRPr="00751CE1">
        <w:rPr>
          <w:color w:val="000000"/>
        </w:rPr>
        <w:t>6</w:t>
      </w:r>
      <w:r w:rsidRPr="00751CE1">
        <w:rPr>
          <w:color w:val="000000"/>
        </w:rPr>
        <w:t xml:space="preserve"> compendium. New Delhi: Ministry of Home Affairs, Government of India. Retrieved from: </w:t>
      </w:r>
      <w:r w:rsidRPr="00751CE1">
        <w:t>http://ncrb.nic.in/ </w:t>
      </w:r>
    </w:p>
    <w:p w14:paraId="692F7563" w14:textId="77777777" w:rsidR="003C52E6" w:rsidRPr="00751CE1" w:rsidRDefault="003C52E6" w:rsidP="004379F3">
      <w:pPr>
        <w:widowControl w:val="0"/>
        <w:autoSpaceDE w:val="0"/>
        <w:autoSpaceDN w:val="0"/>
        <w:adjustRightInd w:val="0"/>
        <w:spacing w:after="240" w:line="260" w:lineRule="atLeast"/>
        <w:contextualSpacing/>
      </w:pPr>
    </w:p>
    <w:p w14:paraId="63C8005D" w14:textId="761856CC" w:rsidR="009E432B" w:rsidRPr="00751CE1" w:rsidRDefault="009E432B" w:rsidP="00D92E37">
      <w:pPr>
        <w:spacing w:before="100" w:beforeAutospacing="1" w:after="100" w:afterAutospacing="1"/>
        <w:contextualSpacing/>
      </w:pPr>
      <w:r w:rsidRPr="00751CE1">
        <w:t>National Union of Students. (2011) Hidden Marks: A study of women students’ experiences of harassment, stalking, violence and sexual assault. London: NUS. Retrieved from https://www.nus.org.uk/global/nus_hidden_marks_report_2nd_edition_web.pdf</w:t>
      </w:r>
    </w:p>
    <w:p w14:paraId="0AC2CD39" w14:textId="77777777" w:rsidR="009E432B" w:rsidRPr="00751CE1" w:rsidRDefault="009E432B" w:rsidP="00D92E37">
      <w:pPr>
        <w:spacing w:before="100" w:beforeAutospacing="1" w:after="100" w:afterAutospacing="1"/>
        <w:contextualSpacing/>
      </w:pPr>
    </w:p>
    <w:p w14:paraId="2D0370A3" w14:textId="30F8D118" w:rsidR="003C52E6" w:rsidRPr="00751CE1" w:rsidRDefault="003C52E6" w:rsidP="00D92E37">
      <w:pPr>
        <w:spacing w:before="100" w:beforeAutospacing="1" w:after="100" w:afterAutospacing="1"/>
        <w:contextualSpacing/>
      </w:pPr>
      <w:r w:rsidRPr="00751CE1">
        <w:rPr>
          <w:rFonts w:hint="eastAsia"/>
        </w:rPr>
        <w:t>Nayak, M. B., Byrne, C. A., Martin, M. K., &amp; Abraham, A. G. (2003). Attitudes toward violence against women: A cross-nation study. Sex Roles, 49(7</w:t>
      </w:r>
      <w:r w:rsidRPr="00751CE1">
        <w:rPr>
          <w:rFonts w:hint="eastAsia"/>
        </w:rPr>
        <w:t>–</w:t>
      </w:r>
      <w:r w:rsidRPr="00751CE1">
        <w:rPr>
          <w:rFonts w:hint="eastAsia"/>
        </w:rPr>
        <w:t>8), 333</w:t>
      </w:r>
      <w:r w:rsidRPr="00751CE1">
        <w:rPr>
          <w:rFonts w:hint="eastAsia"/>
        </w:rPr>
        <w:t>–</w:t>
      </w:r>
      <w:r w:rsidRPr="00751CE1">
        <w:rPr>
          <w:rFonts w:hint="eastAsia"/>
        </w:rPr>
        <w:t>342.</w:t>
      </w:r>
    </w:p>
    <w:p w14:paraId="547A664D" w14:textId="77777777" w:rsidR="00D92E37" w:rsidRPr="00751CE1" w:rsidRDefault="00D92E37" w:rsidP="00D92E37">
      <w:pPr>
        <w:spacing w:before="100" w:beforeAutospacing="1" w:after="100" w:afterAutospacing="1"/>
        <w:contextualSpacing/>
      </w:pPr>
    </w:p>
    <w:p w14:paraId="3466FEC8" w14:textId="6215CEE8" w:rsidR="001B4F17" w:rsidRPr="00EC1495" w:rsidRDefault="001B4F17" w:rsidP="00D92E37">
      <w:pPr>
        <w:widowControl w:val="0"/>
        <w:autoSpaceDE w:val="0"/>
        <w:autoSpaceDN w:val="0"/>
        <w:adjustRightInd w:val="0"/>
        <w:spacing w:before="100" w:beforeAutospacing="1" w:after="100" w:afterAutospacing="1"/>
        <w:contextualSpacing/>
      </w:pPr>
      <w:r w:rsidRPr="00751CE1">
        <w:t>Office for National Statistics (201</w:t>
      </w:r>
      <w:r w:rsidR="006507B8" w:rsidRPr="00751CE1">
        <w:t>8</w:t>
      </w:r>
      <w:r w:rsidRPr="00751CE1">
        <w:t xml:space="preserve">). Crime in England and Wales: Year ending </w:t>
      </w:r>
      <w:r w:rsidR="006507B8" w:rsidRPr="00751CE1">
        <w:t>September 2017</w:t>
      </w:r>
      <w:r w:rsidRPr="00751CE1">
        <w:t xml:space="preserve">, </w:t>
      </w:r>
      <w:hyperlink r:id="rId13" w:history="1">
        <w:r w:rsidRPr="00751CE1">
          <w:rPr>
            <w:rStyle w:val="Hyperlink"/>
          </w:rPr>
          <w:t>http://ons.gov.uk/</w:t>
        </w:r>
      </w:hyperlink>
    </w:p>
    <w:p w14:paraId="6E491D97" w14:textId="77777777" w:rsidR="001B4F17" w:rsidRPr="00EC1495" w:rsidRDefault="001B4F17" w:rsidP="008C6EF0">
      <w:pPr>
        <w:widowControl w:val="0"/>
        <w:autoSpaceDE w:val="0"/>
        <w:autoSpaceDN w:val="0"/>
        <w:adjustRightInd w:val="0"/>
        <w:ind w:left="720" w:hanging="720"/>
        <w:contextualSpacing/>
      </w:pPr>
    </w:p>
    <w:p w14:paraId="06010905" w14:textId="77777777" w:rsidR="001B4F17" w:rsidRPr="00EC1495" w:rsidRDefault="001B4F17" w:rsidP="004379F3">
      <w:pPr>
        <w:widowControl w:val="0"/>
        <w:autoSpaceDE w:val="0"/>
        <w:autoSpaceDN w:val="0"/>
        <w:adjustRightInd w:val="0"/>
        <w:contextualSpacing/>
      </w:pPr>
      <w:r w:rsidRPr="00EC1495">
        <w:rPr>
          <w:color w:val="1A1A1A"/>
        </w:rPr>
        <w:t xml:space="preserve">O’Hara, S. (2012). Monsters, playboys, virgins and whores: Rape myths in the news media’s coverage of sexual violence. </w:t>
      </w:r>
      <w:r w:rsidRPr="00EC1495">
        <w:rPr>
          <w:i/>
          <w:iCs/>
          <w:color w:val="1A1A1A"/>
        </w:rPr>
        <w:t>Language and Literature</w:t>
      </w:r>
      <w:r w:rsidRPr="00EC1495">
        <w:rPr>
          <w:color w:val="1A1A1A"/>
        </w:rPr>
        <w:t xml:space="preserve">, </w:t>
      </w:r>
      <w:r w:rsidRPr="00EC1495">
        <w:rPr>
          <w:i/>
          <w:iCs/>
          <w:color w:val="1A1A1A"/>
        </w:rPr>
        <w:t>21</w:t>
      </w:r>
      <w:r w:rsidRPr="00EC1495">
        <w:rPr>
          <w:color w:val="1A1A1A"/>
        </w:rPr>
        <w:t>(3), 247-259.</w:t>
      </w:r>
    </w:p>
    <w:p w14:paraId="70C3AC4D" w14:textId="77777777" w:rsidR="001B4F17" w:rsidRPr="00EC1495" w:rsidRDefault="001B4F17" w:rsidP="008C6EF0">
      <w:pPr>
        <w:widowControl w:val="0"/>
        <w:autoSpaceDE w:val="0"/>
        <w:autoSpaceDN w:val="0"/>
        <w:adjustRightInd w:val="0"/>
        <w:ind w:left="720" w:hanging="720"/>
        <w:contextualSpacing/>
      </w:pPr>
    </w:p>
    <w:p w14:paraId="1DB5FB9D" w14:textId="77777777" w:rsidR="001B4F17" w:rsidRPr="00EC1495" w:rsidRDefault="001B4F17" w:rsidP="004379F3">
      <w:pPr>
        <w:widowControl w:val="0"/>
        <w:autoSpaceDE w:val="0"/>
        <w:autoSpaceDN w:val="0"/>
        <w:adjustRightInd w:val="0"/>
        <w:contextualSpacing/>
      </w:pPr>
      <w:r w:rsidRPr="00EC1495">
        <w:t xml:space="preserve">Page, A.D. (2008). Judging women and defining crime: Police officers’ attitudes towards </w:t>
      </w:r>
      <w:r w:rsidRPr="00EC1495">
        <w:lastRenderedPageBreak/>
        <w:t xml:space="preserve">women and rape. </w:t>
      </w:r>
      <w:r w:rsidRPr="00EC1495">
        <w:rPr>
          <w:i/>
        </w:rPr>
        <w:t>Sociological Spectrum, 28</w:t>
      </w:r>
      <w:r w:rsidRPr="00EC1495">
        <w:t>, 389-411.</w:t>
      </w:r>
    </w:p>
    <w:p w14:paraId="74CDBC75" w14:textId="77777777" w:rsidR="00651361" w:rsidRPr="00EC1495" w:rsidRDefault="00651361" w:rsidP="004379F3">
      <w:pPr>
        <w:widowControl w:val="0"/>
        <w:autoSpaceDE w:val="0"/>
        <w:autoSpaceDN w:val="0"/>
        <w:adjustRightInd w:val="0"/>
        <w:contextualSpacing/>
      </w:pPr>
    </w:p>
    <w:p w14:paraId="13C3C307" w14:textId="627F2992" w:rsidR="00651361" w:rsidRPr="00EC1495" w:rsidRDefault="00651361" w:rsidP="004379F3">
      <w:pPr>
        <w:widowControl w:val="0"/>
        <w:autoSpaceDE w:val="0"/>
        <w:autoSpaceDN w:val="0"/>
        <w:adjustRightInd w:val="0"/>
        <w:contextualSpacing/>
      </w:pPr>
      <w:r w:rsidRPr="00EC1495">
        <w:rPr>
          <w:color w:val="1A1A1A"/>
        </w:rPr>
        <w:t xml:space="preserve">Panda, P. (2016). The Status of Live-in–Relationship in India: A Legal and Judicial Approach. </w:t>
      </w:r>
      <w:r w:rsidRPr="00EC1495">
        <w:rPr>
          <w:i/>
          <w:iCs/>
          <w:color w:val="1A1A1A"/>
        </w:rPr>
        <w:t>PARIPEX-Indian Journal of Research</w:t>
      </w:r>
      <w:r w:rsidRPr="00EC1495">
        <w:rPr>
          <w:color w:val="1A1A1A"/>
        </w:rPr>
        <w:t xml:space="preserve">, </w:t>
      </w:r>
      <w:r w:rsidRPr="00EC1495">
        <w:rPr>
          <w:i/>
          <w:iCs/>
          <w:color w:val="1A1A1A"/>
        </w:rPr>
        <w:t>5</w:t>
      </w:r>
      <w:r w:rsidRPr="00EC1495">
        <w:rPr>
          <w:color w:val="1A1A1A"/>
        </w:rPr>
        <w:t>(3)</w:t>
      </w:r>
      <w:r w:rsidR="009B290E" w:rsidRPr="00EC1495">
        <w:rPr>
          <w:color w:val="1A1A1A"/>
        </w:rPr>
        <w:t>, 16-17.</w:t>
      </w:r>
    </w:p>
    <w:p w14:paraId="69827067" w14:textId="77777777" w:rsidR="001B4F17" w:rsidRPr="00EC1495" w:rsidRDefault="001B4F17" w:rsidP="008C6EF0">
      <w:pPr>
        <w:widowControl w:val="0"/>
        <w:autoSpaceDE w:val="0"/>
        <w:autoSpaceDN w:val="0"/>
        <w:adjustRightInd w:val="0"/>
        <w:ind w:left="720" w:hanging="720"/>
        <w:contextualSpacing/>
      </w:pPr>
    </w:p>
    <w:p w14:paraId="77AF7419" w14:textId="77777777" w:rsidR="004379F3" w:rsidRPr="00EC1495" w:rsidRDefault="001B4F17" w:rsidP="004379F3">
      <w:pPr>
        <w:widowControl w:val="0"/>
        <w:autoSpaceDE w:val="0"/>
        <w:autoSpaceDN w:val="0"/>
        <w:adjustRightInd w:val="0"/>
        <w:contextualSpacing/>
        <w:rPr>
          <w:color w:val="1A1A1A"/>
        </w:rPr>
      </w:pPr>
      <w:r w:rsidRPr="00EC1495">
        <w:rPr>
          <w:color w:val="1A1A1A"/>
        </w:rPr>
        <w:t xml:space="preserve">Payne, D. L., Lonsway, K. A., &amp; Fitzgerald, L. F. (1999). Rape Myth Acceptance: Exploration of Its Structure and Its Measurement Using theIllinois Rape Myth Acceptance Scale. </w:t>
      </w:r>
      <w:r w:rsidRPr="00EC1495">
        <w:rPr>
          <w:i/>
          <w:iCs/>
          <w:color w:val="1A1A1A"/>
        </w:rPr>
        <w:t>Journal of Research in Personality</w:t>
      </w:r>
      <w:r w:rsidRPr="00EC1495">
        <w:rPr>
          <w:color w:val="1A1A1A"/>
        </w:rPr>
        <w:t xml:space="preserve">, </w:t>
      </w:r>
      <w:r w:rsidRPr="00EC1495">
        <w:rPr>
          <w:i/>
          <w:iCs/>
          <w:color w:val="1A1A1A"/>
        </w:rPr>
        <w:t>33</w:t>
      </w:r>
      <w:r w:rsidRPr="00EC1495">
        <w:rPr>
          <w:color w:val="1A1A1A"/>
        </w:rPr>
        <w:t>(1), 27-68.</w:t>
      </w:r>
    </w:p>
    <w:p w14:paraId="3F324D37" w14:textId="77777777" w:rsidR="004D6B15" w:rsidRPr="00EC1495" w:rsidRDefault="004D6B15" w:rsidP="004379F3">
      <w:pPr>
        <w:widowControl w:val="0"/>
        <w:autoSpaceDE w:val="0"/>
        <w:autoSpaceDN w:val="0"/>
        <w:adjustRightInd w:val="0"/>
        <w:contextualSpacing/>
        <w:rPr>
          <w:color w:val="1A1A1A"/>
        </w:rPr>
      </w:pPr>
    </w:p>
    <w:p w14:paraId="47D936FC" w14:textId="77777777" w:rsidR="004D6B15" w:rsidRPr="00EC1495" w:rsidRDefault="004D6B15" w:rsidP="004D6B15">
      <w:pPr>
        <w:contextualSpacing/>
        <w:rPr>
          <w:color w:val="1A1A1A"/>
        </w:rPr>
      </w:pPr>
      <w:r w:rsidRPr="00EC1495">
        <w:rPr>
          <w:color w:val="1A1A1A"/>
        </w:rPr>
        <w:t xml:space="preserve">Powers, R.A., Leili, J., Hagman, B., &amp; Cohn, A. (2015). The impact of college education on rape myth acceptance, alcohol expectancies, and bystander attitudes. </w:t>
      </w:r>
      <w:r w:rsidRPr="00EC1495">
        <w:rPr>
          <w:i/>
          <w:color w:val="1A1A1A"/>
        </w:rPr>
        <w:t>Deviant Behavior, 36</w:t>
      </w:r>
      <w:r w:rsidRPr="00EC1495">
        <w:rPr>
          <w:color w:val="1A1A1A"/>
        </w:rPr>
        <w:t>(12), 956-973.</w:t>
      </w:r>
    </w:p>
    <w:p w14:paraId="77273922" w14:textId="77777777" w:rsidR="004379F3" w:rsidRPr="00EC1495" w:rsidRDefault="004379F3" w:rsidP="004379F3">
      <w:pPr>
        <w:widowControl w:val="0"/>
        <w:autoSpaceDE w:val="0"/>
        <w:autoSpaceDN w:val="0"/>
        <w:adjustRightInd w:val="0"/>
        <w:contextualSpacing/>
        <w:rPr>
          <w:color w:val="1A1A1A"/>
        </w:rPr>
      </w:pPr>
    </w:p>
    <w:p w14:paraId="20D32072" w14:textId="2105D0C7" w:rsidR="00323838" w:rsidRPr="00EC1495" w:rsidRDefault="001B4F17" w:rsidP="004379F3">
      <w:pPr>
        <w:widowControl w:val="0"/>
        <w:autoSpaceDE w:val="0"/>
        <w:autoSpaceDN w:val="0"/>
        <w:adjustRightInd w:val="0"/>
        <w:contextualSpacing/>
        <w:rPr>
          <w:color w:val="1A1A1A"/>
        </w:rPr>
      </w:pPr>
      <w:r w:rsidRPr="00EC1495">
        <w:rPr>
          <w:color w:val="1A1A1A"/>
        </w:rPr>
        <w:t xml:space="preserve">Reece, H. (2014). Debating Rape Myths, </w:t>
      </w:r>
      <w:r w:rsidRPr="00EC1495">
        <w:rPr>
          <w:color w:val="000000"/>
        </w:rPr>
        <w:t>LSE Law, Soc</w:t>
      </w:r>
      <w:r w:rsidR="00323838" w:rsidRPr="00EC1495">
        <w:rPr>
          <w:color w:val="000000"/>
        </w:rPr>
        <w:t>iety and Economy Working Papers</w:t>
      </w:r>
    </w:p>
    <w:p w14:paraId="128D75D1" w14:textId="4D0A7985" w:rsidR="001B4F17" w:rsidRPr="00EC1495" w:rsidRDefault="001B4F17" w:rsidP="004379F3">
      <w:pPr>
        <w:widowControl w:val="0"/>
        <w:autoSpaceDE w:val="0"/>
        <w:autoSpaceDN w:val="0"/>
        <w:adjustRightInd w:val="0"/>
        <w:contextualSpacing/>
        <w:rPr>
          <w:color w:val="000000"/>
        </w:rPr>
      </w:pPr>
      <w:r w:rsidRPr="00EC1495">
        <w:rPr>
          <w:color w:val="000000"/>
        </w:rPr>
        <w:t>21/2014 London School of Economics and Political Science</w:t>
      </w:r>
      <w:r w:rsidR="00323838" w:rsidRPr="00EC1495">
        <w:rPr>
          <w:rFonts w:ascii="MS Mincho" w:eastAsia="MS Mincho" w:hAnsi="MS Mincho" w:cs="MS Mincho"/>
          <w:color w:val="000000"/>
        </w:rPr>
        <w:t xml:space="preserve"> </w:t>
      </w:r>
      <w:r w:rsidR="00475F7E" w:rsidRPr="00EC1495">
        <w:rPr>
          <w:color w:val="000000"/>
        </w:rPr>
        <w:t>Law Department, UK.</w:t>
      </w:r>
    </w:p>
    <w:p w14:paraId="7D0BE984" w14:textId="77777777" w:rsidR="00475F7E" w:rsidRPr="00EC1495" w:rsidRDefault="00475F7E" w:rsidP="004379F3">
      <w:pPr>
        <w:widowControl w:val="0"/>
        <w:autoSpaceDE w:val="0"/>
        <w:autoSpaceDN w:val="0"/>
        <w:adjustRightInd w:val="0"/>
        <w:contextualSpacing/>
        <w:rPr>
          <w:color w:val="000000"/>
        </w:rPr>
      </w:pPr>
    </w:p>
    <w:p w14:paraId="1AC1B11E" w14:textId="77777777" w:rsidR="00475F7E" w:rsidRPr="00EC1495" w:rsidRDefault="00475F7E" w:rsidP="00475F7E">
      <w:pPr>
        <w:rPr>
          <w:rFonts w:eastAsia="Times New Roman"/>
        </w:rPr>
      </w:pPr>
      <w:r w:rsidRPr="00EC1495">
        <w:rPr>
          <w:rFonts w:eastAsia="Times New Roman"/>
          <w:color w:val="222222"/>
          <w:shd w:val="clear" w:color="auto" w:fill="FFFFFF"/>
        </w:rPr>
        <w:t>Roychowdhury, P. (2013). " The Delhi Gang Rape": The Making of International Causes.</w:t>
      </w:r>
      <w:r w:rsidRPr="00EC1495">
        <w:rPr>
          <w:rStyle w:val="apple-converted-space"/>
          <w:rFonts w:eastAsia="Times New Roman"/>
          <w:color w:val="222222"/>
          <w:shd w:val="clear" w:color="auto" w:fill="FFFFFF"/>
        </w:rPr>
        <w:t> </w:t>
      </w:r>
      <w:r w:rsidRPr="00EC1495">
        <w:rPr>
          <w:rFonts w:eastAsia="Times New Roman"/>
          <w:i/>
          <w:iCs/>
          <w:color w:val="222222"/>
        </w:rPr>
        <w:t>Feminist studies</w:t>
      </w:r>
      <w:r w:rsidRPr="00EC1495">
        <w:rPr>
          <w:rFonts w:eastAsia="Times New Roman"/>
          <w:color w:val="222222"/>
          <w:shd w:val="clear" w:color="auto" w:fill="FFFFFF"/>
        </w:rPr>
        <w:t>,</w:t>
      </w:r>
      <w:r w:rsidRPr="00EC1495">
        <w:rPr>
          <w:rStyle w:val="apple-converted-space"/>
          <w:rFonts w:eastAsia="Times New Roman"/>
          <w:color w:val="222222"/>
          <w:shd w:val="clear" w:color="auto" w:fill="FFFFFF"/>
        </w:rPr>
        <w:t> </w:t>
      </w:r>
      <w:r w:rsidRPr="00EC1495">
        <w:rPr>
          <w:rFonts w:eastAsia="Times New Roman"/>
          <w:i/>
          <w:iCs/>
          <w:color w:val="222222"/>
        </w:rPr>
        <w:t>39</w:t>
      </w:r>
      <w:r w:rsidRPr="00EC1495">
        <w:rPr>
          <w:rFonts w:eastAsia="Times New Roman"/>
          <w:color w:val="222222"/>
          <w:shd w:val="clear" w:color="auto" w:fill="FFFFFF"/>
        </w:rPr>
        <w:t>(1), 282-292.</w:t>
      </w:r>
    </w:p>
    <w:p w14:paraId="4F5DE2AD" w14:textId="51EB0333" w:rsidR="001B4F17" w:rsidRPr="00EC1495" w:rsidRDefault="00FF3F65" w:rsidP="00FF3F65">
      <w:pPr>
        <w:spacing w:before="100" w:beforeAutospacing="1" w:after="100" w:afterAutospacing="1"/>
      </w:pPr>
      <w:r w:rsidRPr="00EC1495">
        <w:t xml:space="preserve">Safri, T.S. (2015). Prevalence of Rape Myths in Contemporray India, </w:t>
      </w:r>
      <w:r w:rsidRPr="00EC1495">
        <w:rPr>
          <w:i/>
        </w:rPr>
        <w:t>International Journal of Research – Granthaalayah</w:t>
      </w:r>
      <w:r w:rsidRPr="00EC1495">
        <w:t xml:space="preserve">, Vol. 3, No. 11, 147-152. </w:t>
      </w:r>
    </w:p>
    <w:p w14:paraId="4524206F" w14:textId="48858C67" w:rsidR="00110F57" w:rsidRPr="00EC1495" w:rsidRDefault="00110F57" w:rsidP="00FF3F65">
      <w:pPr>
        <w:spacing w:before="100" w:beforeAutospacing="1" w:after="100" w:afterAutospacing="1"/>
      </w:pPr>
      <w:r w:rsidRPr="00EC1495">
        <w:rPr>
          <w:color w:val="1A1A1A"/>
        </w:rPr>
        <w:t xml:space="preserve">Senn, C. Y., Eliasziw, M., Barata, P. C., Thurston, W. E., Newby-Clark, I. R., Radtke, H. L., &amp; Hobden, K. L. (2015). Efficacy of a sexual assault resistance program for university women. </w:t>
      </w:r>
      <w:r w:rsidRPr="00EC1495">
        <w:rPr>
          <w:i/>
          <w:iCs/>
          <w:color w:val="1A1A1A"/>
        </w:rPr>
        <w:t>New England journal of medicine</w:t>
      </w:r>
      <w:r w:rsidRPr="00EC1495">
        <w:rPr>
          <w:color w:val="1A1A1A"/>
        </w:rPr>
        <w:t xml:space="preserve">, </w:t>
      </w:r>
      <w:r w:rsidRPr="00EC1495">
        <w:rPr>
          <w:i/>
          <w:iCs/>
          <w:color w:val="1A1A1A"/>
        </w:rPr>
        <w:t>372</w:t>
      </w:r>
      <w:r w:rsidRPr="00EC1495">
        <w:rPr>
          <w:color w:val="1A1A1A"/>
        </w:rPr>
        <w:t>(24), 2326-2335.</w:t>
      </w:r>
    </w:p>
    <w:p w14:paraId="1F033D37" w14:textId="77777777" w:rsidR="001B4F17" w:rsidRPr="00EC1495" w:rsidRDefault="001B4F17" w:rsidP="004379F3">
      <w:pPr>
        <w:spacing w:before="240" w:after="120"/>
        <w:contextualSpacing/>
        <w:jc w:val="both"/>
        <w:rPr>
          <w:color w:val="1A1A1A"/>
        </w:rPr>
      </w:pPr>
      <w:r w:rsidRPr="00EC1495">
        <w:rPr>
          <w:color w:val="1A1A1A"/>
        </w:rPr>
        <w:t xml:space="preserve">Smith, O., &amp; Skinner, T. (2012). Observing court responses to victims of rape and sexual assault. </w:t>
      </w:r>
      <w:r w:rsidRPr="00EC1495">
        <w:rPr>
          <w:i/>
          <w:iCs/>
          <w:color w:val="1A1A1A"/>
        </w:rPr>
        <w:t>Feminist Criminology</w:t>
      </w:r>
      <w:r w:rsidRPr="00EC1495">
        <w:rPr>
          <w:color w:val="1A1A1A"/>
        </w:rPr>
        <w:t xml:space="preserve">, </w:t>
      </w:r>
      <w:r w:rsidRPr="00EC1495">
        <w:rPr>
          <w:i/>
          <w:iCs/>
          <w:color w:val="1A1A1A"/>
        </w:rPr>
        <w:t>7</w:t>
      </w:r>
      <w:r w:rsidRPr="00EC1495">
        <w:rPr>
          <w:color w:val="1A1A1A"/>
        </w:rPr>
        <w:t>(4), 298-326.</w:t>
      </w:r>
    </w:p>
    <w:p w14:paraId="004D738E" w14:textId="77777777" w:rsidR="004F6C5A" w:rsidRPr="00EC1495" w:rsidRDefault="004F6C5A" w:rsidP="008C6EF0">
      <w:pPr>
        <w:spacing w:before="240" w:after="120"/>
        <w:ind w:left="720" w:hanging="720"/>
        <w:contextualSpacing/>
        <w:jc w:val="both"/>
        <w:rPr>
          <w:color w:val="1A1A1A"/>
        </w:rPr>
      </w:pPr>
    </w:p>
    <w:p w14:paraId="6E0F2242" w14:textId="2595AA03" w:rsidR="004F6C5A" w:rsidRPr="00EC1495" w:rsidRDefault="004F6C5A" w:rsidP="004379F3">
      <w:pPr>
        <w:spacing w:before="240" w:after="120"/>
        <w:contextualSpacing/>
        <w:jc w:val="both"/>
        <w:rPr>
          <w:color w:val="1A1A1A"/>
        </w:rPr>
      </w:pPr>
      <w:r w:rsidRPr="00EC1495">
        <w:rPr>
          <w:color w:val="1A1A1A"/>
        </w:rPr>
        <w:t xml:space="preserve">Stephens, T., Kamimura, A., Yamawaki, N., Bhattacharya, H., Mo, W., Birkholz, R., </w:t>
      </w:r>
      <w:r w:rsidR="00323838" w:rsidRPr="00EC1495">
        <w:rPr>
          <w:color w:val="1A1A1A"/>
        </w:rPr>
        <w:t>&amp; Olson, L. M. (2016). Rape myth acceptance among college s</w:t>
      </w:r>
      <w:r w:rsidRPr="00EC1495">
        <w:rPr>
          <w:color w:val="1A1A1A"/>
        </w:rPr>
        <w:t xml:space="preserve">tudents in the United States, Japan, and India. </w:t>
      </w:r>
      <w:r w:rsidRPr="00EC1495">
        <w:rPr>
          <w:i/>
          <w:iCs/>
          <w:color w:val="1A1A1A"/>
        </w:rPr>
        <w:t>SAGE Open</w:t>
      </w:r>
      <w:r w:rsidRPr="00EC1495">
        <w:rPr>
          <w:color w:val="1A1A1A"/>
        </w:rPr>
        <w:t xml:space="preserve">, </w:t>
      </w:r>
      <w:r w:rsidRPr="00EC1495">
        <w:rPr>
          <w:i/>
          <w:iCs/>
          <w:color w:val="1A1A1A"/>
        </w:rPr>
        <w:t>6</w:t>
      </w:r>
      <w:r w:rsidRPr="00EC1495">
        <w:rPr>
          <w:color w:val="1A1A1A"/>
        </w:rPr>
        <w:t xml:space="preserve">(4), </w:t>
      </w:r>
      <w:r w:rsidR="00323838" w:rsidRPr="00EC1495">
        <w:rPr>
          <w:color w:val="1A1A1A"/>
        </w:rPr>
        <w:t>1-8.</w:t>
      </w:r>
    </w:p>
    <w:p w14:paraId="5A501D74" w14:textId="77777777" w:rsidR="001B4F17" w:rsidRPr="00EC1495" w:rsidRDefault="001B4F17" w:rsidP="008C6EF0">
      <w:pPr>
        <w:spacing w:before="240" w:after="120"/>
        <w:ind w:left="720" w:hanging="720"/>
        <w:contextualSpacing/>
        <w:jc w:val="both"/>
      </w:pPr>
    </w:p>
    <w:p w14:paraId="2A4B07DF" w14:textId="77777777" w:rsidR="0060457A" w:rsidRPr="00EC1495" w:rsidRDefault="0060457A" w:rsidP="004379F3">
      <w:pPr>
        <w:spacing w:before="240" w:after="120"/>
        <w:contextualSpacing/>
        <w:jc w:val="both"/>
        <w:rPr>
          <w:color w:val="1A1A1A"/>
        </w:rPr>
      </w:pPr>
      <w:r w:rsidRPr="00EC1495">
        <w:rPr>
          <w:color w:val="1A1A1A"/>
        </w:rPr>
        <w:t xml:space="preserve">Stern, V. (2010). The Stern Review: Independent review into how rape complaints are handled by public authorities in England and Wales. </w:t>
      </w:r>
      <w:r w:rsidRPr="00EC1495">
        <w:rPr>
          <w:i/>
          <w:iCs/>
          <w:color w:val="1A1A1A"/>
        </w:rPr>
        <w:t>London: Government Equalities Office and Home Office</w:t>
      </w:r>
      <w:r w:rsidRPr="00EC1495">
        <w:rPr>
          <w:color w:val="1A1A1A"/>
        </w:rPr>
        <w:t>.</w:t>
      </w:r>
    </w:p>
    <w:p w14:paraId="238D3F5E" w14:textId="77777777" w:rsidR="001B4F17" w:rsidRPr="00EC1495" w:rsidRDefault="001B4F17" w:rsidP="008C6EF0">
      <w:pPr>
        <w:spacing w:before="240" w:after="120"/>
        <w:ind w:left="720" w:hanging="720"/>
        <w:contextualSpacing/>
        <w:jc w:val="both"/>
      </w:pPr>
    </w:p>
    <w:p w14:paraId="7CC4AFFE" w14:textId="77777777" w:rsidR="001B4F17" w:rsidRPr="00EC1495" w:rsidRDefault="001B4F17" w:rsidP="004379F3">
      <w:pPr>
        <w:spacing w:before="240" w:after="120"/>
        <w:contextualSpacing/>
        <w:jc w:val="both"/>
        <w:rPr>
          <w:color w:val="262626"/>
        </w:rPr>
      </w:pPr>
      <w:r w:rsidRPr="00EC1495">
        <w:rPr>
          <w:color w:val="262626"/>
        </w:rPr>
        <w:t xml:space="preserve">Suarez, E., &amp; Gadalla, T.M. (2010). Stop blaming the victim: A meta-analysis on rape myths. </w:t>
      </w:r>
      <w:r w:rsidRPr="00EC1495">
        <w:rPr>
          <w:i/>
          <w:color w:val="262626"/>
        </w:rPr>
        <w:t>Journal of Interpersonal Violence, 25</w:t>
      </w:r>
      <w:r w:rsidRPr="00EC1495">
        <w:rPr>
          <w:color w:val="262626"/>
        </w:rPr>
        <w:t xml:space="preserve">, 2010-2035. </w:t>
      </w:r>
    </w:p>
    <w:p w14:paraId="37D188C2" w14:textId="77777777" w:rsidR="00800857" w:rsidRPr="00EC1495" w:rsidRDefault="00800857" w:rsidP="004379F3">
      <w:pPr>
        <w:spacing w:before="240" w:after="120"/>
        <w:contextualSpacing/>
        <w:jc w:val="both"/>
        <w:rPr>
          <w:color w:val="262626"/>
        </w:rPr>
      </w:pPr>
    </w:p>
    <w:p w14:paraId="1E7F2EDE" w14:textId="13830CDE" w:rsidR="00C86508" w:rsidRPr="00EC1495" w:rsidRDefault="00800857" w:rsidP="00800857">
      <w:pPr>
        <w:rPr>
          <w:rFonts w:eastAsia="Times New Roman"/>
          <w:color w:val="222222"/>
          <w:shd w:val="clear" w:color="auto" w:fill="FFFFFF"/>
        </w:rPr>
      </w:pPr>
      <w:r w:rsidRPr="00EC1495">
        <w:rPr>
          <w:rFonts w:eastAsia="Times New Roman"/>
          <w:color w:val="222222"/>
          <w:shd w:val="clear" w:color="auto" w:fill="FFFFFF"/>
        </w:rPr>
        <w:t>Vadgama, C. V., Khutwad, A., Damle, M., &amp; Patil, S. (2015). Smart funding options for developing smart cities: A proposal for India.</w:t>
      </w:r>
      <w:r w:rsidRPr="00EC1495">
        <w:rPr>
          <w:rStyle w:val="apple-converted-space"/>
          <w:rFonts w:eastAsia="Times New Roman"/>
          <w:color w:val="222222"/>
          <w:shd w:val="clear" w:color="auto" w:fill="FFFFFF"/>
        </w:rPr>
        <w:t> </w:t>
      </w:r>
      <w:r w:rsidRPr="00EC1495">
        <w:rPr>
          <w:rFonts w:eastAsia="Times New Roman"/>
          <w:i/>
          <w:iCs/>
          <w:color w:val="222222"/>
        </w:rPr>
        <w:t>Indian Journal of Science and Technology</w:t>
      </w:r>
      <w:r w:rsidRPr="00EC1495">
        <w:rPr>
          <w:rFonts w:eastAsia="Times New Roman"/>
          <w:color w:val="222222"/>
          <w:shd w:val="clear" w:color="auto" w:fill="FFFFFF"/>
        </w:rPr>
        <w:t>,</w:t>
      </w:r>
      <w:r w:rsidRPr="00EC1495">
        <w:rPr>
          <w:rStyle w:val="apple-converted-space"/>
          <w:rFonts w:eastAsia="Times New Roman"/>
          <w:color w:val="222222"/>
          <w:shd w:val="clear" w:color="auto" w:fill="FFFFFF"/>
        </w:rPr>
        <w:t> </w:t>
      </w:r>
      <w:r w:rsidRPr="00EC1495">
        <w:rPr>
          <w:rFonts w:eastAsia="Times New Roman"/>
          <w:i/>
          <w:iCs/>
          <w:color w:val="222222"/>
        </w:rPr>
        <w:t>8</w:t>
      </w:r>
      <w:r w:rsidRPr="00EC1495">
        <w:rPr>
          <w:rFonts w:eastAsia="Times New Roman"/>
          <w:color w:val="222222"/>
          <w:shd w:val="clear" w:color="auto" w:fill="FFFFFF"/>
        </w:rPr>
        <w:t xml:space="preserve">(34), </w:t>
      </w:r>
      <w:r w:rsidR="00C86508" w:rsidRPr="00EC1495">
        <w:rPr>
          <w:rFonts w:eastAsia="Times New Roman"/>
          <w:color w:val="222222"/>
          <w:shd w:val="clear" w:color="auto" w:fill="FFFFFF"/>
        </w:rPr>
        <w:t>1-12, Retrived from http://52.172.159.94/index.php/indjst/article/view/85418/65635</w:t>
      </w:r>
    </w:p>
    <w:p w14:paraId="7C78410E" w14:textId="77777777" w:rsidR="00800857" w:rsidRPr="00EC1495" w:rsidRDefault="00800857" w:rsidP="004379F3">
      <w:pPr>
        <w:spacing w:before="240" w:after="120"/>
        <w:contextualSpacing/>
        <w:jc w:val="both"/>
        <w:rPr>
          <w:color w:val="262626"/>
        </w:rPr>
      </w:pPr>
    </w:p>
    <w:p w14:paraId="42CF1CBC" w14:textId="2092F8D4" w:rsidR="00C9443D" w:rsidRPr="00EC1495" w:rsidRDefault="00C9443D" w:rsidP="004379F3">
      <w:pPr>
        <w:spacing w:before="240" w:after="120"/>
        <w:contextualSpacing/>
        <w:jc w:val="both"/>
        <w:rPr>
          <w:color w:val="1A1A1A"/>
        </w:rPr>
      </w:pPr>
      <w:r w:rsidRPr="00EC1495">
        <w:rPr>
          <w:color w:val="1A1A1A"/>
        </w:rPr>
        <w:t xml:space="preserve">Vonderhaar, R. L., </w:t>
      </w:r>
      <w:r w:rsidR="00323838" w:rsidRPr="00EC1495">
        <w:rPr>
          <w:color w:val="1A1A1A"/>
        </w:rPr>
        <w:t>&amp; Carmody, D. C. (2015). There are no “innocent v</w:t>
      </w:r>
      <w:r w:rsidRPr="00EC1495">
        <w:rPr>
          <w:color w:val="1A1A1A"/>
        </w:rPr>
        <w:t>ictims”</w:t>
      </w:r>
      <w:r w:rsidR="00323838" w:rsidRPr="00EC1495">
        <w:rPr>
          <w:color w:val="1A1A1A"/>
        </w:rPr>
        <w:t>: The influence of just world beliefs and prior victimization on rape myth a</w:t>
      </w:r>
      <w:r w:rsidRPr="00EC1495">
        <w:rPr>
          <w:color w:val="1A1A1A"/>
        </w:rPr>
        <w:t xml:space="preserve">cceptance. </w:t>
      </w:r>
      <w:r w:rsidR="00323838" w:rsidRPr="00EC1495">
        <w:rPr>
          <w:i/>
          <w:iCs/>
          <w:color w:val="1A1A1A"/>
        </w:rPr>
        <w:t>Journal of Interpersonal V</w:t>
      </w:r>
      <w:r w:rsidRPr="00EC1495">
        <w:rPr>
          <w:i/>
          <w:iCs/>
          <w:color w:val="1A1A1A"/>
        </w:rPr>
        <w:t>iolence</w:t>
      </w:r>
      <w:r w:rsidRPr="00EC1495">
        <w:rPr>
          <w:color w:val="1A1A1A"/>
        </w:rPr>
        <w:t xml:space="preserve">, </w:t>
      </w:r>
      <w:r w:rsidRPr="00EC1495">
        <w:rPr>
          <w:i/>
          <w:iCs/>
          <w:color w:val="1A1A1A"/>
        </w:rPr>
        <w:t>30</w:t>
      </w:r>
      <w:r w:rsidRPr="00EC1495">
        <w:rPr>
          <w:color w:val="1A1A1A"/>
        </w:rPr>
        <w:t>(10), 1615-1632.</w:t>
      </w:r>
    </w:p>
    <w:p w14:paraId="40726CD9" w14:textId="77777777" w:rsidR="00475F7E" w:rsidRPr="00EC1495" w:rsidRDefault="00475F7E" w:rsidP="004379F3">
      <w:pPr>
        <w:spacing w:before="240" w:after="120"/>
        <w:contextualSpacing/>
        <w:jc w:val="both"/>
        <w:rPr>
          <w:color w:val="1A1A1A"/>
        </w:rPr>
      </w:pPr>
    </w:p>
    <w:p w14:paraId="600E544C" w14:textId="77777777" w:rsidR="00475F7E" w:rsidRPr="00EC1495" w:rsidRDefault="00475F7E" w:rsidP="00475F7E">
      <w:pPr>
        <w:spacing w:before="240" w:after="120"/>
        <w:contextualSpacing/>
        <w:jc w:val="both"/>
        <w:rPr>
          <w:rStyle w:val="Hyperlink"/>
        </w:rPr>
      </w:pPr>
      <w:r w:rsidRPr="00EC1495">
        <w:rPr>
          <w:color w:val="262626"/>
        </w:rPr>
        <w:lastRenderedPageBreak/>
        <w:t xml:space="preserve">Walker, P. (2016). Review of law on rape case evidence announced after Ched Evans retrial, Guardian,18 November, </w:t>
      </w:r>
      <w:r w:rsidRPr="00EC1495">
        <w:rPr>
          <w:color w:val="1A1A1A"/>
        </w:rPr>
        <w:t xml:space="preserve">Retrieved from </w:t>
      </w:r>
      <w:hyperlink r:id="rId14" w:history="1">
        <w:r w:rsidRPr="00EC1495">
          <w:rPr>
            <w:rStyle w:val="Hyperlink"/>
          </w:rPr>
          <w:t>https://www.theguardian.com/society/2016/nov/17/review-of-law-on-case-evidence-announced-after-ched-evans-retrial</w:t>
        </w:r>
      </w:hyperlink>
    </w:p>
    <w:p w14:paraId="00C6A757" w14:textId="77777777" w:rsidR="00475F7E" w:rsidRPr="00EC1495" w:rsidRDefault="00475F7E" w:rsidP="004379F3">
      <w:pPr>
        <w:spacing w:before="240" w:after="120"/>
        <w:contextualSpacing/>
        <w:jc w:val="both"/>
        <w:rPr>
          <w:color w:val="262626"/>
        </w:rPr>
      </w:pPr>
    </w:p>
    <w:p w14:paraId="1AE5E2D2" w14:textId="1A241D2B" w:rsidR="001B4F17" w:rsidRPr="00EC1495" w:rsidRDefault="009E432B" w:rsidP="008A6152">
      <w:pPr>
        <w:spacing w:before="240" w:after="120"/>
        <w:contextualSpacing/>
        <w:jc w:val="both"/>
        <w:rPr>
          <w:color w:val="1A1A1A"/>
        </w:rPr>
      </w:pPr>
      <w:r w:rsidRPr="00EC1495">
        <w:rPr>
          <w:color w:val="1A1A1A"/>
        </w:rPr>
        <w:t>Westmo</w:t>
      </w:r>
      <w:r w:rsidR="001B4F17" w:rsidRPr="00EC1495">
        <w:rPr>
          <w:color w:val="1A1A1A"/>
        </w:rPr>
        <w:t xml:space="preserve">rland, N., &amp; Gangoli, G. (2012). </w:t>
      </w:r>
      <w:r w:rsidR="001B4F17" w:rsidRPr="00EC1495">
        <w:rPr>
          <w:i/>
          <w:iCs/>
          <w:color w:val="1A1A1A"/>
        </w:rPr>
        <w:t>International approaches to rape</w:t>
      </w:r>
      <w:r w:rsidR="001B4F17" w:rsidRPr="00EC1495">
        <w:rPr>
          <w:color w:val="1A1A1A"/>
        </w:rPr>
        <w:t xml:space="preserve">. </w:t>
      </w:r>
      <w:r w:rsidR="00BB1228" w:rsidRPr="00EC1495">
        <w:rPr>
          <w:color w:val="1A1A1A"/>
        </w:rPr>
        <w:t xml:space="preserve">Bristol, England: </w:t>
      </w:r>
      <w:r w:rsidR="001B4F17" w:rsidRPr="00EC1495">
        <w:rPr>
          <w:color w:val="1A1A1A"/>
        </w:rPr>
        <w:t>Policy Press.</w:t>
      </w:r>
    </w:p>
    <w:p w14:paraId="750B2FE4" w14:textId="77777777" w:rsidR="004379F3" w:rsidRPr="00EC1495" w:rsidRDefault="004379F3" w:rsidP="008C6EF0">
      <w:pPr>
        <w:spacing w:before="240" w:after="120"/>
        <w:ind w:left="720" w:hanging="720"/>
        <w:contextualSpacing/>
        <w:jc w:val="both"/>
        <w:rPr>
          <w:color w:val="1A1A1A"/>
        </w:rPr>
      </w:pPr>
    </w:p>
    <w:p w14:paraId="7FB08230" w14:textId="3491C4B4" w:rsidR="001B4F17" w:rsidRPr="009853A1" w:rsidRDefault="001B4F17" w:rsidP="004379F3">
      <w:pPr>
        <w:spacing w:before="240" w:after="120"/>
        <w:contextualSpacing/>
        <w:jc w:val="both"/>
      </w:pPr>
      <w:r w:rsidRPr="00EC1495">
        <w:rPr>
          <w:color w:val="1A1A1A"/>
        </w:rPr>
        <w:t xml:space="preserve">Xue, J., Fang, G., Huang, H., Cui, N., Rhodes, K.V., Gelles, </w:t>
      </w:r>
      <w:r w:rsidR="004379F3" w:rsidRPr="00EC1495">
        <w:rPr>
          <w:color w:val="1A1A1A"/>
        </w:rPr>
        <w:t xml:space="preserve">R. (2016). Rape myths and cross </w:t>
      </w:r>
      <w:r w:rsidRPr="00EC1495">
        <w:rPr>
          <w:color w:val="1A1A1A"/>
        </w:rPr>
        <w:t xml:space="preserve">cultural adaptation of the Illinois Rape Myth Acceptance scale in China. </w:t>
      </w:r>
      <w:r w:rsidRPr="00EC1495">
        <w:rPr>
          <w:i/>
          <w:color w:val="1A1A1A"/>
        </w:rPr>
        <w:t>Journal of Interpersonal Violence</w:t>
      </w:r>
      <w:r w:rsidRPr="00EC1495">
        <w:rPr>
          <w:color w:val="1A1A1A"/>
        </w:rPr>
        <w:t>. DOI: 10.1177/0886260516651315.</w:t>
      </w:r>
    </w:p>
    <w:p w14:paraId="3ABAFF11" w14:textId="77777777" w:rsidR="00034196" w:rsidRPr="009853A1" w:rsidRDefault="00034196">
      <w:r w:rsidRPr="009853A1">
        <w:br w:type="page"/>
      </w:r>
    </w:p>
    <w:p w14:paraId="12D8664F" w14:textId="131C2B6F" w:rsidR="00CB35D8" w:rsidRPr="009853A1" w:rsidRDefault="001A126C" w:rsidP="004E56BD">
      <w:pPr>
        <w:contextualSpacing/>
      </w:pPr>
      <w:r w:rsidRPr="009853A1">
        <w:lastRenderedPageBreak/>
        <w:t>Table 1. Sample Characteristics</w:t>
      </w:r>
    </w:p>
    <w:p w14:paraId="131F6412" w14:textId="0ED5913B" w:rsidR="001A126C" w:rsidRPr="009853A1" w:rsidRDefault="001A126C" w:rsidP="004E56BD">
      <w:pPr>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2327"/>
        <w:gridCol w:w="2327"/>
      </w:tblGrid>
      <w:tr w:rsidR="001A126C" w:rsidRPr="009853A1" w14:paraId="06701BF7" w14:textId="77777777" w:rsidTr="002B00D0">
        <w:tc>
          <w:tcPr>
            <w:tcW w:w="2439" w:type="dxa"/>
            <w:tcBorders>
              <w:top w:val="single" w:sz="4" w:space="0" w:color="auto"/>
            </w:tcBorders>
          </w:tcPr>
          <w:p w14:paraId="5DF62837" w14:textId="3DC2ED78" w:rsidR="001A126C" w:rsidRPr="009853A1" w:rsidRDefault="001A126C" w:rsidP="001A126C">
            <w:pPr>
              <w:contextualSpacing/>
            </w:pPr>
          </w:p>
        </w:tc>
        <w:tc>
          <w:tcPr>
            <w:tcW w:w="2327" w:type="dxa"/>
            <w:tcBorders>
              <w:top w:val="single" w:sz="4" w:space="0" w:color="auto"/>
            </w:tcBorders>
          </w:tcPr>
          <w:p w14:paraId="4771BFE3" w14:textId="2A4C1EC4" w:rsidR="001A126C" w:rsidRPr="009853A1" w:rsidRDefault="005032FB" w:rsidP="001A126C">
            <w:pPr>
              <w:contextualSpacing/>
              <w:jc w:val="center"/>
            </w:pPr>
            <w:r>
              <w:t>UK</w:t>
            </w:r>
            <w:r w:rsidR="001A126C" w:rsidRPr="009853A1">
              <w:t xml:space="preserve"> (n=235)</w:t>
            </w:r>
          </w:p>
        </w:tc>
        <w:tc>
          <w:tcPr>
            <w:tcW w:w="2327" w:type="dxa"/>
            <w:tcBorders>
              <w:top w:val="single" w:sz="4" w:space="0" w:color="auto"/>
            </w:tcBorders>
          </w:tcPr>
          <w:p w14:paraId="71DB559B" w14:textId="5DE21D23" w:rsidR="001A126C" w:rsidRPr="009853A1" w:rsidRDefault="001A126C" w:rsidP="001A126C">
            <w:pPr>
              <w:contextualSpacing/>
              <w:jc w:val="center"/>
            </w:pPr>
            <w:r w:rsidRPr="009853A1">
              <w:t>India (n=461)</w:t>
            </w:r>
          </w:p>
        </w:tc>
      </w:tr>
      <w:tr w:rsidR="001A126C" w:rsidRPr="009853A1" w14:paraId="21DDD611" w14:textId="77777777" w:rsidTr="002B00D0">
        <w:tc>
          <w:tcPr>
            <w:tcW w:w="2439" w:type="dxa"/>
            <w:tcBorders>
              <w:bottom w:val="single" w:sz="4" w:space="0" w:color="auto"/>
            </w:tcBorders>
          </w:tcPr>
          <w:p w14:paraId="15ED8190" w14:textId="77777777" w:rsidR="001A126C" w:rsidRPr="009853A1" w:rsidRDefault="001A126C" w:rsidP="001A126C">
            <w:pPr>
              <w:contextualSpacing/>
            </w:pPr>
          </w:p>
        </w:tc>
        <w:tc>
          <w:tcPr>
            <w:tcW w:w="2327" w:type="dxa"/>
            <w:tcBorders>
              <w:bottom w:val="single" w:sz="4" w:space="0" w:color="auto"/>
            </w:tcBorders>
          </w:tcPr>
          <w:p w14:paraId="539038F1" w14:textId="77777777" w:rsidR="001A126C" w:rsidRPr="009853A1" w:rsidRDefault="001A126C" w:rsidP="001A126C">
            <w:pPr>
              <w:contextualSpacing/>
              <w:jc w:val="center"/>
            </w:pPr>
            <w:r w:rsidRPr="009853A1">
              <w:rPr>
                <w:i/>
              </w:rPr>
              <w:t>F(%)</w:t>
            </w:r>
            <w:r w:rsidRPr="009853A1">
              <w:t xml:space="preserve"> or </w:t>
            </w:r>
            <w:r w:rsidRPr="009853A1">
              <w:rPr>
                <w:i/>
              </w:rPr>
              <w:t>M(SD)</w:t>
            </w:r>
          </w:p>
        </w:tc>
        <w:tc>
          <w:tcPr>
            <w:tcW w:w="2327" w:type="dxa"/>
            <w:tcBorders>
              <w:bottom w:val="single" w:sz="4" w:space="0" w:color="auto"/>
            </w:tcBorders>
          </w:tcPr>
          <w:p w14:paraId="5EE56844" w14:textId="77777777" w:rsidR="001A126C" w:rsidRPr="009853A1" w:rsidRDefault="001A126C" w:rsidP="001A126C">
            <w:pPr>
              <w:contextualSpacing/>
              <w:jc w:val="center"/>
            </w:pPr>
            <w:r w:rsidRPr="009853A1">
              <w:rPr>
                <w:i/>
              </w:rPr>
              <w:t>F(%)</w:t>
            </w:r>
            <w:r w:rsidRPr="009853A1">
              <w:t xml:space="preserve"> or </w:t>
            </w:r>
            <w:r w:rsidRPr="009853A1">
              <w:rPr>
                <w:i/>
              </w:rPr>
              <w:t>M(SD)</w:t>
            </w:r>
          </w:p>
        </w:tc>
      </w:tr>
      <w:tr w:rsidR="001A126C" w:rsidRPr="009853A1" w14:paraId="5C8AA985" w14:textId="77777777" w:rsidTr="002B00D0">
        <w:tc>
          <w:tcPr>
            <w:tcW w:w="2439" w:type="dxa"/>
            <w:tcBorders>
              <w:top w:val="single" w:sz="4" w:space="0" w:color="auto"/>
            </w:tcBorders>
          </w:tcPr>
          <w:p w14:paraId="566A0A17" w14:textId="77777777" w:rsidR="001A126C" w:rsidRPr="009853A1" w:rsidRDefault="001A126C" w:rsidP="001A126C">
            <w:pPr>
              <w:contextualSpacing/>
            </w:pPr>
            <w:r w:rsidRPr="009853A1">
              <w:t xml:space="preserve">Male </w:t>
            </w:r>
          </w:p>
        </w:tc>
        <w:tc>
          <w:tcPr>
            <w:tcW w:w="2327" w:type="dxa"/>
            <w:tcBorders>
              <w:top w:val="single" w:sz="4" w:space="0" w:color="auto"/>
            </w:tcBorders>
          </w:tcPr>
          <w:p w14:paraId="3D11EBDF" w14:textId="77777777" w:rsidR="001A126C" w:rsidRPr="009853A1" w:rsidRDefault="001A126C" w:rsidP="001A126C">
            <w:pPr>
              <w:contextualSpacing/>
              <w:jc w:val="center"/>
            </w:pPr>
            <w:r w:rsidRPr="009853A1">
              <w:t>38(18.81%)</w:t>
            </w:r>
          </w:p>
        </w:tc>
        <w:tc>
          <w:tcPr>
            <w:tcW w:w="2327" w:type="dxa"/>
            <w:tcBorders>
              <w:top w:val="single" w:sz="4" w:space="0" w:color="auto"/>
            </w:tcBorders>
          </w:tcPr>
          <w:p w14:paraId="7392A9D8" w14:textId="77777777" w:rsidR="001A126C" w:rsidRPr="009853A1" w:rsidRDefault="001A126C" w:rsidP="001A126C">
            <w:pPr>
              <w:contextualSpacing/>
              <w:jc w:val="center"/>
            </w:pPr>
            <w:r w:rsidRPr="009853A1">
              <w:t>183(40.04%)</w:t>
            </w:r>
          </w:p>
        </w:tc>
      </w:tr>
      <w:tr w:rsidR="001A126C" w:rsidRPr="009853A1" w14:paraId="6B2B46D1" w14:textId="77777777" w:rsidTr="002B00D0">
        <w:tc>
          <w:tcPr>
            <w:tcW w:w="2439" w:type="dxa"/>
          </w:tcPr>
          <w:p w14:paraId="4E963C71" w14:textId="77777777" w:rsidR="001A126C" w:rsidRPr="009853A1" w:rsidRDefault="001A126C" w:rsidP="001A126C">
            <w:pPr>
              <w:contextualSpacing/>
            </w:pPr>
            <w:r w:rsidRPr="009853A1">
              <w:t xml:space="preserve">Age </w:t>
            </w:r>
          </w:p>
        </w:tc>
        <w:tc>
          <w:tcPr>
            <w:tcW w:w="2327" w:type="dxa"/>
          </w:tcPr>
          <w:p w14:paraId="74998ED1" w14:textId="77777777" w:rsidR="001A126C" w:rsidRPr="009853A1" w:rsidRDefault="001A126C" w:rsidP="001A126C">
            <w:pPr>
              <w:contextualSpacing/>
              <w:jc w:val="center"/>
            </w:pPr>
            <w:r w:rsidRPr="009853A1">
              <w:t>21.20(6.00)</w:t>
            </w:r>
          </w:p>
        </w:tc>
        <w:tc>
          <w:tcPr>
            <w:tcW w:w="2327" w:type="dxa"/>
          </w:tcPr>
          <w:p w14:paraId="4208EAFA" w14:textId="77777777" w:rsidR="001A126C" w:rsidRPr="009853A1" w:rsidRDefault="001A126C" w:rsidP="001A126C">
            <w:pPr>
              <w:contextualSpacing/>
              <w:jc w:val="center"/>
            </w:pPr>
            <w:r w:rsidRPr="009853A1">
              <w:t>21.07(2.55)</w:t>
            </w:r>
          </w:p>
        </w:tc>
      </w:tr>
      <w:tr w:rsidR="001A126C" w:rsidRPr="009853A1" w14:paraId="7752BD3D" w14:textId="77777777" w:rsidTr="002B00D0">
        <w:tc>
          <w:tcPr>
            <w:tcW w:w="2439" w:type="dxa"/>
          </w:tcPr>
          <w:p w14:paraId="7648C37F" w14:textId="77777777" w:rsidR="001A126C" w:rsidRPr="009853A1" w:rsidRDefault="001A126C" w:rsidP="001A126C">
            <w:pPr>
              <w:contextualSpacing/>
            </w:pPr>
            <w:r w:rsidRPr="009853A1">
              <w:t xml:space="preserve">Race </w:t>
            </w:r>
          </w:p>
        </w:tc>
        <w:tc>
          <w:tcPr>
            <w:tcW w:w="2327" w:type="dxa"/>
          </w:tcPr>
          <w:p w14:paraId="6080DDD7" w14:textId="77777777" w:rsidR="001A126C" w:rsidRPr="009853A1" w:rsidRDefault="001A126C" w:rsidP="001A126C">
            <w:pPr>
              <w:contextualSpacing/>
              <w:jc w:val="center"/>
            </w:pPr>
          </w:p>
        </w:tc>
        <w:tc>
          <w:tcPr>
            <w:tcW w:w="2327" w:type="dxa"/>
          </w:tcPr>
          <w:p w14:paraId="4ACB60F0" w14:textId="77777777" w:rsidR="001A126C" w:rsidRPr="009853A1" w:rsidRDefault="001A126C" w:rsidP="001A126C">
            <w:pPr>
              <w:contextualSpacing/>
              <w:jc w:val="center"/>
            </w:pPr>
          </w:p>
        </w:tc>
      </w:tr>
      <w:tr w:rsidR="001A126C" w:rsidRPr="009853A1" w14:paraId="43203173" w14:textId="77777777" w:rsidTr="002B00D0">
        <w:tc>
          <w:tcPr>
            <w:tcW w:w="2439" w:type="dxa"/>
          </w:tcPr>
          <w:p w14:paraId="3C32B623" w14:textId="77777777" w:rsidR="001A126C" w:rsidRPr="009853A1" w:rsidRDefault="001A126C" w:rsidP="001A126C">
            <w:pPr>
              <w:contextualSpacing/>
            </w:pPr>
            <w:r w:rsidRPr="009853A1">
              <w:t xml:space="preserve">     White </w:t>
            </w:r>
          </w:p>
        </w:tc>
        <w:tc>
          <w:tcPr>
            <w:tcW w:w="2327" w:type="dxa"/>
          </w:tcPr>
          <w:p w14:paraId="008222A1" w14:textId="77777777" w:rsidR="001A126C" w:rsidRPr="009853A1" w:rsidRDefault="001A126C" w:rsidP="001A126C">
            <w:pPr>
              <w:contextualSpacing/>
              <w:jc w:val="center"/>
            </w:pPr>
            <w:r w:rsidRPr="009853A1">
              <w:t>119(58.91%)</w:t>
            </w:r>
          </w:p>
        </w:tc>
        <w:tc>
          <w:tcPr>
            <w:tcW w:w="2327" w:type="dxa"/>
          </w:tcPr>
          <w:p w14:paraId="1B7719A9" w14:textId="77777777" w:rsidR="001A126C" w:rsidRPr="009853A1" w:rsidRDefault="001A126C" w:rsidP="001A126C">
            <w:pPr>
              <w:contextualSpacing/>
              <w:jc w:val="center"/>
            </w:pPr>
            <w:r w:rsidRPr="009853A1">
              <w:t>---</w:t>
            </w:r>
          </w:p>
        </w:tc>
      </w:tr>
      <w:tr w:rsidR="001A126C" w:rsidRPr="009853A1" w14:paraId="2432F549" w14:textId="77777777" w:rsidTr="002B00D0">
        <w:tc>
          <w:tcPr>
            <w:tcW w:w="2439" w:type="dxa"/>
          </w:tcPr>
          <w:p w14:paraId="4515F1F0" w14:textId="77777777" w:rsidR="001A126C" w:rsidRPr="009853A1" w:rsidRDefault="001A126C" w:rsidP="001A126C">
            <w:pPr>
              <w:contextualSpacing/>
            </w:pPr>
            <w:r w:rsidRPr="009853A1">
              <w:t xml:space="preserve">     Non-White (ref.)</w:t>
            </w:r>
          </w:p>
        </w:tc>
        <w:tc>
          <w:tcPr>
            <w:tcW w:w="2327" w:type="dxa"/>
          </w:tcPr>
          <w:p w14:paraId="75EF6E95" w14:textId="77777777" w:rsidR="001A126C" w:rsidRPr="009853A1" w:rsidRDefault="001A126C" w:rsidP="001A126C">
            <w:pPr>
              <w:contextualSpacing/>
              <w:jc w:val="center"/>
            </w:pPr>
            <w:r w:rsidRPr="009853A1">
              <w:t>83(41.09%)</w:t>
            </w:r>
          </w:p>
        </w:tc>
        <w:tc>
          <w:tcPr>
            <w:tcW w:w="2327" w:type="dxa"/>
          </w:tcPr>
          <w:p w14:paraId="7D7247A1" w14:textId="77777777" w:rsidR="001A126C" w:rsidRPr="009853A1" w:rsidRDefault="001A126C" w:rsidP="001A126C">
            <w:pPr>
              <w:contextualSpacing/>
              <w:jc w:val="center"/>
            </w:pPr>
            <w:r w:rsidRPr="009853A1">
              <w:t>---</w:t>
            </w:r>
          </w:p>
        </w:tc>
      </w:tr>
      <w:tr w:rsidR="001A126C" w:rsidRPr="009853A1" w14:paraId="6512F0A2" w14:textId="77777777" w:rsidTr="002B00D0">
        <w:tc>
          <w:tcPr>
            <w:tcW w:w="2439" w:type="dxa"/>
          </w:tcPr>
          <w:p w14:paraId="51F8A67E" w14:textId="77777777" w:rsidR="001A126C" w:rsidRPr="009853A1" w:rsidRDefault="001A126C" w:rsidP="001A126C">
            <w:pPr>
              <w:contextualSpacing/>
            </w:pPr>
            <w:r w:rsidRPr="009853A1">
              <w:t>Mother Tongue</w:t>
            </w:r>
          </w:p>
        </w:tc>
        <w:tc>
          <w:tcPr>
            <w:tcW w:w="2327" w:type="dxa"/>
          </w:tcPr>
          <w:p w14:paraId="4B1819B9" w14:textId="77777777" w:rsidR="001A126C" w:rsidRPr="009853A1" w:rsidRDefault="001A126C" w:rsidP="001A126C">
            <w:pPr>
              <w:contextualSpacing/>
              <w:jc w:val="center"/>
            </w:pPr>
          </w:p>
        </w:tc>
        <w:tc>
          <w:tcPr>
            <w:tcW w:w="2327" w:type="dxa"/>
          </w:tcPr>
          <w:p w14:paraId="769FA1E6" w14:textId="77777777" w:rsidR="001A126C" w:rsidRPr="009853A1" w:rsidRDefault="001A126C" w:rsidP="001A126C">
            <w:pPr>
              <w:contextualSpacing/>
              <w:jc w:val="center"/>
            </w:pPr>
          </w:p>
        </w:tc>
      </w:tr>
      <w:tr w:rsidR="001A126C" w:rsidRPr="009853A1" w14:paraId="01F9E9CA" w14:textId="77777777" w:rsidTr="002B00D0">
        <w:tc>
          <w:tcPr>
            <w:tcW w:w="2439" w:type="dxa"/>
          </w:tcPr>
          <w:p w14:paraId="22A66F43" w14:textId="77777777" w:rsidR="001A126C" w:rsidRPr="009853A1" w:rsidRDefault="001A126C" w:rsidP="001A126C">
            <w:pPr>
              <w:contextualSpacing/>
            </w:pPr>
            <w:r w:rsidRPr="009853A1">
              <w:t xml:space="preserve">     Hindi (ref.)</w:t>
            </w:r>
          </w:p>
        </w:tc>
        <w:tc>
          <w:tcPr>
            <w:tcW w:w="2327" w:type="dxa"/>
          </w:tcPr>
          <w:p w14:paraId="66073335" w14:textId="77777777" w:rsidR="001A126C" w:rsidRPr="009853A1" w:rsidRDefault="001A126C" w:rsidP="001A126C">
            <w:pPr>
              <w:contextualSpacing/>
              <w:jc w:val="center"/>
            </w:pPr>
            <w:r w:rsidRPr="009853A1">
              <w:t>---</w:t>
            </w:r>
          </w:p>
        </w:tc>
        <w:tc>
          <w:tcPr>
            <w:tcW w:w="2327" w:type="dxa"/>
          </w:tcPr>
          <w:p w14:paraId="3D44583D" w14:textId="77777777" w:rsidR="001A126C" w:rsidRPr="009853A1" w:rsidRDefault="001A126C" w:rsidP="001A126C">
            <w:pPr>
              <w:contextualSpacing/>
              <w:jc w:val="center"/>
            </w:pPr>
            <w:r w:rsidRPr="009853A1">
              <w:t>320(70.02%)</w:t>
            </w:r>
          </w:p>
        </w:tc>
      </w:tr>
      <w:tr w:rsidR="001A126C" w:rsidRPr="009853A1" w14:paraId="5A6C5BB8" w14:textId="77777777" w:rsidTr="002B00D0">
        <w:tc>
          <w:tcPr>
            <w:tcW w:w="2439" w:type="dxa"/>
          </w:tcPr>
          <w:p w14:paraId="6B8AA4C0" w14:textId="77777777" w:rsidR="001A126C" w:rsidRPr="009853A1" w:rsidRDefault="001A126C" w:rsidP="001A126C">
            <w:pPr>
              <w:contextualSpacing/>
            </w:pPr>
            <w:r w:rsidRPr="009853A1">
              <w:t xml:space="preserve">     Urdu</w:t>
            </w:r>
          </w:p>
        </w:tc>
        <w:tc>
          <w:tcPr>
            <w:tcW w:w="2327" w:type="dxa"/>
          </w:tcPr>
          <w:p w14:paraId="40DF46B3" w14:textId="77777777" w:rsidR="001A126C" w:rsidRPr="009853A1" w:rsidRDefault="001A126C" w:rsidP="001A126C">
            <w:pPr>
              <w:contextualSpacing/>
              <w:jc w:val="center"/>
            </w:pPr>
            <w:r w:rsidRPr="009853A1">
              <w:t>---</w:t>
            </w:r>
          </w:p>
        </w:tc>
        <w:tc>
          <w:tcPr>
            <w:tcW w:w="2327" w:type="dxa"/>
          </w:tcPr>
          <w:p w14:paraId="50A80FA0" w14:textId="77777777" w:rsidR="001A126C" w:rsidRPr="009853A1" w:rsidRDefault="001A126C" w:rsidP="001A126C">
            <w:pPr>
              <w:contextualSpacing/>
              <w:jc w:val="center"/>
            </w:pPr>
            <w:r w:rsidRPr="009853A1">
              <w:t>40(8.75%)</w:t>
            </w:r>
          </w:p>
        </w:tc>
      </w:tr>
      <w:tr w:rsidR="001A126C" w:rsidRPr="009853A1" w14:paraId="31B0A890" w14:textId="77777777" w:rsidTr="002B00D0">
        <w:tc>
          <w:tcPr>
            <w:tcW w:w="2439" w:type="dxa"/>
          </w:tcPr>
          <w:p w14:paraId="0A077F95" w14:textId="77777777" w:rsidR="001A126C" w:rsidRPr="009853A1" w:rsidRDefault="001A126C" w:rsidP="001A126C">
            <w:pPr>
              <w:contextualSpacing/>
            </w:pPr>
            <w:r w:rsidRPr="009853A1">
              <w:t xml:space="preserve">     Other</w:t>
            </w:r>
          </w:p>
        </w:tc>
        <w:tc>
          <w:tcPr>
            <w:tcW w:w="2327" w:type="dxa"/>
          </w:tcPr>
          <w:p w14:paraId="5CB63385" w14:textId="77777777" w:rsidR="001A126C" w:rsidRPr="009853A1" w:rsidRDefault="001A126C" w:rsidP="001A126C">
            <w:pPr>
              <w:contextualSpacing/>
              <w:jc w:val="center"/>
            </w:pPr>
            <w:r w:rsidRPr="009853A1">
              <w:t>---</w:t>
            </w:r>
          </w:p>
        </w:tc>
        <w:tc>
          <w:tcPr>
            <w:tcW w:w="2327" w:type="dxa"/>
          </w:tcPr>
          <w:p w14:paraId="54E35E97" w14:textId="77777777" w:rsidR="001A126C" w:rsidRPr="009853A1" w:rsidRDefault="001A126C" w:rsidP="001A126C">
            <w:pPr>
              <w:contextualSpacing/>
              <w:jc w:val="center"/>
            </w:pPr>
            <w:r w:rsidRPr="009853A1">
              <w:t>97(21.23%)</w:t>
            </w:r>
          </w:p>
        </w:tc>
      </w:tr>
      <w:tr w:rsidR="00F07E28" w:rsidRPr="009853A1" w14:paraId="391EB1AC" w14:textId="77777777" w:rsidTr="002B00D0">
        <w:tc>
          <w:tcPr>
            <w:tcW w:w="2439" w:type="dxa"/>
          </w:tcPr>
          <w:p w14:paraId="1F9C3ECB" w14:textId="42679E2E" w:rsidR="00F07E28" w:rsidRPr="009853A1" w:rsidRDefault="00F07E28" w:rsidP="001A126C">
            <w:pPr>
              <w:contextualSpacing/>
            </w:pPr>
            <w:r w:rsidRPr="009853A1">
              <w:t>Caste</w:t>
            </w:r>
          </w:p>
        </w:tc>
        <w:tc>
          <w:tcPr>
            <w:tcW w:w="2327" w:type="dxa"/>
          </w:tcPr>
          <w:p w14:paraId="4821B9C1" w14:textId="575AB20A" w:rsidR="00F07E28" w:rsidRPr="009853A1" w:rsidRDefault="00F07E28" w:rsidP="001A126C">
            <w:pPr>
              <w:contextualSpacing/>
              <w:jc w:val="center"/>
            </w:pPr>
            <w:r w:rsidRPr="009853A1">
              <w:t>---</w:t>
            </w:r>
          </w:p>
        </w:tc>
        <w:tc>
          <w:tcPr>
            <w:tcW w:w="2327" w:type="dxa"/>
          </w:tcPr>
          <w:p w14:paraId="50DFE9F1" w14:textId="5C0FD52B" w:rsidR="00F07E28" w:rsidRPr="009853A1" w:rsidRDefault="00F07E28" w:rsidP="001A126C">
            <w:pPr>
              <w:contextualSpacing/>
              <w:jc w:val="center"/>
            </w:pPr>
            <w:r w:rsidRPr="009853A1">
              <w:t>57(12.50%)</w:t>
            </w:r>
          </w:p>
        </w:tc>
      </w:tr>
      <w:tr w:rsidR="001A126C" w:rsidRPr="009853A1" w14:paraId="196773C4" w14:textId="77777777" w:rsidTr="002B00D0">
        <w:tc>
          <w:tcPr>
            <w:tcW w:w="2439" w:type="dxa"/>
          </w:tcPr>
          <w:p w14:paraId="613F70C1" w14:textId="55045B7F" w:rsidR="001A126C" w:rsidRPr="009853A1" w:rsidRDefault="001A126C" w:rsidP="005032FB">
            <w:pPr>
              <w:contextualSpacing/>
            </w:pPr>
            <w:r w:rsidRPr="009853A1">
              <w:t>Religion (</w:t>
            </w:r>
            <w:r w:rsidR="005032FB">
              <w:t>UK</w:t>
            </w:r>
            <w:r w:rsidRPr="009853A1">
              <w:t>)</w:t>
            </w:r>
          </w:p>
        </w:tc>
        <w:tc>
          <w:tcPr>
            <w:tcW w:w="2327" w:type="dxa"/>
          </w:tcPr>
          <w:p w14:paraId="59D59126" w14:textId="77777777" w:rsidR="001A126C" w:rsidRPr="009853A1" w:rsidRDefault="001A126C" w:rsidP="001A126C">
            <w:pPr>
              <w:contextualSpacing/>
              <w:jc w:val="center"/>
            </w:pPr>
          </w:p>
        </w:tc>
        <w:tc>
          <w:tcPr>
            <w:tcW w:w="2327" w:type="dxa"/>
          </w:tcPr>
          <w:p w14:paraId="712E545D" w14:textId="77777777" w:rsidR="001A126C" w:rsidRPr="009853A1" w:rsidRDefault="001A126C" w:rsidP="001A126C">
            <w:pPr>
              <w:contextualSpacing/>
              <w:jc w:val="center"/>
            </w:pPr>
          </w:p>
        </w:tc>
      </w:tr>
      <w:tr w:rsidR="001A126C" w:rsidRPr="009853A1" w14:paraId="1FB24525" w14:textId="77777777" w:rsidTr="002B00D0">
        <w:tc>
          <w:tcPr>
            <w:tcW w:w="2439" w:type="dxa"/>
          </w:tcPr>
          <w:p w14:paraId="30D0E2F9" w14:textId="77777777" w:rsidR="001A126C" w:rsidRPr="009853A1" w:rsidRDefault="001A126C" w:rsidP="001A126C">
            <w:pPr>
              <w:contextualSpacing/>
            </w:pPr>
            <w:r w:rsidRPr="009853A1">
              <w:t xml:space="preserve">     Christian (ref.)</w:t>
            </w:r>
          </w:p>
        </w:tc>
        <w:tc>
          <w:tcPr>
            <w:tcW w:w="2327" w:type="dxa"/>
          </w:tcPr>
          <w:p w14:paraId="58A029D8" w14:textId="77777777" w:rsidR="001A126C" w:rsidRPr="009853A1" w:rsidRDefault="001A126C" w:rsidP="001A126C">
            <w:pPr>
              <w:contextualSpacing/>
              <w:jc w:val="center"/>
            </w:pPr>
            <w:r w:rsidRPr="009853A1">
              <w:t>74(36.63%)</w:t>
            </w:r>
          </w:p>
        </w:tc>
        <w:tc>
          <w:tcPr>
            <w:tcW w:w="2327" w:type="dxa"/>
          </w:tcPr>
          <w:p w14:paraId="137236F0" w14:textId="77777777" w:rsidR="001A126C" w:rsidRPr="009853A1" w:rsidRDefault="001A126C" w:rsidP="001A126C">
            <w:pPr>
              <w:contextualSpacing/>
              <w:jc w:val="center"/>
            </w:pPr>
            <w:r w:rsidRPr="009853A1">
              <w:t>---</w:t>
            </w:r>
          </w:p>
        </w:tc>
      </w:tr>
      <w:tr w:rsidR="001A126C" w:rsidRPr="009853A1" w14:paraId="5ED67D24" w14:textId="77777777" w:rsidTr="002B00D0">
        <w:tc>
          <w:tcPr>
            <w:tcW w:w="2439" w:type="dxa"/>
          </w:tcPr>
          <w:p w14:paraId="15135983" w14:textId="77777777" w:rsidR="001A126C" w:rsidRPr="009853A1" w:rsidRDefault="001A126C" w:rsidP="001A126C">
            <w:pPr>
              <w:contextualSpacing/>
            </w:pPr>
            <w:r w:rsidRPr="009853A1">
              <w:t xml:space="preserve">     Non-Christian</w:t>
            </w:r>
          </w:p>
        </w:tc>
        <w:tc>
          <w:tcPr>
            <w:tcW w:w="2327" w:type="dxa"/>
          </w:tcPr>
          <w:p w14:paraId="225DAB7E" w14:textId="77777777" w:rsidR="001A126C" w:rsidRPr="009853A1" w:rsidRDefault="001A126C" w:rsidP="001A126C">
            <w:pPr>
              <w:contextualSpacing/>
              <w:jc w:val="center"/>
            </w:pPr>
            <w:r w:rsidRPr="009853A1">
              <w:t>45(22.28%)</w:t>
            </w:r>
          </w:p>
        </w:tc>
        <w:tc>
          <w:tcPr>
            <w:tcW w:w="2327" w:type="dxa"/>
          </w:tcPr>
          <w:p w14:paraId="7E88BD63" w14:textId="77777777" w:rsidR="001A126C" w:rsidRPr="009853A1" w:rsidRDefault="001A126C" w:rsidP="001A126C">
            <w:pPr>
              <w:contextualSpacing/>
              <w:jc w:val="center"/>
            </w:pPr>
            <w:r w:rsidRPr="009853A1">
              <w:t>---</w:t>
            </w:r>
          </w:p>
        </w:tc>
      </w:tr>
      <w:tr w:rsidR="001A126C" w:rsidRPr="009853A1" w14:paraId="2A85B6D8" w14:textId="77777777" w:rsidTr="002B00D0">
        <w:tc>
          <w:tcPr>
            <w:tcW w:w="2439" w:type="dxa"/>
          </w:tcPr>
          <w:p w14:paraId="658BC9C8" w14:textId="77777777" w:rsidR="001A126C" w:rsidRPr="009853A1" w:rsidRDefault="001A126C" w:rsidP="001A126C">
            <w:pPr>
              <w:contextualSpacing/>
            </w:pPr>
            <w:r w:rsidRPr="009853A1">
              <w:t xml:space="preserve">     No Religion</w:t>
            </w:r>
          </w:p>
        </w:tc>
        <w:tc>
          <w:tcPr>
            <w:tcW w:w="2327" w:type="dxa"/>
          </w:tcPr>
          <w:p w14:paraId="3EC8F997" w14:textId="77777777" w:rsidR="001A126C" w:rsidRPr="009853A1" w:rsidRDefault="001A126C" w:rsidP="001A126C">
            <w:pPr>
              <w:contextualSpacing/>
              <w:jc w:val="center"/>
            </w:pPr>
            <w:r w:rsidRPr="009853A1">
              <w:t>82(40.59%)</w:t>
            </w:r>
          </w:p>
        </w:tc>
        <w:tc>
          <w:tcPr>
            <w:tcW w:w="2327" w:type="dxa"/>
          </w:tcPr>
          <w:p w14:paraId="3F1BD9F7" w14:textId="77777777" w:rsidR="001A126C" w:rsidRPr="009853A1" w:rsidRDefault="001A126C" w:rsidP="001A126C">
            <w:pPr>
              <w:contextualSpacing/>
              <w:jc w:val="center"/>
            </w:pPr>
            <w:r w:rsidRPr="009853A1">
              <w:t>---</w:t>
            </w:r>
          </w:p>
        </w:tc>
      </w:tr>
      <w:tr w:rsidR="001A126C" w:rsidRPr="009853A1" w14:paraId="6763C9EC" w14:textId="77777777" w:rsidTr="002B00D0">
        <w:tc>
          <w:tcPr>
            <w:tcW w:w="2439" w:type="dxa"/>
          </w:tcPr>
          <w:p w14:paraId="66C43556" w14:textId="77777777" w:rsidR="001A126C" w:rsidRPr="009853A1" w:rsidRDefault="001A126C" w:rsidP="001A126C">
            <w:pPr>
              <w:contextualSpacing/>
            </w:pPr>
            <w:r w:rsidRPr="009853A1">
              <w:t>Religion (India)</w:t>
            </w:r>
          </w:p>
        </w:tc>
        <w:tc>
          <w:tcPr>
            <w:tcW w:w="2327" w:type="dxa"/>
          </w:tcPr>
          <w:p w14:paraId="103F1F47" w14:textId="77777777" w:rsidR="001A126C" w:rsidRPr="009853A1" w:rsidRDefault="001A126C" w:rsidP="001A126C">
            <w:pPr>
              <w:contextualSpacing/>
              <w:jc w:val="center"/>
            </w:pPr>
          </w:p>
        </w:tc>
        <w:tc>
          <w:tcPr>
            <w:tcW w:w="2327" w:type="dxa"/>
          </w:tcPr>
          <w:p w14:paraId="609FA402" w14:textId="77777777" w:rsidR="001A126C" w:rsidRPr="009853A1" w:rsidRDefault="001A126C" w:rsidP="001A126C">
            <w:pPr>
              <w:contextualSpacing/>
              <w:jc w:val="center"/>
            </w:pPr>
          </w:p>
        </w:tc>
      </w:tr>
      <w:tr w:rsidR="001A126C" w:rsidRPr="009853A1" w14:paraId="2A422C8A" w14:textId="77777777" w:rsidTr="002B00D0">
        <w:tc>
          <w:tcPr>
            <w:tcW w:w="2439" w:type="dxa"/>
          </w:tcPr>
          <w:p w14:paraId="7A4663D5" w14:textId="77777777" w:rsidR="001A126C" w:rsidRPr="009853A1" w:rsidRDefault="001A126C" w:rsidP="001A126C">
            <w:pPr>
              <w:contextualSpacing/>
            </w:pPr>
            <w:r w:rsidRPr="009853A1">
              <w:t xml:space="preserve">     Hindu (ref.)</w:t>
            </w:r>
          </w:p>
        </w:tc>
        <w:tc>
          <w:tcPr>
            <w:tcW w:w="2327" w:type="dxa"/>
          </w:tcPr>
          <w:p w14:paraId="7970E14E" w14:textId="77777777" w:rsidR="001A126C" w:rsidRPr="009853A1" w:rsidRDefault="001A126C" w:rsidP="001A126C">
            <w:pPr>
              <w:contextualSpacing/>
              <w:jc w:val="center"/>
            </w:pPr>
            <w:r w:rsidRPr="009853A1">
              <w:t>---</w:t>
            </w:r>
          </w:p>
        </w:tc>
        <w:tc>
          <w:tcPr>
            <w:tcW w:w="2327" w:type="dxa"/>
          </w:tcPr>
          <w:p w14:paraId="7A806225" w14:textId="77777777" w:rsidR="001A126C" w:rsidRPr="009853A1" w:rsidRDefault="001A126C" w:rsidP="001A126C">
            <w:pPr>
              <w:contextualSpacing/>
              <w:jc w:val="center"/>
            </w:pPr>
            <w:r w:rsidRPr="009853A1">
              <w:t>271(59.30%)</w:t>
            </w:r>
          </w:p>
        </w:tc>
      </w:tr>
      <w:tr w:rsidR="001A126C" w:rsidRPr="009853A1" w14:paraId="21B4238F" w14:textId="77777777" w:rsidTr="002B00D0">
        <w:tc>
          <w:tcPr>
            <w:tcW w:w="2439" w:type="dxa"/>
          </w:tcPr>
          <w:p w14:paraId="47B370CA" w14:textId="77777777" w:rsidR="001A126C" w:rsidRPr="009853A1" w:rsidRDefault="001A126C" w:rsidP="001A126C">
            <w:pPr>
              <w:contextualSpacing/>
            </w:pPr>
            <w:r w:rsidRPr="009853A1">
              <w:t xml:space="preserve">     Muslim</w:t>
            </w:r>
          </w:p>
        </w:tc>
        <w:tc>
          <w:tcPr>
            <w:tcW w:w="2327" w:type="dxa"/>
          </w:tcPr>
          <w:p w14:paraId="49FADA3C" w14:textId="77777777" w:rsidR="001A126C" w:rsidRPr="009853A1" w:rsidRDefault="001A126C" w:rsidP="001A126C">
            <w:pPr>
              <w:contextualSpacing/>
              <w:jc w:val="center"/>
            </w:pPr>
            <w:r w:rsidRPr="009853A1">
              <w:t>---</w:t>
            </w:r>
          </w:p>
        </w:tc>
        <w:tc>
          <w:tcPr>
            <w:tcW w:w="2327" w:type="dxa"/>
          </w:tcPr>
          <w:p w14:paraId="37931C5E" w14:textId="77777777" w:rsidR="001A126C" w:rsidRPr="009853A1" w:rsidRDefault="001A126C" w:rsidP="001A126C">
            <w:pPr>
              <w:contextualSpacing/>
              <w:jc w:val="center"/>
            </w:pPr>
            <w:r w:rsidRPr="009853A1">
              <w:t>116(25.38%)</w:t>
            </w:r>
          </w:p>
        </w:tc>
      </w:tr>
      <w:tr w:rsidR="001A126C" w:rsidRPr="009853A1" w14:paraId="6F36EB84" w14:textId="77777777" w:rsidTr="002B00D0">
        <w:tc>
          <w:tcPr>
            <w:tcW w:w="2439" w:type="dxa"/>
          </w:tcPr>
          <w:p w14:paraId="16C4DD86" w14:textId="77777777" w:rsidR="001A126C" w:rsidRPr="009853A1" w:rsidRDefault="001A126C" w:rsidP="001A126C">
            <w:pPr>
              <w:contextualSpacing/>
            </w:pPr>
            <w:r w:rsidRPr="009853A1">
              <w:t xml:space="preserve">     Other</w:t>
            </w:r>
          </w:p>
        </w:tc>
        <w:tc>
          <w:tcPr>
            <w:tcW w:w="2327" w:type="dxa"/>
          </w:tcPr>
          <w:p w14:paraId="1973167A" w14:textId="77777777" w:rsidR="001A126C" w:rsidRPr="009853A1" w:rsidRDefault="001A126C" w:rsidP="001A126C">
            <w:pPr>
              <w:contextualSpacing/>
              <w:jc w:val="center"/>
            </w:pPr>
            <w:r w:rsidRPr="009853A1">
              <w:t>---</w:t>
            </w:r>
          </w:p>
        </w:tc>
        <w:tc>
          <w:tcPr>
            <w:tcW w:w="2327" w:type="dxa"/>
          </w:tcPr>
          <w:p w14:paraId="6F321405" w14:textId="77777777" w:rsidR="001A126C" w:rsidRPr="009853A1" w:rsidRDefault="001A126C" w:rsidP="001A126C">
            <w:pPr>
              <w:contextualSpacing/>
              <w:jc w:val="center"/>
            </w:pPr>
            <w:r w:rsidRPr="009853A1">
              <w:t>70(15.32%)</w:t>
            </w:r>
          </w:p>
        </w:tc>
      </w:tr>
      <w:tr w:rsidR="001A126C" w:rsidRPr="009853A1" w14:paraId="00CFEA04" w14:textId="77777777" w:rsidTr="002B00D0">
        <w:tc>
          <w:tcPr>
            <w:tcW w:w="2439" w:type="dxa"/>
            <w:tcBorders>
              <w:bottom w:val="single" w:sz="4" w:space="0" w:color="auto"/>
            </w:tcBorders>
          </w:tcPr>
          <w:p w14:paraId="28F60FC8" w14:textId="79AF73AB" w:rsidR="001A126C" w:rsidRPr="009853A1" w:rsidRDefault="001A126C" w:rsidP="007256E6">
            <w:pPr>
              <w:contextualSpacing/>
            </w:pPr>
          </w:p>
        </w:tc>
        <w:tc>
          <w:tcPr>
            <w:tcW w:w="2327" w:type="dxa"/>
            <w:tcBorders>
              <w:bottom w:val="single" w:sz="4" w:space="0" w:color="auto"/>
            </w:tcBorders>
          </w:tcPr>
          <w:p w14:paraId="02C823A2" w14:textId="5AF55BB5" w:rsidR="001A126C" w:rsidRPr="009853A1" w:rsidRDefault="001A126C" w:rsidP="001A126C">
            <w:pPr>
              <w:contextualSpacing/>
              <w:jc w:val="center"/>
            </w:pPr>
          </w:p>
        </w:tc>
        <w:tc>
          <w:tcPr>
            <w:tcW w:w="2327" w:type="dxa"/>
            <w:tcBorders>
              <w:bottom w:val="single" w:sz="4" w:space="0" w:color="auto"/>
            </w:tcBorders>
          </w:tcPr>
          <w:p w14:paraId="530BA543" w14:textId="11CC20DF" w:rsidR="001A126C" w:rsidRPr="009853A1" w:rsidRDefault="001A126C" w:rsidP="001A126C">
            <w:pPr>
              <w:contextualSpacing/>
              <w:jc w:val="center"/>
            </w:pPr>
          </w:p>
        </w:tc>
      </w:tr>
    </w:tbl>
    <w:p w14:paraId="32314D31" w14:textId="7FD846AC" w:rsidR="001A126C" w:rsidRPr="009853A1" w:rsidRDefault="001A126C" w:rsidP="004E56BD">
      <w:pPr>
        <w:contextualSpacing/>
      </w:pPr>
      <w:r w:rsidRPr="009853A1">
        <w:t xml:space="preserve">Note: </w:t>
      </w:r>
      <w:r w:rsidRPr="009853A1">
        <w:rPr>
          <w:i/>
        </w:rPr>
        <w:t>ref.</w:t>
      </w:r>
      <w:r w:rsidRPr="009853A1">
        <w:t xml:space="preserve"> refers to reference group in within-country analyses</w:t>
      </w:r>
    </w:p>
    <w:p w14:paraId="376A9F87" w14:textId="008FBB23" w:rsidR="008F1959" w:rsidRPr="009853A1" w:rsidRDefault="008F1959" w:rsidP="004E56BD">
      <w:pPr>
        <w:contextualSpacing/>
      </w:pPr>
    </w:p>
    <w:p w14:paraId="17C526BF" w14:textId="32D7FC6E" w:rsidR="00034196" w:rsidRPr="009853A1" w:rsidRDefault="00034196">
      <w:r w:rsidRPr="009853A1">
        <w:br w:type="page"/>
      </w:r>
    </w:p>
    <w:p w14:paraId="22FBC5DB" w14:textId="4B8A58E8" w:rsidR="000F6B45" w:rsidRPr="008972FC" w:rsidRDefault="00034196" w:rsidP="00034196">
      <w:pPr>
        <w:contextualSpacing/>
      </w:pPr>
      <w:r w:rsidRPr="008972FC">
        <w:lastRenderedPageBreak/>
        <w:t xml:space="preserve">Table 2. Mean differences in rape myth acceptance: </w:t>
      </w:r>
      <w:r w:rsidR="005032FB" w:rsidRPr="008972FC">
        <w:t>UK</w:t>
      </w:r>
      <w:r w:rsidRPr="008972FC">
        <w:t xml:space="preserve"> and India</w:t>
      </w:r>
    </w:p>
    <w:p w14:paraId="4497B99A" w14:textId="77777777" w:rsidR="00034196" w:rsidRPr="008972FC" w:rsidRDefault="00034196" w:rsidP="00034196">
      <w:pPr>
        <w:contextualSpacing/>
      </w:pPr>
    </w:p>
    <w:tbl>
      <w:tblPr>
        <w:tblStyle w:val="TableGrid"/>
        <w:tblW w:w="1035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0"/>
        <w:gridCol w:w="720"/>
        <w:gridCol w:w="720"/>
        <w:gridCol w:w="720"/>
        <w:gridCol w:w="769"/>
        <w:gridCol w:w="851"/>
        <w:gridCol w:w="1170"/>
      </w:tblGrid>
      <w:tr w:rsidR="00034196" w:rsidRPr="00C95CA8" w14:paraId="2677FA04" w14:textId="77777777" w:rsidTr="008C42E4">
        <w:tc>
          <w:tcPr>
            <w:tcW w:w="5400" w:type="dxa"/>
            <w:tcBorders>
              <w:top w:val="single" w:sz="4" w:space="0" w:color="auto"/>
            </w:tcBorders>
          </w:tcPr>
          <w:p w14:paraId="31D36DED" w14:textId="77777777" w:rsidR="00034196" w:rsidRPr="008972FC" w:rsidRDefault="00034196" w:rsidP="008E57E4">
            <w:pPr>
              <w:rPr>
                <w:sz w:val="22"/>
                <w:szCs w:val="22"/>
              </w:rPr>
            </w:pPr>
          </w:p>
        </w:tc>
        <w:tc>
          <w:tcPr>
            <w:tcW w:w="1440" w:type="dxa"/>
            <w:gridSpan w:val="2"/>
            <w:tcBorders>
              <w:top w:val="single" w:sz="4" w:space="0" w:color="auto"/>
              <w:bottom w:val="single" w:sz="4" w:space="0" w:color="auto"/>
              <w:right w:val="single" w:sz="4" w:space="0" w:color="auto"/>
            </w:tcBorders>
          </w:tcPr>
          <w:p w14:paraId="172CEA6D" w14:textId="2ABBCEA8" w:rsidR="00034196" w:rsidRPr="008972FC" w:rsidRDefault="005032FB" w:rsidP="008E57E4">
            <w:pPr>
              <w:jc w:val="center"/>
              <w:rPr>
                <w:sz w:val="22"/>
                <w:szCs w:val="22"/>
              </w:rPr>
            </w:pPr>
            <w:r w:rsidRPr="008972FC">
              <w:rPr>
                <w:sz w:val="22"/>
                <w:szCs w:val="22"/>
              </w:rPr>
              <w:t>UK</w:t>
            </w:r>
          </w:p>
        </w:tc>
        <w:tc>
          <w:tcPr>
            <w:tcW w:w="1489" w:type="dxa"/>
            <w:gridSpan w:val="2"/>
            <w:tcBorders>
              <w:top w:val="single" w:sz="4" w:space="0" w:color="auto"/>
              <w:left w:val="single" w:sz="4" w:space="0" w:color="auto"/>
              <w:bottom w:val="single" w:sz="4" w:space="0" w:color="auto"/>
              <w:right w:val="single" w:sz="4" w:space="0" w:color="auto"/>
            </w:tcBorders>
          </w:tcPr>
          <w:p w14:paraId="312A1C75" w14:textId="77777777" w:rsidR="00034196" w:rsidRPr="008972FC" w:rsidRDefault="00034196" w:rsidP="008E57E4">
            <w:pPr>
              <w:jc w:val="center"/>
              <w:rPr>
                <w:sz w:val="22"/>
                <w:szCs w:val="22"/>
              </w:rPr>
            </w:pPr>
            <w:r w:rsidRPr="008972FC">
              <w:rPr>
                <w:sz w:val="22"/>
                <w:szCs w:val="22"/>
              </w:rPr>
              <w:t>India</w:t>
            </w:r>
          </w:p>
        </w:tc>
        <w:tc>
          <w:tcPr>
            <w:tcW w:w="851" w:type="dxa"/>
            <w:tcBorders>
              <w:top w:val="single" w:sz="4" w:space="0" w:color="auto"/>
              <w:left w:val="single" w:sz="4" w:space="0" w:color="auto"/>
              <w:bottom w:val="single" w:sz="4" w:space="0" w:color="auto"/>
            </w:tcBorders>
          </w:tcPr>
          <w:p w14:paraId="37928B92" w14:textId="77777777" w:rsidR="00034196" w:rsidRPr="008972FC" w:rsidRDefault="00034196" w:rsidP="008E57E4">
            <w:pPr>
              <w:rPr>
                <w:sz w:val="22"/>
                <w:szCs w:val="22"/>
              </w:rPr>
            </w:pPr>
          </w:p>
        </w:tc>
        <w:tc>
          <w:tcPr>
            <w:tcW w:w="1170" w:type="dxa"/>
            <w:tcBorders>
              <w:top w:val="single" w:sz="4" w:space="0" w:color="auto"/>
              <w:bottom w:val="single" w:sz="4" w:space="0" w:color="auto"/>
            </w:tcBorders>
          </w:tcPr>
          <w:p w14:paraId="0C013C6E" w14:textId="77777777" w:rsidR="00034196" w:rsidRPr="008972FC" w:rsidRDefault="00034196" w:rsidP="008E57E4">
            <w:pPr>
              <w:rPr>
                <w:sz w:val="22"/>
                <w:szCs w:val="22"/>
              </w:rPr>
            </w:pPr>
          </w:p>
        </w:tc>
      </w:tr>
      <w:tr w:rsidR="00034196" w:rsidRPr="00C95CA8" w14:paraId="74F7C197" w14:textId="77777777" w:rsidTr="008C42E4">
        <w:tc>
          <w:tcPr>
            <w:tcW w:w="5400" w:type="dxa"/>
          </w:tcPr>
          <w:p w14:paraId="63BF2BD1" w14:textId="77777777" w:rsidR="00034196" w:rsidRPr="002A503B" w:rsidRDefault="00034196" w:rsidP="008E57E4">
            <w:pPr>
              <w:rPr>
                <w:sz w:val="22"/>
                <w:szCs w:val="22"/>
              </w:rPr>
            </w:pPr>
          </w:p>
        </w:tc>
        <w:tc>
          <w:tcPr>
            <w:tcW w:w="720" w:type="dxa"/>
            <w:tcBorders>
              <w:top w:val="single" w:sz="4" w:space="0" w:color="auto"/>
              <w:bottom w:val="single" w:sz="4" w:space="0" w:color="auto"/>
            </w:tcBorders>
          </w:tcPr>
          <w:p w14:paraId="3800CBE4" w14:textId="77777777" w:rsidR="00034196" w:rsidRPr="002A503B" w:rsidRDefault="00034196" w:rsidP="00CD1206">
            <w:pPr>
              <w:jc w:val="center"/>
              <w:rPr>
                <w:i/>
                <w:sz w:val="22"/>
                <w:szCs w:val="22"/>
              </w:rPr>
            </w:pPr>
            <w:r w:rsidRPr="002A503B">
              <w:rPr>
                <w:i/>
                <w:sz w:val="22"/>
                <w:szCs w:val="22"/>
              </w:rPr>
              <w:t>M</w:t>
            </w:r>
          </w:p>
        </w:tc>
        <w:tc>
          <w:tcPr>
            <w:tcW w:w="720" w:type="dxa"/>
            <w:tcBorders>
              <w:top w:val="single" w:sz="4" w:space="0" w:color="auto"/>
              <w:bottom w:val="single" w:sz="4" w:space="0" w:color="auto"/>
              <w:right w:val="single" w:sz="4" w:space="0" w:color="auto"/>
            </w:tcBorders>
          </w:tcPr>
          <w:p w14:paraId="119AB0F0" w14:textId="77777777" w:rsidR="00034196" w:rsidRPr="002A503B" w:rsidRDefault="00034196" w:rsidP="00CD1206">
            <w:pPr>
              <w:jc w:val="center"/>
              <w:rPr>
                <w:i/>
                <w:sz w:val="22"/>
                <w:szCs w:val="22"/>
              </w:rPr>
            </w:pPr>
            <w:r w:rsidRPr="002A503B">
              <w:rPr>
                <w:i/>
                <w:sz w:val="22"/>
                <w:szCs w:val="22"/>
              </w:rPr>
              <w:t>SD</w:t>
            </w:r>
          </w:p>
        </w:tc>
        <w:tc>
          <w:tcPr>
            <w:tcW w:w="720" w:type="dxa"/>
            <w:tcBorders>
              <w:top w:val="single" w:sz="4" w:space="0" w:color="auto"/>
              <w:left w:val="single" w:sz="4" w:space="0" w:color="auto"/>
              <w:bottom w:val="single" w:sz="4" w:space="0" w:color="auto"/>
            </w:tcBorders>
          </w:tcPr>
          <w:p w14:paraId="7682A91F" w14:textId="77777777" w:rsidR="00034196" w:rsidRPr="002A503B" w:rsidRDefault="00034196" w:rsidP="00CD1206">
            <w:pPr>
              <w:jc w:val="center"/>
              <w:rPr>
                <w:i/>
                <w:sz w:val="22"/>
                <w:szCs w:val="22"/>
              </w:rPr>
            </w:pPr>
            <w:r w:rsidRPr="002A503B">
              <w:rPr>
                <w:i/>
                <w:sz w:val="22"/>
                <w:szCs w:val="22"/>
              </w:rPr>
              <w:t>M</w:t>
            </w:r>
          </w:p>
        </w:tc>
        <w:tc>
          <w:tcPr>
            <w:tcW w:w="769" w:type="dxa"/>
            <w:tcBorders>
              <w:top w:val="single" w:sz="4" w:space="0" w:color="auto"/>
              <w:bottom w:val="single" w:sz="4" w:space="0" w:color="auto"/>
              <w:right w:val="single" w:sz="4" w:space="0" w:color="auto"/>
            </w:tcBorders>
          </w:tcPr>
          <w:p w14:paraId="0D9F0479" w14:textId="77777777" w:rsidR="00034196" w:rsidRPr="002A503B" w:rsidRDefault="00034196" w:rsidP="00CD1206">
            <w:pPr>
              <w:jc w:val="center"/>
              <w:rPr>
                <w:i/>
                <w:sz w:val="22"/>
                <w:szCs w:val="22"/>
              </w:rPr>
            </w:pPr>
            <w:r w:rsidRPr="002A503B">
              <w:rPr>
                <w:i/>
                <w:sz w:val="22"/>
                <w:szCs w:val="22"/>
              </w:rPr>
              <w:t>SD</w:t>
            </w:r>
          </w:p>
        </w:tc>
        <w:tc>
          <w:tcPr>
            <w:tcW w:w="851" w:type="dxa"/>
            <w:tcBorders>
              <w:top w:val="single" w:sz="4" w:space="0" w:color="auto"/>
              <w:left w:val="single" w:sz="4" w:space="0" w:color="auto"/>
              <w:bottom w:val="single" w:sz="4" w:space="0" w:color="auto"/>
            </w:tcBorders>
          </w:tcPr>
          <w:p w14:paraId="287B5353" w14:textId="77777777" w:rsidR="00034196" w:rsidRPr="002A503B" w:rsidRDefault="00034196" w:rsidP="00CD1206">
            <w:pPr>
              <w:jc w:val="center"/>
              <w:rPr>
                <w:sz w:val="22"/>
                <w:szCs w:val="22"/>
              </w:rPr>
            </w:pPr>
            <w:r w:rsidRPr="002A503B">
              <w:rPr>
                <w:i/>
                <w:sz w:val="22"/>
                <w:szCs w:val="22"/>
              </w:rPr>
              <w:t xml:space="preserve">M </w:t>
            </w:r>
            <w:r w:rsidRPr="002A503B">
              <w:rPr>
                <w:sz w:val="22"/>
                <w:szCs w:val="22"/>
              </w:rPr>
              <w:t>diff</w:t>
            </w:r>
          </w:p>
        </w:tc>
        <w:tc>
          <w:tcPr>
            <w:tcW w:w="1170" w:type="dxa"/>
            <w:tcBorders>
              <w:top w:val="single" w:sz="4" w:space="0" w:color="auto"/>
              <w:bottom w:val="single" w:sz="4" w:space="0" w:color="auto"/>
            </w:tcBorders>
          </w:tcPr>
          <w:p w14:paraId="1E3867ED" w14:textId="2F8E70C4" w:rsidR="00034196" w:rsidRPr="002A503B" w:rsidRDefault="00034196" w:rsidP="00CD1206">
            <w:pPr>
              <w:jc w:val="center"/>
              <w:rPr>
                <w:sz w:val="22"/>
                <w:szCs w:val="22"/>
              </w:rPr>
            </w:pPr>
            <w:r w:rsidRPr="002A503B">
              <w:rPr>
                <w:i/>
                <w:sz w:val="22"/>
                <w:szCs w:val="22"/>
              </w:rPr>
              <w:t>t</w:t>
            </w:r>
          </w:p>
        </w:tc>
      </w:tr>
      <w:tr w:rsidR="00034196" w:rsidRPr="00C95CA8" w14:paraId="348C59EA" w14:textId="77777777" w:rsidTr="008C42E4">
        <w:tc>
          <w:tcPr>
            <w:tcW w:w="5400" w:type="dxa"/>
          </w:tcPr>
          <w:p w14:paraId="5FCABD88" w14:textId="77777777" w:rsidR="00034196" w:rsidRPr="008972FC" w:rsidRDefault="00034196" w:rsidP="008E57E4">
            <w:pPr>
              <w:spacing w:after="120"/>
              <w:rPr>
                <w:sz w:val="22"/>
                <w:szCs w:val="22"/>
              </w:rPr>
            </w:pPr>
            <w:r w:rsidRPr="008972FC">
              <w:rPr>
                <w:sz w:val="22"/>
                <w:szCs w:val="22"/>
              </w:rPr>
              <w:t>If a girl is willing to “make out” with a guy, then it’s no big deal if he goes a little further and has sex</w:t>
            </w:r>
          </w:p>
        </w:tc>
        <w:tc>
          <w:tcPr>
            <w:tcW w:w="720" w:type="dxa"/>
            <w:tcBorders>
              <w:top w:val="single" w:sz="4" w:space="0" w:color="auto"/>
            </w:tcBorders>
          </w:tcPr>
          <w:p w14:paraId="7FD5F806" w14:textId="77777777" w:rsidR="00034196" w:rsidRPr="008972FC" w:rsidRDefault="00034196" w:rsidP="008E57E4">
            <w:pPr>
              <w:spacing w:after="120"/>
              <w:rPr>
                <w:sz w:val="22"/>
                <w:szCs w:val="22"/>
              </w:rPr>
            </w:pPr>
            <w:r w:rsidRPr="008972FC">
              <w:rPr>
                <w:sz w:val="22"/>
                <w:szCs w:val="22"/>
              </w:rPr>
              <w:t>1.565</w:t>
            </w:r>
          </w:p>
        </w:tc>
        <w:tc>
          <w:tcPr>
            <w:tcW w:w="720" w:type="dxa"/>
            <w:tcBorders>
              <w:top w:val="single" w:sz="4" w:space="0" w:color="auto"/>
              <w:right w:val="single" w:sz="4" w:space="0" w:color="auto"/>
            </w:tcBorders>
          </w:tcPr>
          <w:p w14:paraId="4E98F46A" w14:textId="77777777" w:rsidR="00034196" w:rsidRPr="008972FC" w:rsidRDefault="00034196" w:rsidP="008E57E4">
            <w:pPr>
              <w:spacing w:after="120"/>
              <w:rPr>
                <w:sz w:val="22"/>
                <w:szCs w:val="22"/>
              </w:rPr>
            </w:pPr>
            <w:r w:rsidRPr="008972FC">
              <w:rPr>
                <w:sz w:val="22"/>
                <w:szCs w:val="22"/>
              </w:rPr>
              <w:t>0.807</w:t>
            </w:r>
          </w:p>
        </w:tc>
        <w:tc>
          <w:tcPr>
            <w:tcW w:w="720" w:type="dxa"/>
            <w:tcBorders>
              <w:top w:val="single" w:sz="4" w:space="0" w:color="auto"/>
              <w:left w:val="single" w:sz="4" w:space="0" w:color="auto"/>
            </w:tcBorders>
          </w:tcPr>
          <w:p w14:paraId="5CE5789F" w14:textId="77777777" w:rsidR="00034196" w:rsidRPr="008972FC" w:rsidRDefault="00034196" w:rsidP="008E57E4">
            <w:pPr>
              <w:spacing w:after="120"/>
              <w:rPr>
                <w:sz w:val="22"/>
                <w:szCs w:val="22"/>
              </w:rPr>
            </w:pPr>
            <w:r w:rsidRPr="008972FC">
              <w:rPr>
                <w:sz w:val="22"/>
                <w:szCs w:val="22"/>
              </w:rPr>
              <w:t>2.281</w:t>
            </w:r>
          </w:p>
        </w:tc>
        <w:tc>
          <w:tcPr>
            <w:tcW w:w="769" w:type="dxa"/>
            <w:tcBorders>
              <w:top w:val="single" w:sz="4" w:space="0" w:color="auto"/>
              <w:right w:val="single" w:sz="4" w:space="0" w:color="auto"/>
            </w:tcBorders>
          </w:tcPr>
          <w:p w14:paraId="6A515E1A" w14:textId="77777777" w:rsidR="00034196" w:rsidRPr="008972FC" w:rsidRDefault="00034196" w:rsidP="008E57E4">
            <w:pPr>
              <w:spacing w:after="120"/>
              <w:rPr>
                <w:sz w:val="22"/>
                <w:szCs w:val="22"/>
              </w:rPr>
            </w:pPr>
            <w:r w:rsidRPr="008972FC">
              <w:rPr>
                <w:sz w:val="22"/>
                <w:szCs w:val="22"/>
              </w:rPr>
              <w:t>1.155</w:t>
            </w:r>
          </w:p>
        </w:tc>
        <w:tc>
          <w:tcPr>
            <w:tcW w:w="851" w:type="dxa"/>
            <w:tcBorders>
              <w:top w:val="single" w:sz="4" w:space="0" w:color="auto"/>
              <w:left w:val="single" w:sz="4" w:space="0" w:color="auto"/>
            </w:tcBorders>
          </w:tcPr>
          <w:p w14:paraId="4E93EC54" w14:textId="77777777" w:rsidR="00034196" w:rsidRPr="008972FC" w:rsidRDefault="00034196" w:rsidP="008E57E4">
            <w:pPr>
              <w:spacing w:after="120"/>
              <w:rPr>
                <w:sz w:val="22"/>
                <w:szCs w:val="22"/>
              </w:rPr>
            </w:pPr>
            <w:r w:rsidRPr="008972FC">
              <w:rPr>
                <w:sz w:val="22"/>
                <w:szCs w:val="22"/>
              </w:rPr>
              <w:t>0.716</w:t>
            </w:r>
          </w:p>
        </w:tc>
        <w:tc>
          <w:tcPr>
            <w:tcW w:w="1170" w:type="dxa"/>
            <w:tcBorders>
              <w:top w:val="single" w:sz="4" w:space="0" w:color="auto"/>
            </w:tcBorders>
          </w:tcPr>
          <w:p w14:paraId="1BDE270A" w14:textId="77777777" w:rsidR="00034196" w:rsidRPr="008972FC" w:rsidRDefault="00034196" w:rsidP="008E57E4">
            <w:pPr>
              <w:spacing w:after="120"/>
              <w:rPr>
                <w:sz w:val="22"/>
                <w:szCs w:val="22"/>
              </w:rPr>
            </w:pPr>
            <w:r w:rsidRPr="008972FC">
              <w:rPr>
                <w:sz w:val="22"/>
                <w:szCs w:val="22"/>
              </w:rPr>
              <w:t>9.281***</w:t>
            </w:r>
          </w:p>
        </w:tc>
      </w:tr>
      <w:tr w:rsidR="00034196" w:rsidRPr="00C95CA8" w14:paraId="0DB02324" w14:textId="77777777" w:rsidTr="00034196">
        <w:tc>
          <w:tcPr>
            <w:tcW w:w="5400" w:type="dxa"/>
          </w:tcPr>
          <w:p w14:paraId="07623117" w14:textId="77777777" w:rsidR="00034196" w:rsidRPr="002A503B" w:rsidRDefault="00034196" w:rsidP="008E57E4">
            <w:pPr>
              <w:spacing w:after="120"/>
              <w:rPr>
                <w:sz w:val="22"/>
                <w:szCs w:val="22"/>
              </w:rPr>
            </w:pPr>
            <w:r w:rsidRPr="002A503B">
              <w:rPr>
                <w:sz w:val="22"/>
                <w:szCs w:val="22"/>
              </w:rPr>
              <w:t>Girls tend to exaggerate how much rape affects them</w:t>
            </w:r>
          </w:p>
        </w:tc>
        <w:tc>
          <w:tcPr>
            <w:tcW w:w="720" w:type="dxa"/>
          </w:tcPr>
          <w:p w14:paraId="5D01F2FB" w14:textId="77777777" w:rsidR="00034196" w:rsidRPr="002A503B" w:rsidRDefault="00034196" w:rsidP="008E57E4">
            <w:pPr>
              <w:spacing w:after="120"/>
              <w:rPr>
                <w:sz w:val="22"/>
                <w:szCs w:val="22"/>
              </w:rPr>
            </w:pPr>
            <w:r w:rsidRPr="002A503B">
              <w:rPr>
                <w:sz w:val="22"/>
                <w:szCs w:val="22"/>
              </w:rPr>
              <w:t>1.357</w:t>
            </w:r>
          </w:p>
        </w:tc>
        <w:tc>
          <w:tcPr>
            <w:tcW w:w="720" w:type="dxa"/>
            <w:tcBorders>
              <w:right w:val="single" w:sz="4" w:space="0" w:color="auto"/>
            </w:tcBorders>
          </w:tcPr>
          <w:p w14:paraId="2ED366CB" w14:textId="77777777" w:rsidR="00034196" w:rsidRPr="002A503B" w:rsidRDefault="00034196" w:rsidP="008E57E4">
            <w:pPr>
              <w:spacing w:after="120"/>
              <w:rPr>
                <w:sz w:val="22"/>
                <w:szCs w:val="22"/>
              </w:rPr>
            </w:pPr>
            <w:r w:rsidRPr="002A503B">
              <w:rPr>
                <w:sz w:val="22"/>
                <w:szCs w:val="22"/>
              </w:rPr>
              <w:t>0.610</w:t>
            </w:r>
          </w:p>
        </w:tc>
        <w:tc>
          <w:tcPr>
            <w:tcW w:w="720" w:type="dxa"/>
            <w:tcBorders>
              <w:left w:val="single" w:sz="4" w:space="0" w:color="auto"/>
            </w:tcBorders>
          </w:tcPr>
          <w:p w14:paraId="7F1B4AE4" w14:textId="77777777" w:rsidR="00034196" w:rsidRPr="002A503B" w:rsidRDefault="00034196" w:rsidP="008E57E4">
            <w:pPr>
              <w:spacing w:after="120"/>
              <w:rPr>
                <w:sz w:val="22"/>
                <w:szCs w:val="22"/>
              </w:rPr>
            </w:pPr>
            <w:r w:rsidRPr="002A503B">
              <w:rPr>
                <w:sz w:val="22"/>
                <w:szCs w:val="22"/>
              </w:rPr>
              <w:t>1.930</w:t>
            </w:r>
          </w:p>
        </w:tc>
        <w:tc>
          <w:tcPr>
            <w:tcW w:w="769" w:type="dxa"/>
            <w:tcBorders>
              <w:right w:val="single" w:sz="4" w:space="0" w:color="auto"/>
            </w:tcBorders>
          </w:tcPr>
          <w:p w14:paraId="5515022A" w14:textId="77777777" w:rsidR="00034196" w:rsidRPr="002A503B" w:rsidRDefault="00034196" w:rsidP="008E57E4">
            <w:pPr>
              <w:spacing w:after="120"/>
              <w:rPr>
                <w:sz w:val="22"/>
                <w:szCs w:val="22"/>
              </w:rPr>
            </w:pPr>
            <w:r w:rsidRPr="002A503B">
              <w:rPr>
                <w:sz w:val="22"/>
                <w:szCs w:val="22"/>
              </w:rPr>
              <w:t>1.119</w:t>
            </w:r>
          </w:p>
        </w:tc>
        <w:tc>
          <w:tcPr>
            <w:tcW w:w="851" w:type="dxa"/>
            <w:tcBorders>
              <w:left w:val="single" w:sz="4" w:space="0" w:color="auto"/>
            </w:tcBorders>
          </w:tcPr>
          <w:p w14:paraId="2200F07B" w14:textId="77777777" w:rsidR="00034196" w:rsidRPr="002A503B" w:rsidRDefault="00034196" w:rsidP="008E57E4">
            <w:pPr>
              <w:spacing w:after="120"/>
              <w:rPr>
                <w:sz w:val="22"/>
                <w:szCs w:val="22"/>
              </w:rPr>
            </w:pPr>
            <w:r w:rsidRPr="002A503B">
              <w:rPr>
                <w:sz w:val="22"/>
                <w:szCs w:val="22"/>
              </w:rPr>
              <w:t>0.573</w:t>
            </w:r>
          </w:p>
        </w:tc>
        <w:tc>
          <w:tcPr>
            <w:tcW w:w="1170" w:type="dxa"/>
          </w:tcPr>
          <w:p w14:paraId="191675C1" w14:textId="77777777" w:rsidR="00034196" w:rsidRPr="002A503B" w:rsidRDefault="00034196" w:rsidP="008E57E4">
            <w:pPr>
              <w:spacing w:after="120"/>
              <w:rPr>
                <w:sz w:val="22"/>
                <w:szCs w:val="22"/>
              </w:rPr>
            </w:pPr>
            <w:r w:rsidRPr="002A503B">
              <w:rPr>
                <w:sz w:val="22"/>
                <w:szCs w:val="22"/>
              </w:rPr>
              <w:t>8.572***</w:t>
            </w:r>
          </w:p>
        </w:tc>
      </w:tr>
      <w:tr w:rsidR="00034196" w:rsidRPr="00C95CA8" w14:paraId="7F271062" w14:textId="77777777" w:rsidTr="00034196">
        <w:tc>
          <w:tcPr>
            <w:tcW w:w="5400" w:type="dxa"/>
          </w:tcPr>
          <w:p w14:paraId="3940CE22" w14:textId="77777777" w:rsidR="00034196" w:rsidRPr="002A503B" w:rsidRDefault="00034196" w:rsidP="008E57E4">
            <w:pPr>
              <w:spacing w:after="120"/>
              <w:rPr>
                <w:sz w:val="22"/>
                <w:szCs w:val="22"/>
              </w:rPr>
            </w:pPr>
            <w:r w:rsidRPr="002A503B">
              <w:rPr>
                <w:sz w:val="22"/>
                <w:szCs w:val="22"/>
              </w:rPr>
              <w:t>Rape happens when a guy’s sex drive gets out of control</w:t>
            </w:r>
          </w:p>
        </w:tc>
        <w:tc>
          <w:tcPr>
            <w:tcW w:w="720" w:type="dxa"/>
          </w:tcPr>
          <w:p w14:paraId="0630AEB8" w14:textId="77777777" w:rsidR="00034196" w:rsidRPr="002A503B" w:rsidRDefault="00034196" w:rsidP="008E57E4">
            <w:pPr>
              <w:spacing w:after="120"/>
              <w:rPr>
                <w:sz w:val="22"/>
                <w:szCs w:val="22"/>
              </w:rPr>
            </w:pPr>
            <w:r w:rsidRPr="002A503B">
              <w:rPr>
                <w:sz w:val="22"/>
                <w:szCs w:val="22"/>
              </w:rPr>
              <w:t>2.192</w:t>
            </w:r>
          </w:p>
        </w:tc>
        <w:tc>
          <w:tcPr>
            <w:tcW w:w="720" w:type="dxa"/>
            <w:tcBorders>
              <w:right w:val="single" w:sz="4" w:space="0" w:color="auto"/>
            </w:tcBorders>
          </w:tcPr>
          <w:p w14:paraId="14AB7D72" w14:textId="77777777" w:rsidR="00034196" w:rsidRPr="002A503B" w:rsidRDefault="00034196" w:rsidP="008E57E4">
            <w:pPr>
              <w:spacing w:after="120"/>
              <w:rPr>
                <w:sz w:val="22"/>
                <w:szCs w:val="22"/>
              </w:rPr>
            </w:pPr>
            <w:r w:rsidRPr="002A503B">
              <w:rPr>
                <w:sz w:val="22"/>
                <w:szCs w:val="22"/>
              </w:rPr>
              <w:t>1.143</w:t>
            </w:r>
          </w:p>
        </w:tc>
        <w:tc>
          <w:tcPr>
            <w:tcW w:w="720" w:type="dxa"/>
            <w:tcBorders>
              <w:left w:val="single" w:sz="4" w:space="0" w:color="auto"/>
            </w:tcBorders>
          </w:tcPr>
          <w:p w14:paraId="11F84586" w14:textId="77777777" w:rsidR="00034196" w:rsidRPr="002A503B" w:rsidRDefault="00034196" w:rsidP="008E57E4">
            <w:pPr>
              <w:spacing w:after="120"/>
              <w:rPr>
                <w:sz w:val="22"/>
                <w:szCs w:val="22"/>
              </w:rPr>
            </w:pPr>
            <w:r w:rsidRPr="002A503B">
              <w:rPr>
                <w:sz w:val="22"/>
                <w:szCs w:val="22"/>
              </w:rPr>
              <w:t>2.716</w:t>
            </w:r>
          </w:p>
        </w:tc>
        <w:tc>
          <w:tcPr>
            <w:tcW w:w="769" w:type="dxa"/>
            <w:tcBorders>
              <w:right w:val="single" w:sz="4" w:space="0" w:color="auto"/>
            </w:tcBorders>
          </w:tcPr>
          <w:p w14:paraId="7C8FE79D" w14:textId="77777777" w:rsidR="00034196" w:rsidRPr="002A503B" w:rsidRDefault="00034196" w:rsidP="008E57E4">
            <w:pPr>
              <w:spacing w:after="120"/>
              <w:rPr>
                <w:sz w:val="22"/>
                <w:szCs w:val="22"/>
              </w:rPr>
            </w:pPr>
            <w:r w:rsidRPr="002A503B">
              <w:rPr>
                <w:sz w:val="22"/>
                <w:szCs w:val="22"/>
              </w:rPr>
              <w:t>1.322</w:t>
            </w:r>
          </w:p>
        </w:tc>
        <w:tc>
          <w:tcPr>
            <w:tcW w:w="851" w:type="dxa"/>
            <w:tcBorders>
              <w:left w:val="single" w:sz="4" w:space="0" w:color="auto"/>
            </w:tcBorders>
          </w:tcPr>
          <w:p w14:paraId="37B56C3E" w14:textId="77777777" w:rsidR="00034196" w:rsidRPr="002A503B" w:rsidRDefault="00034196" w:rsidP="008E57E4">
            <w:pPr>
              <w:spacing w:after="120"/>
              <w:rPr>
                <w:sz w:val="22"/>
                <w:szCs w:val="22"/>
              </w:rPr>
            </w:pPr>
            <w:r w:rsidRPr="002A503B">
              <w:rPr>
                <w:sz w:val="22"/>
                <w:szCs w:val="22"/>
              </w:rPr>
              <w:t>0.524</w:t>
            </w:r>
          </w:p>
        </w:tc>
        <w:tc>
          <w:tcPr>
            <w:tcW w:w="1170" w:type="dxa"/>
          </w:tcPr>
          <w:p w14:paraId="46066A41" w14:textId="77777777" w:rsidR="00034196" w:rsidRPr="002A503B" w:rsidRDefault="00034196" w:rsidP="008E57E4">
            <w:pPr>
              <w:spacing w:after="120"/>
              <w:rPr>
                <w:sz w:val="22"/>
                <w:szCs w:val="22"/>
              </w:rPr>
            </w:pPr>
            <w:r w:rsidRPr="002A503B">
              <w:rPr>
                <w:sz w:val="22"/>
                <w:szCs w:val="22"/>
              </w:rPr>
              <w:t>5.249***</w:t>
            </w:r>
          </w:p>
        </w:tc>
      </w:tr>
      <w:tr w:rsidR="00034196" w:rsidRPr="00C95CA8" w14:paraId="3F9BC8FF" w14:textId="77777777" w:rsidTr="00034196">
        <w:tc>
          <w:tcPr>
            <w:tcW w:w="5400" w:type="dxa"/>
          </w:tcPr>
          <w:p w14:paraId="18AC7877" w14:textId="77777777" w:rsidR="00034196" w:rsidRPr="002A503B" w:rsidRDefault="00034196" w:rsidP="008E57E4">
            <w:pPr>
              <w:spacing w:after="120"/>
              <w:rPr>
                <w:sz w:val="22"/>
                <w:szCs w:val="22"/>
              </w:rPr>
            </w:pPr>
            <w:r w:rsidRPr="002A503B">
              <w:rPr>
                <w:sz w:val="22"/>
                <w:szCs w:val="22"/>
              </w:rPr>
              <w:t>Guys from middle-class homes almost never rape</w:t>
            </w:r>
          </w:p>
        </w:tc>
        <w:tc>
          <w:tcPr>
            <w:tcW w:w="720" w:type="dxa"/>
          </w:tcPr>
          <w:p w14:paraId="2B962042" w14:textId="77777777" w:rsidR="00034196" w:rsidRPr="002A503B" w:rsidRDefault="00034196" w:rsidP="008E57E4">
            <w:pPr>
              <w:spacing w:after="120"/>
              <w:rPr>
                <w:sz w:val="22"/>
                <w:szCs w:val="22"/>
              </w:rPr>
            </w:pPr>
            <w:r w:rsidRPr="002A503B">
              <w:rPr>
                <w:sz w:val="22"/>
                <w:szCs w:val="22"/>
              </w:rPr>
              <w:t>1.437</w:t>
            </w:r>
          </w:p>
        </w:tc>
        <w:tc>
          <w:tcPr>
            <w:tcW w:w="720" w:type="dxa"/>
            <w:tcBorders>
              <w:right w:val="single" w:sz="4" w:space="0" w:color="auto"/>
            </w:tcBorders>
          </w:tcPr>
          <w:p w14:paraId="39605234" w14:textId="77777777" w:rsidR="00034196" w:rsidRPr="002A503B" w:rsidRDefault="00034196" w:rsidP="008E57E4">
            <w:pPr>
              <w:spacing w:after="120"/>
              <w:rPr>
                <w:sz w:val="22"/>
                <w:szCs w:val="22"/>
              </w:rPr>
            </w:pPr>
            <w:r w:rsidRPr="002A503B">
              <w:rPr>
                <w:sz w:val="22"/>
                <w:szCs w:val="22"/>
              </w:rPr>
              <w:t>0.674</w:t>
            </w:r>
          </w:p>
        </w:tc>
        <w:tc>
          <w:tcPr>
            <w:tcW w:w="720" w:type="dxa"/>
            <w:tcBorders>
              <w:left w:val="single" w:sz="4" w:space="0" w:color="auto"/>
            </w:tcBorders>
          </w:tcPr>
          <w:p w14:paraId="3F3E60A5" w14:textId="77777777" w:rsidR="00034196" w:rsidRPr="002A503B" w:rsidRDefault="00034196" w:rsidP="008E57E4">
            <w:pPr>
              <w:spacing w:after="120"/>
              <w:rPr>
                <w:sz w:val="22"/>
                <w:szCs w:val="22"/>
              </w:rPr>
            </w:pPr>
            <w:r w:rsidRPr="002A503B">
              <w:rPr>
                <w:sz w:val="22"/>
                <w:szCs w:val="22"/>
              </w:rPr>
              <w:t>1.946</w:t>
            </w:r>
          </w:p>
        </w:tc>
        <w:tc>
          <w:tcPr>
            <w:tcW w:w="769" w:type="dxa"/>
            <w:tcBorders>
              <w:right w:val="single" w:sz="4" w:space="0" w:color="auto"/>
            </w:tcBorders>
          </w:tcPr>
          <w:p w14:paraId="570E65EB" w14:textId="77777777" w:rsidR="00034196" w:rsidRPr="002A503B" w:rsidRDefault="00034196" w:rsidP="008E57E4">
            <w:pPr>
              <w:spacing w:after="120"/>
              <w:rPr>
                <w:sz w:val="22"/>
                <w:szCs w:val="22"/>
              </w:rPr>
            </w:pPr>
            <w:r w:rsidRPr="002A503B">
              <w:rPr>
                <w:sz w:val="22"/>
                <w:szCs w:val="22"/>
              </w:rPr>
              <w:t>1.032</w:t>
            </w:r>
          </w:p>
        </w:tc>
        <w:tc>
          <w:tcPr>
            <w:tcW w:w="851" w:type="dxa"/>
            <w:tcBorders>
              <w:left w:val="single" w:sz="4" w:space="0" w:color="auto"/>
            </w:tcBorders>
          </w:tcPr>
          <w:p w14:paraId="5E68C940" w14:textId="77777777" w:rsidR="00034196" w:rsidRPr="002A503B" w:rsidRDefault="00034196" w:rsidP="008E57E4">
            <w:pPr>
              <w:spacing w:after="120"/>
              <w:rPr>
                <w:sz w:val="22"/>
                <w:szCs w:val="22"/>
              </w:rPr>
            </w:pPr>
            <w:r w:rsidRPr="002A503B">
              <w:rPr>
                <w:sz w:val="22"/>
                <w:szCs w:val="22"/>
              </w:rPr>
              <w:t>0.509</w:t>
            </w:r>
          </w:p>
        </w:tc>
        <w:tc>
          <w:tcPr>
            <w:tcW w:w="1170" w:type="dxa"/>
          </w:tcPr>
          <w:p w14:paraId="74FD9721" w14:textId="77777777" w:rsidR="00034196" w:rsidRPr="002A503B" w:rsidRDefault="00034196" w:rsidP="008E57E4">
            <w:pPr>
              <w:spacing w:after="120"/>
              <w:rPr>
                <w:sz w:val="22"/>
                <w:szCs w:val="22"/>
              </w:rPr>
            </w:pPr>
            <w:r w:rsidRPr="002A503B">
              <w:rPr>
                <w:sz w:val="22"/>
                <w:szCs w:val="22"/>
              </w:rPr>
              <w:t>7.625***</w:t>
            </w:r>
          </w:p>
        </w:tc>
      </w:tr>
      <w:tr w:rsidR="00034196" w:rsidRPr="00C95CA8" w14:paraId="1FEE9090" w14:textId="77777777" w:rsidTr="00034196">
        <w:tc>
          <w:tcPr>
            <w:tcW w:w="5400" w:type="dxa"/>
          </w:tcPr>
          <w:p w14:paraId="567AA9CA" w14:textId="6BEA27F5" w:rsidR="00034196" w:rsidRPr="002A503B" w:rsidRDefault="00034196" w:rsidP="00EE30F0">
            <w:pPr>
              <w:spacing w:after="120"/>
              <w:rPr>
                <w:sz w:val="22"/>
                <w:szCs w:val="22"/>
              </w:rPr>
            </w:pPr>
            <w:r w:rsidRPr="002A503B">
              <w:rPr>
                <w:sz w:val="22"/>
                <w:szCs w:val="22"/>
              </w:rPr>
              <w:t xml:space="preserve">A lot of girls lead guys on and then they </w:t>
            </w:r>
            <w:r w:rsidR="00EE30F0">
              <w:rPr>
                <w:sz w:val="22"/>
                <w:szCs w:val="22"/>
              </w:rPr>
              <w:t>cry rape</w:t>
            </w:r>
          </w:p>
        </w:tc>
        <w:tc>
          <w:tcPr>
            <w:tcW w:w="720" w:type="dxa"/>
          </w:tcPr>
          <w:p w14:paraId="3AD08B57" w14:textId="77777777" w:rsidR="00034196" w:rsidRPr="002A503B" w:rsidRDefault="00034196" w:rsidP="008E57E4">
            <w:pPr>
              <w:spacing w:after="120"/>
              <w:rPr>
                <w:sz w:val="22"/>
                <w:szCs w:val="22"/>
              </w:rPr>
            </w:pPr>
            <w:r w:rsidRPr="002A503B">
              <w:rPr>
                <w:sz w:val="22"/>
                <w:szCs w:val="22"/>
              </w:rPr>
              <w:t>1.883</w:t>
            </w:r>
          </w:p>
        </w:tc>
        <w:tc>
          <w:tcPr>
            <w:tcW w:w="720" w:type="dxa"/>
            <w:tcBorders>
              <w:right w:val="single" w:sz="4" w:space="0" w:color="auto"/>
            </w:tcBorders>
          </w:tcPr>
          <w:p w14:paraId="6D7E6417" w14:textId="77777777" w:rsidR="00034196" w:rsidRPr="002A503B" w:rsidRDefault="00034196" w:rsidP="008E57E4">
            <w:pPr>
              <w:spacing w:after="120"/>
              <w:rPr>
                <w:sz w:val="22"/>
                <w:szCs w:val="22"/>
              </w:rPr>
            </w:pPr>
            <w:r w:rsidRPr="002A503B">
              <w:rPr>
                <w:sz w:val="22"/>
                <w:szCs w:val="22"/>
              </w:rPr>
              <w:t>0.932</w:t>
            </w:r>
          </w:p>
        </w:tc>
        <w:tc>
          <w:tcPr>
            <w:tcW w:w="720" w:type="dxa"/>
            <w:tcBorders>
              <w:left w:val="single" w:sz="4" w:space="0" w:color="auto"/>
            </w:tcBorders>
          </w:tcPr>
          <w:p w14:paraId="24D2BE3E" w14:textId="77777777" w:rsidR="00034196" w:rsidRPr="002A503B" w:rsidRDefault="00034196" w:rsidP="008E57E4">
            <w:pPr>
              <w:spacing w:after="120"/>
              <w:rPr>
                <w:sz w:val="22"/>
                <w:szCs w:val="22"/>
              </w:rPr>
            </w:pPr>
            <w:r w:rsidRPr="002A503B">
              <w:rPr>
                <w:sz w:val="22"/>
                <w:szCs w:val="22"/>
              </w:rPr>
              <w:t>2.351</w:t>
            </w:r>
          </w:p>
        </w:tc>
        <w:tc>
          <w:tcPr>
            <w:tcW w:w="769" w:type="dxa"/>
            <w:tcBorders>
              <w:right w:val="single" w:sz="4" w:space="0" w:color="auto"/>
            </w:tcBorders>
          </w:tcPr>
          <w:p w14:paraId="43D91BFA" w14:textId="77777777" w:rsidR="00034196" w:rsidRPr="002A503B" w:rsidRDefault="00034196" w:rsidP="008E57E4">
            <w:pPr>
              <w:spacing w:after="120"/>
              <w:rPr>
                <w:sz w:val="22"/>
                <w:szCs w:val="22"/>
              </w:rPr>
            </w:pPr>
            <w:r w:rsidRPr="002A503B">
              <w:rPr>
                <w:sz w:val="22"/>
                <w:szCs w:val="22"/>
              </w:rPr>
              <w:t>1.171</w:t>
            </w:r>
          </w:p>
        </w:tc>
        <w:tc>
          <w:tcPr>
            <w:tcW w:w="851" w:type="dxa"/>
            <w:tcBorders>
              <w:left w:val="single" w:sz="4" w:space="0" w:color="auto"/>
            </w:tcBorders>
          </w:tcPr>
          <w:p w14:paraId="7B131C49" w14:textId="77777777" w:rsidR="00034196" w:rsidRPr="002A503B" w:rsidRDefault="00034196" w:rsidP="008E57E4">
            <w:pPr>
              <w:spacing w:after="120"/>
              <w:rPr>
                <w:sz w:val="22"/>
                <w:szCs w:val="22"/>
              </w:rPr>
            </w:pPr>
            <w:r w:rsidRPr="002A503B">
              <w:rPr>
                <w:sz w:val="22"/>
                <w:szCs w:val="22"/>
              </w:rPr>
              <w:t>0.468</w:t>
            </w:r>
          </w:p>
        </w:tc>
        <w:tc>
          <w:tcPr>
            <w:tcW w:w="1170" w:type="dxa"/>
          </w:tcPr>
          <w:p w14:paraId="27310DE3" w14:textId="77777777" w:rsidR="00034196" w:rsidRPr="002A503B" w:rsidRDefault="00034196" w:rsidP="008E57E4">
            <w:pPr>
              <w:spacing w:after="120"/>
              <w:rPr>
                <w:sz w:val="22"/>
                <w:szCs w:val="22"/>
              </w:rPr>
            </w:pPr>
            <w:r w:rsidRPr="002A503B">
              <w:rPr>
                <w:sz w:val="22"/>
                <w:szCs w:val="22"/>
              </w:rPr>
              <w:t>5.569***</w:t>
            </w:r>
          </w:p>
        </w:tc>
      </w:tr>
      <w:tr w:rsidR="00034196" w:rsidRPr="00C95CA8" w14:paraId="4E36F2AD" w14:textId="77777777" w:rsidTr="00034196">
        <w:tc>
          <w:tcPr>
            <w:tcW w:w="5400" w:type="dxa"/>
          </w:tcPr>
          <w:p w14:paraId="1E2CA8A6" w14:textId="67EC79DF" w:rsidR="00034196" w:rsidRPr="002A503B" w:rsidRDefault="00034196" w:rsidP="00EE30F0">
            <w:pPr>
              <w:spacing w:after="120"/>
              <w:rPr>
                <w:sz w:val="22"/>
                <w:szCs w:val="22"/>
              </w:rPr>
            </w:pPr>
            <w:r w:rsidRPr="002A503B">
              <w:rPr>
                <w:sz w:val="22"/>
                <w:szCs w:val="22"/>
              </w:rPr>
              <w:t xml:space="preserve">Although most girls wouldn’t admit it, they </w:t>
            </w:r>
            <w:r w:rsidR="00EE30F0">
              <w:rPr>
                <w:sz w:val="22"/>
                <w:szCs w:val="22"/>
              </w:rPr>
              <w:t>generally find being physically forced into sex a real “turn-on”</w:t>
            </w:r>
          </w:p>
        </w:tc>
        <w:tc>
          <w:tcPr>
            <w:tcW w:w="720" w:type="dxa"/>
          </w:tcPr>
          <w:p w14:paraId="324EB4F5" w14:textId="77777777" w:rsidR="00034196" w:rsidRPr="002A503B" w:rsidRDefault="00034196" w:rsidP="008E57E4">
            <w:pPr>
              <w:spacing w:after="120"/>
              <w:rPr>
                <w:sz w:val="22"/>
                <w:szCs w:val="22"/>
              </w:rPr>
            </w:pPr>
            <w:r w:rsidRPr="002A503B">
              <w:rPr>
                <w:sz w:val="22"/>
                <w:szCs w:val="22"/>
              </w:rPr>
              <w:t>1.523</w:t>
            </w:r>
          </w:p>
        </w:tc>
        <w:tc>
          <w:tcPr>
            <w:tcW w:w="720" w:type="dxa"/>
            <w:tcBorders>
              <w:right w:val="single" w:sz="4" w:space="0" w:color="auto"/>
            </w:tcBorders>
          </w:tcPr>
          <w:p w14:paraId="1080EDE1" w14:textId="77777777" w:rsidR="00034196" w:rsidRPr="002A503B" w:rsidRDefault="00034196" w:rsidP="008E57E4">
            <w:pPr>
              <w:spacing w:after="120"/>
              <w:rPr>
                <w:sz w:val="22"/>
                <w:szCs w:val="22"/>
              </w:rPr>
            </w:pPr>
            <w:r w:rsidRPr="002A503B">
              <w:rPr>
                <w:sz w:val="22"/>
                <w:szCs w:val="22"/>
              </w:rPr>
              <w:t>0.837</w:t>
            </w:r>
          </w:p>
        </w:tc>
        <w:tc>
          <w:tcPr>
            <w:tcW w:w="720" w:type="dxa"/>
            <w:tcBorders>
              <w:left w:val="single" w:sz="4" w:space="0" w:color="auto"/>
            </w:tcBorders>
          </w:tcPr>
          <w:p w14:paraId="3D32802B" w14:textId="77777777" w:rsidR="00034196" w:rsidRPr="002A503B" w:rsidRDefault="00034196" w:rsidP="008E57E4">
            <w:pPr>
              <w:spacing w:after="120"/>
              <w:rPr>
                <w:sz w:val="22"/>
                <w:szCs w:val="22"/>
              </w:rPr>
            </w:pPr>
            <w:r w:rsidRPr="002A503B">
              <w:rPr>
                <w:sz w:val="22"/>
                <w:szCs w:val="22"/>
              </w:rPr>
              <w:t>1.980</w:t>
            </w:r>
          </w:p>
        </w:tc>
        <w:tc>
          <w:tcPr>
            <w:tcW w:w="769" w:type="dxa"/>
            <w:tcBorders>
              <w:right w:val="single" w:sz="4" w:space="0" w:color="auto"/>
            </w:tcBorders>
          </w:tcPr>
          <w:p w14:paraId="556BCAA3" w14:textId="77777777" w:rsidR="00034196" w:rsidRPr="002A503B" w:rsidRDefault="00034196" w:rsidP="008E57E4">
            <w:pPr>
              <w:spacing w:after="120"/>
              <w:rPr>
                <w:sz w:val="22"/>
                <w:szCs w:val="22"/>
              </w:rPr>
            </w:pPr>
            <w:r w:rsidRPr="002A503B">
              <w:rPr>
                <w:sz w:val="22"/>
                <w:szCs w:val="22"/>
              </w:rPr>
              <w:t>1.130</w:t>
            </w:r>
          </w:p>
        </w:tc>
        <w:tc>
          <w:tcPr>
            <w:tcW w:w="851" w:type="dxa"/>
            <w:tcBorders>
              <w:left w:val="single" w:sz="4" w:space="0" w:color="auto"/>
            </w:tcBorders>
          </w:tcPr>
          <w:p w14:paraId="2349A0F7" w14:textId="77777777" w:rsidR="00034196" w:rsidRPr="002A503B" w:rsidRDefault="00034196" w:rsidP="008E57E4">
            <w:pPr>
              <w:spacing w:after="120"/>
              <w:rPr>
                <w:sz w:val="22"/>
                <w:szCs w:val="22"/>
              </w:rPr>
            </w:pPr>
            <w:r w:rsidRPr="002A503B">
              <w:rPr>
                <w:sz w:val="22"/>
                <w:szCs w:val="22"/>
              </w:rPr>
              <w:t>0.457</w:t>
            </w:r>
          </w:p>
        </w:tc>
        <w:tc>
          <w:tcPr>
            <w:tcW w:w="1170" w:type="dxa"/>
          </w:tcPr>
          <w:p w14:paraId="5AB0DDB9" w14:textId="77777777" w:rsidR="00034196" w:rsidRPr="002A503B" w:rsidRDefault="00034196" w:rsidP="008E57E4">
            <w:pPr>
              <w:spacing w:after="120"/>
              <w:rPr>
                <w:sz w:val="22"/>
                <w:szCs w:val="22"/>
              </w:rPr>
            </w:pPr>
            <w:r w:rsidRPr="002A503B">
              <w:rPr>
                <w:sz w:val="22"/>
                <w:szCs w:val="22"/>
              </w:rPr>
              <w:t>5.871***</w:t>
            </w:r>
          </w:p>
        </w:tc>
      </w:tr>
      <w:tr w:rsidR="00034196" w:rsidRPr="00C95CA8" w14:paraId="19F85F11" w14:textId="77777777" w:rsidTr="00034196">
        <w:tc>
          <w:tcPr>
            <w:tcW w:w="5400" w:type="dxa"/>
          </w:tcPr>
          <w:p w14:paraId="2D08A2FA" w14:textId="77777777" w:rsidR="00034196" w:rsidRPr="002A503B" w:rsidRDefault="00034196" w:rsidP="008E57E4">
            <w:pPr>
              <w:spacing w:after="120"/>
              <w:rPr>
                <w:sz w:val="22"/>
                <w:szCs w:val="22"/>
              </w:rPr>
            </w:pPr>
            <w:r w:rsidRPr="002A503B">
              <w:rPr>
                <w:sz w:val="22"/>
                <w:szCs w:val="22"/>
              </w:rPr>
              <w:t>If a girl goes to a room alone with a guy at a party, it is at least partially her own fault if she is raped</w:t>
            </w:r>
          </w:p>
        </w:tc>
        <w:tc>
          <w:tcPr>
            <w:tcW w:w="720" w:type="dxa"/>
          </w:tcPr>
          <w:p w14:paraId="3F611947" w14:textId="77777777" w:rsidR="00034196" w:rsidRPr="002A503B" w:rsidRDefault="00034196" w:rsidP="008E57E4">
            <w:pPr>
              <w:spacing w:after="120"/>
              <w:rPr>
                <w:sz w:val="22"/>
                <w:szCs w:val="22"/>
              </w:rPr>
            </w:pPr>
            <w:r w:rsidRPr="002A503B">
              <w:rPr>
                <w:sz w:val="22"/>
                <w:szCs w:val="22"/>
              </w:rPr>
              <w:t>1.803</w:t>
            </w:r>
          </w:p>
        </w:tc>
        <w:tc>
          <w:tcPr>
            <w:tcW w:w="720" w:type="dxa"/>
            <w:tcBorders>
              <w:right w:val="single" w:sz="4" w:space="0" w:color="auto"/>
            </w:tcBorders>
          </w:tcPr>
          <w:p w14:paraId="0B138513" w14:textId="77777777" w:rsidR="00034196" w:rsidRPr="002A503B" w:rsidRDefault="00034196" w:rsidP="008E57E4">
            <w:pPr>
              <w:spacing w:after="120"/>
              <w:rPr>
                <w:sz w:val="22"/>
                <w:szCs w:val="22"/>
              </w:rPr>
            </w:pPr>
            <w:r w:rsidRPr="002A503B">
              <w:rPr>
                <w:sz w:val="22"/>
                <w:szCs w:val="22"/>
              </w:rPr>
              <w:t>1.004</w:t>
            </w:r>
          </w:p>
        </w:tc>
        <w:tc>
          <w:tcPr>
            <w:tcW w:w="720" w:type="dxa"/>
            <w:tcBorders>
              <w:left w:val="single" w:sz="4" w:space="0" w:color="auto"/>
            </w:tcBorders>
          </w:tcPr>
          <w:p w14:paraId="06E4D9EF" w14:textId="77777777" w:rsidR="00034196" w:rsidRPr="002A503B" w:rsidRDefault="00034196" w:rsidP="008E57E4">
            <w:pPr>
              <w:spacing w:after="120"/>
              <w:rPr>
                <w:sz w:val="22"/>
                <w:szCs w:val="22"/>
              </w:rPr>
            </w:pPr>
            <w:r w:rsidRPr="002A503B">
              <w:rPr>
                <w:sz w:val="22"/>
                <w:szCs w:val="22"/>
              </w:rPr>
              <w:t>2.258</w:t>
            </w:r>
          </w:p>
        </w:tc>
        <w:tc>
          <w:tcPr>
            <w:tcW w:w="769" w:type="dxa"/>
            <w:tcBorders>
              <w:right w:val="single" w:sz="4" w:space="0" w:color="auto"/>
            </w:tcBorders>
          </w:tcPr>
          <w:p w14:paraId="148969DD" w14:textId="77777777" w:rsidR="00034196" w:rsidRPr="002A503B" w:rsidRDefault="00034196" w:rsidP="008E57E4">
            <w:pPr>
              <w:spacing w:after="120"/>
              <w:rPr>
                <w:sz w:val="22"/>
                <w:szCs w:val="22"/>
              </w:rPr>
            </w:pPr>
            <w:r w:rsidRPr="002A503B">
              <w:rPr>
                <w:sz w:val="22"/>
                <w:szCs w:val="22"/>
              </w:rPr>
              <w:t>1.219</w:t>
            </w:r>
          </w:p>
        </w:tc>
        <w:tc>
          <w:tcPr>
            <w:tcW w:w="851" w:type="dxa"/>
            <w:tcBorders>
              <w:left w:val="single" w:sz="4" w:space="0" w:color="auto"/>
            </w:tcBorders>
          </w:tcPr>
          <w:p w14:paraId="76AEF40F" w14:textId="77777777" w:rsidR="00034196" w:rsidRPr="002A503B" w:rsidRDefault="00034196" w:rsidP="008E57E4">
            <w:pPr>
              <w:spacing w:after="120"/>
              <w:rPr>
                <w:sz w:val="22"/>
                <w:szCs w:val="22"/>
              </w:rPr>
            </w:pPr>
            <w:r w:rsidRPr="002A503B">
              <w:rPr>
                <w:sz w:val="22"/>
                <w:szCs w:val="22"/>
              </w:rPr>
              <w:t>0.455</w:t>
            </w:r>
          </w:p>
        </w:tc>
        <w:tc>
          <w:tcPr>
            <w:tcW w:w="1170" w:type="dxa"/>
          </w:tcPr>
          <w:p w14:paraId="30D5ED2B" w14:textId="77777777" w:rsidR="00034196" w:rsidRPr="002A503B" w:rsidRDefault="00034196" w:rsidP="008E57E4">
            <w:pPr>
              <w:spacing w:after="120"/>
              <w:rPr>
                <w:sz w:val="22"/>
                <w:szCs w:val="22"/>
              </w:rPr>
            </w:pPr>
            <w:r w:rsidRPr="002A503B">
              <w:rPr>
                <w:sz w:val="22"/>
                <w:szCs w:val="22"/>
              </w:rPr>
              <w:t>5.092***</w:t>
            </w:r>
          </w:p>
        </w:tc>
      </w:tr>
      <w:tr w:rsidR="00034196" w:rsidRPr="00C95CA8" w14:paraId="34EAE131" w14:textId="77777777" w:rsidTr="00034196">
        <w:tc>
          <w:tcPr>
            <w:tcW w:w="5400" w:type="dxa"/>
          </w:tcPr>
          <w:p w14:paraId="6863DDD9" w14:textId="77777777" w:rsidR="00034196" w:rsidRPr="002A503B" w:rsidRDefault="00034196" w:rsidP="008E57E4">
            <w:pPr>
              <w:spacing w:after="120"/>
              <w:rPr>
                <w:sz w:val="22"/>
                <w:szCs w:val="22"/>
              </w:rPr>
            </w:pPr>
            <w:r w:rsidRPr="002A503B">
              <w:rPr>
                <w:sz w:val="22"/>
                <w:szCs w:val="22"/>
              </w:rPr>
              <w:t>Rape is unlikely to happen in the girl’s own familiar neighborhood</w:t>
            </w:r>
          </w:p>
        </w:tc>
        <w:tc>
          <w:tcPr>
            <w:tcW w:w="720" w:type="dxa"/>
          </w:tcPr>
          <w:p w14:paraId="5A42C365" w14:textId="77777777" w:rsidR="00034196" w:rsidRPr="002A503B" w:rsidRDefault="00034196" w:rsidP="008E57E4">
            <w:pPr>
              <w:spacing w:after="120"/>
              <w:rPr>
                <w:sz w:val="22"/>
                <w:szCs w:val="22"/>
              </w:rPr>
            </w:pPr>
            <w:r w:rsidRPr="002A503B">
              <w:rPr>
                <w:sz w:val="22"/>
                <w:szCs w:val="22"/>
              </w:rPr>
              <w:t>1.427</w:t>
            </w:r>
          </w:p>
        </w:tc>
        <w:tc>
          <w:tcPr>
            <w:tcW w:w="720" w:type="dxa"/>
            <w:tcBorders>
              <w:right w:val="single" w:sz="4" w:space="0" w:color="auto"/>
            </w:tcBorders>
          </w:tcPr>
          <w:p w14:paraId="4E4ED34E" w14:textId="77777777" w:rsidR="00034196" w:rsidRPr="002A503B" w:rsidRDefault="00034196" w:rsidP="008E57E4">
            <w:pPr>
              <w:spacing w:after="120"/>
              <w:rPr>
                <w:sz w:val="22"/>
                <w:szCs w:val="22"/>
              </w:rPr>
            </w:pPr>
            <w:r w:rsidRPr="002A503B">
              <w:rPr>
                <w:sz w:val="22"/>
                <w:szCs w:val="22"/>
              </w:rPr>
              <w:t>0.652</w:t>
            </w:r>
          </w:p>
        </w:tc>
        <w:tc>
          <w:tcPr>
            <w:tcW w:w="720" w:type="dxa"/>
            <w:tcBorders>
              <w:left w:val="single" w:sz="4" w:space="0" w:color="auto"/>
            </w:tcBorders>
          </w:tcPr>
          <w:p w14:paraId="410D3A77" w14:textId="77777777" w:rsidR="00034196" w:rsidRPr="002A503B" w:rsidRDefault="00034196" w:rsidP="008E57E4">
            <w:pPr>
              <w:spacing w:after="120"/>
              <w:rPr>
                <w:sz w:val="22"/>
                <w:szCs w:val="22"/>
              </w:rPr>
            </w:pPr>
            <w:r w:rsidRPr="002A503B">
              <w:rPr>
                <w:sz w:val="22"/>
                <w:szCs w:val="22"/>
              </w:rPr>
              <w:t>1.854</w:t>
            </w:r>
          </w:p>
        </w:tc>
        <w:tc>
          <w:tcPr>
            <w:tcW w:w="769" w:type="dxa"/>
            <w:tcBorders>
              <w:right w:val="single" w:sz="4" w:space="0" w:color="auto"/>
            </w:tcBorders>
          </w:tcPr>
          <w:p w14:paraId="3388CCFC" w14:textId="77777777" w:rsidR="00034196" w:rsidRPr="002A503B" w:rsidRDefault="00034196" w:rsidP="008E57E4">
            <w:pPr>
              <w:spacing w:after="120"/>
              <w:rPr>
                <w:sz w:val="22"/>
                <w:szCs w:val="22"/>
              </w:rPr>
            </w:pPr>
            <w:r w:rsidRPr="002A503B">
              <w:rPr>
                <w:sz w:val="22"/>
                <w:szCs w:val="22"/>
              </w:rPr>
              <w:t>1.101</w:t>
            </w:r>
          </w:p>
        </w:tc>
        <w:tc>
          <w:tcPr>
            <w:tcW w:w="851" w:type="dxa"/>
            <w:tcBorders>
              <w:left w:val="single" w:sz="4" w:space="0" w:color="auto"/>
            </w:tcBorders>
          </w:tcPr>
          <w:p w14:paraId="222CACA6" w14:textId="77777777" w:rsidR="00034196" w:rsidRPr="002A503B" w:rsidRDefault="00034196" w:rsidP="008E57E4">
            <w:pPr>
              <w:spacing w:after="120"/>
              <w:rPr>
                <w:sz w:val="22"/>
                <w:szCs w:val="22"/>
              </w:rPr>
            </w:pPr>
            <w:r w:rsidRPr="002A503B">
              <w:rPr>
                <w:sz w:val="22"/>
                <w:szCs w:val="22"/>
              </w:rPr>
              <w:t>0.427</w:t>
            </w:r>
          </w:p>
        </w:tc>
        <w:tc>
          <w:tcPr>
            <w:tcW w:w="1170" w:type="dxa"/>
          </w:tcPr>
          <w:p w14:paraId="26E832A0" w14:textId="77777777" w:rsidR="00034196" w:rsidRPr="002A503B" w:rsidRDefault="00034196" w:rsidP="008E57E4">
            <w:pPr>
              <w:spacing w:after="120"/>
              <w:rPr>
                <w:sz w:val="22"/>
                <w:szCs w:val="22"/>
              </w:rPr>
            </w:pPr>
            <w:r w:rsidRPr="002A503B">
              <w:rPr>
                <w:sz w:val="22"/>
                <w:szCs w:val="22"/>
              </w:rPr>
              <w:t>6.268***</w:t>
            </w:r>
          </w:p>
        </w:tc>
      </w:tr>
      <w:tr w:rsidR="00034196" w:rsidRPr="00C95CA8" w14:paraId="24A33266" w14:textId="77777777" w:rsidTr="00034196">
        <w:tc>
          <w:tcPr>
            <w:tcW w:w="5400" w:type="dxa"/>
          </w:tcPr>
          <w:p w14:paraId="31CDF011" w14:textId="77777777" w:rsidR="00034196" w:rsidRPr="002A503B" w:rsidRDefault="00034196" w:rsidP="008E57E4">
            <w:pPr>
              <w:spacing w:after="120"/>
              <w:rPr>
                <w:sz w:val="22"/>
                <w:szCs w:val="22"/>
              </w:rPr>
            </w:pPr>
            <w:r w:rsidRPr="002A503B">
              <w:rPr>
                <w:sz w:val="22"/>
                <w:szCs w:val="22"/>
              </w:rPr>
              <w:t>A lot of times, girls who claim they were raped just have emotional problems</w:t>
            </w:r>
          </w:p>
        </w:tc>
        <w:tc>
          <w:tcPr>
            <w:tcW w:w="720" w:type="dxa"/>
          </w:tcPr>
          <w:p w14:paraId="447F78CB" w14:textId="77777777" w:rsidR="00034196" w:rsidRPr="002A503B" w:rsidRDefault="00034196" w:rsidP="008E57E4">
            <w:pPr>
              <w:spacing w:after="120"/>
              <w:rPr>
                <w:sz w:val="22"/>
                <w:szCs w:val="22"/>
              </w:rPr>
            </w:pPr>
            <w:r w:rsidRPr="002A503B">
              <w:rPr>
                <w:sz w:val="22"/>
                <w:szCs w:val="22"/>
              </w:rPr>
              <w:t>1.560</w:t>
            </w:r>
          </w:p>
        </w:tc>
        <w:tc>
          <w:tcPr>
            <w:tcW w:w="720" w:type="dxa"/>
            <w:tcBorders>
              <w:right w:val="single" w:sz="4" w:space="0" w:color="auto"/>
            </w:tcBorders>
          </w:tcPr>
          <w:p w14:paraId="6949DB8F" w14:textId="77777777" w:rsidR="00034196" w:rsidRPr="002A503B" w:rsidRDefault="00034196" w:rsidP="008E57E4">
            <w:pPr>
              <w:spacing w:after="120"/>
              <w:rPr>
                <w:sz w:val="22"/>
                <w:szCs w:val="22"/>
              </w:rPr>
            </w:pPr>
            <w:r w:rsidRPr="002A503B">
              <w:rPr>
                <w:sz w:val="22"/>
                <w:szCs w:val="22"/>
              </w:rPr>
              <w:t>0.778</w:t>
            </w:r>
          </w:p>
        </w:tc>
        <w:tc>
          <w:tcPr>
            <w:tcW w:w="720" w:type="dxa"/>
            <w:tcBorders>
              <w:left w:val="single" w:sz="4" w:space="0" w:color="auto"/>
            </w:tcBorders>
          </w:tcPr>
          <w:p w14:paraId="5178F8A8" w14:textId="77777777" w:rsidR="00034196" w:rsidRPr="002A503B" w:rsidRDefault="00034196" w:rsidP="008E57E4">
            <w:pPr>
              <w:spacing w:after="120"/>
              <w:rPr>
                <w:sz w:val="22"/>
                <w:szCs w:val="22"/>
              </w:rPr>
            </w:pPr>
            <w:r w:rsidRPr="002A503B">
              <w:rPr>
                <w:sz w:val="22"/>
                <w:szCs w:val="22"/>
              </w:rPr>
              <w:t>1.985</w:t>
            </w:r>
          </w:p>
        </w:tc>
        <w:tc>
          <w:tcPr>
            <w:tcW w:w="769" w:type="dxa"/>
            <w:tcBorders>
              <w:right w:val="single" w:sz="4" w:space="0" w:color="auto"/>
            </w:tcBorders>
          </w:tcPr>
          <w:p w14:paraId="28E81A9A" w14:textId="77777777" w:rsidR="00034196" w:rsidRPr="002A503B" w:rsidRDefault="00034196" w:rsidP="008E57E4">
            <w:pPr>
              <w:spacing w:after="120"/>
              <w:rPr>
                <w:sz w:val="22"/>
                <w:szCs w:val="22"/>
              </w:rPr>
            </w:pPr>
            <w:r w:rsidRPr="002A503B">
              <w:rPr>
                <w:sz w:val="22"/>
                <w:szCs w:val="22"/>
              </w:rPr>
              <w:t>1.102</w:t>
            </w:r>
          </w:p>
        </w:tc>
        <w:tc>
          <w:tcPr>
            <w:tcW w:w="851" w:type="dxa"/>
            <w:tcBorders>
              <w:left w:val="single" w:sz="4" w:space="0" w:color="auto"/>
            </w:tcBorders>
          </w:tcPr>
          <w:p w14:paraId="6B514A0E" w14:textId="77777777" w:rsidR="00034196" w:rsidRPr="002A503B" w:rsidRDefault="00034196" w:rsidP="008E57E4">
            <w:pPr>
              <w:spacing w:after="120"/>
              <w:rPr>
                <w:sz w:val="22"/>
                <w:szCs w:val="22"/>
              </w:rPr>
            </w:pPr>
            <w:r w:rsidRPr="002A503B">
              <w:rPr>
                <w:sz w:val="22"/>
                <w:szCs w:val="22"/>
              </w:rPr>
              <w:t>0.425</w:t>
            </w:r>
          </w:p>
        </w:tc>
        <w:tc>
          <w:tcPr>
            <w:tcW w:w="1170" w:type="dxa"/>
          </w:tcPr>
          <w:p w14:paraId="2892D933" w14:textId="77777777" w:rsidR="00034196" w:rsidRPr="002A503B" w:rsidRDefault="00034196" w:rsidP="008E57E4">
            <w:pPr>
              <w:spacing w:after="120"/>
              <w:rPr>
                <w:sz w:val="22"/>
                <w:szCs w:val="22"/>
              </w:rPr>
            </w:pPr>
            <w:r w:rsidRPr="002A503B">
              <w:rPr>
                <w:sz w:val="22"/>
                <w:szCs w:val="22"/>
              </w:rPr>
              <w:t>5.564***</w:t>
            </w:r>
          </w:p>
        </w:tc>
      </w:tr>
      <w:tr w:rsidR="00034196" w:rsidRPr="00C95CA8" w14:paraId="451C8B7F" w14:textId="77777777" w:rsidTr="00034196">
        <w:tc>
          <w:tcPr>
            <w:tcW w:w="5400" w:type="dxa"/>
          </w:tcPr>
          <w:p w14:paraId="23D147BA" w14:textId="77777777" w:rsidR="00034196" w:rsidRPr="002A503B" w:rsidRDefault="00034196" w:rsidP="008E57E4">
            <w:pPr>
              <w:spacing w:after="120"/>
              <w:rPr>
                <w:sz w:val="22"/>
                <w:szCs w:val="22"/>
              </w:rPr>
            </w:pPr>
            <w:r w:rsidRPr="002A503B">
              <w:rPr>
                <w:sz w:val="22"/>
                <w:szCs w:val="22"/>
              </w:rPr>
              <w:t>Guys don’t usually intend to force sex on a girl, but sometimes they get too sexually carried away</w:t>
            </w:r>
          </w:p>
        </w:tc>
        <w:tc>
          <w:tcPr>
            <w:tcW w:w="720" w:type="dxa"/>
          </w:tcPr>
          <w:p w14:paraId="2EB967CA" w14:textId="77777777" w:rsidR="00034196" w:rsidRPr="002A503B" w:rsidRDefault="00034196" w:rsidP="008E57E4">
            <w:pPr>
              <w:spacing w:after="120"/>
              <w:rPr>
                <w:sz w:val="22"/>
                <w:szCs w:val="22"/>
              </w:rPr>
            </w:pPr>
            <w:r w:rsidRPr="002A503B">
              <w:rPr>
                <w:sz w:val="22"/>
                <w:szCs w:val="22"/>
              </w:rPr>
              <w:t>2.123</w:t>
            </w:r>
          </w:p>
        </w:tc>
        <w:tc>
          <w:tcPr>
            <w:tcW w:w="720" w:type="dxa"/>
            <w:tcBorders>
              <w:right w:val="single" w:sz="4" w:space="0" w:color="auto"/>
            </w:tcBorders>
          </w:tcPr>
          <w:p w14:paraId="19CF7339" w14:textId="77777777" w:rsidR="00034196" w:rsidRPr="002A503B" w:rsidRDefault="00034196" w:rsidP="008E57E4">
            <w:pPr>
              <w:spacing w:after="120"/>
              <w:rPr>
                <w:sz w:val="22"/>
                <w:szCs w:val="22"/>
              </w:rPr>
            </w:pPr>
            <w:r w:rsidRPr="002A503B">
              <w:rPr>
                <w:sz w:val="22"/>
                <w:szCs w:val="22"/>
              </w:rPr>
              <w:t>0.994</w:t>
            </w:r>
          </w:p>
        </w:tc>
        <w:tc>
          <w:tcPr>
            <w:tcW w:w="720" w:type="dxa"/>
            <w:tcBorders>
              <w:left w:val="single" w:sz="4" w:space="0" w:color="auto"/>
            </w:tcBorders>
          </w:tcPr>
          <w:p w14:paraId="46840615" w14:textId="77777777" w:rsidR="00034196" w:rsidRPr="002A503B" w:rsidRDefault="00034196" w:rsidP="008E57E4">
            <w:pPr>
              <w:spacing w:after="120"/>
              <w:rPr>
                <w:sz w:val="22"/>
                <w:szCs w:val="22"/>
              </w:rPr>
            </w:pPr>
            <w:r w:rsidRPr="002A503B">
              <w:rPr>
                <w:sz w:val="22"/>
                <w:szCs w:val="22"/>
              </w:rPr>
              <w:t>2.540</w:t>
            </w:r>
          </w:p>
        </w:tc>
        <w:tc>
          <w:tcPr>
            <w:tcW w:w="769" w:type="dxa"/>
            <w:tcBorders>
              <w:right w:val="single" w:sz="4" w:space="0" w:color="auto"/>
            </w:tcBorders>
          </w:tcPr>
          <w:p w14:paraId="51EA2C32" w14:textId="77777777" w:rsidR="00034196" w:rsidRPr="002A503B" w:rsidRDefault="00034196" w:rsidP="008E57E4">
            <w:pPr>
              <w:spacing w:after="120"/>
              <w:rPr>
                <w:sz w:val="22"/>
                <w:szCs w:val="22"/>
              </w:rPr>
            </w:pPr>
            <w:r w:rsidRPr="002A503B">
              <w:rPr>
                <w:sz w:val="22"/>
                <w:szCs w:val="22"/>
              </w:rPr>
              <w:t>1.178</w:t>
            </w:r>
          </w:p>
        </w:tc>
        <w:tc>
          <w:tcPr>
            <w:tcW w:w="851" w:type="dxa"/>
            <w:tcBorders>
              <w:left w:val="single" w:sz="4" w:space="0" w:color="auto"/>
            </w:tcBorders>
          </w:tcPr>
          <w:p w14:paraId="1FAE4877" w14:textId="77777777" w:rsidR="00034196" w:rsidRPr="002A503B" w:rsidRDefault="00034196" w:rsidP="008E57E4">
            <w:pPr>
              <w:spacing w:after="120"/>
              <w:rPr>
                <w:sz w:val="22"/>
                <w:szCs w:val="22"/>
              </w:rPr>
            </w:pPr>
            <w:r w:rsidRPr="002A503B">
              <w:rPr>
                <w:sz w:val="22"/>
                <w:szCs w:val="22"/>
              </w:rPr>
              <w:t>0.414</w:t>
            </w:r>
          </w:p>
        </w:tc>
        <w:tc>
          <w:tcPr>
            <w:tcW w:w="1170" w:type="dxa"/>
          </w:tcPr>
          <w:p w14:paraId="7C1ECFF3" w14:textId="77777777" w:rsidR="00034196" w:rsidRPr="002A503B" w:rsidRDefault="00034196" w:rsidP="008E57E4">
            <w:pPr>
              <w:spacing w:after="120"/>
              <w:rPr>
                <w:sz w:val="22"/>
                <w:szCs w:val="22"/>
              </w:rPr>
            </w:pPr>
            <w:r w:rsidRPr="002A503B">
              <w:rPr>
                <w:sz w:val="22"/>
                <w:szCs w:val="22"/>
              </w:rPr>
              <w:t>4.723***</w:t>
            </w:r>
          </w:p>
        </w:tc>
      </w:tr>
      <w:tr w:rsidR="00034196" w:rsidRPr="00C95CA8" w14:paraId="3A09FA85" w14:textId="77777777" w:rsidTr="00034196">
        <w:tc>
          <w:tcPr>
            <w:tcW w:w="5400" w:type="dxa"/>
          </w:tcPr>
          <w:p w14:paraId="73206877" w14:textId="77777777" w:rsidR="00034196" w:rsidRPr="002A503B" w:rsidRDefault="00034196" w:rsidP="008E57E4">
            <w:pPr>
              <w:spacing w:after="120"/>
              <w:rPr>
                <w:sz w:val="22"/>
                <w:szCs w:val="22"/>
              </w:rPr>
            </w:pPr>
            <w:r w:rsidRPr="002A503B">
              <w:rPr>
                <w:sz w:val="22"/>
                <w:szCs w:val="22"/>
              </w:rPr>
              <w:t>If a girl doesn’t physically fight back, you can’t really say it was rape</w:t>
            </w:r>
          </w:p>
        </w:tc>
        <w:tc>
          <w:tcPr>
            <w:tcW w:w="720" w:type="dxa"/>
          </w:tcPr>
          <w:p w14:paraId="3D549B8F" w14:textId="77777777" w:rsidR="00034196" w:rsidRPr="002A503B" w:rsidRDefault="00034196" w:rsidP="008E57E4">
            <w:pPr>
              <w:spacing w:after="120"/>
              <w:rPr>
                <w:sz w:val="22"/>
                <w:szCs w:val="22"/>
              </w:rPr>
            </w:pPr>
            <w:r w:rsidRPr="002A503B">
              <w:rPr>
                <w:sz w:val="22"/>
                <w:szCs w:val="22"/>
              </w:rPr>
              <w:t>1.407</w:t>
            </w:r>
          </w:p>
        </w:tc>
        <w:tc>
          <w:tcPr>
            <w:tcW w:w="720" w:type="dxa"/>
            <w:tcBorders>
              <w:right w:val="single" w:sz="4" w:space="0" w:color="auto"/>
            </w:tcBorders>
          </w:tcPr>
          <w:p w14:paraId="71E0A060" w14:textId="77777777" w:rsidR="00034196" w:rsidRPr="002A503B" w:rsidRDefault="00034196" w:rsidP="008E57E4">
            <w:pPr>
              <w:spacing w:after="120"/>
              <w:rPr>
                <w:sz w:val="22"/>
                <w:szCs w:val="22"/>
              </w:rPr>
            </w:pPr>
            <w:r w:rsidRPr="002A503B">
              <w:rPr>
                <w:sz w:val="22"/>
                <w:szCs w:val="22"/>
              </w:rPr>
              <w:t>0.717</w:t>
            </w:r>
          </w:p>
        </w:tc>
        <w:tc>
          <w:tcPr>
            <w:tcW w:w="720" w:type="dxa"/>
            <w:tcBorders>
              <w:left w:val="single" w:sz="4" w:space="0" w:color="auto"/>
            </w:tcBorders>
          </w:tcPr>
          <w:p w14:paraId="51758480" w14:textId="77777777" w:rsidR="00034196" w:rsidRPr="002A503B" w:rsidRDefault="00034196" w:rsidP="008E57E4">
            <w:pPr>
              <w:spacing w:after="120"/>
              <w:rPr>
                <w:sz w:val="22"/>
                <w:szCs w:val="22"/>
              </w:rPr>
            </w:pPr>
            <w:r w:rsidRPr="002A503B">
              <w:rPr>
                <w:sz w:val="22"/>
                <w:szCs w:val="22"/>
              </w:rPr>
              <w:t>1.810</w:t>
            </w:r>
          </w:p>
        </w:tc>
        <w:tc>
          <w:tcPr>
            <w:tcW w:w="769" w:type="dxa"/>
            <w:tcBorders>
              <w:right w:val="single" w:sz="4" w:space="0" w:color="auto"/>
            </w:tcBorders>
          </w:tcPr>
          <w:p w14:paraId="246905A2" w14:textId="77777777" w:rsidR="00034196" w:rsidRPr="002A503B" w:rsidRDefault="00034196" w:rsidP="008E57E4">
            <w:pPr>
              <w:spacing w:after="120"/>
              <w:rPr>
                <w:sz w:val="22"/>
                <w:szCs w:val="22"/>
              </w:rPr>
            </w:pPr>
            <w:r w:rsidRPr="002A503B">
              <w:rPr>
                <w:sz w:val="22"/>
                <w:szCs w:val="22"/>
              </w:rPr>
              <w:t>1.029</w:t>
            </w:r>
          </w:p>
        </w:tc>
        <w:tc>
          <w:tcPr>
            <w:tcW w:w="851" w:type="dxa"/>
            <w:tcBorders>
              <w:left w:val="single" w:sz="4" w:space="0" w:color="auto"/>
            </w:tcBorders>
          </w:tcPr>
          <w:p w14:paraId="6C09D73D" w14:textId="77777777" w:rsidR="00034196" w:rsidRPr="002A503B" w:rsidRDefault="00034196" w:rsidP="008E57E4">
            <w:pPr>
              <w:spacing w:after="120"/>
              <w:rPr>
                <w:sz w:val="22"/>
                <w:szCs w:val="22"/>
              </w:rPr>
            </w:pPr>
            <w:r w:rsidRPr="002A503B">
              <w:rPr>
                <w:sz w:val="22"/>
                <w:szCs w:val="22"/>
              </w:rPr>
              <w:t>0.404</w:t>
            </w:r>
          </w:p>
        </w:tc>
        <w:tc>
          <w:tcPr>
            <w:tcW w:w="1170" w:type="dxa"/>
          </w:tcPr>
          <w:p w14:paraId="509332A0" w14:textId="77777777" w:rsidR="00034196" w:rsidRPr="002A503B" w:rsidRDefault="00034196" w:rsidP="008E57E4">
            <w:pPr>
              <w:spacing w:after="120"/>
              <w:rPr>
                <w:sz w:val="22"/>
                <w:szCs w:val="22"/>
              </w:rPr>
            </w:pPr>
            <w:r w:rsidRPr="002A503B">
              <w:rPr>
                <w:sz w:val="22"/>
                <w:szCs w:val="22"/>
              </w:rPr>
              <w:t>5.886***</w:t>
            </w:r>
          </w:p>
        </w:tc>
      </w:tr>
      <w:tr w:rsidR="00034196" w:rsidRPr="00C95CA8" w14:paraId="2FC99A11" w14:textId="77777777" w:rsidTr="00034196">
        <w:tc>
          <w:tcPr>
            <w:tcW w:w="5400" w:type="dxa"/>
          </w:tcPr>
          <w:p w14:paraId="2BDC845A" w14:textId="77777777" w:rsidR="00034196" w:rsidRPr="002A503B" w:rsidRDefault="00034196" w:rsidP="008E57E4">
            <w:pPr>
              <w:spacing w:after="120"/>
              <w:rPr>
                <w:sz w:val="22"/>
                <w:szCs w:val="22"/>
              </w:rPr>
            </w:pPr>
            <w:r w:rsidRPr="002A503B">
              <w:rPr>
                <w:sz w:val="22"/>
                <w:szCs w:val="22"/>
              </w:rPr>
              <w:t>If a girl is raped while she is drunk, she is at least somewhat responsible for letting things get out of control</w:t>
            </w:r>
          </w:p>
        </w:tc>
        <w:tc>
          <w:tcPr>
            <w:tcW w:w="720" w:type="dxa"/>
          </w:tcPr>
          <w:p w14:paraId="45CE47D6" w14:textId="77777777" w:rsidR="00034196" w:rsidRPr="002A503B" w:rsidRDefault="00034196" w:rsidP="008E57E4">
            <w:pPr>
              <w:spacing w:after="120"/>
              <w:rPr>
                <w:sz w:val="22"/>
                <w:szCs w:val="22"/>
              </w:rPr>
            </w:pPr>
            <w:r w:rsidRPr="002A503B">
              <w:rPr>
                <w:sz w:val="22"/>
                <w:szCs w:val="22"/>
              </w:rPr>
              <w:t>1.860</w:t>
            </w:r>
          </w:p>
        </w:tc>
        <w:tc>
          <w:tcPr>
            <w:tcW w:w="720" w:type="dxa"/>
            <w:tcBorders>
              <w:right w:val="single" w:sz="4" w:space="0" w:color="auto"/>
            </w:tcBorders>
          </w:tcPr>
          <w:p w14:paraId="15A6C01A" w14:textId="77777777" w:rsidR="00034196" w:rsidRPr="002A503B" w:rsidRDefault="00034196" w:rsidP="008E57E4">
            <w:pPr>
              <w:spacing w:after="120"/>
              <w:rPr>
                <w:sz w:val="22"/>
                <w:szCs w:val="22"/>
              </w:rPr>
            </w:pPr>
            <w:r w:rsidRPr="002A503B">
              <w:rPr>
                <w:sz w:val="22"/>
                <w:szCs w:val="22"/>
              </w:rPr>
              <w:t>1.015</w:t>
            </w:r>
          </w:p>
        </w:tc>
        <w:tc>
          <w:tcPr>
            <w:tcW w:w="720" w:type="dxa"/>
            <w:tcBorders>
              <w:left w:val="single" w:sz="4" w:space="0" w:color="auto"/>
            </w:tcBorders>
          </w:tcPr>
          <w:p w14:paraId="39245361" w14:textId="77777777" w:rsidR="00034196" w:rsidRPr="002A503B" w:rsidRDefault="00034196" w:rsidP="008E57E4">
            <w:pPr>
              <w:spacing w:after="120"/>
              <w:rPr>
                <w:sz w:val="22"/>
                <w:szCs w:val="22"/>
              </w:rPr>
            </w:pPr>
            <w:r w:rsidRPr="002A503B">
              <w:rPr>
                <w:sz w:val="22"/>
                <w:szCs w:val="22"/>
              </w:rPr>
              <w:t>2.148</w:t>
            </w:r>
          </w:p>
        </w:tc>
        <w:tc>
          <w:tcPr>
            <w:tcW w:w="769" w:type="dxa"/>
            <w:tcBorders>
              <w:right w:val="single" w:sz="4" w:space="0" w:color="auto"/>
            </w:tcBorders>
          </w:tcPr>
          <w:p w14:paraId="419F70FA" w14:textId="77777777" w:rsidR="00034196" w:rsidRPr="002A503B" w:rsidRDefault="00034196" w:rsidP="008E57E4">
            <w:pPr>
              <w:spacing w:after="120"/>
              <w:rPr>
                <w:sz w:val="22"/>
                <w:szCs w:val="22"/>
              </w:rPr>
            </w:pPr>
            <w:r w:rsidRPr="002A503B">
              <w:rPr>
                <w:sz w:val="22"/>
                <w:szCs w:val="22"/>
              </w:rPr>
              <w:t>1.226</w:t>
            </w:r>
          </w:p>
        </w:tc>
        <w:tc>
          <w:tcPr>
            <w:tcW w:w="851" w:type="dxa"/>
            <w:tcBorders>
              <w:left w:val="single" w:sz="4" w:space="0" w:color="auto"/>
            </w:tcBorders>
          </w:tcPr>
          <w:p w14:paraId="1CBDFE44" w14:textId="77777777" w:rsidR="00034196" w:rsidRPr="002A503B" w:rsidRDefault="00034196" w:rsidP="008E57E4">
            <w:pPr>
              <w:spacing w:after="120"/>
              <w:rPr>
                <w:sz w:val="22"/>
                <w:szCs w:val="22"/>
              </w:rPr>
            </w:pPr>
            <w:r w:rsidRPr="002A503B">
              <w:rPr>
                <w:sz w:val="22"/>
                <w:szCs w:val="22"/>
              </w:rPr>
              <w:t>0.288</w:t>
            </w:r>
          </w:p>
        </w:tc>
        <w:tc>
          <w:tcPr>
            <w:tcW w:w="1170" w:type="dxa"/>
          </w:tcPr>
          <w:p w14:paraId="3FD02935" w14:textId="78C803DE" w:rsidR="00034196" w:rsidRPr="002A503B" w:rsidRDefault="00034196" w:rsidP="008E57E4">
            <w:pPr>
              <w:spacing w:after="120"/>
              <w:rPr>
                <w:sz w:val="22"/>
                <w:szCs w:val="22"/>
              </w:rPr>
            </w:pPr>
            <w:r w:rsidRPr="002A503B">
              <w:rPr>
                <w:sz w:val="22"/>
                <w:szCs w:val="22"/>
              </w:rPr>
              <w:t>3.205**</w:t>
            </w:r>
            <w:r w:rsidR="005F190A">
              <w:rPr>
                <w:sz w:val="22"/>
                <w:szCs w:val="22"/>
              </w:rPr>
              <w:t>+</w:t>
            </w:r>
          </w:p>
        </w:tc>
      </w:tr>
      <w:tr w:rsidR="00034196" w:rsidRPr="00C95CA8" w14:paraId="37ED5D7A" w14:textId="77777777" w:rsidTr="00034196">
        <w:tc>
          <w:tcPr>
            <w:tcW w:w="5400" w:type="dxa"/>
          </w:tcPr>
          <w:p w14:paraId="64284069" w14:textId="77777777" w:rsidR="00034196" w:rsidRPr="002A503B" w:rsidRDefault="00034196" w:rsidP="008E57E4">
            <w:pPr>
              <w:spacing w:after="120"/>
              <w:rPr>
                <w:sz w:val="22"/>
                <w:szCs w:val="22"/>
              </w:rPr>
            </w:pPr>
            <w:r w:rsidRPr="002A503B">
              <w:rPr>
                <w:sz w:val="22"/>
                <w:szCs w:val="22"/>
              </w:rPr>
              <w:t>If the rapist doesn’t have a weapon, you really can’t call it rape</w:t>
            </w:r>
          </w:p>
        </w:tc>
        <w:tc>
          <w:tcPr>
            <w:tcW w:w="720" w:type="dxa"/>
          </w:tcPr>
          <w:p w14:paraId="773BEBDC" w14:textId="77777777" w:rsidR="00034196" w:rsidRPr="002A503B" w:rsidRDefault="00034196" w:rsidP="008E57E4">
            <w:pPr>
              <w:spacing w:after="120"/>
              <w:rPr>
                <w:sz w:val="22"/>
                <w:szCs w:val="22"/>
              </w:rPr>
            </w:pPr>
            <w:r w:rsidRPr="002A503B">
              <w:rPr>
                <w:sz w:val="22"/>
                <w:szCs w:val="22"/>
              </w:rPr>
              <w:t>1.141</w:t>
            </w:r>
          </w:p>
        </w:tc>
        <w:tc>
          <w:tcPr>
            <w:tcW w:w="720" w:type="dxa"/>
            <w:tcBorders>
              <w:right w:val="single" w:sz="4" w:space="0" w:color="auto"/>
            </w:tcBorders>
          </w:tcPr>
          <w:p w14:paraId="50D45074" w14:textId="77777777" w:rsidR="00034196" w:rsidRPr="002A503B" w:rsidRDefault="00034196" w:rsidP="008E57E4">
            <w:pPr>
              <w:spacing w:after="120"/>
              <w:rPr>
                <w:sz w:val="22"/>
                <w:szCs w:val="22"/>
              </w:rPr>
            </w:pPr>
            <w:r w:rsidRPr="002A503B">
              <w:rPr>
                <w:sz w:val="22"/>
                <w:szCs w:val="22"/>
              </w:rPr>
              <w:t>0.411</w:t>
            </w:r>
          </w:p>
        </w:tc>
        <w:tc>
          <w:tcPr>
            <w:tcW w:w="720" w:type="dxa"/>
            <w:tcBorders>
              <w:left w:val="single" w:sz="4" w:space="0" w:color="auto"/>
            </w:tcBorders>
          </w:tcPr>
          <w:p w14:paraId="7C1F63F4" w14:textId="77777777" w:rsidR="00034196" w:rsidRPr="002A503B" w:rsidRDefault="00034196" w:rsidP="008E57E4">
            <w:pPr>
              <w:spacing w:after="120"/>
              <w:rPr>
                <w:sz w:val="22"/>
                <w:szCs w:val="22"/>
              </w:rPr>
            </w:pPr>
            <w:r w:rsidRPr="002A503B">
              <w:rPr>
                <w:sz w:val="22"/>
                <w:szCs w:val="22"/>
              </w:rPr>
              <w:t>1.427</w:t>
            </w:r>
          </w:p>
        </w:tc>
        <w:tc>
          <w:tcPr>
            <w:tcW w:w="769" w:type="dxa"/>
            <w:tcBorders>
              <w:right w:val="single" w:sz="4" w:space="0" w:color="auto"/>
            </w:tcBorders>
          </w:tcPr>
          <w:p w14:paraId="5B4A8478" w14:textId="77777777" w:rsidR="00034196" w:rsidRPr="002A503B" w:rsidRDefault="00034196" w:rsidP="008E57E4">
            <w:pPr>
              <w:spacing w:after="120"/>
              <w:rPr>
                <w:sz w:val="22"/>
                <w:szCs w:val="22"/>
              </w:rPr>
            </w:pPr>
            <w:r w:rsidRPr="002A503B">
              <w:rPr>
                <w:sz w:val="22"/>
                <w:szCs w:val="22"/>
              </w:rPr>
              <w:t>0.823</w:t>
            </w:r>
          </w:p>
        </w:tc>
        <w:tc>
          <w:tcPr>
            <w:tcW w:w="851" w:type="dxa"/>
            <w:tcBorders>
              <w:left w:val="single" w:sz="4" w:space="0" w:color="auto"/>
            </w:tcBorders>
          </w:tcPr>
          <w:p w14:paraId="54C8E11C" w14:textId="77777777" w:rsidR="00034196" w:rsidRPr="002A503B" w:rsidRDefault="00034196" w:rsidP="008E57E4">
            <w:pPr>
              <w:spacing w:after="120"/>
              <w:rPr>
                <w:sz w:val="22"/>
                <w:szCs w:val="22"/>
              </w:rPr>
            </w:pPr>
            <w:r w:rsidRPr="002A503B">
              <w:rPr>
                <w:sz w:val="22"/>
                <w:szCs w:val="22"/>
              </w:rPr>
              <w:t>0.286</w:t>
            </w:r>
          </w:p>
        </w:tc>
        <w:tc>
          <w:tcPr>
            <w:tcW w:w="1170" w:type="dxa"/>
          </w:tcPr>
          <w:p w14:paraId="3970D021" w14:textId="77777777" w:rsidR="00034196" w:rsidRPr="002A503B" w:rsidRDefault="00034196" w:rsidP="008E57E4">
            <w:pPr>
              <w:spacing w:after="120"/>
              <w:rPr>
                <w:sz w:val="22"/>
                <w:szCs w:val="22"/>
              </w:rPr>
            </w:pPr>
            <w:r w:rsidRPr="002A503B">
              <w:rPr>
                <w:sz w:val="22"/>
                <w:szCs w:val="22"/>
              </w:rPr>
              <w:t>6.009***</w:t>
            </w:r>
          </w:p>
        </w:tc>
      </w:tr>
      <w:tr w:rsidR="00034196" w:rsidRPr="00C95CA8" w14:paraId="107C244F" w14:textId="77777777" w:rsidTr="00034196">
        <w:tc>
          <w:tcPr>
            <w:tcW w:w="5400" w:type="dxa"/>
          </w:tcPr>
          <w:p w14:paraId="2827E2D8" w14:textId="77883522" w:rsidR="00034196" w:rsidRPr="002A503B" w:rsidRDefault="00034196" w:rsidP="00EE30F0">
            <w:pPr>
              <w:spacing w:after="120"/>
              <w:rPr>
                <w:sz w:val="22"/>
                <w:szCs w:val="22"/>
              </w:rPr>
            </w:pPr>
            <w:r w:rsidRPr="002A503B">
              <w:rPr>
                <w:sz w:val="22"/>
                <w:szCs w:val="22"/>
              </w:rPr>
              <w:t xml:space="preserve">When girls are raped, it’s often because </w:t>
            </w:r>
            <w:r w:rsidR="00EE30F0">
              <w:rPr>
                <w:sz w:val="22"/>
                <w:szCs w:val="22"/>
              </w:rPr>
              <w:t>the way they said “no” was ambiguous</w:t>
            </w:r>
          </w:p>
        </w:tc>
        <w:tc>
          <w:tcPr>
            <w:tcW w:w="720" w:type="dxa"/>
          </w:tcPr>
          <w:p w14:paraId="1D3643ED" w14:textId="77777777" w:rsidR="00034196" w:rsidRPr="002A503B" w:rsidRDefault="00034196" w:rsidP="008E57E4">
            <w:pPr>
              <w:spacing w:after="120"/>
              <w:rPr>
                <w:sz w:val="22"/>
                <w:szCs w:val="22"/>
              </w:rPr>
            </w:pPr>
            <w:r w:rsidRPr="002A503B">
              <w:rPr>
                <w:sz w:val="22"/>
                <w:szCs w:val="22"/>
              </w:rPr>
              <w:t>1.592</w:t>
            </w:r>
          </w:p>
        </w:tc>
        <w:tc>
          <w:tcPr>
            <w:tcW w:w="720" w:type="dxa"/>
            <w:tcBorders>
              <w:right w:val="single" w:sz="4" w:space="0" w:color="auto"/>
            </w:tcBorders>
          </w:tcPr>
          <w:p w14:paraId="45D88B34" w14:textId="77777777" w:rsidR="00034196" w:rsidRPr="002A503B" w:rsidRDefault="00034196" w:rsidP="008E57E4">
            <w:pPr>
              <w:spacing w:after="120"/>
              <w:rPr>
                <w:sz w:val="22"/>
                <w:szCs w:val="22"/>
              </w:rPr>
            </w:pPr>
            <w:r w:rsidRPr="002A503B">
              <w:rPr>
                <w:sz w:val="22"/>
                <w:szCs w:val="22"/>
              </w:rPr>
              <w:t>0.769</w:t>
            </w:r>
          </w:p>
        </w:tc>
        <w:tc>
          <w:tcPr>
            <w:tcW w:w="720" w:type="dxa"/>
            <w:tcBorders>
              <w:left w:val="single" w:sz="4" w:space="0" w:color="auto"/>
            </w:tcBorders>
          </w:tcPr>
          <w:p w14:paraId="1F6114E5" w14:textId="77777777" w:rsidR="00034196" w:rsidRPr="002A503B" w:rsidRDefault="00034196" w:rsidP="008E57E4">
            <w:pPr>
              <w:spacing w:after="120"/>
              <w:rPr>
                <w:sz w:val="22"/>
                <w:szCs w:val="22"/>
              </w:rPr>
            </w:pPr>
            <w:r w:rsidRPr="002A503B">
              <w:rPr>
                <w:sz w:val="22"/>
                <w:szCs w:val="22"/>
              </w:rPr>
              <w:t>1.843</w:t>
            </w:r>
          </w:p>
        </w:tc>
        <w:tc>
          <w:tcPr>
            <w:tcW w:w="769" w:type="dxa"/>
            <w:tcBorders>
              <w:right w:val="single" w:sz="4" w:space="0" w:color="auto"/>
            </w:tcBorders>
          </w:tcPr>
          <w:p w14:paraId="6A6B6836" w14:textId="77777777" w:rsidR="00034196" w:rsidRPr="002A503B" w:rsidRDefault="00034196" w:rsidP="008E57E4">
            <w:pPr>
              <w:spacing w:after="120"/>
              <w:rPr>
                <w:sz w:val="22"/>
                <w:szCs w:val="22"/>
              </w:rPr>
            </w:pPr>
            <w:r w:rsidRPr="002A503B">
              <w:rPr>
                <w:sz w:val="22"/>
                <w:szCs w:val="22"/>
              </w:rPr>
              <w:t>1.041</w:t>
            </w:r>
          </w:p>
        </w:tc>
        <w:tc>
          <w:tcPr>
            <w:tcW w:w="851" w:type="dxa"/>
            <w:tcBorders>
              <w:left w:val="single" w:sz="4" w:space="0" w:color="auto"/>
            </w:tcBorders>
          </w:tcPr>
          <w:p w14:paraId="3589C359" w14:textId="77777777" w:rsidR="00034196" w:rsidRPr="002A503B" w:rsidRDefault="00034196" w:rsidP="008E57E4">
            <w:pPr>
              <w:spacing w:after="120"/>
              <w:rPr>
                <w:sz w:val="22"/>
                <w:szCs w:val="22"/>
              </w:rPr>
            </w:pPr>
            <w:r w:rsidRPr="002A503B">
              <w:rPr>
                <w:sz w:val="22"/>
                <w:szCs w:val="22"/>
              </w:rPr>
              <w:t>0.252</w:t>
            </w:r>
          </w:p>
        </w:tc>
        <w:tc>
          <w:tcPr>
            <w:tcW w:w="1170" w:type="dxa"/>
          </w:tcPr>
          <w:p w14:paraId="0117FE1C" w14:textId="0059E0AE" w:rsidR="00034196" w:rsidRPr="002A503B" w:rsidRDefault="00034196" w:rsidP="005F190A">
            <w:pPr>
              <w:spacing w:after="120"/>
              <w:rPr>
                <w:sz w:val="22"/>
                <w:szCs w:val="22"/>
              </w:rPr>
            </w:pPr>
            <w:r w:rsidRPr="002A503B">
              <w:rPr>
                <w:sz w:val="22"/>
                <w:szCs w:val="22"/>
              </w:rPr>
              <w:t>3.510***</w:t>
            </w:r>
            <w:r w:rsidR="005F190A">
              <w:rPr>
                <w:sz w:val="22"/>
                <w:szCs w:val="22"/>
              </w:rPr>
              <w:t>+</w:t>
            </w:r>
          </w:p>
        </w:tc>
      </w:tr>
      <w:tr w:rsidR="00034196" w:rsidRPr="00C95CA8" w14:paraId="0830BC4B" w14:textId="77777777" w:rsidTr="00034196">
        <w:tc>
          <w:tcPr>
            <w:tcW w:w="5400" w:type="dxa"/>
          </w:tcPr>
          <w:p w14:paraId="05899DA8" w14:textId="21283348" w:rsidR="00034196" w:rsidRPr="002A503B" w:rsidRDefault="00034196" w:rsidP="00EE30F0">
            <w:pPr>
              <w:spacing w:after="120"/>
              <w:rPr>
                <w:sz w:val="22"/>
                <w:szCs w:val="22"/>
              </w:rPr>
            </w:pPr>
            <w:r w:rsidRPr="002A503B">
              <w:rPr>
                <w:sz w:val="22"/>
                <w:szCs w:val="22"/>
              </w:rPr>
              <w:t xml:space="preserve">Many girls secretly </w:t>
            </w:r>
            <w:r w:rsidR="00EE30F0">
              <w:rPr>
                <w:sz w:val="22"/>
                <w:szCs w:val="22"/>
              </w:rPr>
              <w:t>desire</w:t>
            </w:r>
            <w:r w:rsidRPr="002A503B">
              <w:rPr>
                <w:sz w:val="22"/>
                <w:szCs w:val="22"/>
              </w:rPr>
              <w:t xml:space="preserve"> to be raped</w:t>
            </w:r>
          </w:p>
        </w:tc>
        <w:tc>
          <w:tcPr>
            <w:tcW w:w="720" w:type="dxa"/>
          </w:tcPr>
          <w:p w14:paraId="0B71E26E" w14:textId="77777777" w:rsidR="00034196" w:rsidRPr="002A503B" w:rsidRDefault="00034196" w:rsidP="008E57E4">
            <w:pPr>
              <w:spacing w:after="120"/>
              <w:rPr>
                <w:sz w:val="22"/>
                <w:szCs w:val="22"/>
              </w:rPr>
            </w:pPr>
            <w:r w:rsidRPr="002A503B">
              <w:rPr>
                <w:sz w:val="22"/>
                <w:szCs w:val="22"/>
              </w:rPr>
              <w:t>1.178</w:t>
            </w:r>
          </w:p>
        </w:tc>
        <w:tc>
          <w:tcPr>
            <w:tcW w:w="720" w:type="dxa"/>
            <w:tcBorders>
              <w:right w:val="single" w:sz="4" w:space="0" w:color="auto"/>
            </w:tcBorders>
          </w:tcPr>
          <w:p w14:paraId="2B084E1F" w14:textId="77777777" w:rsidR="00034196" w:rsidRPr="002A503B" w:rsidRDefault="00034196" w:rsidP="008E57E4">
            <w:pPr>
              <w:spacing w:after="120"/>
              <w:rPr>
                <w:sz w:val="22"/>
                <w:szCs w:val="22"/>
              </w:rPr>
            </w:pPr>
            <w:r w:rsidRPr="002A503B">
              <w:rPr>
                <w:sz w:val="22"/>
                <w:szCs w:val="22"/>
              </w:rPr>
              <w:t>0.491</w:t>
            </w:r>
          </w:p>
        </w:tc>
        <w:tc>
          <w:tcPr>
            <w:tcW w:w="720" w:type="dxa"/>
            <w:tcBorders>
              <w:left w:val="single" w:sz="4" w:space="0" w:color="auto"/>
            </w:tcBorders>
          </w:tcPr>
          <w:p w14:paraId="78A9C746" w14:textId="77777777" w:rsidR="00034196" w:rsidRPr="002A503B" w:rsidRDefault="00034196" w:rsidP="008E57E4">
            <w:pPr>
              <w:spacing w:after="120"/>
              <w:rPr>
                <w:sz w:val="22"/>
                <w:szCs w:val="22"/>
              </w:rPr>
            </w:pPr>
            <w:r w:rsidRPr="002A503B">
              <w:rPr>
                <w:sz w:val="22"/>
                <w:szCs w:val="22"/>
              </w:rPr>
              <w:t>1.394</w:t>
            </w:r>
          </w:p>
        </w:tc>
        <w:tc>
          <w:tcPr>
            <w:tcW w:w="769" w:type="dxa"/>
            <w:tcBorders>
              <w:right w:val="single" w:sz="4" w:space="0" w:color="auto"/>
            </w:tcBorders>
          </w:tcPr>
          <w:p w14:paraId="244EBFFB" w14:textId="77777777" w:rsidR="00034196" w:rsidRPr="002A503B" w:rsidRDefault="00034196" w:rsidP="008E57E4">
            <w:pPr>
              <w:spacing w:after="120"/>
              <w:rPr>
                <w:sz w:val="22"/>
                <w:szCs w:val="22"/>
              </w:rPr>
            </w:pPr>
            <w:r w:rsidRPr="002A503B">
              <w:rPr>
                <w:sz w:val="22"/>
                <w:szCs w:val="22"/>
              </w:rPr>
              <w:t>0.820</w:t>
            </w:r>
          </w:p>
        </w:tc>
        <w:tc>
          <w:tcPr>
            <w:tcW w:w="851" w:type="dxa"/>
            <w:tcBorders>
              <w:left w:val="single" w:sz="4" w:space="0" w:color="auto"/>
            </w:tcBorders>
          </w:tcPr>
          <w:p w14:paraId="7C27BF7F" w14:textId="77777777" w:rsidR="00034196" w:rsidRPr="002A503B" w:rsidRDefault="00034196" w:rsidP="008E57E4">
            <w:pPr>
              <w:spacing w:after="120"/>
              <w:rPr>
                <w:sz w:val="22"/>
                <w:szCs w:val="22"/>
              </w:rPr>
            </w:pPr>
            <w:r w:rsidRPr="002A503B">
              <w:rPr>
                <w:sz w:val="22"/>
                <w:szCs w:val="22"/>
              </w:rPr>
              <w:t>0.217</w:t>
            </w:r>
          </w:p>
        </w:tc>
        <w:tc>
          <w:tcPr>
            <w:tcW w:w="1170" w:type="dxa"/>
          </w:tcPr>
          <w:p w14:paraId="1BEA57A3" w14:textId="130D359A" w:rsidR="00034196" w:rsidRPr="002A503B" w:rsidRDefault="00034196" w:rsidP="008E57E4">
            <w:pPr>
              <w:spacing w:after="120"/>
              <w:rPr>
                <w:sz w:val="22"/>
                <w:szCs w:val="22"/>
              </w:rPr>
            </w:pPr>
            <w:r w:rsidRPr="002A503B">
              <w:rPr>
                <w:sz w:val="22"/>
                <w:szCs w:val="22"/>
              </w:rPr>
              <w:t>4.261***</w:t>
            </w:r>
            <w:r w:rsidR="005F190A">
              <w:rPr>
                <w:sz w:val="22"/>
                <w:szCs w:val="22"/>
              </w:rPr>
              <w:t>+</w:t>
            </w:r>
          </w:p>
        </w:tc>
      </w:tr>
      <w:tr w:rsidR="00034196" w:rsidRPr="00C95CA8" w14:paraId="257E6C34" w14:textId="77777777" w:rsidTr="00034196">
        <w:tc>
          <w:tcPr>
            <w:tcW w:w="5400" w:type="dxa"/>
          </w:tcPr>
          <w:p w14:paraId="50B445F0" w14:textId="77777777" w:rsidR="00034196" w:rsidRPr="002A503B" w:rsidRDefault="00034196" w:rsidP="008E57E4">
            <w:pPr>
              <w:spacing w:after="120"/>
              <w:rPr>
                <w:sz w:val="22"/>
                <w:szCs w:val="22"/>
              </w:rPr>
            </w:pPr>
            <w:r w:rsidRPr="002A503B">
              <w:rPr>
                <w:sz w:val="22"/>
                <w:szCs w:val="22"/>
              </w:rPr>
              <w:t>If a girl acts like a slut, eventually she is going to get in trouble</w:t>
            </w:r>
          </w:p>
        </w:tc>
        <w:tc>
          <w:tcPr>
            <w:tcW w:w="720" w:type="dxa"/>
          </w:tcPr>
          <w:p w14:paraId="2EEBE6F9" w14:textId="77777777" w:rsidR="00034196" w:rsidRPr="002A503B" w:rsidRDefault="00034196" w:rsidP="008E57E4">
            <w:pPr>
              <w:spacing w:after="120"/>
              <w:rPr>
                <w:sz w:val="22"/>
                <w:szCs w:val="22"/>
              </w:rPr>
            </w:pPr>
            <w:r w:rsidRPr="002A503B">
              <w:rPr>
                <w:sz w:val="22"/>
                <w:szCs w:val="22"/>
              </w:rPr>
              <w:t>2.390</w:t>
            </w:r>
          </w:p>
        </w:tc>
        <w:tc>
          <w:tcPr>
            <w:tcW w:w="720" w:type="dxa"/>
            <w:tcBorders>
              <w:right w:val="single" w:sz="4" w:space="0" w:color="auto"/>
            </w:tcBorders>
          </w:tcPr>
          <w:p w14:paraId="2B08AFAE" w14:textId="77777777" w:rsidR="00034196" w:rsidRPr="002A503B" w:rsidRDefault="00034196" w:rsidP="008E57E4">
            <w:pPr>
              <w:spacing w:after="120"/>
              <w:rPr>
                <w:sz w:val="22"/>
                <w:szCs w:val="22"/>
              </w:rPr>
            </w:pPr>
            <w:r w:rsidRPr="002A503B">
              <w:rPr>
                <w:sz w:val="22"/>
                <w:szCs w:val="22"/>
              </w:rPr>
              <w:t>1.199</w:t>
            </w:r>
          </w:p>
        </w:tc>
        <w:tc>
          <w:tcPr>
            <w:tcW w:w="720" w:type="dxa"/>
            <w:tcBorders>
              <w:left w:val="single" w:sz="4" w:space="0" w:color="auto"/>
            </w:tcBorders>
          </w:tcPr>
          <w:p w14:paraId="07487C28" w14:textId="77777777" w:rsidR="00034196" w:rsidRPr="002A503B" w:rsidRDefault="00034196" w:rsidP="008E57E4">
            <w:pPr>
              <w:spacing w:after="120"/>
              <w:rPr>
                <w:sz w:val="22"/>
                <w:szCs w:val="22"/>
              </w:rPr>
            </w:pPr>
            <w:r w:rsidRPr="002A503B">
              <w:rPr>
                <w:sz w:val="22"/>
                <w:szCs w:val="22"/>
              </w:rPr>
              <w:t>2.553</w:t>
            </w:r>
          </w:p>
        </w:tc>
        <w:tc>
          <w:tcPr>
            <w:tcW w:w="769" w:type="dxa"/>
            <w:tcBorders>
              <w:right w:val="single" w:sz="4" w:space="0" w:color="auto"/>
            </w:tcBorders>
          </w:tcPr>
          <w:p w14:paraId="02CFCB20" w14:textId="77777777" w:rsidR="00034196" w:rsidRPr="002A503B" w:rsidRDefault="00034196" w:rsidP="008E57E4">
            <w:pPr>
              <w:spacing w:after="120"/>
              <w:rPr>
                <w:sz w:val="22"/>
                <w:szCs w:val="22"/>
              </w:rPr>
            </w:pPr>
            <w:r w:rsidRPr="002A503B">
              <w:rPr>
                <w:sz w:val="22"/>
                <w:szCs w:val="22"/>
              </w:rPr>
              <w:t>1.274</w:t>
            </w:r>
          </w:p>
        </w:tc>
        <w:tc>
          <w:tcPr>
            <w:tcW w:w="851" w:type="dxa"/>
            <w:tcBorders>
              <w:left w:val="single" w:sz="4" w:space="0" w:color="auto"/>
            </w:tcBorders>
          </w:tcPr>
          <w:p w14:paraId="78B02DC3" w14:textId="77777777" w:rsidR="00034196" w:rsidRPr="002A503B" w:rsidRDefault="00034196" w:rsidP="008E57E4">
            <w:pPr>
              <w:spacing w:after="120"/>
              <w:rPr>
                <w:sz w:val="22"/>
                <w:szCs w:val="22"/>
              </w:rPr>
            </w:pPr>
            <w:r w:rsidRPr="002A503B">
              <w:rPr>
                <w:sz w:val="22"/>
                <w:szCs w:val="22"/>
              </w:rPr>
              <w:t>0.164</w:t>
            </w:r>
          </w:p>
        </w:tc>
        <w:tc>
          <w:tcPr>
            <w:tcW w:w="1170" w:type="dxa"/>
          </w:tcPr>
          <w:p w14:paraId="19D89951" w14:textId="77777777" w:rsidR="00034196" w:rsidRPr="002A503B" w:rsidRDefault="00034196" w:rsidP="008E57E4">
            <w:pPr>
              <w:spacing w:after="120"/>
              <w:rPr>
                <w:sz w:val="22"/>
                <w:szCs w:val="22"/>
              </w:rPr>
            </w:pPr>
            <w:r w:rsidRPr="002A503B">
              <w:rPr>
                <w:sz w:val="22"/>
                <w:szCs w:val="22"/>
              </w:rPr>
              <w:t>1.614</w:t>
            </w:r>
          </w:p>
        </w:tc>
      </w:tr>
      <w:tr w:rsidR="00034196" w:rsidRPr="00C95CA8" w14:paraId="53C6228A" w14:textId="77777777" w:rsidTr="00034196">
        <w:tc>
          <w:tcPr>
            <w:tcW w:w="5400" w:type="dxa"/>
          </w:tcPr>
          <w:p w14:paraId="7E09CE12" w14:textId="649D8541" w:rsidR="00034196" w:rsidRPr="002A503B" w:rsidRDefault="00EE30F0" w:rsidP="008E57E4">
            <w:pPr>
              <w:spacing w:after="120"/>
              <w:rPr>
                <w:sz w:val="22"/>
                <w:szCs w:val="22"/>
              </w:rPr>
            </w:pPr>
            <w:r>
              <w:rPr>
                <w:sz w:val="22"/>
                <w:szCs w:val="22"/>
              </w:rPr>
              <w:t>Rape accusations are often used as a way of getting back at guys</w:t>
            </w:r>
          </w:p>
        </w:tc>
        <w:tc>
          <w:tcPr>
            <w:tcW w:w="720" w:type="dxa"/>
          </w:tcPr>
          <w:p w14:paraId="593377CE" w14:textId="77777777" w:rsidR="00034196" w:rsidRPr="002A503B" w:rsidRDefault="00034196" w:rsidP="008E57E4">
            <w:pPr>
              <w:spacing w:after="120"/>
              <w:rPr>
                <w:sz w:val="22"/>
                <w:szCs w:val="22"/>
              </w:rPr>
            </w:pPr>
            <w:r w:rsidRPr="002A503B">
              <w:rPr>
                <w:sz w:val="22"/>
                <w:szCs w:val="22"/>
              </w:rPr>
              <w:t>2.136</w:t>
            </w:r>
          </w:p>
        </w:tc>
        <w:tc>
          <w:tcPr>
            <w:tcW w:w="720" w:type="dxa"/>
            <w:tcBorders>
              <w:right w:val="single" w:sz="4" w:space="0" w:color="auto"/>
            </w:tcBorders>
          </w:tcPr>
          <w:p w14:paraId="26881000" w14:textId="77777777" w:rsidR="00034196" w:rsidRPr="002A503B" w:rsidRDefault="00034196" w:rsidP="008E57E4">
            <w:pPr>
              <w:spacing w:after="120"/>
              <w:rPr>
                <w:sz w:val="22"/>
                <w:szCs w:val="22"/>
              </w:rPr>
            </w:pPr>
            <w:r w:rsidRPr="002A503B">
              <w:rPr>
                <w:sz w:val="22"/>
                <w:szCs w:val="22"/>
              </w:rPr>
              <w:t>1.026</w:t>
            </w:r>
          </w:p>
        </w:tc>
        <w:tc>
          <w:tcPr>
            <w:tcW w:w="720" w:type="dxa"/>
            <w:tcBorders>
              <w:left w:val="single" w:sz="4" w:space="0" w:color="auto"/>
            </w:tcBorders>
          </w:tcPr>
          <w:p w14:paraId="4CDA94A2" w14:textId="77777777" w:rsidR="00034196" w:rsidRPr="002A503B" w:rsidRDefault="00034196" w:rsidP="008E57E4">
            <w:pPr>
              <w:spacing w:after="120"/>
              <w:rPr>
                <w:sz w:val="22"/>
                <w:szCs w:val="22"/>
              </w:rPr>
            </w:pPr>
            <w:r w:rsidRPr="002A503B">
              <w:rPr>
                <w:sz w:val="22"/>
                <w:szCs w:val="22"/>
              </w:rPr>
              <w:t>2.266</w:t>
            </w:r>
          </w:p>
        </w:tc>
        <w:tc>
          <w:tcPr>
            <w:tcW w:w="769" w:type="dxa"/>
            <w:tcBorders>
              <w:right w:val="single" w:sz="4" w:space="0" w:color="auto"/>
            </w:tcBorders>
          </w:tcPr>
          <w:p w14:paraId="7884F360" w14:textId="77777777" w:rsidR="00034196" w:rsidRPr="002A503B" w:rsidRDefault="00034196" w:rsidP="008E57E4">
            <w:pPr>
              <w:spacing w:after="120"/>
              <w:rPr>
                <w:sz w:val="22"/>
                <w:szCs w:val="22"/>
              </w:rPr>
            </w:pPr>
            <w:r w:rsidRPr="002A503B">
              <w:rPr>
                <w:sz w:val="22"/>
                <w:szCs w:val="22"/>
              </w:rPr>
              <w:t>1.019</w:t>
            </w:r>
          </w:p>
        </w:tc>
        <w:tc>
          <w:tcPr>
            <w:tcW w:w="851" w:type="dxa"/>
            <w:tcBorders>
              <w:left w:val="single" w:sz="4" w:space="0" w:color="auto"/>
            </w:tcBorders>
          </w:tcPr>
          <w:p w14:paraId="1F7992A1" w14:textId="77777777" w:rsidR="00034196" w:rsidRPr="002A503B" w:rsidRDefault="00034196" w:rsidP="008E57E4">
            <w:pPr>
              <w:spacing w:after="120"/>
              <w:rPr>
                <w:sz w:val="22"/>
                <w:szCs w:val="22"/>
              </w:rPr>
            </w:pPr>
            <w:r w:rsidRPr="002A503B">
              <w:rPr>
                <w:sz w:val="22"/>
                <w:szCs w:val="22"/>
              </w:rPr>
              <w:t>0.130</w:t>
            </w:r>
          </w:p>
        </w:tc>
        <w:tc>
          <w:tcPr>
            <w:tcW w:w="1170" w:type="dxa"/>
          </w:tcPr>
          <w:p w14:paraId="15FADB92" w14:textId="77777777" w:rsidR="00034196" w:rsidRPr="002A503B" w:rsidRDefault="00034196" w:rsidP="008E57E4">
            <w:pPr>
              <w:spacing w:after="120"/>
              <w:rPr>
                <w:sz w:val="22"/>
                <w:szCs w:val="22"/>
              </w:rPr>
            </w:pPr>
            <w:r w:rsidRPr="002A503B">
              <w:rPr>
                <w:sz w:val="22"/>
                <w:szCs w:val="22"/>
              </w:rPr>
              <w:t>1.528</w:t>
            </w:r>
          </w:p>
        </w:tc>
      </w:tr>
      <w:tr w:rsidR="00034196" w:rsidRPr="00C95CA8" w14:paraId="521138F5" w14:textId="77777777" w:rsidTr="008C42E4">
        <w:tc>
          <w:tcPr>
            <w:tcW w:w="5400" w:type="dxa"/>
          </w:tcPr>
          <w:p w14:paraId="7327F24E" w14:textId="77777777" w:rsidR="00034196" w:rsidRPr="002A503B" w:rsidRDefault="00034196" w:rsidP="008E57E4">
            <w:pPr>
              <w:spacing w:after="120"/>
              <w:rPr>
                <w:sz w:val="22"/>
                <w:szCs w:val="22"/>
              </w:rPr>
            </w:pPr>
            <w:r w:rsidRPr="002A503B">
              <w:rPr>
                <w:sz w:val="22"/>
                <w:szCs w:val="22"/>
              </w:rPr>
              <w:t>A girl who dresses in skimpy clothes should not be surprised if a guy tries to force her to have sex</w:t>
            </w:r>
          </w:p>
        </w:tc>
        <w:tc>
          <w:tcPr>
            <w:tcW w:w="720" w:type="dxa"/>
          </w:tcPr>
          <w:p w14:paraId="5E8782EF" w14:textId="77777777" w:rsidR="00034196" w:rsidRPr="002A503B" w:rsidRDefault="00034196" w:rsidP="008E57E4">
            <w:pPr>
              <w:spacing w:after="120"/>
              <w:rPr>
                <w:sz w:val="22"/>
                <w:szCs w:val="22"/>
              </w:rPr>
            </w:pPr>
            <w:r w:rsidRPr="002A503B">
              <w:rPr>
                <w:sz w:val="22"/>
                <w:szCs w:val="22"/>
              </w:rPr>
              <w:t>1.690</w:t>
            </w:r>
          </w:p>
        </w:tc>
        <w:tc>
          <w:tcPr>
            <w:tcW w:w="720" w:type="dxa"/>
            <w:tcBorders>
              <w:right w:val="single" w:sz="4" w:space="0" w:color="auto"/>
            </w:tcBorders>
          </w:tcPr>
          <w:p w14:paraId="0FB6FA8C" w14:textId="77777777" w:rsidR="00034196" w:rsidRPr="002A503B" w:rsidRDefault="00034196" w:rsidP="008E57E4">
            <w:pPr>
              <w:spacing w:after="120"/>
              <w:rPr>
                <w:sz w:val="22"/>
                <w:szCs w:val="22"/>
              </w:rPr>
            </w:pPr>
            <w:r w:rsidRPr="002A503B">
              <w:rPr>
                <w:sz w:val="22"/>
                <w:szCs w:val="22"/>
              </w:rPr>
              <w:t>0.894</w:t>
            </w:r>
          </w:p>
        </w:tc>
        <w:tc>
          <w:tcPr>
            <w:tcW w:w="720" w:type="dxa"/>
            <w:tcBorders>
              <w:left w:val="single" w:sz="4" w:space="0" w:color="auto"/>
            </w:tcBorders>
          </w:tcPr>
          <w:p w14:paraId="79B679AA" w14:textId="77777777" w:rsidR="00034196" w:rsidRPr="002A503B" w:rsidRDefault="00034196" w:rsidP="008E57E4">
            <w:pPr>
              <w:spacing w:after="120"/>
              <w:rPr>
                <w:sz w:val="22"/>
                <w:szCs w:val="22"/>
              </w:rPr>
            </w:pPr>
            <w:r w:rsidRPr="002A503B">
              <w:rPr>
                <w:sz w:val="22"/>
                <w:szCs w:val="22"/>
              </w:rPr>
              <w:t>1.782</w:t>
            </w:r>
          </w:p>
        </w:tc>
        <w:tc>
          <w:tcPr>
            <w:tcW w:w="769" w:type="dxa"/>
            <w:tcBorders>
              <w:right w:val="single" w:sz="4" w:space="0" w:color="auto"/>
            </w:tcBorders>
          </w:tcPr>
          <w:p w14:paraId="6866606C" w14:textId="77777777" w:rsidR="00034196" w:rsidRPr="002A503B" w:rsidRDefault="00034196" w:rsidP="008E57E4">
            <w:pPr>
              <w:spacing w:after="120"/>
              <w:rPr>
                <w:sz w:val="22"/>
                <w:szCs w:val="22"/>
              </w:rPr>
            </w:pPr>
            <w:r w:rsidRPr="002A503B">
              <w:rPr>
                <w:sz w:val="22"/>
                <w:szCs w:val="22"/>
              </w:rPr>
              <w:t>1.006</w:t>
            </w:r>
          </w:p>
        </w:tc>
        <w:tc>
          <w:tcPr>
            <w:tcW w:w="851" w:type="dxa"/>
            <w:tcBorders>
              <w:left w:val="single" w:sz="4" w:space="0" w:color="auto"/>
            </w:tcBorders>
          </w:tcPr>
          <w:p w14:paraId="3A8DFE34" w14:textId="77777777" w:rsidR="00034196" w:rsidRPr="002A503B" w:rsidRDefault="00034196" w:rsidP="008E57E4">
            <w:pPr>
              <w:spacing w:after="120"/>
              <w:rPr>
                <w:sz w:val="22"/>
                <w:szCs w:val="22"/>
              </w:rPr>
            </w:pPr>
            <w:r w:rsidRPr="002A503B">
              <w:rPr>
                <w:sz w:val="22"/>
                <w:szCs w:val="22"/>
              </w:rPr>
              <w:t>0.092</w:t>
            </w:r>
          </w:p>
        </w:tc>
        <w:tc>
          <w:tcPr>
            <w:tcW w:w="1170" w:type="dxa"/>
          </w:tcPr>
          <w:p w14:paraId="745DEB1A" w14:textId="77777777" w:rsidR="00034196" w:rsidRPr="002A503B" w:rsidRDefault="00034196" w:rsidP="008E57E4">
            <w:pPr>
              <w:spacing w:after="120"/>
              <w:rPr>
                <w:sz w:val="22"/>
                <w:szCs w:val="22"/>
              </w:rPr>
            </w:pPr>
            <w:r w:rsidRPr="002A503B">
              <w:rPr>
                <w:sz w:val="22"/>
                <w:szCs w:val="22"/>
              </w:rPr>
              <w:t>1.185</w:t>
            </w:r>
          </w:p>
        </w:tc>
      </w:tr>
      <w:tr w:rsidR="00034196" w:rsidRPr="00C95CA8" w14:paraId="17C92B2D" w14:textId="77777777" w:rsidTr="008C42E4">
        <w:tc>
          <w:tcPr>
            <w:tcW w:w="5400" w:type="dxa"/>
            <w:tcBorders>
              <w:bottom w:val="single" w:sz="4" w:space="0" w:color="auto"/>
            </w:tcBorders>
          </w:tcPr>
          <w:p w14:paraId="79C2FA39" w14:textId="77777777" w:rsidR="00034196" w:rsidRPr="002A503B" w:rsidRDefault="00034196" w:rsidP="008E57E4">
            <w:pPr>
              <w:spacing w:after="120"/>
              <w:rPr>
                <w:sz w:val="22"/>
                <w:szCs w:val="22"/>
              </w:rPr>
            </w:pPr>
            <w:r w:rsidRPr="002A503B">
              <w:rPr>
                <w:sz w:val="22"/>
                <w:szCs w:val="22"/>
              </w:rPr>
              <w:t>It is usually only girls who wear slutty clothes that are raped</w:t>
            </w:r>
          </w:p>
        </w:tc>
        <w:tc>
          <w:tcPr>
            <w:tcW w:w="720" w:type="dxa"/>
            <w:tcBorders>
              <w:bottom w:val="single" w:sz="4" w:space="0" w:color="auto"/>
            </w:tcBorders>
          </w:tcPr>
          <w:p w14:paraId="48065A23" w14:textId="77777777" w:rsidR="00034196" w:rsidRPr="002A503B" w:rsidRDefault="00034196" w:rsidP="008E57E4">
            <w:pPr>
              <w:spacing w:after="120"/>
              <w:rPr>
                <w:sz w:val="22"/>
                <w:szCs w:val="22"/>
              </w:rPr>
            </w:pPr>
            <w:r w:rsidRPr="002A503B">
              <w:rPr>
                <w:sz w:val="22"/>
                <w:szCs w:val="22"/>
              </w:rPr>
              <w:t>1.460</w:t>
            </w:r>
          </w:p>
        </w:tc>
        <w:tc>
          <w:tcPr>
            <w:tcW w:w="720" w:type="dxa"/>
            <w:tcBorders>
              <w:bottom w:val="single" w:sz="4" w:space="0" w:color="auto"/>
              <w:right w:val="single" w:sz="4" w:space="0" w:color="auto"/>
            </w:tcBorders>
          </w:tcPr>
          <w:p w14:paraId="36BCCD41" w14:textId="77777777" w:rsidR="00034196" w:rsidRPr="002A503B" w:rsidRDefault="00034196" w:rsidP="008E57E4">
            <w:pPr>
              <w:spacing w:after="120"/>
              <w:rPr>
                <w:sz w:val="22"/>
                <w:szCs w:val="22"/>
              </w:rPr>
            </w:pPr>
            <w:r w:rsidRPr="002A503B">
              <w:rPr>
                <w:sz w:val="22"/>
                <w:szCs w:val="22"/>
              </w:rPr>
              <w:t>0.723</w:t>
            </w:r>
          </w:p>
        </w:tc>
        <w:tc>
          <w:tcPr>
            <w:tcW w:w="720" w:type="dxa"/>
            <w:tcBorders>
              <w:left w:val="single" w:sz="4" w:space="0" w:color="auto"/>
              <w:bottom w:val="single" w:sz="4" w:space="0" w:color="auto"/>
            </w:tcBorders>
          </w:tcPr>
          <w:p w14:paraId="041AF69B" w14:textId="77777777" w:rsidR="00034196" w:rsidRPr="002A503B" w:rsidRDefault="00034196" w:rsidP="008E57E4">
            <w:pPr>
              <w:spacing w:after="120"/>
              <w:rPr>
                <w:sz w:val="22"/>
                <w:szCs w:val="22"/>
              </w:rPr>
            </w:pPr>
            <w:r w:rsidRPr="002A503B">
              <w:rPr>
                <w:sz w:val="22"/>
                <w:szCs w:val="22"/>
              </w:rPr>
              <w:t>1.490</w:t>
            </w:r>
          </w:p>
        </w:tc>
        <w:tc>
          <w:tcPr>
            <w:tcW w:w="769" w:type="dxa"/>
            <w:tcBorders>
              <w:bottom w:val="single" w:sz="4" w:space="0" w:color="auto"/>
              <w:right w:val="single" w:sz="4" w:space="0" w:color="auto"/>
            </w:tcBorders>
          </w:tcPr>
          <w:p w14:paraId="1973506F" w14:textId="77777777" w:rsidR="00034196" w:rsidRPr="002A503B" w:rsidRDefault="00034196" w:rsidP="008E57E4">
            <w:pPr>
              <w:spacing w:after="120"/>
              <w:rPr>
                <w:sz w:val="22"/>
                <w:szCs w:val="22"/>
              </w:rPr>
            </w:pPr>
            <w:r w:rsidRPr="002A503B">
              <w:rPr>
                <w:sz w:val="22"/>
                <w:szCs w:val="22"/>
              </w:rPr>
              <w:t>0.862</w:t>
            </w:r>
          </w:p>
        </w:tc>
        <w:tc>
          <w:tcPr>
            <w:tcW w:w="851" w:type="dxa"/>
            <w:tcBorders>
              <w:left w:val="single" w:sz="4" w:space="0" w:color="auto"/>
              <w:bottom w:val="single" w:sz="4" w:space="0" w:color="auto"/>
            </w:tcBorders>
          </w:tcPr>
          <w:p w14:paraId="77E167AC" w14:textId="77777777" w:rsidR="00034196" w:rsidRPr="002A503B" w:rsidRDefault="00034196" w:rsidP="008E57E4">
            <w:pPr>
              <w:spacing w:after="120"/>
              <w:rPr>
                <w:sz w:val="22"/>
                <w:szCs w:val="22"/>
              </w:rPr>
            </w:pPr>
            <w:r w:rsidRPr="002A503B">
              <w:rPr>
                <w:sz w:val="22"/>
                <w:szCs w:val="22"/>
              </w:rPr>
              <w:t>0.030</w:t>
            </w:r>
          </w:p>
        </w:tc>
        <w:tc>
          <w:tcPr>
            <w:tcW w:w="1170" w:type="dxa"/>
            <w:tcBorders>
              <w:bottom w:val="single" w:sz="4" w:space="0" w:color="auto"/>
            </w:tcBorders>
          </w:tcPr>
          <w:p w14:paraId="1D5317EA" w14:textId="77777777" w:rsidR="00034196" w:rsidRPr="002A503B" w:rsidRDefault="00034196" w:rsidP="008E57E4">
            <w:pPr>
              <w:spacing w:after="120"/>
              <w:rPr>
                <w:sz w:val="22"/>
                <w:szCs w:val="22"/>
              </w:rPr>
            </w:pPr>
            <w:r w:rsidRPr="002A503B">
              <w:rPr>
                <w:sz w:val="22"/>
                <w:szCs w:val="22"/>
              </w:rPr>
              <w:t>0.471</w:t>
            </w:r>
          </w:p>
        </w:tc>
      </w:tr>
    </w:tbl>
    <w:p w14:paraId="336898A8" w14:textId="57C1AE48" w:rsidR="00034196" w:rsidRPr="002A503B" w:rsidRDefault="005F190A" w:rsidP="00034196">
      <w:r w:rsidRPr="005C2BAA">
        <w:t>**p&lt;.01,</w:t>
      </w:r>
      <w:r w:rsidR="00034196" w:rsidRPr="005C2BAA">
        <w:t>***p&lt;.001</w:t>
      </w:r>
      <w:r w:rsidRPr="005C2BAA">
        <w:t>, + not significant when gender is controlled</w:t>
      </w:r>
    </w:p>
    <w:p w14:paraId="4EB5247F" w14:textId="77777777" w:rsidR="00034196" w:rsidRPr="00C95CA8" w:rsidRDefault="00034196" w:rsidP="00034196">
      <w:r w:rsidRPr="002A503B">
        <w:t>Note: Satterthwaite approximation employed due to unequal group variances</w:t>
      </w:r>
    </w:p>
    <w:p w14:paraId="0BB820EA" w14:textId="77777777" w:rsidR="00034196" w:rsidRPr="00A5639B" w:rsidRDefault="00034196" w:rsidP="00034196">
      <w:pPr>
        <w:contextualSpacing/>
      </w:pPr>
    </w:p>
    <w:p w14:paraId="0EAEB6CC" w14:textId="77777777" w:rsidR="008C42E4" w:rsidRDefault="008C42E4" w:rsidP="00034196">
      <w:pPr>
        <w:contextualSpacing/>
      </w:pPr>
    </w:p>
    <w:p w14:paraId="02F1840F" w14:textId="77777777" w:rsidR="00D37653" w:rsidRPr="00F959C2" w:rsidRDefault="00D37653" w:rsidP="00034196">
      <w:pPr>
        <w:contextualSpacing/>
      </w:pPr>
    </w:p>
    <w:p w14:paraId="5FA75B1E" w14:textId="77777777" w:rsidR="008C42E4" w:rsidRPr="00C95CA8" w:rsidRDefault="008C42E4" w:rsidP="00034196">
      <w:pPr>
        <w:contextualSpacing/>
      </w:pPr>
    </w:p>
    <w:p w14:paraId="325F71C7" w14:textId="77777777" w:rsidR="008C42E4" w:rsidRPr="00C95CA8" w:rsidRDefault="008C42E4" w:rsidP="00034196">
      <w:pPr>
        <w:contextualSpacing/>
      </w:pPr>
    </w:p>
    <w:p w14:paraId="129CBE01" w14:textId="71CEE576" w:rsidR="008C42E4" w:rsidRPr="002A503B" w:rsidRDefault="008C42E4" w:rsidP="00034196">
      <w:pPr>
        <w:contextualSpacing/>
      </w:pPr>
      <w:r w:rsidRPr="002A503B">
        <w:lastRenderedPageBreak/>
        <w:t>Table 3. Rape myth acceptance as a function of country and correlates</w:t>
      </w:r>
    </w:p>
    <w:p w14:paraId="2231F69F" w14:textId="77777777" w:rsidR="008C42E4" w:rsidRPr="002A503B" w:rsidRDefault="008C42E4" w:rsidP="00034196">
      <w:pPr>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1312"/>
        <w:gridCol w:w="1350"/>
        <w:gridCol w:w="1350"/>
      </w:tblGrid>
      <w:tr w:rsidR="0005066A" w:rsidRPr="00C95CA8" w14:paraId="07D0DBB7" w14:textId="4C76551E" w:rsidTr="002B00D0">
        <w:tc>
          <w:tcPr>
            <w:tcW w:w="3003" w:type="dxa"/>
            <w:tcBorders>
              <w:top w:val="single" w:sz="4" w:space="0" w:color="auto"/>
            </w:tcBorders>
          </w:tcPr>
          <w:p w14:paraId="3E2657B2" w14:textId="77777777" w:rsidR="0005066A" w:rsidRPr="002A503B" w:rsidRDefault="0005066A" w:rsidP="00034196">
            <w:pPr>
              <w:contextualSpacing/>
            </w:pPr>
          </w:p>
        </w:tc>
        <w:tc>
          <w:tcPr>
            <w:tcW w:w="1312" w:type="dxa"/>
            <w:tcBorders>
              <w:top w:val="single" w:sz="4" w:space="0" w:color="auto"/>
              <w:bottom w:val="single" w:sz="4" w:space="0" w:color="auto"/>
            </w:tcBorders>
          </w:tcPr>
          <w:p w14:paraId="5FFF0E9F" w14:textId="47481D3B" w:rsidR="0005066A" w:rsidRPr="002A503B" w:rsidRDefault="0005066A" w:rsidP="00041693">
            <w:pPr>
              <w:contextualSpacing/>
              <w:jc w:val="center"/>
              <w:rPr>
                <w:i/>
              </w:rPr>
            </w:pPr>
            <w:r w:rsidRPr="002A503B">
              <w:rPr>
                <w:i/>
              </w:rPr>
              <w:t>B</w:t>
            </w:r>
          </w:p>
        </w:tc>
        <w:tc>
          <w:tcPr>
            <w:tcW w:w="1350" w:type="dxa"/>
            <w:tcBorders>
              <w:top w:val="single" w:sz="4" w:space="0" w:color="auto"/>
              <w:bottom w:val="single" w:sz="4" w:space="0" w:color="auto"/>
            </w:tcBorders>
          </w:tcPr>
          <w:p w14:paraId="56E0C420" w14:textId="34962CA3" w:rsidR="0005066A" w:rsidRPr="002A503B" w:rsidRDefault="0005066A" w:rsidP="00041693">
            <w:pPr>
              <w:contextualSpacing/>
              <w:jc w:val="center"/>
              <w:rPr>
                <w:i/>
              </w:rPr>
            </w:pPr>
            <w:r w:rsidRPr="002A503B">
              <w:rPr>
                <w:i/>
              </w:rPr>
              <w:t>SE</w:t>
            </w:r>
          </w:p>
        </w:tc>
        <w:tc>
          <w:tcPr>
            <w:tcW w:w="1350" w:type="dxa"/>
            <w:tcBorders>
              <w:top w:val="single" w:sz="4" w:space="0" w:color="auto"/>
              <w:bottom w:val="single" w:sz="4" w:space="0" w:color="auto"/>
            </w:tcBorders>
          </w:tcPr>
          <w:p w14:paraId="7C03875F" w14:textId="3501C61B" w:rsidR="0005066A" w:rsidRPr="002A503B" w:rsidRDefault="0005066A" w:rsidP="00041693">
            <w:pPr>
              <w:contextualSpacing/>
              <w:jc w:val="center"/>
              <w:rPr>
                <w:i/>
              </w:rPr>
            </w:pPr>
            <w:r w:rsidRPr="002A503B">
              <w:rPr>
                <w:i/>
              </w:rPr>
              <w:t>t</w:t>
            </w:r>
          </w:p>
        </w:tc>
      </w:tr>
      <w:tr w:rsidR="0005066A" w:rsidRPr="007524BF" w14:paraId="6290D6CA" w14:textId="52472F51" w:rsidTr="002B00D0">
        <w:tc>
          <w:tcPr>
            <w:tcW w:w="3003" w:type="dxa"/>
          </w:tcPr>
          <w:p w14:paraId="7289B805" w14:textId="75396CF1" w:rsidR="0005066A" w:rsidRPr="002A503B" w:rsidRDefault="0005066A" w:rsidP="00034196">
            <w:pPr>
              <w:contextualSpacing/>
            </w:pPr>
            <w:r w:rsidRPr="002A503B">
              <w:t>India</w:t>
            </w:r>
          </w:p>
        </w:tc>
        <w:tc>
          <w:tcPr>
            <w:tcW w:w="1312" w:type="dxa"/>
            <w:tcBorders>
              <w:top w:val="single" w:sz="4" w:space="0" w:color="auto"/>
            </w:tcBorders>
          </w:tcPr>
          <w:p w14:paraId="28658F07" w14:textId="74038734" w:rsidR="0005066A" w:rsidRPr="009D6495" w:rsidRDefault="0005066A" w:rsidP="0005066A">
            <w:pPr>
              <w:contextualSpacing/>
              <w:jc w:val="center"/>
            </w:pPr>
            <w:r w:rsidRPr="009D6495">
              <w:t>0.16</w:t>
            </w:r>
            <w:r w:rsidR="007524BF" w:rsidRPr="009D6495">
              <w:t>0</w:t>
            </w:r>
            <w:r w:rsidRPr="009D6495">
              <w:t xml:space="preserve">   </w:t>
            </w:r>
          </w:p>
        </w:tc>
        <w:tc>
          <w:tcPr>
            <w:tcW w:w="1350" w:type="dxa"/>
            <w:tcBorders>
              <w:top w:val="single" w:sz="4" w:space="0" w:color="auto"/>
            </w:tcBorders>
          </w:tcPr>
          <w:p w14:paraId="5B2CD915" w14:textId="726DC7D1" w:rsidR="0005066A" w:rsidRPr="009D6495" w:rsidRDefault="0005066A" w:rsidP="0005066A">
            <w:pPr>
              <w:contextualSpacing/>
              <w:jc w:val="center"/>
            </w:pPr>
            <w:r w:rsidRPr="009D6495">
              <w:t>0.06</w:t>
            </w:r>
            <w:r w:rsidR="007524BF" w:rsidRPr="009D6495">
              <w:t>8</w:t>
            </w:r>
          </w:p>
        </w:tc>
        <w:tc>
          <w:tcPr>
            <w:tcW w:w="1350" w:type="dxa"/>
            <w:tcBorders>
              <w:top w:val="single" w:sz="4" w:space="0" w:color="auto"/>
            </w:tcBorders>
          </w:tcPr>
          <w:p w14:paraId="3347F380" w14:textId="4CF2CD04" w:rsidR="0005066A" w:rsidRPr="009D6495" w:rsidRDefault="0005066A" w:rsidP="0005066A">
            <w:pPr>
              <w:contextualSpacing/>
            </w:pPr>
            <w:r w:rsidRPr="009D6495">
              <w:t xml:space="preserve">   2.3</w:t>
            </w:r>
            <w:r w:rsidR="007524BF" w:rsidRPr="009D6495">
              <w:t>4</w:t>
            </w:r>
            <w:r w:rsidRPr="009D6495">
              <w:t>*</w:t>
            </w:r>
          </w:p>
        </w:tc>
      </w:tr>
      <w:tr w:rsidR="0005066A" w:rsidRPr="007524BF" w14:paraId="3688211B" w14:textId="62BFC1D2" w:rsidTr="002B00D0">
        <w:tc>
          <w:tcPr>
            <w:tcW w:w="3003" w:type="dxa"/>
          </w:tcPr>
          <w:p w14:paraId="698CED41" w14:textId="371557F5" w:rsidR="0005066A" w:rsidRPr="002A503B" w:rsidRDefault="0005066A" w:rsidP="00034196">
            <w:pPr>
              <w:contextualSpacing/>
            </w:pPr>
            <w:r w:rsidRPr="002A503B">
              <w:t>Male</w:t>
            </w:r>
          </w:p>
        </w:tc>
        <w:tc>
          <w:tcPr>
            <w:tcW w:w="1312" w:type="dxa"/>
          </w:tcPr>
          <w:p w14:paraId="5E76C9B4" w14:textId="2D0DD5F1" w:rsidR="0005066A" w:rsidRPr="009D6495" w:rsidRDefault="0005066A" w:rsidP="007524BF">
            <w:pPr>
              <w:contextualSpacing/>
              <w:jc w:val="center"/>
            </w:pPr>
            <w:r w:rsidRPr="009D6495">
              <w:t>0.3</w:t>
            </w:r>
            <w:r w:rsidR="007524BF" w:rsidRPr="009D6495">
              <w:t>48</w:t>
            </w:r>
          </w:p>
        </w:tc>
        <w:tc>
          <w:tcPr>
            <w:tcW w:w="1350" w:type="dxa"/>
          </w:tcPr>
          <w:p w14:paraId="0E24D83C" w14:textId="2BC30EEA" w:rsidR="0005066A" w:rsidRPr="009D6495" w:rsidRDefault="0005066A" w:rsidP="0005066A">
            <w:pPr>
              <w:contextualSpacing/>
              <w:jc w:val="center"/>
            </w:pPr>
            <w:r w:rsidRPr="009D6495">
              <w:t>0.05</w:t>
            </w:r>
            <w:r w:rsidR="007524BF" w:rsidRPr="009D6495">
              <w:t>0</w:t>
            </w:r>
          </w:p>
        </w:tc>
        <w:tc>
          <w:tcPr>
            <w:tcW w:w="1350" w:type="dxa"/>
          </w:tcPr>
          <w:p w14:paraId="6686A621" w14:textId="34833A5E" w:rsidR="0005066A" w:rsidRPr="009D6495" w:rsidRDefault="0005066A" w:rsidP="007524BF">
            <w:pPr>
              <w:contextualSpacing/>
              <w:jc w:val="center"/>
            </w:pPr>
            <w:r w:rsidRPr="009D6495">
              <w:t>6.</w:t>
            </w:r>
            <w:r w:rsidR="007524BF" w:rsidRPr="009D6495">
              <w:t>96</w:t>
            </w:r>
            <w:r w:rsidRPr="009D6495">
              <w:t>***</w:t>
            </w:r>
          </w:p>
        </w:tc>
      </w:tr>
      <w:tr w:rsidR="0005066A" w:rsidRPr="007524BF" w14:paraId="775D779F" w14:textId="28C1C6E2" w:rsidTr="002B00D0">
        <w:tc>
          <w:tcPr>
            <w:tcW w:w="3003" w:type="dxa"/>
          </w:tcPr>
          <w:p w14:paraId="1F6AE233" w14:textId="48DC245A" w:rsidR="0005066A" w:rsidRPr="002A503B" w:rsidRDefault="0005066A" w:rsidP="00034196">
            <w:pPr>
              <w:contextualSpacing/>
            </w:pPr>
            <w:r w:rsidRPr="002A503B">
              <w:t>Age</w:t>
            </w:r>
          </w:p>
        </w:tc>
        <w:tc>
          <w:tcPr>
            <w:tcW w:w="1312" w:type="dxa"/>
          </w:tcPr>
          <w:p w14:paraId="62748CC0" w14:textId="759C5C71" w:rsidR="0005066A" w:rsidRPr="009D6495" w:rsidRDefault="0005066A" w:rsidP="0005066A">
            <w:pPr>
              <w:contextualSpacing/>
            </w:pPr>
            <w:r w:rsidRPr="009D6495">
              <w:t xml:space="preserve">   -0.01</w:t>
            </w:r>
            <w:r w:rsidR="007524BF" w:rsidRPr="009D6495">
              <w:t>9</w:t>
            </w:r>
          </w:p>
        </w:tc>
        <w:tc>
          <w:tcPr>
            <w:tcW w:w="1350" w:type="dxa"/>
          </w:tcPr>
          <w:p w14:paraId="2C4893DE" w14:textId="5A8BBC80" w:rsidR="0005066A" w:rsidRPr="009D6495" w:rsidRDefault="0005066A" w:rsidP="0005066A">
            <w:pPr>
              <w:contextualSpacing/>
              <w:jc w:val="center"/>
            </w:pPr>
            <w:r w:rsidRPr="009D6495">
              <w:t>0.006</w:t>
            </w:r>
          </w:p>
        </w:tc>
        <w:tc>
          <w:tcPr>
            <w:tcW w:w="1350" w:type="dxa"/>
          </w:tcPr>
          <w:p w14:paraId="58507D13" w14:textId="339CF118" w:rsidR="0005066A" w:rsidRPr="009D6495" w:rsidRDefault="0005066A" w:rsidP="0005066A">
            <w:pPr>
              <w:contextualSpacing/>
            </w:pPr>
            <w:r w:rsidRPr="009D6495">
              <w:t xml:space="preserve">  -3.1</w:t>
            </w:r>
            <w:r w:rsidR="007524BF" w:rsidRPr="009D6495">
              <w:t>8</w:t>
            </w:r>
            <w:r w:rsidRPr="009D6495">
              <w:t>**</w:t>
            </w:r>
          </w:p>
        </w:tc>
      </w:tr>
      <w:tr w:rsidR="0005066A" w:rsidRPr="00C95CA8" w14:paraId="7E8E5B5F" w14:textId="32F967FC" w:rsidTr="002B00D0">
        <w:tc>
          <w:tcPr>
            <w:tcW w:w="3003" w:type="dxa"/>
          </w:tcPr>
          <w:p w14:paraId="57C31602" w14:textId="5F15D6FD" w:rsidR="0005066A" w:rsidRPr="002A503B" w:rsidRDefault="0005066A" w:rsidP="00034196">
            <w:pPr>
              <w:contextualSpacing/>
            </w:pPr>
          </w:p>
        </w:tc>
        <w:tc>
          <w:tcPr>
            <w:tcW w:w="1312" w:type="dxa"/>
          </w:tcPr>
          <w:p w14:paraId="72301F51" w14:textId="63E588CA" w:rsidR="0005066A" w:rsidRPr="009D6495" w:rsidRDefault="0005066A" w:rsidP="0005066A">
            <w:pPr>
              <w:contextualSpacing/>
              <w:jc w:val="center"/>
            </w:pPr>
          </w:p>
        </w:tc>
        <w:tc>
          <w:tcPr>
            <w:tcW w:w="1350" w:type="dxa"/>
          </w:tcPr>
          <w:p w14:paraId="3B2E6967" w14:textId="77BDA843" w:rsidR="0005066A" w:rsidRPr="009D6495" w:rsidRDefault="0005066A" w:rsidP="0005066A">
            <w:pPr>
              <w:ind w:right="314"/>
              <w:contextualSpacing/>
            </w:pPr>
          </w:p>
        </w:tc>
        <w:tc>
          <w:tcPr>
            <w:tcW w:w="1350" w:type="dxa"/>
          </w:tcPr>
          <w:p w14:paraId="49E6C3A7" w14:textId="41ED0E59" w:rsidR="0005066A" w:rsidRPr="009D6495" w:rsidRDefault="0005066A" w:rsidP="0005066A">
            <w:pPr>
              <w:contextualSpacing/>
            </w:pPr>
          </w:p>
        </w:tc>
      </w:tr>
      <w:tr w:rsidR="0005066A" w:rsidRPr="00C95CA8" w14:paraId="3071B360" w14:textId="7C67F523" w:rsidTr="002B00D0">
        <w:tc>
          <w:tcPr>
            <w:tcW w:w="3003" w:type="dxa"/>
          </w:tcPr>
          <w:p w14:paraId="36544C3D" w14:textId="3DF3828B" w:rsidR="0005066A" w:rsidRPr="002A503B" w:rsidRDefault="0005066A" w:rsidP="00034196">
            <w:pPr>
              <w:contextualSpacing/>
            </w:pPr>
            <w:r w:rsidRPr="002A503B">
              <w:t>Religion</w:t>
            </w:r>
          </w:p>
        </w:tc>
        <w:tc>
          <w:tcPr>
            <w:tcW w:w="1312" w:type="dxa"/>
          </w:tcPr>
          <w:p w14:paraId="5AFD9C65" w14:textId="127A744E" w:rsidR="0005066A" w:rsidRPr="009D6495" w:rsidRDefault="0005066A" w:rsidP="0005066A">
            <w:pPr>
              <w:contextualSpacing/>
              <w:jc w:val="right"/>
            </w:pPr>
          </w:p>
        </w:tc>
        <w:tc>
          <w:tcPr>
            <w:tcW w:w="1350" w:type="dxa"/>
          </w:tcPr>
          <w:p w14:paraId="4E65BF88" w14:textId="67FA9030" w:rsidR="0005066A" w:rsidRPr="009D6495" w:rsidRDefault="0005066A" w:rsidP="0005066A">
            <w:pPr>
              <w:contextualSpacing/>
              <w:jc w:val="center"/>
            </w:pPr>
          </w:p>
        </w:tc>
        <w:tc>
          <w:tcPr>
            <w:tcW w:w="1350" w:type="dxa"/>
          </w:tcPr>
          <w:p w14:paraId="79C716B2" w14:textId="4EB745B8" w:rsidR="0005066A" w:rsidRPr="009D6495" w:rsidRDefault="0005066A" w:rsidP="0005066A">
            <w:pPr>
              <w:contextualSpacing/>
              <w:jc w:val="center"/>
            </w:pPr>
          </w:p>
        </w:tc>
      </w:tr>
      <w:tr w:rsidR="0005066A" w:rsidRPr="00C95CA8" w14:paraId="004F1731" w14:textId="5F53E2CE" w:rsidTr="002B00D0">
        <w:tc>
          <w:tcPr>
            <w:tcW w:w="3003" w:type="dxa"/>
          </w:tcPr>
          <w:p w14:paraId="14FB4417" w14:textId="42CD9659" w:rsidR="0005066A" w:rsidRPr="002A503B" w:rsidRDefault="0005066A" w:rsidP="0005066A">
            <w:pPr>
              <w:contextualSpacing/>
            </w:pPr>
            <w:r w:rsidRPr="002A503B">
              <w:t xml:space="preserve">     Christian</w:t>
            </w:r>
          </w:p>
        </w:tc>
        <w:tc>
          <w:tcPr>
            <w:tcW w:w="1312" w:type="dxa"/>
          </w:tcPr>
          <w:p w14:paraId="066FF482" w14:textId="604F3597" w:rsidR="0005066A" w:rsidRPr="009D6495" w:rsidRDefault="0005066A" w:rsidP="0005066A">
            <w:pPr>
              <w:contextualSpacing/>
              <w:jc w:val="center"/>
            </w:pPr>
            <w:r w:rsidRPr="009D6495">
              <w:t>-0.0</w:t>
            </w:r>
            <w:r w:rsidR="007524BF" w:rsidRPr="009D6495">
              <w:t>90</w:t>
            </w:r>
          </w:p>
        </w:tc>
        <w:tc>
          <w:tcPr>
            <w:tcW w:w="1350" w:type="dxa"/>
          </w:tcPr>
          <w:p w14:paraId="1003E404" w14:textId="7C31A5F8" w:rsidR="0005066A" w:rsidRPr="009D6495" w:rsidRDefault="0005066A" w:rsidP="0005066A">
            <w:pPr>
              <w:contextualSpacing/>
              <w:jc w:val="center"/>
            </w:pPr>
            <w:r w:rsidRPr="009D6495">
              <w:t>0.090</w:t>
            </w:r>
          </w:p>
        </w:tc>
        <w:tc>
          <w:tcPr>
            <w:tcW w:w="1350" w:type="dxa"/>
          </w:tcPr>
          <w:p w14:paraId="5CF60C41" w14:textId="1DBDE17B" w:rsidR="0005066A" w:rsidRPr="009D6495" w:rsidRDefault="0005066A" w:rsidP="007524BF">
            <w:pPr>
              <w:contextualSpacing/>
            </w:pPr>
            <w:r w:rsidRPr="009D6495">
              <w:t xml:space="preserve">  -</w:t>
            </w:r>
            <w:r w:rsidR="007524BF" w:rsidRPr="009D6495">
              <w:t>1.00</w:t>
            </w:r>
          </w:p>
        </w:tc>
      </w:tr>
      <w:tr w:rsidR="0005066A" w:rsidRPr="00C95CA8" w14:paraId="5ECE9226" w14:textId="5E900BAE" w:rsidTr="002B00D0">
        <w:tc>
          <w:tcPr>
            <w:tcW w:w="3003" w:type="dxa"/>
          </w:tcPr>
          <w:p w14:paraId="7767E1D0" w14:textId="640DA614" w:rsidR="0005066A" w:rsidRPr="002A503B" w:rsidRDefault="0005066A" w:rsidP="00034196">
            <w:pPr>
              <w:contextualSpacing/>
            </w:pPr>
            <w:r w:rsidRPr="002A503B">
              <w:t xml:space="preserve">     Hindu</w:t>
            </w:r>
          </w:p>
        </w:tc>
        <w:tc>
          <w:tcPr>
            <w:tcW w:w="1312" w:type="dxa"/>
          </w:tcPr>
          <w:p w14:paraId="674ED37C" w14:textId="712B6C7A" w:rsidR="0005066A" w:rsidRPr="009D6495" w:rsidRDefault="0005066A" w:rsidP="0005066A">
            <w:pPr>
              <w:contextualSpacing/>
              <w:jc w:val="center"/>
            </w:pPr>
            <w:r w:rsidRPr="009D6495">
              <w:t>-0.01</w:t>
            </w:r>
            <w:r w:rsidR="007524BF" w:rsidRPr="009D6495">
              <w:t>0</w:t>
            </w:r>
          </w:p>
        </w:tc>
        <w:tc>
          <w:tcPr>
            <w:tcW w:w="1350" w:type="dxa"/>
          </w:tcPr>
          <w:p w14:paraId="56142B50" w14:textId="4E387528" w:rsidR="0005066A" w:rsidRPr="009D6495" w:rsidRDefault="0005066A" w:rsidP="0005066A">
            <w:pPr>
              <w:contextualSpacing/>
              <w:jc w:val="center"/>
            </w:pPr>
            <w:r w:rsidRPr="009D6495">
              <w:t>0.062</w:t>
            </w:r>
          </w:p>
        </w:tc>
        <w:tc>
          <w:tcPr>
            <w:tcW w:w="1350" w:type="dxa"/>
          </w:tcPr>
          <w:p w14:paraId="694EE6B1" w14:textId="272A5D92" w:rsidR="0005066A" w:rsidRPr="009D6495" w:rsidRDefault="0005066A" w:rsidP="0005066A">
            <w:pPr>
              <w:contextualSpacing/>
            </w:pPr>
            <w:r w:rsidRPr="009D6495">
              <w:t xml:space="preserve">  -0.</w:t>
            </w:r>
            <w:r w:rsidR="007524BF" w:rsidRPr="009D6495">
              <w:t>17</w:t>
            </w:r>
          </w:p>
        </w:tc>
      </w:tr>
      <w:tr w:rsidR="0005066A" w:rsidRPr="00C95CA8" w14:paraId="53D7CA5D" w14:textId="0BC95E33" w:rsidTr="002B00D0">
        <w:tc>
          <w:tcPr>
            <w:tcW w:w="3003" w:type="dxa"/>
            <w:tcBorders>
              <w:bottom w:val="single" w:sz="4" w:space="0" w:color="auto"/>
            </w:tcBorders>
          </w:tcPr>
          <w:p w14:paraId="338FAB66" w14:textId="7AA92D9F" w:rsidR="0005066A" w:rsidRPr="002A503B" w:rsidRDefault="0005066A" w:rsidP="00034196">
            <w:pPr>
              <w:contextualSpacing/>
            </w:pPr>
            <w:r w:rsidRPr="002A503B">
              <w:t xml:space="preserve">     Other</w:t>
            </w:r>
          </w:p>
        </w:tc>
        <w:tc>
          <w:tcPr>
            <w:tcW w:w="1312" w:type="dxa"/>
            <w:tcBorders>
              <w:bottom w:val="single" w:sz="4" w:space="0" w:color="auto"/>
            </w:tcBorders>
          </w:tcPr>
          <w:p w14:paraId="29AF4797" w14:textId="594DA5CA" w:rsidR="0005066A" w:rsidRPr="009D6495" w:rsidRDefault="0005066A" w:rsidP="0005066A">
            <w:pPr>
              <w:contextualSpacing/>
              <w:jc w:val="center"/>
            </w:pPr>
            <w:r w:rsidRPr="009D6495">
              <w:t>-0.27</w:t>
            </w:r>
            <w:r w:rsidR="007524BF" w:rsidRPr="009D6495">
              <w:t>8</w:t>
            </w:r>
          </w:p>
        </w:tc>
        <w:tc>
          <w:tcPr>
            <w:tcW w:w="1350" w:type="dxa"/>
            <w:tcBorders>
              <w:bottom w:val="single" w:sz="4" w:space="0" w:color="auto"/>
            </w:tcBorders>
          </w:tcPr>
          <w:p w14:paraId="445A3609" w14:textId="2ABE28BC" w:rsidR="0005066A" w:rsidRPr="009D6495" w:rsidRDefault="0005066A" w:rsidP="0005066A">
            <w:pPr>
              <w:contextualSpacing/>
              <w:jc w:val="center"/>
            </w:pPr>
            <w:r w:rsidRPr="009D6495">
              <w:t>0.07</w:t>
            </w:r>
            <w:r w:rsidR="007524BF" w:rsidRPr="009D6495">
              <w:t>5</w:t>
            </w:r>
          </w:p>
        </w:tc>
        <w:tc>
          <w:tcPr>
            <w:tcW w:w="1350" w:type="dxa"/>
            <w:tcBorders>
              <w:bottom w:val="single" w:sz="4" w:space="0" w:color="auto"/>
            </w:tcBorders>
          </w:tcPr>
          <w:p w14:paraId="5D62DE94" w14:textId="2BBA51E7" w:rsidR="0005066A" w:rsidRPr="009D6495" w:rsidRDefault="0005066A" w:rsidP="007524BF">
            <w:pPr>
              <w:contextualSpacing/>
              <w:jc w:val="center"/>
            </w:pPr>
            <w:r w:rsidRPr="009D6495">
              <w:t>-3.</w:t>
            </w:r>
            <w:r w:rsidR="007524BF" w:rsidRPr="009D6495">
              <w:t>71</w:t>
            </w:r>
            <w:r w:rsidRPr="009D6495">
              <w:t>***</w:t>
            </w:r>
          </w:p>
        </w:tc>
      </w:tr>
    </w:tbl>
    <w:p w14:paraId="323C4495" w14:textId="77777777" w:rsidR="0005066A" w:rsidRPr="009853A1" w:rsidRDefault="0005066A" w:rsidP="0005066A">
      <w:r w:rsidRPr="002A503B">
        <w:t>*p&lt;.05, **p&lt;.01, ***p&lt;.001</w:t>
      </w:r>
    </w:p>
    <w:p w14:paraId="2945C672" w14:textId="79E16420" w:rsidR="00FF217D" w:rsidRPr="009853A1" w:rsidRDefault="00FF217D">
      <w:r w:rsidRPr="009853A1">
        <w:br w:type="page"/>
      </w:r>
    </w:p>
    <w:p w14:paraId="56CB0620" w14:textId="45B6E60C" w:rsidR="008C42E4" w:rsidRPr="002A503B" w:rsidRDefault="00FF217D" w:rsidP="00034196">
      <w:pPr>
        <w:contextualSpacing/>
      </w:pPr>
      <w:r w:rsidRPr="002A503B">
        <w:lastRenderedPageBreak/>
        <w:t>Table 4. Within country correlates of rape myth acceptance</w:t>
      </w:r>
    </w:p>
    <w:p w14:paraId="76B76879" w14:textId="77777777" w:rsidR="00FF217D" w:rsidRPr="002A503B" w:rsidRDefault="00FF217D" w:rsidP="00034196">
      <w:pPr>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1113"/>
        <w:gridCol w:w="1047"/>
        <w:gridCol w:w="1180"/>
        <w:gridCol w:w="1113"/>
        <w:gridCol w:w="1113"/>
        <w:gridCol w:w="1114"/>
      </w:tblGrid>
      <w:tr w:rsidR="00A91033" w:rsidRPr="002A503B" w14:paraId="750414F9" w14:textId="4314B37C" w:rsidTr="008E57E4">
        <w:tc>
          <w:tcPr>
            <w:tcW w:w="2340" w:type="dxa"/>
            <w:tcBorders>
              <w:top w:val="single" w:sz="4" w:space="0" w:color="auto"/>
            </w:tcBorders>
          </w:tcPr>
          <w:p w14:paraId="4AC0F26F" w14:textId="77777777" w:rsidR="00A91033" w:rsidRPr="002A503B" w:rsidRDefault="00A91033" w:rsidP="008E57E4">
            <w:pPr>
              <w:contextualSpacing/>
            </w:pPr>
          </w:p>
        </w:tc>
        <w:tc>
          <w:tcPr>
            <w:tcW w:w="3340" w:type="dxa"/>
            <w:gridSpan w:val="3"/>
            <w:tcBorders>
              <w:top w:val="single" w:sz="4" w:space="0" w:color="auto"/>
              <w:right w:val="single" w:sz="4" w:space="0" w:color="auto"/>
            </w:tcBorders>
          </w:tcPr>
          <w:p w14:paraId="4A5FE8C7" w14:textId="1AC98E05" w:rsidR="00A91033" w:rsidRPr="002A503B" w:rsidRDefault="00A91033" w:rsidP="008E57E4">
            <w:pPr>
              <w:contextualSpacing/>
              <w:jc w:val="center"/>
            </w:pPr>
            <w:r w:rsidRPr="002A503B">
              <w:t>England</w:t>
            </w:r>
          </w:p>
        </w:tc>
        <w:tc>
          <w:tcPr>
            <w:tcW w:w="3340" w:type="dxa"/>
            <w:gridSpan w:val="3"/>
            <w:tcBorders>
              <w:top w:val="single" w:sz="4" w:space="0" w:color="auto"/>
              <w:left w:val="single" w:sz="4" w:space="0" w:color="auto"/>
            </w:tcBorders>
          </w:tcPr>
          <w:p w14:paraId="0C366674" w14:textId="3385E03B" w:rsidR="00A91033" w:rsidRPr="002A503B" w:rsidRDefault="00A91033" w:rsidP="008E57E4">
            <w:pPr>
              <w:contextualSpacing/>
              <w:jc w:val="center"/>
            </w:pPr>
            <w:r w:rsidRPr="002A503B">
              <w:t>India</w:t>
            </w:r>
          </w:p>
        </w:tc>
      </w:tr>
      <w:tr w:rsidR="00FF217D" w:rsidRPr="002A503B" w14:paraId="45902395" w14:textId="1E0531C8" w:rsidTr="00BB3AF7">
        <w:tc>
          <w:tcPr>
            <w:tcW w:w="2340" w:type="dxa"/>
            <w:tcBorders>
              <w:bottom w:val="single" w:sz="4" w:space="0" w:color="auto"/>
            </w:tcBorders>
          </w:tcPr>
          <w:p w14:paraId="38A58C0B" w14:textId="77777777" w:rsidR="00FF217D" w:rsidRPr="002A503B" w:rsidRDefault="00FF217D" w:rsidP="008E57E4">
            <w:pPr>
              <w:contextualSpacing/>
            </w:pPr>
          </w:p>
        </w:tc>
        <w:tc>
          <w:tcPr>
            <w:tcW w:w="1113" w:type="dxa"/>
            <w:tcBorders>
              <w:bottom w:val="single" w:sz="4" w:space="0" w:color="auto"/>
            </w:tcBorders>
          </w:tcPr>
          <w:p w14:paraId="41FA57F0" w14:textId="09D262E8" w:rsidR="00FF217D" w:rsidRPr="002A503B" w:rsidRDefault="00FF217D" w:rsidP="008E57E4">
            <w:pPr>
              <w:contextualSpacing/>
              <w:jc w:val="center"/>
              <w:rPr>
                <w:i/>
              </w:rPr>
            </w:pPr>
            <w:r w:rsidRPr="002A503B">
              <w:rPr>
                <w:i/>
              </w:rPr>
              <w:t>B</w:t>
            </w:r>
          </w:p>
        </w:tc>
        <w:tc>
          <w:tcPr>
            <w:tcW w:w="1047" w:type="dxa"/>
            <w:tcBorders>
              <w:bottom w:val="single" w:sz="4" w:space="0" w:color="auto"/>
            </w:tcBorders>
          </w:tcPr>
          <w:p w14:paraId="3C0C7924" w14:textId="67290DEF" w:rsidR="00FF217D" w:rsidRPr="002A503B" w:rsidRDefault="00FF217D" w:rsidP="008E57E4">
            <w:pPr>
              <w:contextualSpacing/>
              <w:jc w:val="center"/>
              <w:rPr>
                <w:i/>
              </w:rPr>
            </w:pPr>
            <w:r w:rsidRPr="002A503B">
              <w:rPr>
                <w:i/>
              </w:rPr>
              <w:t>SE</w:t>
            </w:r>
          </w:p>
        </w:tc>
        <w:tc>
          <w:tcPr>
            <w:tcW w:w="1180" w:type="dxa"/>
            <w:tcBorders>
              <w:bottom w:val="single" w:sz="4" w:space="0" w:color="auto"/>
              <w:right w:val="single" w:sz="4" w:space="0" w:color="auto"/>
            </w:tcBorders>
          </w:tcPr>
          <w:p w14:paraId="1BDA8093" w14:textId="61A2CB01" w:rsidR="00FF217D" w:rsidRPr="002A503B" w:rsidRDefault="00FF217D" w:rsidP="008E57E4">
            <w:pPr>
              <w:contextualSpacing/>
              <w:jc w:val="center"/>
              <w:rPr>
                <w:i/>
              </w:rPr>
            </w:pPr>
            <w:r w:rsidRPr="002A503B">
              <w:rPr>
                <w:i/>
              </w:rPr>
              <w:t>t</w:t>
            </w:r>
          </w:p>
        </w:tc>
        <w:tc>
          <w:tcPr>
            <w:tcW w:w="1113" w:type="dxa"/>
            <w:tcBorders>
              <w:left w:val="single" w:sz="4" w:space="0" w:color="auto"/>
              <w:bottom w:val="single" w:sz="4" w:space="0" w:color="auto"/>
            </w:tcBorders>
          </w:tcPr>
          <w:p w14:paraId="25E935BA" w14:textId="38E69FC5" w:rsidR="00FF217D" w:rsidRPr="002A503B" w:rsidRDefault="00FF217D" w:rsidP="008E57E4">
            <w:pPr>
              <w:contextualSpacing/>
              <w:jc w:val="center"/>
              <w:rPr>
                <w:i/>
              </w:rPr>
            </w:pPr>
            <w:r w:rsidRPr="002A503B">
              <w:rPr>
                <w:i/>
              </w:rPr>
              <w:t>B</w:t>
            </w:r>
          </w:p>
        </w:tc>
        <w:tc>
          <w:tcPr>
            <w:tcW w:w="1113" w:type="dxa"/>
            <w:tcBorders>
              <w:bottom w:val="single" w:sz="4" w:space="0" w:color="auto"/>
            </w:tcBorders>
          </w:tcPr>
          <w:p w14:paraId="24B645F0" w14:textId="028C2A0D" w:rsidR="00FF217D" w:rsidRPr="002A503B" w:rsidRDefault="00FF217D" w:rsidP="008E57E4">
            <w:pPr>
              <w:contextualSpacing/>
              <w:jc w:val="center"/>
              <w:rPr>
                <w:i/>
              </w:rPr>
            </w:pPr>
            <w:r w:rsidRPr="002A503B">
              <w:rPr>
                <w:i/>
              </w:rPr>
              <w:t>SE</w:t>
            </w:r>
          </w:p>
        </w:tc>
        <w:tc>
          <w:tcPr>
            <w:tcW w:w="1114" w:type="dxa"/>
            <w:tcBorders>
              <w:bottom w:val="single" w:sz="4" w:space="0" w:color="auto"/>
            </w:tcBorders>
          </w:tcPr>
          <w:p w14:paraId="48537DA1" w14:textId="2C698973" w:rsidR="00FF217D" w:rsidRPr="002A503B" w:rsidRDefault="00FF217D" w:rsidP="008E57E4">
            <w:pPr>
              <w:contextualSpacing/>
              <w:jc w:val="center"/>
              <w:rPr>
                <w:i/>
              </w:rPr>
            </w:pPr>
            <w:r w:rsidRPr="002A503B">
              <w:rPr>
                <w:i/>
              </w:rPr>
              <w:t>t</w:t>
            </w:r>
          </w:p>
        </w:tc>
      </w:tr>
      <w:tr w:rsidR="00FF217D" w:rsidRPr="006F07BE" w14:paraId="45DAD81D" w14:textId="46075744" w:rsidTr="00BB3AF7">
        <w:tc>
          <w:tcPr>
            <w:tcW w:w="2340" w:type="dxa"/>
            <w:tcBorders>
              <w:top w:val="single" w:sz="4" w:space="0" w:color="auto"/>
            </w:tcBorders>
          </w:tcPr>
          <w:p w14:paraId="45B1EC3C" w14:textId="77777777" w:rsidR="00FF217D" w:rsidRPr="009D6495" w:rsidRDefault="00FF217D" w:rsidP="008E57E4">
            <w:pPr>
              <w:contextualSpacing/>
            </w:pPr>
            <w:r w:rsidRPr="009D6495">
              <w:t xml:space="preserve">Male </w:t>
            </w:r>
          </w:p>
        </w:tc>
        <w:tc>
          <w:tcPr>
            <w:tcW w:w="1113" w:type="dxa"/>
            <w:tcBorders>
              <w:top w:val="single" w:sz="4" w:space="0" w:color="auto"/>
            </w:tcBorders>
          </w:tcPr>
          <w:p w14:paraId="55C0A338" w14:textId="290E1FC2" w:rsidR="00FF217D" w:rsidRPr="009D6495" w:rsidRDefault="00FF217D" w:rsidP="00796367">
            <w:pPr>
              <w:contextualSpacing/>
              <w:jc w:val="center"/>
            </w:pPr>
            <w:r w:rsidRPr="009D6495">
              <w:t>0.</w:t>
            </w:r>
            <w:r w:rsidR="00796367" w:rsidRPr="009D6495">
              <w:t>206</w:t>
            </w:r>
          </w:p>
        </w:tc>
        <w:tc>
          <w:tcPr>
            <w:tcW w:w="1047" w:type="dxa"/>
            <w:tcBorders>
              <w:top w:val="single" w:sz="4" w:space="0" w:color="auto"/>
            </w:tcBorders>
          </w:tcPr>
          <w:p w14:paraId="5A428AFC" w14:textId="129CCBE9" w:rsidR="00FF217D" w:rsidRPr="009D6495" w:rsidRDefault="00FF217D" w:rsidP="008E57E4">
            <w:pPr>
              <w:contextualSpacing/>
              <w:jc w:val="center"/>
            </w:pPr>
            <w:r w:rsidRPr="009D6495">
              <w:t>0</w:t>
            </w:r>
            <w:r w:rsidR="00796367" w:rsidRPr="009D6495">
              <w:t>.094</w:t>
            </w:r>
          </w:p>
        </w:tc>
        <w:tc>
          <w:tcPr>
            <w:tcW w:w="1180" w:type="dxa"/>
            <w:tcBorders>
              <w:top w:val="single" w:sz="4" w:space="0" w:color="auto"/>
              <w:right w:val="single" w:sz="4" w:space="0" w:color="auto"/>
            </w:tcBorders>
          </w:tcPr>
          <w:p w14:paraId="5228255A" w14:textId="2E7F8EFE" w:rsidR="00FF217D" w:rsidRPr="009D6495" w:rsidRDefault="00663903" w:rsidP="00796367">
            <w:pPr>
              <w:contextualSpacing/>
            </w:pPr>
            <w:r w:rsidRPr="009D6495">
              <w:t xml:space="preserve">  </w:t>
            </w:r>
            <w:r w:rsidR="00796367" w:rsidRPr="009D6495">
              <w:t>2.19</w:t>
            </w:r>
            <w:r w:rsidR="00AD582C" w:rsidRPr="009D6495">
              <w:t>*</w:t>
            </w:r>
          </w:p>
        </w:tc>
        <w:tc>
          <w:tcPr>
            <w:tcW w:w="1113" w:type="dxa"/>
            <w:tcBorders>
              <w:top w:val="single" w:sz="4" w:space="0" w:color="auto"/>
              <w:left w:val="single" w:sz="4" w:space="0" w:color="auto"/>
            </w:tcBorders>
          </w:tcPr>
          <w:p w14:paraId="7F6B61E2" w14:textId="73AA65B3" w:rsidR="00FF217D" w:rsidRPr="009D6495" w:rsidRDefault="006F07BE" w:rsidP="008E57E4">
            <w:pPr>
              <w:contextualSpacing/>
              <w:jc w:val="center"/>
            </w:pPr>
            <w:r w:rsidRPr="009D6495">
              <w:t>0.331</w:t>
            </w:r>
          </w:p>
        </w:tc>
        <w:tc>
          <w:tcPr>
            <w:tcW w:w="1113" w:type="dxa"/>
            <w:tcBorders>
              <w:top w:val="single" w:sz="4" w:space="0" w:color="auto"/>
            </w:tcBorders>
          </w:tcPr>
          <w:p w14:paraId="15FA64F7" w14:textId="155D7BD6" w:rsidR="00FF217D" w:rsidRPr="009D6495" w:rsidRDefault="006F07BE" w:rsidP="008E57E4">
            <w:pPr>
              <w:contextualSpacing/>
              <w:jc w:val="center"/>
            </w:pPr>
            <w:r w:rsidRPr="009D6495">
              <w:t>0.059</w:t>
            </w:r>
          </w:p>
        </w:tc>
        <w:tc>
          <w:tcPr>
            <w:tcW w:w="1114" w:type="dxa"/>
            <w:tcBorders>
              <w:top w:val="single" w:sz="4" w:space="0" w:color="auto"/>
            </w:tcBorders>
          </w:tcPr>
          <w:p w14:paraId="22AB9403" w14:textId="5BA96403" w:rsidR="00FF217D" w:rsidRPr="009D6495" w:rsidRDefault="006F07BE" w:rsidP="008E57E4">
            <w:pPr>
              <w:contextualSpacing/>
              <w:jc w:val="center"/>
            </w:pPr>
            <w:r w:rsidRPr="009D6495">
              <w:t>5.63</w:t>
            </w:r>
            <w:r w:rsidR="00F15DA3" w:rsidRPr="009D6495">
              <w:t>***</w:t>
            </w:r>
          </w:p>
        </w:tc>
      </w:tr>
      <w:tr w:rsidR="00FF217D" w:rsidRPr="006F07BE" w14:paraId="1C23E32A" w14:textId="2B59F56F" w:rsidTr="00BB3AF7">
        <w:tc>
          <w:tcPr>
            <w:tcW w:w="2340" w:type="dxa"/>
          </w:tcPr>
          <w:p w14:paraId="77A19FF5" w14:textId="77777777" w:rsidR="00FF217D" w:rsidRPr="009D6495" w:rsidRDefault="00FF217D" w:rsidP="008E57E4">
            <w:pPr>
              <w:contextualSpacing/>
            </w:pPr>
            <w:r w:rsidRPr="009D6495">
              <w:t xml:space="preserve">Age </w:t>
            </w:r>
          </w:p>
        </w:tc>
        <w:tc>
          <w:tcPr>
            <w:tcW w:w="1113" w:type="dxa"/>
          </w:tcPr>
          <w:p w14:paraId="0E826887" w14:textId="4B27D391" w:rsidR="00FF217D" w:rsidRPr="009D6495" w:rsidRDefault="00796367" w:rsidP="008E57E4">
            <w:pPr>
              <w:contextualSpacing/>
              <w:jc w:val="center"/>
            </w:pPr>
            <w:r w:rsidRPr="009D6495">
              <w:t>-0.004</w:t>
            </w:r>
          </w:p>
        </w:tc>
        <w:tc>
          <w:tcPr>
            <w:tcW w:w="1047" w:type="dxa"/>
          </w:tcPr>
          <w:p w14:paraId="3BF0B386" w14:textId="49C03040" w:rsidR="00FF217D" w:rsidRPr="009D6495" w:rsidRDefault="00FF217D" w:rsidP="008E57E4">
            <w:pPr>
              <w:contextualSpacing/>
              <w:jc w:val="center"/>
            </w:pPr>
            <w:r w:rsidRPr="009D6495">
              <w:t>0.006</w:t>
            </w:r>
          </w:p>
        </w:tc>
        <w:tc>
          <w:tcPr>
            <w:tcW w:w="1180" w:type="dxa"/>
            <w:tcBorders>
              <w:right w:val="single" w:sz="4" w:space="0" w:color="auto"/>
            </w:tcBorders>
          </w:tcPr>
          <w:p w14:paraId="1CCB1EC1" w14:textId="57742CF6" w:rsidR="00FF217D" w:rsidRPr="009D6495" w:rsidRDefault="00663903" w:rsidP="00AD582C">
            <w:pPr>
              <w:contextualSpacing/>
            </w:pPr>
            <w:r w:rsidRPr="009D6495">
              <w:t xml:space="preserve"> </w:t>
            </w:r>
            <w:r w:rsidR="00FF217D" w:rsidRPr="009D6495">
              <w:t>-0.</w:t>
            </w:r>
            <w:r w:rsidR="00AD582C" w:rsidRPr="009D6495">
              <w:t>69</w:t>
            </w:r>
          </w:p>
        </w:tc>
        <w:tc>
          <w:tcPr>
            <w:tcW w:w="1113" w:type="dxa"/>
            <w:tcBorders>
              <w:left w:val="single" w:sz="4" w:space="0" w:color="auto"/>
            </w:tcBorders>
          </w:tcPr>
          <w:p w14:paraId="1F55E43A" w14:textId="1DE3EE80" w:rsidR="00FF217D" w:rsidRPr="009D6495" w:rsidRDefault="00F15DA3" w:rsidP="008E57E4">
            <w:pPr>
              <w:contextualSpacing/>
              <w:jc w:val="center"/>
            </w:pPr>
            <w:r w:rsidRPr="009D6495">
              <w:t>-</w:t>
            </w:r>
            <w:r w:rsidR="006F07BE" w:rsidRPr="009D6495">
              <w:t>0.044</w:t>
            </w:r>
          </w:p>
        </w:tc>
        <w:tc>
          <w:tcPr>
            <w:tcW w:w="1113" w:type="dxa"/>
          </w:tcPr>
          <w:p w14:paraId="17A0B795" w14:textId="07A0B19D" w:rsidR="00FF217D" w:rsidRPr="009D6495" w:rsidRDefault="00F15DA3" w:rsidP="008E57E4">
            <w:pPr>
              <w:contextualSpacing/>
              <w:jc w:val="center"/>
            </w:pPr>
            <w:r w:rsidRPr="009D6495">
              <w:t>0.012</w:t>
            </w:r>
          </w:p>
        </w:tc>
        <w:tc>
          <w:tcPr>
            <w:tcW w:w="1114" w:type="dxa"/>
          </w:tcPr>
          <w:p w14:paraId="35295B99" w14:textId="3A77CC9B" w:rsidR="00FF217D" w:rsidRPr="009D6495" w:rsidRDefault="00F15DA3" w:rsidP="006F07BE">
            <w:pPr>
              <w:contextualSpacing/>
              <w:jc w:val="center"/>
            </w:pPr>
            <w:r w:rsidRPr="009D6495">
              <w:t>-3.</w:t>
            </w:r>
            <w:r w:rsidR="006F07BE" w:rsidRPr="009D6495">
              <w:t>77</w:t>
            </w:r>
            <w:r w:rsidRPr="009D6495">
              <w:t>***</w:t>
            </w:r>
          </w:p>
        </w:tc>
      </w:tr>
      <w:tr w:rsidR="00FF217D" w:rsidRPr="002A503B" w14:paraId="24AA25E1" w14:textId="0EABBFDF" w:rsidTr="00BB3AF7">
        <w:tc>
          <w:tcPr>
            <w:tcW w:w="2340" w:type="dxa"/>
          </w:tcPr>
          <w:p w14:paraId="27CE80AD" w14:textId="77777777" w:rsidR="00FF217D" w:rsidRPr="009D6495" w:rsidRDefault="00FF217D" w:rsidP="008E57E4">
            <w:pPr>
              <w:contextualSpacing/>
            </w:pPr>
            <w:r w:rsidRPr="009D6495">
              <w:t xml:space="preserve">Race </w:t>
            </w:r>
          </w:p>
        </w:tc>
        <w:tc>
          <w:tcPr>
            <w:tcW w:w="1113" w:type="dxa"/>
          </w:tcPr>
          <w:p w14:paraId="382B2C17" w14:textId="77777777" w:rsidR="00FF217D" w:rsidRPr="009D6495" w:rsidRDefault="00FF217D" w:rsidP="008E57E4">
            <w:pPr>
              <w:contextualSpacing/>
              <w:jc w:val="center"/>
            </w:pPr>
          </w:p>
        </w:tc>
        <w:tc>
          <w:tcPr>
            <w:tcW w:w="1047" w:type="dxa"/>
          </w:tcPr>
          <w:p w14:paraId="6B472D85" w14:textId="77777777" w:rsidR="00FF217D" w:rsidRPr="009D6495" w:rsidRDefault="00FF217D" w:rsidP="008E57E4">
            <w:pPr>
              <w:contextualSpacing/>
              <w:jc w:val="center"/>
            </w:pPr>
          </w:p>
        </w:tc>
        <w:tc>
          <w:tcPr>
            <w:tcW w:w="1180" w:type="dxa"/>
            <w:tcBorders>
              <w:right w:val="single" w:sz="4" w:space="0" w:color="auto"/>
            </w:tcBorders>
          </w:tcPr>
          <w:p w14:paraId="1AFDF233" w14:textId="77777777" w:rsidR="00FF217D" w:rsidRPr="009D6495" w:rsidRDefault="00FF217D" w:rsidP="008E57E4">
            <w:pPr>
              <w:contextualSpacing/>
              <w:jc w:val="center"/>
            </w:pPr>
          </w:p>
        </w:tc>
        <w:tc>
          <w:tcPr>
            <w:tcW w:w="1113" w:type="dxa"/>
            <w:tcBorders>
              <w:left w:val="single" w:sz="4" w:space="0" w:color="auto"/>
            </w:tcBorders>
          </w:tcPr>
          <w:p w14:paraId="3EE7C001" w14:textId="77777777" w:rsidR="00FF217D" w:rsidRPr="009D6495" w:rsidRDefault="00FF217D" w:rsidP="008E57E4">
            <w:pPr>
              <w:contextualSpacing/>
              <w:jc w:val="center"/>
            </w:pPr>
          </w:p>
        </w:tc>
        <w:tc>
          <w:tcPr>
            <w:tcW w:w="1113" w:type="dxa"/>
          </w:tcPr>
          <w:p w14:paraId="6976EBDB" w14:textId="77777777" w:rsidR="00FF217D" w:rsidRPr="009D6495" w:rsidRDefault="00FF217D" w:rsidP="008E57E4">
            <w:pPr>
              <w:contextualSpacing/>
              <w:jc w:val="center"/>
            </w:pPr>
          </w:p>
        </w:tc>
        <w:tc>
          <w:tcPr>
            <w:tcW w:w="1114" w:type="dxa"/>
          </w:tcPr>
          <w:p w14:paraId="6DEC85D5" w14:textId="77777777" w:rsidR="00FF217D" w:rsidRPr="009D6495" w:rsidRDefault="00FF217D" w:rsidP="008E57E4">
            <w:pPr>
              <w:contextualSpacing/>
              <w:jc w:val="center"/>
            </w:pPr>
          </w:p>
        </w:tc>
      </w:tr>
      <w:tr w:rsidR="00FF217D" w:rsidRPr="002A503B" w14:paraId="23BE1902" w14:textId="25D72295" w:rsidTr="00BB3AF7">
        <w:tc>
          <w:tcPr>
            <w:tcW w:w="2340" w:type="dxa"/>
          </w:tcPr>
          <w:p w14:paraId="2E7BE535" w14:textId="77777777" w:rsidR="00FF217D" w:rsidRPr="009D6495" w:rsidRDefault="00FF217D" w:rsidP="008E57E4">
            <w:pPr>
              <w:contextualSpacing/>
            </w:pPr>
            <w:r w:rsidRPr="009D6495">
              <w:t xml:space="preserve">     White </w:t>
            </w:r>
          </w:p>
        </w:tc>
        <w:tc>
          <w:tcPr>
            <w:tcW w:w="1113" w:type="dxa"/>
          </w:tcPr>
          <w:p w14:paraId="6214EC22" w14:textId="75A56B5E" w:rsidR="00FF217D" w:rsidRPr="009D6495" w:rsidRDefault="00AD582C" w:rsidP="008E57E4">
            <w:pPr>
              <w:contextualSpacing/>
              <w:jc w:val="center"/>
            </w:pPr>
            <w:r w:rsidRPr="009D6495">
              <w:t>-0.274</w:t>
            </w:r>
          </w:p>
        </w:tc>
        <w:tc>
          <w:tcPr>
            <w:tcW w:w="1047" w:type="dxa"/>
          </w:tcPr>
          <w:p w14:paraId="57B3B1F0" w14:textId="34081843" w:rsidR="00FF217D" w:rsidRPr="009D6495" w:rsidRDefault="00AD582C" w:rsidP="008E57E4">
            <w:pPr>
              <w:contextualSpacing/>
              <w:jc w:val="center"/>
            </w:pPr>
            <w:r w:rsidRPr="009D6495">
              <w:t>0.086</w:t>
            </w:r>
          </w:p>
        </w:tc>
        <w:tc>
          <w:tcPr>
            <w:tcW w:w="1180" w:type="dxa"/>
            <w:tcBorders>
              <w:right w:val="single" w:sz="4" w:space="0" w:color="auto"/>
            </w:tcBorders>
          </w:tcPr>
          <w:p w14:paraId="34F7CAB9" w14:textId="5FA71D11" w:rsidR="00FF217D" w:rsidRPr="009D6495" w:rsidRDefault="00663903" w:rsidP="00AD582C">
            <w:pPr>
              <w:contextualSpacing/>
            </w:pPr>
            <w:r w:rsidRPr="009D6495">
              <w:t xml:space="preserve"> -3.</w:t>
            </w:r>
            <w:r w:rsidR="00AD582C" w:rsidRPr="009D6495">
              <w:t>18</w:t>
            </w:r>
            <w:r w:rsidRPr="009D6495">
              <w:t>**</w:t>
            </w:r>
          </w:p>
        </w:tc>
        <w:tc>
          <w:tcPr>
            <w:tcW w:w="1113" w:type="dxa"/>
            <w:tcBorders>
              <w:left w:val="single" w:sz="4" w:space="0" w:color="auto"/>
            </w:tcBorders>
          </w:tcPr>
          <w:p w14:paraId="1AD3AD6F" w14:textId="1CD7E127" w:rsidR="00FF217D" w:rsidRPr="009D6495" w:rsidRDefault="00BB3AF7" w:rsidP="008E57E4">
            <w:pPr>
              <w:contextualSpacing/>
              <w:jc w:val="center"/>
            </w:pPr>
            <w:r w:rsidRPr="009D6495">
              <w:t>---</w:t>
            </w:r>
          </w:p>
        </w:tc>
        <w:tc>
          <w:tcPr>
            <w:tcW w:w="1113" w:type="dxa"/>
          </w:tcPr>
          <w:p w14:paraId="329C2996" w14:textId="20E54D97" w:rsidR="00FF217D" w:rsidRPr="009D6495" w:rsidRDefault="00BB3AF7" w:rsidP="008E57E4">
            <w:pPr>
              <w:contextualSpacing/>
              <w:jc w:val="center"/>
            </w:pPr>
            <w:r w:rsidRPr="009D6495">
              <w:t>---</w:t>
            </w:r>
          </w:p>
        </w:tc>
        <w:tc>
          <w:tcPr>
            <w:tcW w:w="1114" w:type="dxa"/>
          </w:tcPr>
          <w:p w14:paraId="49567EAD" w14:textId="17DE6B15" w:rsidR="00FF217D" w:rsidRPr="009D6495" w:rsidRDefault="00BB3AF7" w:rsidP="008E57E4">
            <w:pPr>
              <w:contextualSpacing/>
              <w:jc w:val="center"/>
            </w:pPr>
            <w:r w:rsidRPr="009D6495">
              <w:t>---</w:t>
            </w:r>
          </w:p>
        </w:tc>
      </w:tr>
      <w:tr w:rsidR="00FF217D" w:rsidRPr="002A503B" w14:paraId="41B141BE" w14:textId="7788CA4C" w:rsidTr="00BB3AF7">
        <w:tc>
          <w:tcPr>
            <w:tcW w:w="2340" w:type="dxa"/>
          </w:tcPr>
          <w:p w14:paraId="4F6C42A0" w14:textId="77777777" w:rsidR="00FF217D" w:rsidRPr="009D6495" w:rsidRDefault="00FF217D" w:rsidP="008E57E4">
            <w:pPr>
              <w:contextualSpacing/>
            </w:pPr>
            <w:r w:rsidRPr="009D6495">
              <w:t>Mother Tongue</w:t>
            </w:r>
          </w:p>
        </w:tc>
        <w:tc>
          <w:tcPr>
            <w:tcW w:w="1113" w:type="dxa"/>
          </w:tcPr>
          <w:p w14:paraId="0744C67A" w14:textId="77777777" w:rsidR="00FF217D" w:rsidRPr="009D6495" w:rsidRDefault="00FF217D" w:rsidP="008E57E4">
            <w:pPr>
              <w:contextualSpacing/>
              <w:jc w:val="center"/>
            </w:pPr>
          </w:p>
        </w:tc>
        <w:tc>
          <w:tcPr>
            <w:tcW w:w="1047" w:type="dxa"/>
          </w:tcPr>
          <w:p w14:paraId="747EDB55" w14:textId="77777777" w:rsidR="00FF217D" w:rsidRPr="009D6495" w:rsidRDefault="00FF217D" w:rsidP="008E57E4">
            <w:pPr>
              <w:contextualSpacing/>
              <w:jc w:val="center"/>
            </w:pPr>
          </w:p>
        </w:tc>
        <w:tc>
          <w:tcPr>
            <w:tcW w:w="1180" w:type="dxa"/>
            <w:tcBorders>
              <w:right w:val="single" w:sz="4" w:space="0" w:color="auto"/>
            </w:tcBorders>
          </w:tcPr>
          <w:p w14:paraId="1C5C3F7E" w14:textId="77777777" w:rsidR="00FF217D" w:rsidRPr="009D6495" w:rsidRDefault="00FF217D" w:rsidP="008E57E4">
            <w:pPr>
              <w:contextualSpacing/>
              <w:jc w:val="center"/>
            </w:pPr>
          </w:p>
        </w:tc>
        <w:tc>
          <w:tcPr>
            <w:tcW w:w="1113" w:type="dxa"/>
            <w:tcBorders>
              <w:left w:val="single" w:sz="4" w:space="0" w:color="auto"/>
            </w:tcBorders>
          </w:tcPr>
          <w:p w14:paraId="1341A934" w14:textId="77777777" w:rsidR="00FF217D" w:rsidRPr="009D6495" w:rsidRDefault="00FF217D" w:rsidP="008E57E4">
            <w:pPr>
              <w:contextualSpacing/>
              <w:jc w:val="center"/>
            </w:pPr>
          </w:p>
        </w:tc>
        <w:tc>
          <w:tcPr>
            <w:tcW w:w="1113" w:type="dxa"/>
          </w:tcPr>
          <w:p w14:paraId="53822B96" w14:textId="77777777" w:rsidR="00FF217D" w:rsidRPr="009D6495" w:rsidRDefault="00FF217D" w:rsidP="008E57E4">
            <w:pPr>
              <w:contextualSpacing/>
              <w:jc w:val="center"/>
            </w:pPr>
          </w:p>
        </w:tc>
        <w:tc>
          <w:tcPr>
            <w:tcW w:w="1114" w:type="dxa"/>
          </w:tcPr>
          <w:p w14:paraId="55C5C669" w14:textId="77777777" w:rsidR="00FF217D" w:rsidRPr="009D6495" w:rsidRDefault="00FF217D" w:rsidP="008E57E4">
            <w:pPr>
              <w:contextualSpacing/>
              <w:jc w:val="center"/>
            </w:pPr>
          </w:p>
        </w:tc>
      </w:tr>
      <w:tr w:rsidR="00FF217D" w:rsidRPr="002A503B" w14:paraId="04A4829B" w14:textId="58AD842D" w:rsidTr="00BB3AF7">
        <w:tc>
          <w:tcPr>
            <w:tcW w:w="2340" w:type="dxa"/>
          </w:tcPr>
          <w:p w14:paraId="6D2596E0" w14:textId="77777777" w:rsidR="00FF217D" w:rsidRPr="009D6495" w:rsidRDefault="00FF217D" w:rsidP="008E57E4">
            <w:pPr>
              <w:contextualSpacing/>
            </w:pPr>
            <w:r w:rsidRPr="009D6495">
              <w:t xml:space="preserve">     Urdu</w:t>
            </w:r>
          </w:p>
        </w:tc>
        <w:tc>
          <w:tcPr>
            <w:tcW w:w="1113" w:type="dxa"/>
          </w:tcPr>
          <w:p w14:paraId="5619F3A1" w14:textId="50A27384" w:rsidR="00FF217D" w:rsidRPr="009D6495" w:rsidRDefault="00663903" w:rsidP="008E57E4">
            <w:pPr>
              <w:contextualSpacing/>
              <w:jc w:val="center"/>
            </w:pPr>
            <w:r w:rsidRPr="009D6495">
              <w:t>---</w:t>
            </w:r>
          </w:p>
        </w:tc>
        <w:tc>
          <w:tcPr>
            <w:tcW w:w="1047" w:type="dxa"/>
          </w:tcPr>
          <w:p w14:paraId="3CA442D4" w14:textId="342599B9" w:rsidR="00FF217D" w:rsidRPr="009D6495" w:rsidRDefault="00663903" w:rsidP="008E57E4">
            <w:pPr>
              <w:contextualSpacing/>
              <w:jc w:val="center"/>
            </w:pPr>
            <w:r w:rsidRPr="009D6495">
              <w:t>---</w:t>
            </w:r>
          </w:p>
        </w:tc>
        <w:tc>
          <w:tcPr>
            <w:tcW w:w="1180" w:type="dxa"/>
            <w:tcBorders>
              <w:right w:val="single" w:sz="4" w:space="0" w:color="auto"/>
            </w:tcBorders>
          </w:tcPr>
          <w:p w14:paraId="60F9F7B0" w14:textId="34CFDC8E" w:rsidR="00FF217D" w:rsidRPr="009D6495" w:rsidRDefault="00663903" w:rsidP="008E57E4">
            <w:pPr>
              <w:contextualSpacing/>
              <w:jc w:val="center"/>
            </w:pPr>
            <w:r w:rsidRPr="009D6495">
              <w:t>---</w:t>
            </w:r>
          </w:p>
        </w:tc>
        <w:tc>
          <w:tcPr>
            <w:tcW w:w="1113" w:type="dxa"/>
            <w:tcBorders>
              <w:left w:val="single" w:sz="4" w:space="0" w:color="auto"/>
            </w:tcBorders>
          </w:tcPr>
          <w:p w14:paraId="049481B2" w14:textId="631C1590" w:rsidR="00FF217D" w:rsidRPr="009D6495" w:rsidRDefault="006F07BE" w:rsidP="008E57E4">
            <w:pPr>
              <w:contextualSpacing/>
              <w:jc w:val="center"/>
            </w:pPr>
            <w:r w:rsidRPr="009D6495">
              <w:t>-0.085</w:t>
            </w:r>
          </w:p>
        </w:tc>
        <w:tc>
          <w:tcPr>
            <w:tcW w:w="1113" w:type="dxa"/>
          </w:tcPr>
          <w:p w14:paraId="16FB2EEB" w14:textId="527BD319" w:rsidR="00FF217D" w:rsidRPr="009D6495" w:rsidRDefault="00F15DA3" w:rsidP="008E57E4">
            <w:pPr>
              <w:contextualSpacing/>
              <w:jc w:val="center"/>
            </w:pPr>
            <w:r w:rsidRPr="009D6495">
              <w:t>0.121</w:t>
            </w:r>
          </w:p>
        </w:tc>
        <w:tc>
          <w:tcPr>
            <w:tcW w:w="1114" w:type="dxa"/>
          </w:tcPr>
          <w:p w14:paraId="13B488AB" w14:textId="598C0B13" w:rsidR="00FF217D" w:rsidRPr="009D6495" w:rsidRDefault="00BB3AF7" w:rsidP="00BB3AF7">
            <w:pPr>
              <w:contextualSpacing/>
            </w:pPr>
            <w:r w:rsidRPr="009D6495">
              <w:t xml:space="preserve"> </w:t>
            </w:r>
            <w:r w:rsidR="006F07BE" w:rsidRPr="009D6495">
              <w:t>-0.70</w:t>
            </w:r>
          </w:p>
        </w:tc>
      </w:tr>
      <w:tr w:rsidR="00FF217D" w:rsidRPr="002A503B" w14:paraId="047B59E7" w14:textId="0FEBC531" w:rsidTr="00BB3AF7">
        <w:tc>
          <w:tcPr>
            <w:tcW w:w="2340" w:type="dxa"/>
          </w:tcPr>
          <w:p w14:paraId="363321A4" w14:textId="77777777" w:rsidR="00FF217D" w:rsidRPr="009D6495" w:rsidRDefault="00FF217D" w:rsidP="008E57E4">
            <w:pPr>
              <w:contextualSpacing/>
            </w:pPr>
            <w:r w:rsidRPr="009D6495">
              <w:t xml:space="preserve">     Other</w:t>
            </w:r>
          </w:p>
        </w:tc>
        <w:tc>
          <w:tcPr>
            <w:tcW w:w="1113" w:type="dxa"/>
          </w:tcPr>
          <w:p w14:paraId="629E664B" w14:textId="03366B0B" w:rsidR="00FF217D" w:rsidRPr="009D6495" w:rsidRDefault="00663903" w:rsidP="008E57E4">
            <w:pPr>
              <w:contextualSpacing/>
              <w:jc w:val="center"/>
            </w:pPr>
            <w:r w:rsidRPr="009D6495">
              <w:t>---</w:t>
            </w:r>
          </w:p>
        </w:tc>
        <w:tc>
          <w:tcPr>
            <w:tcW w:w="1047" w:type="dxa"/>
          </w:tcPr>
          <w:p w14:paraId="71C743A7" w14:textId="21872B45" w:rsidR="00FF217D" w:rsidRPr="009D6495" w:rsidRDefault="00663903" w:rsidP="008E57E4">
            <w:pPr>
              <w:contextualSpacing/>
              <w:jc w:val="center"/>
            </w:pPr>
            <w:r w:rsidRPr="009D6495">
              <w:t>--</w:t>
            </w:r>
          </w:p>
        </w:tc>
        <w:tc>
          <w:tcPr>
            <w:tcW w:w="1180" w:type="dxa"/>
            <w:tcBorders>
              <w:right w:val="single" w:sz="4" w:space="0" w:color="auto"/>
            </w:tcBorders>
          </w:tcPr>
          <w:p w14:paraId="457DF0F2" w14:textId="254D015D" w:rsidR="00FF217D" w:rsidRPr="009D6495" w:rsidRDefault="00663903" w:rsidP="008E57E4">
            <w:pPr>
              <w:contextualSpacing/>
              <w:jc w:val="center"/>
            </w:pPr>
            <w:r w:rsidRPr="009D6495">
              <w:t>---</w:t>
            </w:r>
          </w:p>
        </w:tc>
        <w:tc>
          <w:tcPr>
            <w:tcW w:w="1113" w:type="dxa"/>
            <w:tcBorders>
              <w:left w:val="single" w:sz="4" w:space="0" w:color="auto"/>
            </w:tcBorders>
          </w:tcPr>
          <w:p w14:paraId="489680DB" w14:textId="0936C84E" w:rsidR="00FF217D" w:rsidRPr="009D6495" w:rsidRDefault="00BB3AF7" w:rsidP="006F07BE">
            <w:pPr>
              <w:contextualSpacing/>
              <w:jc w:val="center"/>
            </w:pPr>
            <w:r w:rsidRPr="009D6495">
              <w:t>-0.1</w:t>
            </w:r>
            <w:r w:rsidR="006F07BE" w:rsidRPr="009D6495">
              <w:t>39</w:t>
            </w:r>
          </w:p>
        </w:tc>
        <w:tc>
          <w:tcPr>
            <w:tcW w:w="1113" w:type="dxa"/>
          </w:tcPr>
          <w:p w14:paraId="6994F2F0" w14:textId="165D09A8" w:rsidR="00FF217D" w:rsidRPr="009D6495" w:rsidRDefault="00BB3AF7" w:rsidP="008E57E4">
            <w:pPr>
              <w:contextualSpacing/>
              <w:jc w:val="center"/>
            </w:pPr>
            <w:r w:rsidRPr="009D6495">
              <w:t>0.077</w:t>
            </w:r>
          </w:p>
        </w:tc>
        <w:tc>
          <w:tcPr>
            <w:tcW w:w="1114" w:type="dxa"/>
          </w:tcPr>
          <w:p w14:paraId="62F89DB3" w14:textId="0CBAC671" w:rsidR="00FF217D" w:rsidRPr="009D6495" w:rsidRDefault="006F07BE" w:rsidP="00BB3AF7">
            <w:pPr>
              <w:contextualSpacing/>
            </w:pPr>
            <w:r w:rsidRPr="009D6495">
              <w:t xml:space="preserve"> -1.82</w:t>
            </w:r>
          </w:p>
        </w:tc>
      </w:tr>
      <w:tr w:rsidR="00FF217D" w:rsidRPr="002A503B" w14:paraId="267CB4AF" w14:textId="76C6BF01" w:rsidTr="00BB3AF7">
        <w:tc>
          <w:tcPr>
            <w:tcW w:w="2340" w:type="dxa"/>
          </w:tcPr>
          <w:p w14:paraId="0B34ACB1" w14:textId="77777777" w:rsidR="00FF217D" w:rsidRPr="009D6495" w:rsidRDefault="00FF217D" w:rsidP="008E57E4">
            <w:pPr>
              <w:contextualSpacing/>
            </w:pPr>
            <w:r w:rsidRPr="009D6495">
              <w:t>Caste</w:t>
            </w:r>
          </w:p>
        </w:tc>
        <w:tc>
          <w:tcPr>
            <w:tcW w:w="1113" w:type="dxa"/>
          </w:tcPr>
          <w:p w14:paraId="7ED1B77F" w14:textId="59B54189" w:rsidR="00FF217D" w:rsidRPr="009D6495" w:rsidRDefault="00663903" w:rsidP="008E57E4">
            <w:pPr>
              <w:contextualSpacing/>
              <w:jc w:val="center"/>
            </w:pPr>
            <w:r w:rsidRPr="009D6495">
              <w:t>---</w:t>
            </w:r>
          </w:p>
        </w:tc>
        <w:tc>
          <w:tcPr>
            <w:tcW w:w="1047" w:type="dxa"/>
          </w:tcPr>
          <w:p w14:paraId="4E7981FD" w14:textId="5993C078" w:rsidR="00FF217D" w:rsidRPr="009D6495" w:rsidRDefault="00663903" w:rsidP="008E57E4">
            <w:pPr>
              <w:contextualSpacing/>
              <w:jc w:val="center"/>
            </w:pPr>
            <w:r w:rsidRPr="009D6495">
              <w:t>---</w:t>
            </w:r>
          </w:p>
        </w:tc>
        <w:tc>
          <w:tcPr>
            <w:tcW w:w="1180" w:type="dxa"/>
            <w:tcBorders>
              <w:right w:val="single" w:sz="4" w:space="0" w:color="auto"/>
            </w:tcBorders>
          </w:tcPr>
          <w:p w14:paraId="5F9D3F94" w14:textId="163A1518" w:rsidR="00FF217D" w:rsidRPr="009D6495" w:rsidRDefault="00663903" w:rsidP="008E57E4">
            <w:pPr>
              <w:contextualSpacing/>
              <w:jc w:val="center"/>
            </w:pPr>
            <w:r w:rsidRPr="009D6495">
              <w:t>---</w:t>
            </w:r>
          </w:p>
        </w:tc>
        <w:tc>
          <w:tcPr>
            <w:tcW w:w="1113" w:type="dxa"/>
            <w:tcBorders>
              <w:left w:val="single" w:sz="4" w:space="0" w:color="auto"/>
            </w:tcBorders>
          </w:tcPr>
          <w:p w14:paraId="5F8E5965" w14:textId="527FD098" w:rsidR="00FF217D" w:rsidRPr="009D6495" w:rsidRDefault="006F07BE" w:rsidP="008E57E4">
            <w:pPr>
              <w:contextualSpacing/>
              <w:jc w:val="center"/>
            </w:pPr>
            <w:r w:rsidRPr="009D6495">
              <w:t>0.266</w:t>
            </w:r>
          </w:p>
        </w:tc>
        <w:tc>
          <w:tcPr>
            <w:tcW w:w="1113" w:type="dxa"/>
          </w:tcPr>
          <w:p w14:paraId="27FE0F9A" w14:textId="53842F70" w:rsidR="00FF217D" w:rsidRPr="009D6495" w:rsidRDefault="006F07BE" w:rsidP="008E57E4">
            <w:pPr>
              <w:contextualSpacing/>
              <w:jc w:val="center"/>
            </w:pPr>
            <w:r w:rsidRPr="009D6495">
              <w:t>0.088</w:t>
            </w:r>
          </w:p>
        </w:tc>
        <w:tc>
          <w:tcPr>
            <w:tcW w:w="1114" w:type="dxa"/>
          </w:tcPr>
          <w:p w14:paraId="419A878B" w14:textId="20021DD6" w:rsidR="00FF217D" w:rsidRPr="009D6495" w:rsidRDefault="006F07BE" w:rsidP="008E57E4">
            <w:pPr>
              <w:contextualSpacing/>
              <w:jc w:val="center"/>
            </w:pPr>
            <w:r w:rsidRPr="009D6495">
              <w:t>3.03</w:t>
            </w:r>
            <w:r w:rsidR="00F15DA3" w:rsidRPr="009D6495">
              <w:t>**</w:t>
            </w:r>
          </w:p>
        </w:tc>
      </w:tr>
      <w:tr w:rsidR="00FF217D" w:rsidRPr="002A503B" w14:paraId="0BE0939B" w14:textId="604EB4D6" w:rsidTr="00BB3AF7">
        <w:tc>
          <w:tcPr>
            <w:tcW w:w="2340" w:type="dxa"/>
          </w:tcPr>
          <w:p w14:paraId="192C5506" w14:textId="77777777" w:rsidR="00FF217D" w:rsidRPr="009D6495" w:rsidRDefault="00FF217D" w:rsidP="008E57E4">
            <w:pPr>
              <w:contextualSpacing/>
            </w:pPr>
            <w:r w:rsidRPr="009D6495">
              <w:t>Religion (England)</w:t>
            </w:r>
          </w:p>
        </w:tc>
        <w:tc>
          <w:tcPr>
            <w:tcW w:w="1113" w:type="dxa"/>
          </w:tcPr>
          <w:p w14:paraId="54C68A8A" w14:textId="77777777" w:rsidR="00FF217D" w:rsidRPr="009D6495" w:rsidRDefault="00FF217D" w:rsidP="008E57E4">
            <w:pPr>
              <w:contextualSpacing/>
              <w:jc w:val="center"/>
            </w:pPr>
          </w:p>
        </w:tc>
        <w:tc>
          <w:tcPr>
            <w:tcW w:w="1047" w:type="dxa"/>
          </w:tcPr>
          <w:p w14:paraId="5FBDB549" w14:textId="77777777" w:rsidR="00FF217D" w:rsidRPr="009D6495" w:rsidRDefault="00FF217D" w:rsidP="008E57E4">
            <w:pPr>
              <w:contextualSpacing/>
              <w:jc w:val="center"/>
            </w:pPr>
          </w:p>
        </w:tc>
        <w:tc>
          <w:tcPr>
            <w:tcW w:w="1180" w:type="dxa"/>
            <w:tcBorders>
              <w:right w:val="single" w:sz="4" w:space="0" w:color="auto"/>
            </w:tcBorders>
          </w:tcPr>
          <w:p w14:paraId="56903A95" w14:textId="77777777" w:rsidR="00FF217D" w:rsidRPr="009D6495" w:rsidRDefault="00FF217D" w:rsidP="008E57E4">
            <w:pPr>
              <w:contextualSpacing/>
              <w:jc w:val="center"/>
            </w:pPr>
          </w:p>
        </w:tc>
        <w:tc>
          <w:tcPr>
            <w:tcW w:w="1113" w:type="dxa"/>
            <w:tcBorders>
              <w:left w:val="single" w:sz="4" w:space="0" w:color="auto"/>
            </w:tcBorders>
          </w:tcPr>
          <w:p w14:paraId="21F01749" w14:textId="77777777" w:rsidR="00FF217D" w:rsidRPr="009D6495" w:rsidRDefault="00FF217D" w:rsidP="008E57E4">
            <w:pPr>
              <w:contextualSpacing/>
              <w:jc w:val="center"/>
            </w:pPr>
          </w:p>
        </w:tc>
        <w:tc>
          <w:tcPr>
            <w:tcW w:w="1113" w:type="dxa"/>
          </w:tcPr>
          <w:p w14:paraId="716F192B" w14:textId="77777777" w:rsidR="00FF217D" w:rsidRPr="009D6495" w:rsidRDefault="00FF217D" w:rsidP="008E57E4">
            <w:pPr>
              <w:contextualSpacing/>
              <w:jc w:val="center"/>
            </w:pPr>
          </w:p>
        </w:tc>
        <w:tc>
          <w:tcPr>
            <w:tcW w:w="1114" w:type="dxa"/>
          </w:tcPr>
          <w:p w14:paraId="467C71AC" w14:textId="77777777" w:rsidR="00FF217D" w:rsidRPr="009D6495" w:rsidRDefault="00FF217D" w:rsidP="008E57E4">
            <w:pPr>
              <w:contextualSpacing/>
              <w:jc w:val="center"/>
            </w:pPr>
          </w:p>
        </w:tc>
      </w:tr>
      <w:tr w:rsidR="00FF217D" w:rsidRPr="002A503B" w14:paraId="6AC1A6EA" w14:textId="4538BDC5" w:rsidTr="00BB3AF7">
        <w:tc>
          <w:tcPr>
            <w:tcW w:w="2340" w:type="dxa"/>
          </w:tcPr>
          <w:p w14:paraId="730D48E2" w14:textId="77777777" w:rsidR="00FF217D" w:rsidRPr="009D6495" w:rsidRDefault="00FF217D" w:rsidP="008E57E4">
            <w:pPr>
              <w:contextualSpacing/>
            </w:pPr>
            <w:r w:rsidRPr="009D6495">
              <w:t xml:space="preserve">     Non-Christian</w:t>
            </w:r>
          </w:p>
        </w:tc>
        <w:tc>
          <w:tcPr>
            <w:tcW w:w="1113" w:type="dxa"/>
          </w:tcPr>
          <w:p w14:paraId="5FB1F538" w14:textId="328D28B5" w:rsidR="00FF217D" w:rsidRPr="009D6495" w:rsidRDefault="00AD582C" w:rsidP="008E57E4">
            <w:pPr>
              <w:contextualSpacing/>
              <w:jc w:val="center"/>
            </w:pPr>
            <w:r w:rsidRPr="009D6495">
              <w:t>-0.206</w:t>
            </w:r>
          </w:p>
        </w:tc>
        <w:tc>
          <w:tcPr>
            <w:tcW w:w="1047" w:type="dxa"/>
          </w:tcPr>
          <w:p w14:paraId="49194D92" w14:textId="2E5E5CA7" w:rsidR="00FF217D" w:rsidRPr="009D6495" w:rsidRDefault="00663903" w:rsidP="008E57E4">
            <w:pPr>
              <w:contextualSpacing/>
              <w:jc w:val="center"/>
            </w:pPr>
            <w:r w:rsidRPr="009D6495">
              <w:t>0.114</w:t>
            </w:r>
          </w:p>
        </w:tc>
        <w:tc>
          <w:tcPr>
            <w:tcW w:w="1180" w:type="dxa"/>
            <w:tcBorders>
              <w:right w:val="single" w:sz="4" w:space="0" w:color="auto"/>
            </w:tcBorders>
          </w:tcPr>
          <w:p w14:paraId="7D35EE34" w14:textId="266F238B" w:rsidR="00FF217D" w:rsidRPr="009D6495" w:rsidRDefault="00AD582C" w:rsidP="00663903">
            <w:pPr>
              <w:contextualSpacing/>
            </w:pPr>
            <w:r w:rsidRPr="009D6495">
              <w:t xml:space="preserve"> -1.81</w:t>
            </w:r>
          </w:p>
        </w:tc>
        <w:tc>
          <w:tcPr>
            <w:tcW w:w="1113" w:type="dxa"/>
            <w:tcBorders>
              <w:left w:val="single" w:sz="4" w:space="0" w:color="auto"/>
            </w:tcBorders>
          </w:tcPr>
          <w:p w14:paraId="2C21B5F5" w14:textId="4ABEB435" w:rsidR="00FF217D" w:rsidRPr="009D6495" w:rsidRDefault="00BB3AF7" w:rsidP="008E57E4">
            <w:pPr>
              <w:contextualSpacing/>
              <w:jc w:val="center"/>
            </w:pPr>
            <w:r w:rsidRPr="009D6495">
              <w:t>---</w:t>
            </w:r>
          </w:p>
        </w:tc>
        <w:tc>
          <w:tcPr>
            <w:tcW w:w="1113" w:type="dxa"/>
          </w:tcPr>
          <w:p w14:paraId="21D45D5F" w14:textId="227CA196" w:rsidR="00FF217D" w:rsidRPr="009D6495" w:rsidRDefault="00BB3AF7" w:rsidP="008E57E4">
            <w:pPr>
              <w:contextualSpacing/>
              <w:jc w:val="center"/>
            </w:pPr>
            <w:r w:rsidRPr="009D6495">
              <w:t>---</w:t>
            </w:r>
          </w:p>
        </w:tc>
        <w:tc>
          <w:tcPr>
            <w:tcW w:w="1114" w:type="dxa"/>
          </w:tcPr>
          <w:p w14:paraId="2CD5033D" w14:textId="67B4A2DD" w:rsidR="00FF217D" w:rsidRPr="009D6495" w:rsidRDefault="00BB3AF7" w:rsidP="008E57E4">
            <w:pPr>
              <w:contextualSpacing/>
              <w:jc w:val="center"/>
            </w:pPr>
            <w:r w:rsidRPr="009D6495">
              <w:t>---</w:t>
            </w:r>
          </w:p>
        </w:tc>
      </w:tr>
      <w:tr w:rsidR="00FF217D" w:rsidRPr="002A503B" w14:paraId="41C6258E" w14:textId="02E9F861" w:rsidTr="00BB3AF7">
        <w:tc>
          <w:tcPr>
            <w:tcW w:w="2340" w:type="dxa"/>
          </w:tcPr>
          <w:p w14:paraId="222D46C9" w14:textId="77777777" w:rsidR="00FF217D" w:rsidRPr="009D6495" w:rsidRDefault="00FF217D" w:rsidP="008E57E4">
            <w:pPr>
              <w:contextualSpacing/>
            </w:pPr>
            <w:r w:rsidRPr="009D6495">
              <w:t xml:space="preserve">     No Religion</w:t>
            </w:r>
          </w:p>
        </w:tc>
        <w:tc>
          <w:tcPr>
            <w:tcW w:w="1113" w:type="dxa"/>
          </w:tcPr>
          <w:p w14:paraId="3E015673" w14:textId="527B1D56" w:rsidR="00FF217D" w:rsidRPr="009D6495" w:rsidRDefault="00AD582C" w:rsidP="008E57E4">
            <w:pPr>
              <w:contextualSpacing/>
              <w:jc w:val="center"/>
            </w:pPr>
            <w:r w:rsidRPr="009D6495">
              <w:t>-0.164</w:t>
            </w:r>
          </w:p>
        </w:tc>
        <w:tc>
          <w:tcPr>
            <w:tcW w:w="1047" w:type="dxa"/>
          </w:tcPr>
          <w:p w14:paraId="545E53EA" w14:textId="4B16E091" w:rsidR="00FF217D" w:rsidRPr="009D6495" w:rsidRDefault="00663903" w:rsidP="008E57E4">
            <w:pPr>
              <w:contextualSpacing/>
              <w:jc w:val="center"/>
            </w:pPr>
            <w:r w:rsidRPr="009D6495">
              <w:t>0.081</w:t>
            </w:r>
          </w:p>
        </w:tc>
        <w:tc>
          <w:tcPr>
            <w:tcW w:w="1180" w:type="dxa"/>
            <w:tcBorders>
              <w:right w:val="single" w:sz="4" w:space="0" w:color="auto"/>
            </w:tcBorders>
          </w:tcPr>
          <w:p w14:paraId="3B7D3411" w14:textId="2A439547" w:rsidR="00FF217D" w:rsidRPr="009D6495" w:rsidRDefault="00663903" w:rsidP="00AD582C">
            <w:pPr>
              <w:contextualSpacing/>
            </w:pPr>
            <w:r w:rsidRPr="009D6495">
              <w:t xml:space="preserve"> -2.0</w:t>
            </w:r>
            <w:r w:rsidR="00AD582C" w:rsidRPr="009D6495">
              <w:t>3</w:t>
            </w:r>
            <w:r w:rsidRPr="009D6495">
              <w:t>*</w:t>
            </w:r>
          </w:p>
        </w:tc>
        <w:tc>
          <w:tcPr>
            <w:tcW w:w="1113" w:type="dxa"/>
            <w:tcBorders>
              <w:left w:val="single" w:sz="4" w:space="0" w:color="auto"/>
            </w:tcBorders>
          </w:tcPr>
          <w:p w14:paraId="67BE4A25" w14:textId="505686C2" w:rsidR="00FF217D" w:rsidRPr="009D6495" w:rsidRDefault="00BB3AF7" w:rsidP="008E57E4">
            <w:pPr>
              <w:contextualSpacing/>
              <w:jc w:val="center"/>
            </w:pPr>
            <w:r w:rsidRPr="009D6495">
              <w:t>----</w:t>
            </w:r>
          </w:p>
        </w:tc>
        <w:tc>
          <w:tcPr>
            <w:tcW w:w="1113" w:type="dxa"/>
          </w:tcPr>
          <w:p w14:paraId="3408B7F7" w14:textId="224FBA8E" w:rsidR="00FF217D" w:rsidRPr="009D6495" w:rsidRDefault="00BB3AF7" w:rsidP="008E57E4">
            <w:pPr>
              <w:contextualSpacing/>
              <w:jc w:val="center"/>
            </w:pPr>
            <w:r w:rsidRPr="009D6495">
              <w:t>---</w:t>
            </w:r>
          </w:p>
        </w:tc>
        <w:tc>
          <w:tcPr>
            <w:tcW w:w="1114" w:type="dxa"/>
          </w:tcPr>
          <w:p w14:paraId="64EA6413" w14:textId="17D8EADA" w:rsidR="00FF217D" w:rsidRPr="009D6495" w:rsidRDefault="00BB3AF7" w:rsidP="008E57E4">
            <w:pPr>
              <w:contextualSpacing/>
              <w:jc w:val="center"/>
            </w:pPr>
            <w:r w:rsidRPr="009D6495">
              <w:t>---</w:t>
            </w:r>
          </w:p>
        </w:tc>
      </w:tr>
      <w:tr w:rsidR="00FF217D" w:rsidRPr="002A503B" w14:paraId="531471E7" w14:textId="0F0E07A5" w:rsidTr="00BB3AF7">
        <w:tc>
          <w:tcPr>
            <w:tcW w:w="2340" w:type="dxa"/>
          </w:tcPr>
          <w:p w14:paraId="699B817D" w14:textId="77777777" w:rsidR="00FF217D" w:rsidRPr="009D6495" w:rsidRDefault="00FF217D" w:rsidP="008E57E4">
            <w:pPr>
              <w:contextualSpacing/>
            </w:pPr>
            <w:r w:rsidRPr="009D6495">
              <w:t>Religion (India)</w:t>
            </w:r>
          </w:p>
        </w:tc>
        <w:tc>
          <w:tcPr>
            <w:tcW w:w="1113" w:type="dxa"/>
          </w:tcPr>
          <w:p w14:paraId="0DC38E80" w14:textId="77777777" w:rsidR="00FF217D" w:rsidRPr="009D6495" w:rsidRDefault="00FF217D" w:rsidP="008E57E4">
            <w:pPr>
              <w:contextualSpacing/>
              <w:jc w:val="center"/>
            </w:pPr>
          </w:p>
        </w:tc>
        <w:tc>
          <w:tcPr>
            <w:tcW w:w="1047" w:type="dxa"/>
          </w:tcPr>
          <w:p w14:paraId="223E822B" w14:textId="77777777" w:rsidR="00FF217D" w:rsidRPr="009D6495" w:rsidRDefault="00FF217D" w:rsidP="008E57E4">
            <w:pPr>
              <w:contextualSpacing/>
              <w:jc w:val="center"/>
            </w:pPr>
          </w:p>
        </w:tc>
        <w:tc>
          <w:tcPr>
            <w:tcW w:w="1180" w:type="dxa"/>
            <w:tcBorders>
              <w:right w:val="single" w:sz="4" w:space="0" w:color="auto"/>
            </w:tcBorders>
          </w:tcPr>
          <w:p w14:paraId="29CEA960" w14:textId="77777777" w:rsidR="00FF217D" w:rsidRPr="009D6495" w:rsidRDefault="00FF217D" w:rsidP="008E57E4">
            <w:pPr>
              <w:contextualSpacing/>
              <w:jc w:val="center"/>
            </w:pPr>
          </w:p>
        </w:tc>
        <w:tc>
          <w:tcPr>
            <w:tcW w:w="1113" w:type="dxa"/>
            <w:tcBorders>
              <w:left w:val="single" w:sz="4" w:space="0" w:color="auto"/>
            </w:tcBorders>
          </w:tcPr>
          <w:p w14:paraId="54F08E41" w14:textId="77777777" w:rsidR="00FF217D" w:rsidRPr="009D6495" w:rsidRDefault="00FF217D" w:rsidP="008E57E4">
            <w:pPr>
              <w:contextualSpacing/>
              <w:jc w:val="center"/>
            </w:pPr>
          </w:p>
        </w:tc>
        <w:tc>
          <w:tcPr>
            <w:tcW w:w="1113" w:type="dxa"/>
          </w:tcPr>
          <w:p w14:paraId="32F2CDE3" w14:textId="77777777" w:rsidR="00FF217D" w:rsidRPr="009D6495" w:rsidRDefault="00FF217D" w:rsidP="008E57E4">
            <w:pPr>
              <w:contextualSpacing/>
              <w:jc w:val="center"/>
            </w:pPr>
          </w:p>
        </w:tc>
        <w:tc>
          <w:tcPr>
            <w:tcW w:w="1114" w:type="dxa"/>
          </w:tcPr>
          <w:p w14:paraId="28480E26" w14:textId="77777777" w:rsidR="00FF217D" w:rsidRPr="009D6495" w:rsidRDefault="00FF217D" w:rsidP="008E57E4">
            <w:pPr>
              <w:contextualSpacing/>
              <w:jc w:val="center"/>
            </w:pPr>
          </w:p>
        </w:tc>
      </w:tr>
      <w:tr w:rsidR="00FF217D" w:rsidRPr="002A503B" w14:paraId="4624644B" w14:textId="5A4C8891" w:rsidTr="00BB3AF7">
        <w:tc>
          <w:tcPr>
            <w:tcW w:w="2340" w:type="dxa"/>
          </w:tcPr>
          <w:p w14:paraId="354FF4AB" w14:textId="77777777" w:rsidR="00FF217D" w:rsidRPr="009D6495" w:rsidRDefault="00FF217D" w:rsidP="008E57E4">
            <w:pPr>
              <w:contextualSpacing/>
            </w:pPr>
            <w:r w:rsidRPr="009D6495">
              <w:t xml:space="preserve">     Muslim</w:t>
            </w:r>
          </w:p>
        </w:tc>
        <w:tc>
          <w:tcPr>
            <w:tcW w:w="1113" w:type="dxa"/>
          </w:tcPr>
          <w:p w14:paraId="576A0888" w14:textId="50354DDD" w:rsidR="00FF217D" w:rsidRPr="009D6495" w:rsidRDefault="00663903" w:rsidP="008E57E4">
            <w:pPr>
              <w:contextualSpacing/>
              <w:jc w:val="center"/>
            </w:pPr>
            <w:r w:rsidRPr="009D6495">
              <w:t>---</w:t>
            </w:r>
          </w:p>
        </w:tc>
        <w:tc>
          <w:tcPr>
            <w:tcW w:w="1047" w:type="dxa"/>
          </w:tcPr>
          <w:p w14:paraId="19D61D07" w14:textId="132D67C0" w:rsidR="00FF217D" w:rsidRPr="009D6495" w:rsidRDefault="00663903" w:rsidP="008E57E4">
            <w:pPr>
              <w:contextualSpacing/>
              <w:jc w:val="center"/>
            </w:pPr>
            <w:r w:rsidRPr="009D6495">
              <w:t>---</w:t>
            </w:r>
          </w:p>
        </w:tc>
        <w:tc>
          <w:tcPr>
            <w:tcW w:w="1180" w:type="dxa"/>
            <w:tcBorders>
              <w:right w:val="single" w:sz="4" w:space="0" w:color="auto"/>
            </w:tcBorders>
          </w:tcPr>
          <w:p w14:paraId="5552DEF0" w14:textId="13B1C71E" w:rsidR="00FF217D" w:rsidRPr="009D6495" w:rsidRDefault="00663903" w:rsidP="008E57E4">
            <w:pPr>
              <w:contextualSpacing/>
              <w:jc w:val="center"/>
            </w:pPr>
            <w:r w:rsidRPr="009D6495">
              <w:t>---</w:t>
            </w:r>
          </w:p>
        </w:tc>
        <w:tc>
          <w:tcPr>
            <w:tcW w:w="1113" w:type="dxa"/>
            <w:tcBorders>
              <w:left w:val="single" w:sz="4" w:space="0" w:color="auto"/>
            </w:tcBorders>
          </w:tcPr>
          <w:p w14:paraId="7A4F7AE2" w14:textId="54A6C147" w:rsidR="00FF217D" w:rsidRPr="009D6495" w:rsidRDefault="00F15DA3" w:rsidP="006F07BE">
            <w:pPr>
              <w:contextualSpacing/>
              <w:jc w:val="center"/>
            </w:pPr>
            <w:r w:rsidRPr="009D6495">
              <w:t>0.</w:t>
            </w:r>
            <w:r w:rsidR="006F07BE" w:rsidRPr="009D6495">
              <w:t>113</w:t>
            </w:r>
          </w:p>
        </w:tc>
        <w:tc>
          <w:tcPr>
            <w:tcW w:w="1113" w:type="dxa"/>
          </w:tcPr>
          <w:p w14:paraId="245C159E" w14:textId="49FE7CBE" w:rsidR="00FF217D" w:rsidRPr="009D6495" w:rsidRDefault="00F15DA3" w:rsidP="008E57E4">
            <w:pPr>
              <w:contextualSpacing/>
              <w:jc w:val="center"/>
            </w:pPr>
            <w:r w:rsidRPr="009D6495">
              <w:t>0.081</w:t>
            </w:r>
          </w:p>
        </w:tc>
        <w:tc>
          <w:tcPr>
            <w:tcW w:w="1114" w:type="dxa"/>
          </w:tcPr>
          <w:p w14:paraId="45200402" w14:textId="151AC157" w:rsidR="00FF217D" w:rsidRPr="009D6495" w:rsidRDefault="006F07BE" w:rsidP="008E57E4">
            <w:pPr>
              <w:contextualSpacing/>
              <w:jc w:val="center"/>
            </w:pPr>
            <w:r w:rsidRPr="009D6495">
              <w:t>1.39</w:t>
            </w:r>
          </w:p>
        </w:tc>
      </w:tr>
      <w:tr w:rsidR="00FF217D" w:rsidRPr="002A503B" w14:paraId="052A08F8" w14:textId="784698B0" w:rsidTr="00BB3AF7">
        <w:tc>
          <w:tcPr>
            <w:tcW w:w="2340" w:type="dxa"/>
          </w:tcPr>
          <w:p w14:paraId="7D286769" w14:textId="77777777" w:rsidR="00FF217D" w:rsidRPr="009D6495" w:rsidRDefault="00FF217D" w:rsidP="008E57E4">
            <w:pPr>
              <w:contextualSpacing/>
            </w:pPr>
            <w:r w:rsidRPr="009D6495">
              <w:t xml:space="preserve">     Other</w:t>
            </w:r>
          </w:p>
        </w:tc>
        <w:tc>
          <w:tcPr>
            <w:tcW w:w="1113" w:type="dxa"/>
          </w:tcPr>
          <w:p w14:paraId="12142301" w14:textId="27F8EB22" w:rsidR="00FF217D" w:rsidRPr="009D6495" w:rsidRDefault="00663903" w:rsidP="008E57E4">
            <w:pPr>
              <w:contextualSpacing/>
              <w:jc w:val="center"/>
            </w:pPr>
            <w:r w:rsidRPr="009D6495">
              <w:t>---</w:t>
            </w:r>
          </w:p>
        </w:tc>
        <w:tc>
          <w:tcPr>
            <w:tcW w:w="1047" w:type="dxa"/>
          </w:tcPr>
          <w:p w14:paraId="298F9A95" w14:textId="4FF1E101" w:rsidR="00FF217D" w:rsidRPr="009D6495" w:rsidRDefault="00663903" w:rsidP="008E57E4">
            <w:pPr>
              <w:contextualSpacing/>
              <w:jc w:val="center"/>
            </w:pPr>
            <w:r w:rsidRPr="009D6495">
              <w:t>---</w:t>
            </w:r>
          </w:p>
        </w:tc>
        <w:tc>
          <w:tcPr>
            <w:tcW w:w="1180" w:type="dxa"/>
            <w:tcBorders>
              <w:right w:val="single" w:sz="4" w:space="0" w:color="auto"/>
            </w:tcBorders>
          </w:tcPr>
          <w:p w14:paraId="0CA5CC9A" w14:textId="26308804" w:rsidR="00FF217D" w:rsidRPr="009D6495" w:rsidRDefault="00663903" w:rsidP="008E57E4">
            <w:pPr>
              <w:contextualSpacing/>
              <w:jc w:val="center"/>
            </w:pPr>
            <w:r w:rsidRPr="009D6495">
              <w:t>---</w:t>
            </w:r>
          </w:p>
        </w:tc>
        <w:tc>
          <w:tcPr>
            <w:tcW w:w="1113" w:type="dxa"/>
            <w:tcBorders>
              <w:left w:val="single" w:sz="4" w:space="0" w:color="auto"/>
            </w:tcBorders>
          </w:tcPr>
          <w:p w14:paraId="287295C7" w14:textId="6D6BF171" w:rsidR="00FF217D" w:rsidRPr="009D6495" w:rsidRDefault="00F15DA3" w:rsidP="006F07BE">
            <w:pPr>
              <w:contextualSpacing/>
              <w:jc w:val="center"/>
            </w:pPr>
            <w:r w:rsidRPr="009D6495">
              <w:t>-0.</w:t>
            </w:r>
            <w:r w:rsidR="006F07BE" w:rsidRPr="009D6495">
              <w:t>200</w:t>
            </w:r>
          </w:p>
        </w:tc>
        <w:tc>
          <w:tcPr>
            <w:tcW w:w="1113" w:type="dxa"/>
          </w:tcPr>
          <w:p w14:paraId="15A8840B" w14:textId="6B63414B" w:rsidR="00FF217D" w:rsidRPr="009D6495" w:rsidRDefault="00F15DA3" w:rsidP="008E57E4">
            <w:pPr>
              <w:contextualSpacing/>
              <w:jc w:val="center"/>
            </w:pPr>
            <w:r w:rsidRPr="009D6495">
              <w:t>0</w:t>
            </w:r>
            <w:r w:rsidR="006F07BE" w:rsidRPr="009D6495">
              <w:t>.086</w:t>
            </w:r>
          </w:p>
        </w:tc>
        <w:tc>
          <w:tcPr>
            <w:tcW w:w="1114" w:type="dxa"/>
          </w:tcPr>
          <w:p w14:paraId="475CA195" w14:textId="6F310ABD" w:rsidR="00FF217D" w:rsidRPr="009D6495" w:rsidRDefault="006F07BE" w:rsidP="008E57E4">
            <w:pPr>
              <w:contextualSpacing/>
              <w:jc w:val="center"/>
            </w:pPr>
            <w:r w:rsidRPr="009D6495">
              <w:t>-2.3</w:t>
            </w:r>
            <w:r w:rsidR="00F15DA3" w:rsidRPr="009D6495">
              <w:t>1*</w:t>
            </w:r>
          </w:p>
        </w:tc>
      </w:tr>
    </w:tbl>
    <w:p w14:paraId="2ED7A7EB" w14:textId="77777777" w:rsidR="00BB3AF7" w:rsidRPr="009853A1" w:rsidRDefault="00BB3AF7" w:rsidP="00BB3AF7">
      <w:r w:rsidRPr="002A503B">
        <w:t>*p&lt;.05, **p&lt;.01, ***p&lt;.001</w:t>
      </w:r>
    </w:p>
    <w:p w14:paraId="752FEDC1" w14:textId="77777777" w:rsidR="00FF217D" w:rsidRPr="009853A1" w:rsidRDefault="00FF217D" w:rsidP="00034196">
      <w:pPr>
        <w:contextualSpacing/>
      </w:pPr>
    </w:p>
    <w:sectPr w:rsidR="00FF217D" w:rsidRPr="009853A1" w:rsidSect="00402584">
      <w:footerReference w:type="default" r:id="rId15"/>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40E39" w14:textId="77777777" w:rsidR="001A478E" w:rsidRDefault="001A478E" w:rsidP="00F12500">
      <w:r>
        <w:separator/>
      </w:r>
    </w:p>
  </w:endnote>
  <w:endnote w:type="continuationSeparator" w:id="0">
    <w:p w14:paraId="030FE03C" w14:textId="77777777" w:rsidR="001A478E" w:rsidRDefault="001A478E" w:rsidP="00F1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aco">
    <w:altName w:val="Courier New"/>
    <w:charset w:val="00"/>
    <w:family w:val="auto"/>
    <w:pitch w:val="variable"/>
    <w:sig w:usb0="A00002FF" w:usb1="500039FB"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12A9A" w14:textId="77777777" w:rsidR="00282E30" w:rsidRDefault="00282E30" w:rsidP="00DE7C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338423" w14:textId="77777777" w:rsidR="00282E30" w:rsidRDefault="00282E30" w:rsidP="00F125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A1C86" w14:textId="77777777" w:rsidR="00282E30" w:rsidRDefault="00282E30" w:rsidP="00F1250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869619"/>
      <w:docPartObj>
        <w:docPartGallery w:val="Page Numbers (Bottom of Page)"/>
        <w:docPartUnique/>
      </w:docPartObj>
    </w:sdtPr>
    <w:sdtEndPr>
      <w:rPr>
        <w:noProof/>
      </w:rPr>
    </w:sdtEndPr>
    <w:sdtContent>
      <w:p w14:paraId="72E2286C" w14:textId="0603012F" w:rsidR="00282E30" w:rsidRDefault="00282E30">
        <w:pPr>
          <w:pStyle w:val="Footer"/>
          <w:jc w:val="right"/>
        </w:pPr>
        <w:r>
          <w:fldChar w:fldCharType="begin"/>
        </w:r>
        <w:r>
          <w:instrText xml:space="preserve"> PAGE   \* MERGEFORMAT </w:instrText>
        </w:r>
        <w:r>
          <w:fldChar w:fldCharType="separate"/>
        </w:r>
        <w:r w:rsidR="00D365C8">
          <w:rPr>
            <w:noProof/>
          </w:rPr>
          <w:t>3</w:t>
        </w:r>
        <w:r>
          <w:rPr>
            <w:noProof/>
          </w:rPr>
          <w:fldChar w:fldCharType="end"/>
        </w:r>
      </w:p>
    </w:sdtContent>
  </w:sdt>
  <w:p w14:paraId="6CA0D7EA" w14:textId="77777777" w:rsidR="00282E30" w:rsidRDefault="00282E30" w:rsidP="00F125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B76ED" w14:textId="77777777" w:rsidR="001A478E" w:rsidRDefault="001A478E" w:rsidP="00F12500">
      <w:r>
        <w:separator/>
      </w:r>
    </w:p>
  </w:footnote>
  <w:footnote w:type="continuationSeparator" w:id="0">
    <w:p w14:paraId="1AF61F08" w14:textId="77777777" w:rsidR="001A478E" w:rsidRDefault="001A478E" w:rsidP="00F12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50CBA" w14:textId="23FD942E" w:rsidR="00282E30" w:rsidRPr="003C0DE5" w:rsidRDefault="00282E30" w:rsidP="00042144">
    <w:pPr>
      <w:widowControl w:val="0"/>
      <w:autoSpaceDE w:val="0"/>
      <w:autoSpaceDN w:val="0"/>
      <w:adjustRightInd w:val="0"/>
      <w:spacing w:after="240" w:line="300" w:lineRule="atLeast"/>
      <w:contextualSpacing/>
      <w:rPr>
        <w:b/>
        <w:color w:val="000000"/>
        <w:sz w:val="28"/>
        <w:szCs w:val="28"/>
        <w:lang w:val="en-US"/>
      </w:rPr>
    </w:pPr>
    <w:r>
      <w:rPr>
        <w:b/>
        <w:color w:val="000000"/>
        <w:sz w:val="28"/>
        <w:szCs w:val="28"/>
        <w:lang w:val="en-US"/>
      </w:rPr>
      <w:t>RAPE MYTH ACCEPTANCE IN CONTEMPORARY TIMES</w:t>
    </w:r>
  </w:p>
  <w:p w14:paraId="235D0612" w14:textId="77777777" w:rsidR="00282E30" w:rsidRDefault="00282E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87B20"/>
    <w:multiLevelType w:val="hybridMultilevel"/>
    <w:tmpl w:val="C336A3E4"/>
    <w:lvl w:ilvl="0" w:tplc="83A4980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061C8"/>
    <w:multiLevelType w:val="hybridMultilevel"/>
    <w:tmpl w:val="DC6E16BA"/>
    <w:lvl w:ilvl="0" w:tplc="19E83F4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5D8"/>
    <w:rsid w:val="00000D31"/>
    <w:rsid w:val="000026B2"/>
    <w:rsid w:val="000047B8"/>
    <w:rsid w:val="00004F25"/>
    <w:rsid w:val="0002014A"/>
    <w:rsid w:val="00023E5F"/>
    <w:rsid w:val="00025E0D"/>
    <w:rsid w:val="00027184"/>
    <w:rsid w:val="000332FE"/>
    <w:rsid w:val="00034196"/>
    <w:rsid w:val="00041693"/>
    <w:rsid w:val="00042144"/>
    <w:rsid w:val="00046C29"/>
    <w:rsid w:val="0005066A"/>
    <w:rsid w:val="00055103"/>
    <w:rsid w:val="000552F8"/>
    <w:rsid w:val="000565AB"/>
    <w:rsid w:val="000575A2"/>
    <w:rsid w:val="00061373"/>
    <w:rsid w:val="000636EE"/>
    <w:rsid w:val="00065547"/>
    <w:rsid w:val="0006610C"/>
    <w:rsid w:val="00071934"/>
    <w:rsid w:val="000731BE"/>
    <w:rsid w:val="00081D80"/>
    <w:rsid w:val="000856A3"/>
    <w:rsid w:val="00092CCC"/>
    <w:rsid w:val="00093A21"/>
    <w:rsid w:val="00094C04"/>
    <w:rsid w:val="00095770"/>
    <w:rsid w:val="000970C2"/>
    <w:rsid w:val="00097DED"/>
    <w:rsid w:val="000A1814"/>
    <w:rsid w:val="000A279F"/>
    <w:rsid w:val="000A2EA1"/>
    <w:rsid w:val="000A5B3C"/>
    <w:rsid w:val="000B0C4F"/>
    <w:rsid w:val="000B4858"/>
    <w:rsid w:val="000C310D"/>
    <w:rsid w:val="000C54F9"/>
    <w:rsid w:val="000C56D7"/>
    <w:rsid w:val="000C6D72"/>
    <w:rsid w:val="000D0560"/>
    <w:rsid w:val="000D3F21"/>
    <w:rsid w:val="000D5764"/>
    <w:rsid w:val="000E6D38"/>
    <w:rsid w:val="000F0C3D"/>
    <w:rsid w:val="000F2D1B"/>
    <w:rsid w:val="000F471C"/>
    <w:rsid w:val="000F59D7"/>
    <w:rsid w:val="000F5C66"/>
    <w:rsid w:val="000F6B45"/>
    <w:rsid w:val="00100B6E"/>
    <w:rsid w:val="0010750D"/>
    <w:rsid w:val="001105F6"/>
    <w:rsid w:val="00110F57"/>
    <w:rsid w:val="00116460"/>
    <w:rsid w:val="00122442"/>
    <w:rsid w:val="00123CE3"/>
    <w:rsid w:val="00124C5D"/>
    <w:rsid w:val="00126929"/>
    <w:rsid w:val="00126B82"/>
    <w:rsid w:val="00127749"/>
    <w:rsid w:val="00131B91"/>
    <w:rsid w:val="00131BA7"/>
    <w:rsid w:val="00132ECE"/>
    <w:rsid w:val="001336ED"/>
    <w:rsid w:val="00134EEF"/>
    <w:rsid w:val="001412E2"/>
    <w:rsid w:val="001413D7"/>
    <w:rsid w:val="00147EE3"/>
    <w:rsid w:val="00153119"/>
    <w:rsid w:val="00161FE1"/>
    <w:rsid w:val="00164E8C"/>
    <w:rsid w:val="00176201"/>
    <w:rsid w:val="00183357"/>
    <w:rsid w:val="001842B5"/>
    <w:rsid w:val="0018649F"/>
    <w:rsid w:val="00186D71"/>
    <w:rsid w:val="00190BB4"/>
    <w:rsid w:val="00195C21"/>
    <w:rsid w:val="001A0AED"/>
    <w:rsid w:val="001A126C"/>
    <w:rsid w:val="001A1AFA"/>
    <w:rsid w:val="001A3360"/>
    <w:rsid w:val="001A478E"/>
    <w:rsid w:val="001A4D69"/>
    <w:rsid w:val="001B2897"/>
    <w:rsid w:val="001B423E"/>
    <w:rsid w:val="001B4F17"/>
    <w:rsid w:val="001C0397"/>
    <w:rsid w:val="001C3BA5"/>
    <w:rsid w:val="001D1C70"/>
    <w:rsid w:val="001D25AB"/>
    <w:rsid w:val="001D28E1"/>
    <w:rsid w:val="001D7542"/>
    <w:rsid w:val="001E1257"/>
    <w:rsid w:val="001F0527"/>
    <w:rsid w:val="001F2BC1"/>
    <w:rsid w:val="001F4106"/>
    <w:rsid w:val="001F448A"/>
    <w:rsid w:val="001F4E4B"/>
    <w:rsid w:val="001F6CAE"/>
    <w:rsid w:val="001F7C52"/>
    <w:rsid w:val="0020496C"/>
    <w:rsid w:val="002057C2"/>
    <w:rsid w:val="00205B22"/>
    <w:rsid w:val="00207424"/>
    <w:rsid w:val="00211539"/>
    <w:rsid w:val="002124F8"/>
    <w:rsid w:val="0021497C"/>
    <w:rsid w:val="002177CE"/>
    <w:rsid w:val="002179CC"/>
    <w:rsid w:val="00222583"/>
    <w:rsid w:val="002413AC"/>
    <w:rsid w:val="002413DA"/>
    <w:rsid w:val="00242E7B"/>
    <w:rsid w:val="00243BA0"/>
    <w:rsid w:val="00250062"/>
    <w:rsid w:val="0025032B"/>
    <w:rsid w:val="00253176"/>
    <w:rsid w:val="00254179"/>
    <w:rsid w:val="00263D8B"/>
    <w:rsid w:val="00264203"/>
    <w:rsid w:val="00266C55"/>
    <w:rsid w:val="00267290"/>
    <w:rsid w:val="00273276"/>
    <w:rsid w:val="00277362"/>
    <w:rsid w:val="00277FAE"/>
    <w:rsid w:val="00282E30"/>
    <w:rsid w:val="00283061"/>
    <w:rsid w:val="0028719F"/>
    <w:rsid w:val="0029005B"/>
    <w:rsid w:val="00290100"/>
    <w:rsid w:val="0029014E"/>
    <w:rsid w:val="002925A2"/>
    <w:rsid w:val="00293F81"/>
    <w:rsid w:val="00294AB8"/>
    <w:rsid w:val="002967EF"/>
    <w:rsid w:val="002A503B"/>
    <w:rsid w:val="002A6FBF"/>
    <w:rsid w:val="002B00D0"/>
    <w:rsid w:val="002B077E"/>
    <w:rsid w:val="002B1E87"/>
    <w:rsid w:val="002C2C9A"/>
    <w:rsid w:val="002C343C"/>
    <w:rsid w:val="002C4036"/>
    <w:rsid w:val="002D29B7"/>
    <w:rsid w:val="002D7C80"/>
    <w:rsid w:val="002E09CC"/>
    <w:rsid w:val="002E178A"/>
    <w:rsid w:val="002E5FFA"/>
    <w:rsid w:val="002E6229"/>
    <w:rsid w:val="002F0832"/>
    <w:rsid w:val="002F428D"/>
    <w:rsid w:val="002F4928"/>
    <w:rsid w:val="002F7D3E"/>
    <w:rsid w:val="003011A3"/>
    <w:rsid w:val="00302A12"/>
    <w:rsid w:val="003077F9"/>
    <w:rsid w:val="0031432A"/>
    <w:rsid w:val="0031450C"/>
    <w:rsid w:val="003150E6"/>
    <w:rsid w:val="00315AA4"/>
    <w:rsid w:val="003227E0"/>
    <w:rsid w:val="00322F05"/>
    <w:rsid w:val="003233A8"/>
    <w:rsid w:val="00323838"/>
    <w:rsid w:val="003244AA"/>
    <w:rsid w:val="00327B80"/>
    <w:rsid w:val="003355DE"/>
    <w:rsid w:val="0033716C"/>
    <w:rsid w:val="003437E9"/>
    <w:rsid w:val="003518A2"/>
    <w:rsid w:val="003541F3"/>
    <w:rsid w:val="00362067"/>
    <w:rsid w:val="00362DF0"/>
    <w:rsid w:val="00364552"/>
    <w:rsid w:val="00365022"/>
    <w:rsid w:val="00365916"/>
    <w:rsid w:val="00366B11"/>
    <w:rsid w:val="00367DCE"/>
    <w:rsid w:val="00371EA6"/>
    <w:rsid w:val="00373FD6"/>
    <w:rsid w:val="00374326"/>
    <w:rsid w:val="00376B46"/>
    <w:rsid w:val="00383DD7"/>
    <w:rsid w:val="0038416E"/>
    <w:rsid w:val="003860B4"/>
    <w:rsid w:val="003866AD"/>
    <w:rsid w:val="003869D6"/>
    <w:rsid w:val="003949BF"/>
    <w:rsid w:val="003951A2"/>
    <w:rsid w:val="00397391"/>
    <w:rsid w:val="00397D94"/>
    <w:rsid w:val="003A1CB9"/>
    <w:rsid w:val="003B1A70"/>
    <w:rsid w:val="003B4C8D"/>
    <w:rsid w:val="003B7C90"/>
    <w:rsid w:val="003C097A"/>
    <w:rsid w:val="003C0DE5"/>
    <w:rsid w:val="003C39F7"/>
    <w:rsid w:val="003C3F72"/>
    <w:rsid w:val="003C52E6"/>
    <w:rsid w:val="003C5C90"/>
    <w:rsid w:val="003D2BF1"/>
    <w:rsid w:val="003D58CC"/>
    <w:rsid w:val="003E6A19"/>
    <w:rsid w:val="003E6EFC"/>
    <w:rsid w:val="003F0AB6"/>
    <w:rsid w:val="003F3105"/>
    <w:rsid w:val="003F43F6"/>
    <w:rsid w:val="003F6416"/>
    <w:rsid w:val="003F6D85"/>
    <w:rsid w:val="003F78FB"/>
    <w:rsid w:val="00400B58"/>
    <w:rsid w:val="00402584"/>
    <w:rsid w:val="0040482A"/>
    <w:rsid w:val="0041043F"/>
    <w:rsid w:val="004141E5"/>
    <w:rsid w:val="004163A0"/>
    <w:rsid w:val="00426149"/>
    <w:rsid w:val="00426705"/>
    <w:rsid w:val="0042677F"/>
    <w:rsid w:val="00427465"/>
    <w:rsid w:val="00431270"/>
    <w:rsid w:val="00433CD4"/>
    <w:rsid w:val="004379F3"/>
    <w:rsid w:val="0044056D"/>
    <w:rsid w:val="00442431"/>
    <w:rsid w:val="004456CA"/>
    <w:rsid w:val="00445C3D"/>
    <w:rsid w:val="00452DC6"/>
    <w:rsid w:val="004532A3"/>
    <w:rsid w:val="00456D02"/>
    <w:rsid w:val="004612DE"/>
    <w:rsid w:val="00463D76"/>
    <w:rsid w:val="00464CA1"/>
    <w:rsid w:val="0046692C"/>
    <w:rsid w:val="00467815"/>
    <w:rsid w:val="00470560"/>
    <w:rsid w:val="00474734"/>
    <w:rsid w:val="00475F7E"/>
    <w:rsid w:val="004909B4"/>
    <w:rsid w:val="00493369"/>
    <w:rsid w:val="004B5C50"/>
    <w:rsid w:val="004C04C8"/>
    <w:rsid w:val="004C06E6"/>
    <w:rsid w:val="004C1559"/>
    <w:rsid w:val="004C78C1"/>
    <w:rsid w:val="004D2EBA"/>
    <w:rsid w:val="004D6B15"/>
    <w:rsid w:val="004D6D0F"/>
    <w:rsid w:val="004E0C18"/>
    <w:rsid w:val="004E56BD"/>
    <w:rsid w:val="004E64C1"/>
    <w:rsid w:val="004F2DBC"/>
    <w:rsid w:val="004F41C0"/>
    <w:rsid w:val="004F6C5A"/>
    <w:rsid w:val="00500603"/>
    <w:rsid w:val="005028A1"/>
    <w:rsid w:val="005032FB"/>
    <w:rsid w:val="00503363"/>
    <w:rsid w:val="00503BA5"/>
    <w:rsid w:val="005135C3"/>
    <w:rsid w:val="00523F5C"/>
    <w:rsid w:val="00525CDB"/>
    <w:rsid w:val="005266CF"/>
    <w:rsid w:val="005267B4"/>
    <w:rsid w:val="00526B52"/>
    <w:rsid w:val="005309FC"/>
    <w:rsid w:val="00532745"/>
    <w:rsid w:val="00532BED"/>
    <w:rsid w:val="005338F1"/>
    <w:rsid w:val="005359E7"/>
    <w:rsid w:val="005503CB"/>
    <w:rsid w:val="005525FF"/>
    <w:rsid w:val="00563CDC"/>
    <w:rsid w:val="00565D40"/>
    <w:rsid w:val="005729D2"/>
    <w:rsid w:val="00574BAB"/>
    <w:rsid w:val="005755E2"/>
    <w:rsid w:val="00581411"/>
    <w:rsid w:val="0058750C"/>
    <w:rsid w:val="00591B38"/>
    <w:rsid w:val="00594508"/>
    <w:rsid w:val="005972E1"/>
    <w:rsid w:val="00597F70"/>
    <w:rsid w:val="005B283C"/>
    <w:rsid w:val="005B3056"/>
    <w:rsid w:val="005B5578"/>
    <w:rsid w:val="005B55E8"/>
    <w:rsid w:val="005C1944"/>
    <w:rsid w:val="005C1F0E"/>
    <w:rsid w:val="005C2BAA"/>
    <w:rsid w:val="005C552E"/>
    <w:rsid w:val="005D007A"/>
    <w:rsid w:val="005D2D10"/>
    <w:rsid w:val="005D5BD4"/>
    <w:rsid w:val="005E1028"/>
    <w:rsid w:val="005E1818"/>
    <w:rsid w:val="005E1A32"/>
    <w:rsid w:val="005E2901"/>
    <w:rsid w:val="005E2A5B"/>
    <w:rsid w:val="005E2C4D"/>
    <w:rsid w:val="005E3666"/>
    <w:rsid w:val="005E7558"/>
    <w:rsid w:val="005F190A"/>
    <w:rsid w:val="005F1C2F"/>
    <w:rsid w:val="005F3D63"/>
    <w:rsid w:val="005F42FF"/>
    <w:rsid w:val="005F447C"/>
    <w:rsid w:val="005F48AF"/>
    <w:rsid w:val="0060457A"/>
    <w:rsid w:val="00607E34"/>
    <w:rsid w:val="00610CB8"/>
    <w:rsid w:val="00611C4A"/>
    <w:rsid w:val="00614939"/>
    <w:rsid w:val="00615171"/>
    <w:rsid w:val="0061518D"/>
    <w:rsid w:val="0061608B"/>
    <w:rsid w:val="006176CC"/>
    <w:rsid w:val="006222BD"/>
    <w:rsid w:val="00623835"/>
    <w:rsid w:val="006243F3"/>
    <w:rsid w:val="00624639"/>
    <w:rsid w:val="00637D34"/>
    <w:rsid w:val="00642252"/>
    <w:rsid w:val="006507B8"/>
    <w:rsid w:val="00651361"/>
    <w:rsid w:val="00653F06"/>
    <w:rsid w:val="00654148"/>
    <w:rsid w:val="00654FB6"/>
    <w:rsid w:val="006556D8"/>
    <w:rsid w:val="006579F2"/>
    <w:rsid w:val="00663903"/>
    <w:rsid w:val="006658B3"/>
    <w:rsid w:val="0067679C"/>
    <w:rsid w:val="00676CF2"/>
    <w:rsid w:val="006834FD"/>
    <w:rsid w:val="00684A8C"/>
    <w:rsid w:val="00684BD6"/>
    <w:rsid w:val="00685AD1"/>
    <w:rsid w:val="00685D01"/>
    <w:rsid w:val="0068759A"/>
    <w:rsid w:val="0069097A"/>
    <w:rsid w:val="0069371E"/>
    <w:rsid w:val="00694F93"/>
    <w:rsid w:val="006953F2"/>
    <w:rsid w:val="00695E78"/>
    <w:rsid w:val="006B121E"/>
    <w:rsid w:val="006B5C91"/>
    <w:rsid w:val="006B763F"/>
    <w:rsid w:val="006C0836"/>
    <w:rsid w:val="006C113C"/>
    <w:rsid w:val="006C3847"/>
    <w:rsid w:val="006C3909"/>
    <w:rsid w:val="006C5F5A"/>
    <w:rsid w:val="006C642D"/>
    <w:rsid w:val="006C6DE6"/>
    <w:rsid w:val="006D1B73"/>
    <w:rsid w:val="006D5873"/>
    <w:rsid w:val="006D75BC"/>
    <w:rsid w:val="006E0A73"/>
    <w:rsid w:val="006E2053"/>
    <w:rsid w:val="006E274E"/>
    <w:rsid w:val="006E60AF"/>
    <w:rsid w:val="006F07BE"/>
    <w:rsid w:val="006F1439"/>
    <w:rsid w:val="006F2327"/>
    <w:rsid w:val="006F233C"/>
    <w:rsid w:val="006F419D"/>
    <w:rsid w:val="006F4ACD"/>
    <w:rsid w:val="006F56E3"/>
    <w:rsid w:val="00711150"/>
    <w:rsid w:val="00712675"/>
    <w:rsid w:val="007159F6"/>
    <w:rsid w:val="007177F3"/>
    <w:rsid w:val="00724775"/>
    <w:rsid w:val="0072535A"/>
    <w:rsid w:val="007256E6"/>
    <w:rsid w:val="00725AA2"/>
    <w:rsid w:val="0073121B"/>
    <w:rsid w:val="00735FE1"/>
    <w:rsid w:val="0073639B"/>
    <w:rsid w:val="00742D9E"/>
    <w:rsid w:val="00744245"/>
    <w:rsid w:val="007471E0"/>
    <w:rsid w:val="007475C0"/>
    <w:rsid w:val="00751CE1"/>
    <w:rsid w:val="007524BF"/>
    <w:rsid w:val="00755A50"/>
    <w:rsid w:val="00755C64"/>
    <w:rsid w:val="00762D49"/>
    <w:rsid w:val="00766B9B"/>
    <w:rsid w:val="00774C76"/>
    <w:rsid w:val="007769E2"/>
    <w:rsid w:val="00777505"/>
    <w:rsid w:val="00780599"/>
    <w:rsid w:val="0078408B"/>
    <w:rsid w:val="00785B35"/>
    <w:rsid w:val="00787654"/>
    <w:rsid w:val="007914CB"/>
    <w:rsid w:val="00791E83"/>
    <w:rsid w:val="00795523"/>
    <w:rsid w:val="00795CDD"/>
    <w:rsid w:val="00796367"/>
    <w:rsid w:val="007A0B6F"/>
    <w:rsid w:val="007A1015"/>
    <w:rsid w:val="007A1974"/>
    <w:rsid w:val="007A2D35"/>
    <w:rsid w:val="007A578A"/>
    <w:rsid w:val="007B06AE"/>
    <w:rsid w:val="007B09B7"/>
    <w:rsid w:val="007B155F"/>
    <w:rsid w:val="007B4AC0"/>
    <w:rsid w:val="007B52A9"/>
    <w:rsid w:val="007B7547"/>
    <w:rsid w:val="007D0949"/>
    <w:rsid w:val="007E0AAE"/>
    <w:rsid w:val="007E17B6"/>
    <w:rsid w:val="007E2CC7"/>
    <w:rsid w:val="007F0731"/>
    <w:rsid w:val="007F1129"/>
    <w:rsid w:val="007F4802"/>
    <w:rsid w:val="007F5FC7"/>
    <w:rsid w:val="007F69F3"/>
    <w:rsid w:val="0080038A"/>
    <w:rsid w:val="00800857"/>
    <w:rsid w:val="00800FA7"/>
    <w:rsid w:val="00803BF3"/>
    <w:rsid w:val="00805DFD"/>
    <w:rsid w:val="00811467"/>
    <w:rsid w:val="00812055"/>
    <w:rsid w:val="008132D4"/>
    <w:rsid w:val="00813413"/>
    <w:rsid w:val="00820146"/>
    <w:rsid w:val="00821FF0"/>
    <w:rsid w:val="00823CD5"/>
    <w:rsid w:val="008318FE"/>
    <w:rsid w:val="00833EA4"/>
    <w:rsid w:val="00834DC2"/>
    <w:rsid w:val="00837F30"/>
    <w:rsid w:val="008450EF"/>
    <w:rsid w:val="008451B6"/>
    <w:rsid w:val="0084543B"/>
    <w:rsid w:val="00845797"/>
    <w:rsid w:val="0084753F"/>
    <w:rsid w:val="00850EB1"/>
    <w:rsid w:val="00856855"/>
    <w:rsid w:val="00856CD8"/>
    <w:rsid w:val="00857AF3"/>
    <w:rsid w:val="00862B06"/>
    <w:rsid w:val="00864864"/>
    <w:rsid w:val="00880CF5"/>
    <w:rsid w:val="00882ECA"/>
    <w:rsid w:val="00886326"/>
    <w:rsid w:val="00886DAB"/>
    <w:rsid w:val="008911D2"/>
    <w:rsid w:val="0089308F"/>
    <w:rsid w:val="00895628"/>
    <w:rsid w:val="008972FC"/>
    <w:rsid w:val="008A136B"/>
    <w:rsid w:val="008A36A7"/>
    <w:rsid w:val="008A4FB1"/>
    <w:rsid w:val="008A5AA6"/>
    <w:rsid w:val="008A6152"/>
    <w:rsid w:val="008A7369"/>
    <w:rsid w:val="008A7EA3"/>
    <w:rsid w:val="008B1E7C"/>
    <w:rsid w:val="008B4FA8"/>
    <w:rsid w:val="008B79FB"/>
    <w:rsid w:val="008B7BF4"/>
    <w:rsid w:val="008C24C8"/>
    <w:rsid w:val="008C42E4"/>
    <w:rsid w:val="008C6596"/>
    <w:rsid w:val="008C6EF0"/>
    <w:rsid w:val="008C7473"/>
    <w:rsid w:val="008D0710"/>
    <w:rsid w:val="008D1A6E"/>
    <w:rsid w:val="008E0C25"/>
    <w:rsid w:val="008E4CD9"/>
    <w:rsid w:val="008E57E4"/>
    <w:rsid w:val="008F06F4"/>
    <w:rsid w:val="008F14AC"/>
    <w:rsid w:val="008F1959"/>
    <w:rsid w:val="008F54ED"/>
    <w:rsid w:val="008F606A"/>
    <w:rsid w:val="00902F75"/>
    <w:rsid w:val="00905543"/>
    <w:rsid w:val="00905CEE"/>
    <w:rsid w:val="00914B6C"/>
    <w:rsid w:val="00916314"/>
    <w:rsid w:val="00920158"/>
    <w:rsid w:val="00924AA7"/>
    <w:rsid w:val="00932A4B"/>
    <w:rsid w:val="009351F2"/>
    <w:rsid w:val="009351FB"/>
    <w:rsid w:val="00940FEF"/>
    <w:rsid w:val="00941964"/>
    <w:rsid w:val="00942F5D"/>
    <w:rsid w:val="00944EC0"/>
    <w:rsid w:val="00946900"/>
    <w:rsid w:val="00947477"/>
    <w:rsid w:val="00953895"/>
    <w:rsid w:val="00954F42"/>
    <w:rsid w:val="00964612"/>
    <w:rsid w:val="009706C6"/>
    <w:rsid w:val="00972C3C"/>
    <w:rsid w:val="00972D0C"/>
    <w:rsid w:val="00975B91"/>
    <w:rsid w:val="009761A0"/>
    <w:rsid w:val="00976DAB"/>
    <w:rsid w:val="00977FD3"/>
    <w:rsid w:val="009853A1"/>
    <w:rsid w:val="00993839"/>
    <w:rsid w:val="00996F0C"/>
    <w:rsid w:val="009A4046"/>
    <w:rsid w:val="009A475B"/>
    <w:rsid w:val="009A6715"/>
    <w:rsid w:val="009B16C3"/>
    <w:rsid w:val="009B16E0"/>
    <w:rsid w:val="009B290E"/>
    <w:rsid w:val="009B3DAB"/>
    <w:rsid w:val="009B4365"/>
    <w:rsid w:val="009C333A"/>
    <w:rsid w:val="009C7E57"/>
    <w:rsid w:val="009D06A4"/>
    <w:rsid w:val="009D231F"/>
    <w:rsid w:val="009D6495"/>
    <w:rsid w:val="009D6B8E"/>
    <w:rsid w:val="009E01BB"/>
    <w:rsid w:val="009E1A77"/>
    <w:rsid w:val="009E3C9C"/>
    <w:rsid w:val="009E432B"/>
    <w:rsid w:val="009E67E4"/>
    <w:rsid w:val="009F32A3"/>
    <w:rsid w:val="00A07514"/>
    <w:rsid w:val="00A30D3A"/>
    <w:rsid w:val="00A32DD5"/>
    <w:rsid w:val="00A3311B"/>
    <w:rsid w:val="00A378F8"/>
    <w:rsid w:val="00A37F1A"/>
    <w:rsid w:val="00A42786"/>
    <w:rsid w:val="00A44194"/>
    <w:rsid w:val="00A45170"/>
    <w:rsid w:val="00A45EC1"/>
    <w:rsid w:val="00A549BF"/>
    <w:rsid w:val="00A5639B"/>
    <w:rsid w:val="00A718E1"/>
    <w:rsid w:val="00A73837"/>
    <w:rsid w:val="00A86EFE"/>
    <w:rsid w:val="00A91033"/>
    <w:rsid w:val="00A93E4D"/>
    <w:rsid w:val="00A94632"/>
    <w:rsid w:val="00A96F32"/>
    <w:rsid w:val="00A9787D"/>
    <w:rsid w:val="00A97E80"/>
    <w:rsid w:val="00AA0604"/>
    <w:rsid w:val="00AA088C"/>
    <w:rsid w:val="00AA1185"/>
    <w:rsid w:val="00AA3363"/>
    <w:rsid w:val="00AA565D"/>
    <w:rsid w:val="00AA6A20"/>
    <w:rsid w:val="00AA77C3"/>
    <w:rsid w:val="00AA7AE5"/>
    <w:rsid w:val="00AC1AA1"/>
    <w:rsid w:val="00AC37DD"/>
    <w:rsid w:val="00AC4A69"/>
    <w:rsid w:val="00AC72D5"/>
    <w:rsid w:val="00AD129D"/>
    <w:rsid w:val="00AD4B5C"/>
    <w:rsid w:val="00AD4FD4"/>
    <w:rsid w:val="00AD582C"/>
    <w:rsid w:val="00AD5E18"/>
    <w:rsid w:val="00AE30C7"/>
    <w:rsid w:val="00AE34EB"/>
    <w:rsid w:val="00AE39D9"/>
    <w:rsid w:val="00B01E3F"/>
    <w:rsid w:val="00B06152"/>
    <w:rsid w:val="00B07082"/>
    <w:rsid w:val="00B12C5B"/>
    <w:rsid w:val="00B1302C"/>
    <w:rsid w:val="00B14B2A"/>
    <w:rsid w:val="00B156AE"/>
    <w:rsid w:val="00B169A0"/>
    <w:rsid w:val="00B21A6C"/>
    <w:rsid w:val="00B2542C"/>
    <w:rsid w:val="00B2682D"/>
    <w:rsid w:val="00B31C60"/>
    <w:rsid w:val="00B34A0C"/>
    <w:rsid w:val="00B37134"/>
    <w:rsid w:val="00B4224F"/>
    <w:rsid w:val="00B446E3"/>
    <w:rsid w:val="00B46135"/>
    <w:rsid w:val="00B504E6"/>
    <w:rsid w:val="00B50836"/>
    <w:rsid w:val="00B52EE3"/>
    <w:rsid w:val="00B55A43"/>
    <w:rsid w:val="00B60534"/>
    <w:rsid w:val="00B637D5"/>
    <w:rsid w:val="00B63C5E"/>
    <w:rsid w:val="00B66F27"/>
    <w:rsid w:val="00B774B0"/>
    <w:rsid w:val="00B84055"/>
    <w:rsid w:val="00B855E6"/>
    <w:rsid w:val="00B85B95"/>
    <w:rsid w:val="00B8692A"/>
    <w:rsid w:val="00B936A8"/>
    <w:rsid w:val="00B95618"/>
    <w:rsid w:val="00BA02B3"/>
    <w:rsid w:val="00BA0E95"/>
    <w:rsid w:val="00BA1622"/>
    <w:rsid w:val="00BA4A1A"/>
    <w:rsid w:val="00BB1228"/>
    <w:rsid w:val="00BB3AF7"/>
    <w:rsid w:val="00BC628A"/>
    <w:rsid w:val="00BC7F5D"/>
    <w:rsid w:val="00BD33BB"/>
    <w:rsid w:val="00BD48B7"/>
    <w:rsid w:val="00BD5DF6"/>
    <w:rsid w:val="00BD6621"/>
    <w:rsid w:val="00BD6626"/>
    <w:rsid w:val="00BD7D64"/>
    <w:rsid w:val="00BE0052"/>
    <w:rsid w:val="00BE11D0"/>
    <w:rsid w:val="00BF391C"/>
    <w:rsid w:val="00BF4212"/>
    <w:rsid w:val="00C0101C"/>
    <w:rsid w:val="00C06155"/>
    <w:rsid w:val="00C130D0"/>
    <w:rsid w:val="00C14B33"/>
    <w:rsid w:val="00C21319"/>
    <w:rsid w:val="00C214E2"/>
    <w:rsid w:val="00C23B3F"/>
    <w:rsid w:val="00C32D3D"/>
    <w:rsid w:val="00C33A7D"/>
    <w:rsid w:val="00C34F51"/>
    <w:rsid w:val="00C35768"/>
    <w:rsid w:val="00C35C2A"/>
    <w:rsid w:val="00C37D62"/>
    <w:rsid w:val="00C449FA"/>
    <w:rsid w:val="00C50AD3"/>
    <w:rsid w:val="00C52A4F"/>
    <w:rsid w:val="00C532CA"/>
    <w:rsid w:val="00C55E91"/>
    <w:rsid w:val="00C72732"/>
    <w:rsid w:val="00C72C87"/>
    <w:rsid w:val="00C77346"/>
    <w:rsid w:val="00C82CB6"/>
    <w:rsid w:val="00C84BD7"/>
    <w:rsid w:val="00C8595C"/>
    <w:rsid w:val="00C86508"/>
    <w:rsid w:val="00C866D7"/>
    <w:rsid w:val="00C87641"/>
    <w:rsid w:val="00C9443D"/>
    <w:rsid w:val="00C95CA8"/>
    <w:rsid w:val="00CA6F11"/>
    <w:rsid w:val="00CA75FD"/>
    <w:rsid w:val="00CB35D8"/>
    <w:rsid w:val="00CC1055"/>
    <w:rsid w:val="00CC1A80"/>
    <w:rsid w:val="00CC5559"/>
    <w:rsid w:val="00CC74D3"/>
    <w:rsid w:val="00CC76CB"/>
    <w:rsid w:val="00CD1206"/>
    <w:rsid w:val="00CD67C9"/>
    <w:rsid w:val="00CE0324"/>
    <w:rsid w:val="00CE1970"/>
    <w:rsid w:val="00CE2FF8"/>
    <w:rsid w:val="00CE3681"/>
    <w:rsid w:val="00CE39E7"/>
    <w:rsid w:val="00CF2B68"/>
    <w:rsid w:val="00CF4A24"/>
    <w:rsid w:val="00CF6838"/>
    <w:rsid w:val="00CF7B99"/>
    <w:rsid w:val="00D01B84"/>
    <w:rsid w:val="00D04B95"/>
    <w:rsid w:val="00D06C19"/>
    <w:rsid w:val="00D11321"/>
    <w:rsid w:val="00D12E5C"/>
    <w:rsid w:val="00D14437"/>
    <w:rsid w:val="00D14C7E"/>
    <w:rsid w:val="00D16A86"/>
    <w:rsid w:val="00D271EF"/>
    <w:rsid w:val="00D31D2F"/>
    <w:rsid w:val="00D365C8"/>
    <w:rsid w:val="00D36916"/>
    <w:rsid w:val="00D373FC"/>
    <w:rsid w:val="00D37653"/>
    <w:rsid w:val="00D37BE9"/>
    <w:rsid w:val="00D408C7"/>
    <w:rsid w:val="00D423B3"/>
    <w:rsid w:val="00D478C8"/>
    <w:rsid w:val="00D51355"/>
    <w:rsid w:val="00D51962"/>
    <w:rsid w:val="00D51D4C"/>
    <w:rsid w:val="00D535D0"/>
    <w:rsid w:val="00D53C9D"/>
    <w:rsid w:val="00D544DF"/>
    <w:rsid w:val="00D5493C"/>
    <w:rsid w:val="00D5517F"/>
    <w:rsid w:val="00D57CD5"/>
    <w:rsid w:val="00D625ED"/>
    <w:rsid w:val="00D63D96"/>
    <w:rsid w:val="00D66BE1"/>
    <w:rsid w:val="00D708A4"/>
    <w:rsid w:val="00D71F45"/>
    <w:rsid w:val="00D7386A"/>
    <w:rsid w:val="00D739D6"/>
    <w:rsid w:val="00D757A0"/>
    <w:rsid w:val="00D75C26"/>
    <w:rsid w:val="00D77391"/>
    <w:rsid w:val="00D85271"/>
    <w:rsid w:val="00D86682"/>
    <w:rsid w:val="00D91A34"/>
    <w:rsid w:val="00D91D6C"/>
    <w:rsid w:val="00D928DE"/>
    <w:rsid w:val="00D92E37"/>
    <w:rsid w:val="00D94502"/>
    <w:rsid w:val="00D94B66"/>
    <w:rsid w:val="00D952FE"/>
    <w:rsid w:val="00DB158F"/>
    <w:rsid w:val="00DB2AA6"/>
    <w:rsid w:val="00DB3E10"/>
    <w:rsid w:val="00DB6A5B"/>
    <w:rsid w:val="00DC5DC5"/>
    <w:rsid w:val="00DD46FC"/>
    <w:rsid w:val="00DE10E2"/>
    <w:rsid w:val="00DE1A25"/>
    <w:rsid w:val="00DE267C"/>
    <w:rsid w:val="00DE3BD5"/>
    <w:rsid w:val="00DE3D9E"/>
    <w:rsid w:val="00DE3E38"/>
    <w:rsid w:val="00DE4586"/>
    <w:rsid w:val="00DE6324"/>
    <w:rsid w:val="00DE64DC"/>
    <w:rsid w:val="00DE7CC0"/>
    <w:rsid w:val="00DF0111"/>
    <w:rsid w:val="00DF1019"/>
    <w:rsid w:val="00DF1F71"/>
    <w:rsid w:val="00DF687C"/>
    <w:rsid w:val="00E01B45"/>
    <w:rsid w:val="00E034F7"/>
    <w:rsid w:val="00E04AF9"/>
    <w:rsid w:val="00E05E98"/>
    <w:rsid w:val="00E10B09"/>
    <w:rsid w:val="00E11733"/>
    <w:rsid w:val="00E12C01"/>
    <w:rsid w:val="00E1335B"/>
    <w:rsid w:val="00E1357F"/>
    <w:rsid w:val="00E138F0"/>
    <w:rsid w:val="00E154B6"/>
    <w:rsid w:val="00E17478"/>
    <w:rsid w:val="00E23C1A"/>
    <w:rsid w:val="00E26869"/>
    <w:rsid w:val="00E26E86"/>
    <w:rsid w:val="00E27CC8"/>
    <w:rsid w:val="00E31C84"/>
    <w:rsid w:val="00E33EAB"/>
    <w:rsid w:val="00E363E5"/>
    <w:rsid w:val="00E36794"/>
    <w:rsid w:val="00E51620"/>
    <w:rsid w:val="00E54B33"/>
    <w:rsid w:val="00E55D52"/>
    <w:rsid w:val="00E57043"/>
    <w:rsid w:val="00E57F17"/>
    <w:rsid w:val="00E67416"/>
    <w:rsid w:val="00E72247"/>
    <w:rsid w:val="00E73A3A"/>
    <w:rsid w:val="00E73B59"/>
    <w:rsid w:val="00E74234"/>
    <w:rsid w:val="00E763B7"/>
    <w:rsid w:val="00E77EFC"/>
    <w:rsid w:val="00E81A15"/>
    <w:rsid w:val="00E83342"/>
    <w:rsid w:val="00E8646C"/>
    <w:rsid w:val="00E923D0"/>
    <w:rsid w:val="00E94DAD"/>
    <w:rsid w:val="00E962E5"/>
    <w:rsid w:val="00EA0BA0"/>
    <w:rsid w:val="00EA2DB4"/>
    <w:rsid w:val="00EA3E84"/>
    <w:rsid w:val="00EA60B7"/>
    <w:rsid w:val="00EB28F7"/>
    <w:rsid w:val="00EB2925"/>
    <w:rsid w:val="00EB40A0"/>
    <w:rsid w:val="00EB62E7"/>
    <w:rsid w:val="00EB654B"/>
    <w:rsid w:val="00EC1495"/>
    <w:rsid w:val="00EC6C1E"/>
    <w:rsid w:val="00EC6DDE"/>
    <w:rsid w:val="00EC7184"/>
    <w:rsid w:val="00ED153F"/>
    <w:rsid w:val="00ED1F01"/>
    <w:rsid w:val="00EE30F0"/>
    <w:rsid w:val="00EE6D37"/>
    <w:rsid w:val="00EE6EA0"/>
    <w:rsid w:val="00EF0736"/>
    <w:rsid w:val="00EF09F0"/>
    <w:rsid w:val="00EF13DA"/>
    <w:rsid w:val="00EF19F3"/>
    <w:rsid w:val="00EF5A3A"/>
    <w:rsid w:val="00EF739C"/>
    <w:rsid w:val="00EF7913"/>
    <w:rsid w:val="00F00B79"/>
    <w:rsid w:val="00F072B6"/>
    <w:rsid w:val="00F07E28"/>
    <w:rsid w:val="00F1228E"/>
    <w:rsid w:val="00F124EC"/>
    <w:rsid w:val="00F12500"/>
    <w:rsid w:val="00F128FB"/>
    <w:rsid w:val="00F15DA3"/>
    <w:rsid w:val="00F17B81"/>
    <w:rsid w:val="00F21E8D"/>
    <w:rsid w:val="00F254B8"/>
    <w:rsid w:val="00F30107"/>
    <w:rsid w:val="00F3229F"/>
    <w:rsid w:val="00F327AD"/>
    <w:rsid w:val="00F339F4"/>
    <w:rsid w:val="00F33A1E"/>
    <w:rsid w:val="00F34C9A"/>
    <w:rsid w:val="00F35A1B"/>
    <w:rsid w:val="00F41805"/>
    <w:rsid w:val="00F45FDC"/>
    <w:rsid w:val="00F472EE"/>
    <w:rsid w:val="00F506DD"/>
    <w:rsid w:val="00F55B13"/>
    <w:rsid w:val="00F62C57"/>
    <w:rsid w:val="00F72B28"/>
    <w:rsid w:val="00F760D0"/>
    <w:rsid w:val="00F76421"/>
    <w:rsid w:val="00F779A4"/>
    <w:rsid w:val="00F80E7C"/>
    <w:rsid w:val="00F81788"/>
    <w:rsid w:val="00F959C2"/>
    <w:rsid w:val="00FA3051"/>
    <w:rsid w:val="00FA5C39"/>
    <w:rsid w:val="00FA7B53"/>
    <w:rsid w:val="00FB4BDB"/>
    <w:rsid w:val="00FB6860"/>
    <w:rsid w:val="00FB6F0D"/>
    <w:rsid w:val="00FB754C"/>
    <w:rsid w:val="00FC0C4B"/>
    <w:rsid w:val="00FC281A"/>
    <w:rsid w:val="00FE12FC"/>
    <w:rsid w:val="00FE1CFB"/>
    <w:rsid w:val="00FE3996"/>
    <w:rsid w:val="00FE4C57"/>
    <w:rsid w:val="00FE6A15"/>
    <w:rsid w:val="00FE6EF0"/>
    <w:rsid w:val="00FF207C"/>
    <w:rsid w:val="00FF217D"/>
    <w:rsid w:val="00FF3F65"/>
    <w:rsid w:val="00FF4100"/>
    <w:rsid w:val="00FF4D2E"/>
    <w:rsid w:val="00FF6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5AE701"/>
  <w14:defaultImageDpi w14:val="300"/>
  <w15:docId w15:val="{D881643E-CC87-4021-8FEB-799F81FF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A20"/>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6838"/>
    <w:pPr>
      <w:spacing w:before="100" w:beforeAutospacing="1" w:after="100" w:afterAutospacing="1"/>
    </w:pPr>
    <w:rPr>
      <w:rFonts w:ascii="Times" w:hAnsi="Times"/>
      <w:sz w:val="20"/>
      <w:szCs w:val="20"/>
      <w:lang w:eastAsia="en-US"/>
    </w:rPr>
  </w:style>
  <w:style w:type="character" w:styleId="CommentReference">
    <w:name w:val="annotation reference"/>
    <w:basedOn w:val="DefaultParagraphFont"/>
    <w:uiPriority w:val="99"/>
    <w:unhideWhenUsed/>
    <w:rsid w:val="00327B80"/>
    <w:rPr>
      <w:sz w:val="18"/>
      <w:szCs w:val="18"/>
    </w:rPr>
  </w:style>
  <w:style w:type="paragraph" w:styleId="CommentText">
    <w:name w:val="annotation text"/>
    <w:basedOn w:val="Normal"/>
    <w:link w:val="CommentTextChar"/>
    <w:uiPriority w:val="99"/>
    <w:unhideWhenUsed/>
    <w:rsid w:val="00327B80"/>
    <w:rPr>
      <w:rFonts w:asciiTheme="minorHAnsi" w:hAnsiTheme="minorHAnsi" w:cstheme="minorBidi"/>
      <w:lang w:eastAsia="en-US"/>
    </w:rPr>
  </w:style>
  <w:style w:type="character" w:customStyle="1" w:styleId="CommentTextChar">
    <w:name w:val="Comment Text Char"/>
    <w:basedOn w:val="DefaultParagraphFont"/>
    <w:link w:val="CommentText"/>
    <w:uiPriority w:val="99"/>
    <w:rsid w:val="00327B80"/>
    <w:rPr>
      <w:lang w:val="en-GB"/>
    </w:rPr>
  </w:style>
  <w:style w:type="paragraph" w:styleId="CommentSubject">
    <w:name w:val="annotation subject"/>
    <w:basedOn w:val="CommentText"/>
    <w:next w:val="CommentText"/>
    <w:link w:val="CommentSubjectChar"/>
    <w:uiPriority w:val="99"/>
    <w:semiHidden/>
    <w:unhideWhenUsed/>
    <w:rsid w:val="00327B80"/>
    <w:rPr>
      <w:b/>
      <w:bCs/>
      <w:sz w:val="20"/>
      <w:szCs w:val="20"/>
    </w:rPr>
  </w:style>
  <w:style w:type="character" w:customStyle="1" w:styleId="CommentSubjectChar">
    <w:name w:val="Comment Subject Char"/>
    <w:basedOn w:val="CommentTextChar"/>
    <w:link w:val="CommentSubject"/>
    <w:uiPriority w:val="99"/>
    <w:semiHidden/>
    <w:rsid w:val="00327B80"/>
    <w:rPr>
      <w:b/>
      <w:bCs/>
      <w:sz w:val="20"/>
      <w:szCs w:val="20"/>
      <w:lang w:val="en-GB"/>
    </w:rPr>
  </w:style>
  <w:style w:type="paragraph" w:styleId="BalloonText">
    <w:name w:val="Balloon Text"/>
    <w:basedOn w:val="Normal"/>
    <w:link w:val="BalloonTextChar"/>
    <w:uiPriority w:val="99"/>
    <w:semiHidden/>
    <w:unhideWhenUsed/>
    <w:rsid w:val="00327B80"/>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327B80"/>
    <w:rPr>
      <w:rFonts w:ascii="Lucida Grande" w:hAnsi="Lucida Grande" w:cs="Lucida Grande"/>
      <w:sz w:val="18"/>
      <w:szCs w:val="18"/>
      <w:lang w:val="en-GB"/>
    </w:rPr>
  </w:style>
  <w:style w:type="character" w:styleId="Hyperlink">
    <w:name w:val="Hyperlink"/>
    <w:basedOn w:val="DefaultParagraphFont"/>
    <w:uiPriority w:val="99"/>
    <w:unhideWhenUsed/>
    <w:rsid w:val="00D63D96"/>
    <w:rPr>
      <w:color w:val="0000FF" w:themeColor="hyperlink"/>
      <w:u w:val="single"/>
    </w:rPr>
  </w:style>
  <w:style w:type="paragraph" w:styleId="Footer">
    <w:name w:val="footer"/>
    <w:basedOn w:val="Normal"/>
    <w:link w:val="FooterChar"/>
    <w:uiPriority w:val="99"/>
    <w:unhideWhenUsed/>
    <w:rsid w:val="00F12500"/>
    <w:pPr>
      <w:tabs>
        <w:tab w:val="center" w:pos="4320"/>
        <w:tab w:val="right" w:pos="8640"/>
      </w:tabs>
    </w:pPr>
    <w:rPr>
      <w:rFonts w:asciiTheme="minorHAnsi" w:hAnsiTheme="minorHAnsi" w:cstheme="minorBidi"/>
      <w:lang w:eastAsia="en-US"/>
    </w:rPr>
  </w:style>
  <w:style w:type="character" w:customStyle="1" w:styleId="FooterChar">
    <w:name w:val="Footer Char"/>
    <w:basedOn w:val="DefaultParagraphFont"/>
    <w:link w:val="Footer"/>
    <w:uiPriority w:val="99"/>
    <w:rsid w:val="00F12500"/>
    <w:rPr>
      <w:lang w:val="en-GB"/>
    </w:rPr>
  </w:style>
  <w:style w:type="character" w:styleId="PageNumber">
    <w:name w:val="page number"/>
    <w:basedOn w:val="DefaultParagraphFont"/>
    <w:uiPriority w:val="99"/>
    <w:semiHidden/>
    <w:unhideWhenUsed/>
    <w:rsid w:val="00F12500"/>
  </w:style>
  <w:style w:type="character" w:styleId="FollowedHyperlink">
    <w:name w:val="FollowedHyperlink"/>
    <w:basedOn w:val="DefaultParagraphFont"/>
    <w:uiPriority w:val="99"/>
    <w:semiHidden/>
    <w:unhideWhenUsed/>
    <w:rsid w:val="005D5BD4"/>
    <w:rPr>
      <w:color w:val="800080" w:themeColor="followedHyperlink"/>
      <w:u w:val="single"/>
    </w:rPr>
  </w:style>
  <w:style w:type="paragraph" w:styleId="Header">
    <w:name w:val="header"/>
    <w:basedOn w:val="Normal"/>
    <w:link w:val="HeaderChar"/>
    <w:uiPriority w:val="99"/>
    <w:unhideWhenUsed/>
    <w:rsid w:val="004E56BD"/>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4E56BD"/>
    <w:rPr>
      <w:lang w:val="en-GB"/>
    </w:rPr>
  </w:style>
  <w:style w:type="table" w:styleId="TableGrid">
    <w:name w:val="Table Grid"/>
    <w:basedOn w:val="TableNormal"/>
    <w:uiPriority w:val="39"/>
    <w:rsid w:val="001A1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BA5"/>
    <w:pPr>
      <w:ind w:left="720"/>
      <w:contextualSpacing/>
    </w:pPr>
    <w:rPr>
      <w:rFonts w:asciiTheme="minorHAnsi" w:hAnsiTheme="minorHAnsi" w:cstheme="minorBidi"/>
      <w:lang w:eastAsia="en-US"/>
    </w:rPr>
  </w:style>
  <w:style w:type="character" w:customStyle="1" w:styleId="apple-converted-space">
    <w:name w:val="apple-converted-space"/>
    <w:basedOn w:val="DefaultParagraphFont"/>
    <w:rsid w:val="00176201"/>
  </w:style>
  <w:style w:type="paragraph" w:styleId="Revision">
    <w:name w:val="Revision"/>
    <w:hidden/>
    <w:uiPriority w:val="99"/>
    <w:semiHidden/>
    <w:rsid w:val="00B2542C"/>
    <w:rPr>
      <w:lang w:val="en-GB"/>
    </w:rPr>
  </w:style>
  <w:style w:type="paragraph" w:styleId="PlainText">
    <w:name w:val="Plain Text"/>
    <w:basedOn w:val="Normal"/>
    <w:link w:val="PlainTextChar"/>
    <w:uiPriority w:val="99"/>
    <w:semiHidden/>
    <w:unhideWhenUsed/>
    <w:rsid w:val="00525CDB"/>
    <w:rPr>
      <w:rFonts w:ascii="Calibri" w:eastAsiaTheme="minorHAnsi" w:hAnsi="Calibri" w:cs="Consolas"/>
      <w:sz w:val="22"/>
      <w:szCs w:val="21"/>
      <w:lang w:val="en-US" w:eastAsia="en-US"/>
    </w:rPr>
  </w:style>
  <w:style w:type="character" w:customStyle="1" w:styleId="PlainTextChar">
    <w:name w:val="Plain Text Char"/>
    <w:basedOn w:val="DefaultParagraphFont"/>
    <w:link w:val="PlainText"/>
    <w:uiPriority w:val="99"/>
    <w:semiHidden/>
    <w:rsid w:val="00525CDB"/>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1981">
      <w:bodyDiv w:val="1"/>
      <w:marLeft w:val="0"/>
      <w:marRight w:val="0"/>
      <w:marTop w:val="0"/>
      <w:marBottom w:val="0"/>
      <w:divBdr>
        <w:top w:val="none" w:sz="0" w:space="0" w:color="auto"/>
        <w:left w:val="none" w:sz="0" w:space="0" w:color="auto"/>
        <w:bottom w:val="none" w:sz="0" w:space="0" w:color="auto"/>
        <w:right w:val="none" w:sz="0" w:space="0" w:color="auto"/>
      </w:divBdr>
      <w:divsChild>
        <w:div w:id="1655138214">
          <w:marLeft w:val="0"/>
          <w:marRight w:val="0"/>
          <w:marTop w:val="0"/>
          <w:marBottom w:val="0"/>
          <w:divBdr>
            <w:top w:val="none" w:sz="0" w:space="0" w:color="auto"/>
            <w:left w:val="none" w:sz="0" w:space="0" w:color="auto"/>
            <w:bottom w:val="none" w:sz="0" w:space="0" w:color="auto"/>
            <w:right w:val="none" w:sz="0" w:space="0" w:color="auto"/>
          </w:divBdr>
          <w:divsChild>
            <w:div w:id="368533430">
              <w:marLeft w:val="0"/>
              <w:marRight w:val="0"/>
              <w:marTop w:val="0"/>
              <w:marBottom w:val="0"/>
              <w:divBdr>
                <w:top w:val="none" w:sz="0" w:space="0" w:color="auto"/>
                <w:left w:val="none" w:sz="0" w:space="0" w:color="auto"/>
                <w:bottom w:val="none" w:sz="0" w:space="0" w:color="auto"/>
                <w:right w:val="none" w:sz="0" w:space="0" w:color="auto"/>
              </w:divBdr>
              <w:divsChild>
                <w:div w:id="18683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9505">
      <w:bodyDiv w:val="1"/>
      <w:marLeft w:val="0"/>
      <w:marRight w:val="0"/>
      <w:marTop w:val="0"/>
      <w:marBottom w:val="0"/>
      <w:divBdr>
        <w:top w:val="none" w:sz="0" w:space="0" w:color="auto"/>
        <w:left w:val="none" w:sz="0" w:space="0" w:color="auto"/>
        <w:bottom w:val="none" w:sz="0" w:space="0" w:color="auto"/>
        <w:right w:val="none" w:sz="0" w:space="0" w:color="auto"/>
      </w:divBdr>
      <w:divsChild>
        <w:div w:id="964194863">
          <w:marLeft w:val="0"/>
          <w:marRight w:val="0"/>
          <w:marTop w:val="0"/>
          <w:marBottom w:val="0"/>
          <w:divBdr>
            <w:top w:val="none" w:sz="0" w:space="0" w:color="auto"/>
            <w:left w:val="none" w:sz="0" w:space="0" w:color="auto"/>
            <w:bottom w:val="none" w:sz="0" w:space="0" w:color="auto"/>
            <w:right w:val="none" w:sz="0" w:space="0" w:color="auto"/>
          </w:divBdr>
          <w:divsChild>
            <w:div w:id="1479878403">
              <w:marLeft w:val="0"/>
              <w:marRight w:val="0"/>
              <w:marTop w:val="0"/>
              <w:marBottom w:val="0"/>
              <w:divBdr>
                <w:top w:val="none" w:sz="0" w:space="0" w:color="auto"/>
                <w:left w:val="none" w:sz="0" w:space="0" w:color="auto"/>
                <w:bottom w:val="none" w:sz="0" w:space="0" w:color="auto"/>
                <w:right w:val="none" w:sz="0" w:space="0" w:color="auto"/>
              </w:divBdr>
              <w:divsChild>
                <w:div w:id="20921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78976">
      <w:bodyDiv w:val="1"/>
      <w:marLeft w:val="0"/>
      <w:marRight w:val="0"/>
      <w:marTop w:val="0"/>
      <w:marBottom w:val="0"/>
      <w:divBdr>
        <w:top w:val="none" w:sz="0" w:space="0" w:color="auto"/>
        <w:left w:val="none" w:sz="0" w:space="0" w:color="auto"/>
        <w:bottom w:val="none" w:sz="0" w:space="0" w:color="auto"/>
        <w:right w:val="none" w:sz="0" w:space="0" w:color="auto"/>
      </w:divBdr>
      <w:divsChild>
        <w:div w:id="1998612124">
          <w:marLeft w:val="0"/>
          <w:marRight w:val="0"/>
          <w:marTop w:val="0"/>
          <w:marBottom w:val="0"/>
          <w:divBdr>
            <w:top w:val="none" w:sz="0" w:space="0" w:color="auto"/>
            <w:left w:val="none" w:sz="0" w:space="0" w:color="auto"/>
            <w:bottom w:val="none" w:sz="0" w:space="0" w:color="auto"/>
            <w:right w:val="none" w:sz="0" w:space="0" w:color="auto"/>
          </w:divBdr>
          <w:divsChild>
            <w:div w:id="69812889">
              <w:marLeft w:val="0"/>
              <w:marRight w:val="0"/>
              <w:marTop w:val="0"/>
              <w:marBottom w:val="0"/>
              <w:divBdr>
                <w:top w:val="none" w:sz="0" w:space="0" w:color="auto"/>
                <w:left w:val="none" w:sz="0" w:space="0" w:color="auto"/>
                <w:bottom w:val="none" w:sz="0" w:space="0" w:color="auto"/>
                <w:right w:val="none" w:sz="0" w:space="0" w:color="auto"/>
              </w:divBdr>
              <w:divsChild>
                <w:div w:id="2599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8653">
      <w:bodyDiv w:val="1"/>
      <w:marLeft w:val="0"/>
      <w:marRight w:val="0"/>
      <w:marTop w:val="0"/>
      <w:marBottom w:val="0"/>
      <w:divBdr>
        <w:top w:val="none" w:sz="0" w:space="0" w:color="auto"/>
        <w:left w:val="none" w:sz="0" w:space="0" w:color="auto"/>
        <w:bottom w:val="none" w:sz="0" w:space="0" w:color="auto"/>
        <w:right w:val="none" w:sz="0" w:space="0" w:color="auto"/>
      </w:divBdr>
    </w:div>
    <w:div w:id="604770275">
      <w:bodyDiv w:val="1"/>
      <w:marLeft w:val="0"/>
      <w:marRight w:val="0"/>
      <w:marTop w:val="0"/>
      <w:marBottom w:val="0"/>
      <w:divBdr>
        <w:top w:val="none" w:sz="0" w:space="0" w:color="auto"/>
        <w:left w:val="none" w:sz="0" w:space="0" w:color="auto"/>
        <w:bottom w:val="none" w:sz="0" w:space="0" w:color="auto"/>
        <w:right w:val="none" w:sz="0" w:space="0" w:color="auto"/>
      </w:divBdr>
      <w:divsChild>
        <w:div w:id="1675184244">
          <w:marLeft w:val="0"/>
          <w:marRight w:val="0"/>
          <w:marTop w:val="0"/>
          <w:marBottom w:val="0"/>
          <w:divBdr>
            <w:top w:val="none" w:sz="0" w:space="0" w:color="auto"/>
            <w:left w:val="none" w:sz="0" w:space="0" w:color="auto"/>
            <w:bottom w:val="none" w:sz="0" w:space="0" w:color="auto"/>
            <w:right w:val="none" w:sz="0" w:space="0" w:color="auto"/>
          </w:divBdr>
          <w:divsChild>
            <w:div w:id="569465144">
              <w:marLeft w:val="0"/>
              <w:marRight w:val="0"/>
              <w:marTop w:val="0"/>
              <w:marBottom w:val="0"/>
              <w:divBdr>
                <w:top w:val="none" w:sz="0" w:space="0" w:color="auto"/>
                <w:left w:val="none" w:sz="0" w:space="0" w:color="auto"/>
                <w:bottom w:val="none" w:sz="0" w:space="0" w:color="auto"/>
                <w:right w:val="none" w:sz="0" w:space="0" w:color="auto"/>
              </w:divBdr>
              <w:divsChild>
                <w:div w:id="49041975">
                  <w:marLeft w:val="0"/>
                  <w:marRight w:val="0"/>
                  <w:marTop w:val="0"/>
                  <w:marBottom w:val="0"/>
                  <w:divBdr>
                    <w:top w:val="none" w:sz="0" w:space="0" w:color="auto"/>
                    <w:left w:val="none" w:sz="0" w:space="0" w:color="auto"/>
                    <w:bottom w:val="none" w:sz="0" w:space="0" w:color="auto"/>
                    <w:right w:val="none" w:sz="0" w:space="0" w:color="auto"/>
                  </w:divBdr>
                  <w:divsChild>
                    <w:div w:id="20227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751530">
      <w:bodyDiv w:val="1"/>
      <w:marLeft w:val="0"/>
      <w:marRight w:val="0"/>
      <w:marTop w:val="0"/>
      <w:marBottom w:val="0"/>
      <w:divBdr>
        <w:top w:val="none" w:sz="0" w:space="0" w:color="auto"/>
        <w:left w:val="none" w:sz="0" w:space="0" w:color="auto"/>
        <w:bottom w:val="none" w:sz="0" w:space="0" w:color="auto"/>
        <w:right w:val="none" w:sz="0" w:space="0" w:color="auto"/>
      </w:divBdr>
    </w:div>
    <w:div w:id="678577593">
      <w:bodyDiv w:val="1"/>
      <w:marLeft w:val="0"/>
      <w:marRight w:val="0"/>
      <w:marTop w:val="0"/>
      <w:marBottom w:val="0"/>
      <w:divBdr>
        <w:top w:val="none" w:sz="0" w:space="0" w:color="auto"/>
        <w:left w:val="none" w:sz="0" w:space="0" w:color="auto"/>
        <w:bottom w:val="none" w:sz="0" w:space="0" w:color="auto"/>
        <w:right w:val="none" w:sz="0" w:space="0" w:color="auto"/>
      </w:divBdr>
    </w:div>
    <w:div w:id="777022150">
      <w:bodyDiv w:val="1"/>
      <w:marLeft w:val="0"/>
      <w:marRight w:val="0"/>
      <w:marTop w:val="0"/>
      <w:marBottom w:val="0"/>
      <w:divBdr>
        <w:top w:val="none" w:sz="0" w:space="0" w:color="auto"/>
        <w:left w:val="none" w:sz="0" w:space="0" w:color="auto"/>
        <w:bottom w:val="none" w:sz="0" w:space="0" w:color="auto"/>
        <w:right w:val="none" w:sz="0" w:space="0" w:color="auto"/>
      </w:divBdr>
    </w:div>
    <w:div w:id="829562064">
      <w:bodyDiv w:val="1"/>
      <w:marLeft w:val="0"/>
      <w:marRight w:val="0"/>
      <w:marTop w:val="0"/>
      <w:marBottom w:val="0"/>
      <w:divBdr>
        <w:top w:val="none" w:sz="0" w:space="0" w:color="auto"/>
        <w:left w:val="none" w:sz="0" w:space="0" w:color="auto"/>
        <w:bottom w:val="none" w:sz="0" w:space="0" w:color="auto"/>
        <w:right w:val="none" w:sz="0" w:space="0" w:color="auto"/>
      </w:divBdr>
    </w:div>
    <w:div w:id="875194112">
      <w:bodyDiv w:val="1"/>
      <w:marLeft w:val="0"/>
      <w:marRight w:val="0"/>
      <w:marTop w:val="0"/>
      <w:marBottom w:val="0"/>
      <w:divBdr>
        <w:top w:val="none" w:sz="0" w:space="0" w:color="auto"/>
        <w:left w:val="none" w:sz="0" w:space="0" w:color="auto"/>
        <w:bottom w:val="none" w:sz="0" w:space="0" w:color="auto"/>
        <w:right w:val="none" w:sz="0" w:space="0" w:color="auto"/>
      </w:divBdr>
      <w:divsChild>
        <w:div w:id="1399670373">
          <w:marLeft w:val="0"/>
          <w:marRight w:val="0"/>
          <w:marTop w:val="0"/>
          <w:marBottom w:val="0"/>
          <w:divBdr>
            <w:top w:val="none" w:sz="0" w:space="0" w:color="auto"/>
            <w:left w:val="none" w:sz="0" w:space="0" w:color="auto"/>
            <w:bottom w:val="none" w:sz="0" w:space="0" w:color="auto"/>
            <w:right w:val="none" w:sz="0" w:space="0" w:color="auto"/>
          </w:divBdr>
          <w:divsChild>
            <w:div w:id="1046029266">
              <w:marLeft w:val="0"/>
              <w:marRight w:val="0"/>
              <w:marTop w:val="0"/>
              <w:marBottom w:val="0"/>
              <w:divBdr>
                <w:top w:val="none" w:sz="0" w:space="0" w:color="auto"/>
                <w:left w:val="none" w:sz="0" w:space="0" w:color="auto"/>
                <w:bottom w:val="none" w:sz="0" w:space="0" w:color="auto"/>
                <w:right w:val="none" w:sz="0" w:space="0" w:color="auto"/>
              </w:divBdr>
              <w:divsChild>
                <w:div w:id="78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43843">
      <w:bodyDiv w:val="1"/>
      <w:marLeft w:val="0"/>
      <w:marRight w:val="0"/>
      <w:marTop w:val="0"/>
      <w:marBottom w:val="0"/>
      <w:divBdr>
        <w:top w:val="none" w:sz="0" w:space="0" w:color="auto"/>
        <w:left w:val="none" w:sz="0" w:space="0" w:color="auto"/>
        <w:bottom w:val="none" w:sz="0" w:space="0" w:color="auto"/>
        <w:right w:val="none" w:sz="0" w:space="0" w:color="auto"/>
      </w:divBdr>
    </w:div>
    <w:div w:id="1062293374">
      <w:bodyDiv w:val="1"/>
      <w:marLeft w:val="0"/>
      <w:marRight w:val="0"/>
      <w:marTop w:val="0"/>
      <w:marBottom w:val="0"/>
      <w:divBdr>
        <w:top w:val="none" w:sz="0" w:space="0" w:color="auto"/>
        <w:left w:val="none" w:sz="0" w:space="0" w:color="auto"/>
        <w:bottom w:val="none" w:sz="0" w:space="0" w:color="auto"/>
        <w:right w:val="none" w:sz="0" w:space="0" w:color="auto"/>
      </w:divBdr>
      <w:divsChild>
        <w:div w:id="1185897640">
          <w:marLeft w:val="0"/>
          <w:marRight w:val="0"/>
          <w:marTop w:val="0"/>
          <w:marBottom w:val="0"/>
          <w:divBdr>
            <w:top w:val="none" w:sz="0" w:space="0" w:color="auto"/>
            <w:left w:val="none" w:sz="0" w:space="0" w:color="auto"/>
            <w:bottom w:val="none" w:sz="0" w:space="0" w:color="auto"/>
            <w:right w:val="none" w:sz="0" w:space="0" w:color="auto"/>
          </w:divBdr>
          <w:divsChild>
            <w:div w:id="2088843516">
              <w:marLeft w:val="0"/>
              <w:marRight w:val="0"/>
              <w:marTop w:val="0"/>
              <w:marBottom w:val="0"/>
              <w:divBdr>
                <w:top w:val="none" w:sz="0" w:space="0" w:color="auto"/>
                <w:left w:val="none" w:sz="0" w:space="0" w:color="auto"/>
                <w:bottom w:val="none" w:sz="0" w:space="0" w:color="auto"/>
                <w:right w:val="none" w:sz="0" w:space="0" w:color="auto"/>
              </w:divBdr>
              <w:divsChild>
                <w:div w:id="1697581306">
                  <w:marLeft w:val="0"/>
                  <w:marRight w:val="0"/>
                  <w:marTop w:val="0"/>
                  <w:marBottom w:val="0"/>
                  <w:divBdr>
                    <w:top w:val="none" w:sz="0" w:space="0" w:color="auto"/>
                    <w:left w:val="none" w:sz="0" w:space="0" w:color="auto"/>
                    <w:bottom w:val="none" w:sz="0" w:space="0" w:color="auto"/>
                    <w:right w:val="none" w:sz="0" w:space="0" w:color="auto"/>
                  </w:divBdr>
                  <w:divsChild>
                    <w:div w:id="15520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3119">
      <w:bodyDiv w:val="1"/>
      <w:marLeft w:val="0"/>
      <w:marRight w:val="0"/>
      <w:marTop w:val="0"/>
      <w:marBottom w:val="0"/>
      <w:divBdr>
        <w:top w:val="none" w:sz="0" w:space="0" w:color="auto"/>
        <w:left w:val="none" w:sz="0" w:space="0" w:color="auto"/>
        <w:bottom w:val="none" w:sz="0" w:space="0" w:color="auto"/>
        <w:right w:val="none" w:sz="0" w:space="0" w:color="auto"/>
      </w:divBdr>
    </w:div>
    <w:div w:id="1195193144">
      <w:bodyDiv w:val="1"/>
      <w:marLeft w:val="0"/>
      <w:marRight w:val="0"/>
      <w:marTop w:val="0"/>
      <w:marBottom w:val="0"/>
      <w:divBdr>
        <w:top w:val="none" w:sz="0" w:space="0" w:color="auto"/>
        <w:left w:val="none" w:sz="0" w:space="0" w:color="auto"/>
        <w:bottom w:val="none" w:sz="0" w:space="0" w:color="auto"/>
        <w:right w:val="none" w:sz="0" w:space="0" w:color="auto"/>
      </w:divBdr>
    </w:div>
    <w:div w:id="1356148960">
      <w:bodyDiv w:val="1"/>
      <w:marLeft w:val="0"/>
      <w:marRight w:val="0"/>
      <w:marTop w:val="0"/>
      <w:marBottom w:val="0"/>
      <w:divBdr>
        <w:top w:val="none" w:sz="0" w:space="0" w:color="auto"/>
        <w:left w:val="none" w:sz="0" w:space="0" w:color="auto"/>
        <w:bottom w:val="none" w:sz="0" w:space="0" w:color="auto"/>
        <w:right w:val="none" w:sz="0" w:space="0" w:color="auto"/>
      </w:divBdr>
      <w:divsChild>
        <w:div w:id="1628971976">
          <w:marLeft w:val="0"/>
          <w:marRight w:val="0"/>
          <w:marTop w:val="0"/>
          <w:marBottom w:val="0"/>
          <w:divBdr>
            <w:top w:val="none" w:sz="0" w:space="0" w:color="auto"/>
            <w:left w:val="none" w:sz="0" w:space="0" w:color="auto"/>
            <w:bottom w:val="none" w:sz="0" w:space="0" w:color="auto"/>
            <w:right w:val="none" w:sz="0" w:space="0" w:color="auto"/>
          </w:divBdr>
          <w:divsChild>
            <w:div w:id="939994761">
              <w:marLeft w:val="0"/>
              <w:marRight w:val="0"/>
              <w:marTop w:val="0"/>
              <w:marBottom w:val="0"/>
              <w:divBdr>
                <w:top w:val="none" w:sz="0" w:space="0" w:color="auto"/>
                <w:left w:val="none" w:sz="0" w:space="0" w:color="auto"/>
                <w:bottom w:val="none" w:sz="0" w:space="0" w:color="auto"/>
                <w:right w:val="none" w:sz="0" w:space="0" w:color="auto"/>
              </w:divBdr>
              <w:divsChild>
                <w:div w:id="11476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5453">
      <w:bodyDiv w:val="1"/>
      <w:marLeft w:val="0"/>
      <w:marRight w:val="0"/>
      <w:marTop w:val="0"/>
      <w:marBottom w:val="0"/>
      <w:divBdr>
        <w:top w:val="none" w:sz="0" w:space="0" w:color="auto"/>
        <w:left w:val="none" w:sz="0" w:space="0" w:color="auto"/>
        <w:bottom w:val="none" w:sz="0" w:space="0" w:color="auto"/>
        <w:right w:val="none" w:sz="0" w:space="0" w:color="auto"/>
      </w:divBdr>
    </w:div>
    <w:div w:id="1394619865">
      <w:bodyDiv w:val="1"/>
      <w:marLeft w:val="0"/>
      <w:marRight w:val="0"/>
      <w:marTop w:val="0"/>
      <w:marBottom w:val="0"/>
      <w:divBdr>
        <w:top w:val="none" w:sz="0" w:space="0" w:color="auto"/>
        <w:left w:val="none" w:sz="0" w:space="0" w:color="auto"/>
        <w:bottom w:val="none" w:sz="0" w:space="0" w:color="auto"/>
        <w:right w:val="none" w:sz="0" w:space="0" w:color="auto"/>
      </w:divBdr>
    </w:div>
    <w:div w:id="1418404975">
      <w:bodyDiv w:val="1"/>
      <w:marLeft w:val="0"/>
      <w:marRight w:val="0"/>
      <w:marTop w:val="0"/>
      <w:marBottom w:val="0"/>
      <w:divBdr>
        <w:top w:val="none" w:sz="0" w:space="0" w:color="auto"/>
        <w:left w:val="none" w:sz="0" w:space="0" w:color="auto"/>
        <w:bottom w:val="none" w:sz="0" w:space="0" w:color="auto"/>
        <w:right w:val="none" w:sz="0" w:space="0" w:color="auto"/>
      </w:divBdr>
      <w:divsChild>
        <w:div w:id="1332022185">
          <w:marLeft w:val="0"/>
          <w:marRight w:val="0"/>
          <w:marTop w:val="0"/>
          <w:marBottom w:val="0"/>
          <w:divBdr>
            <w:top w:val="none" w:sz="0" w:space="0" w:color="auto"/>
            <w:left w:val="none" w:sz="0" w:space="0" w:color="auto"/>
            <w:bottom w:val="none" w:sz="0" w:space="0" w:color="auto"/>
            <w:right w:val="none" w:sz="0" w:space="0" w:color="auto"/>
          </w:divBdr>
          <w:divsChild>
            <w:div w:id="319893319">
              <w:marLeft w:val="0"/>
              <w:marRight w:val="0"/>
              <w:marTop w:val="0"/>
              <w:marBottom w:val="0"/>
              <w:divBdr>
                <w:top w:val="none" w:sz="0" w:space="0" w:color="auto"/>
                <w:left w:val="none" w:sz="0" w:space="0" w:color="auto"/>
                <w:bottom w:val="none" w:sz="0" w:space="0" w:color="auto"/>
                <w:right w:val="none" w:sz="0" w:space="0" w:color="auto"/>
              </w:divBdr>
              <w:divsChild>
                <w:div w:id="2091538635">
                  <w:marLeft w:val="0"/>
                  <w:marRight w:val="0"/>
                  <w:marTop w:val="0"/>
                  <w:marBottom w:val="0"/>
                  <w:divBdr>
                    <w:top w:val="none" w:sz="0" w:space="0" w:color="auto"/>
                    <w:left w:val="none" w:sz="0" w:space="0" w:color="auto"/>
                    <w:bottom w:val="none" w:sz="0" w:space="0" w:color="auto"/>
                    <w:right w:val="none" w:sz="0" w:space="0" w:color="auto"/>
                  </w:divBdr>
                  <w:divsChild>
                    <w:div w:id="5108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049715">
      <w:bodyDiv w:val="1"/>
      <w:marLeft w:val="0"/>
      <w:marRight w:val="0"/>
      <w:marTop w:val="0"/>
      <w:marBottom w:val="0"/>
      <w:divBdr>
        <w:top w:val="none" w:sz="0" w:space="0" w:color="auto"/>
        <w:left w:val="none" w:sz="0" w:space="0" w:color="auto"/>
        <w:bottom w:val="none" w:sz="0" w:space="0" w:color="auto"/>
        <w:right w:val="none" w:sz="0" w:space="0" w:color="auto"/>
      </w:divBdr>
    </w:div>
    <w:div w:id="1450663586">
      <w:bodyDiv w:val="1"/>
      <w:marLeft w:val="0"/>
      <w:marRight w:val="0"/>
      <w:marTop w:val="0"/>
      <w:marBottom w:val="0"/>
      <w:divBdr>
        <w:top w:val="none" w:sz="0" w:space="0" w:color="auto"/>
        <w:left w:val="none" w:sz="0" w:space="0" w:color="auto"/>
        <w:bottom w:val="none" w:sz="0" w:space="0" w:color="auto"/>
        <w:right w:val="none" w:sz="0" w:space="0" w:color="auto"/>
      </w:divBdr>
    </w:div>
    <w:div w:id="1461074796">
      <w:bodyDiv w:val="1"/>
      <w:marLeft w:val="0"/>
      <w:marRight w:val="0"/>
      <w:marTop w:val="0"/>
      <w:marBottom w:val="0"/>
      <w:divBdr>
        <w:top w:val="none" w:sz="0" w:space="0" w:color="auto"/>
        <w:left w:val="none" w:sz="0" w:space="0" w:color="auto"/>
        <w:bottom w:val="none" w:sz="0" w:space="0" w:color="auto"/>
        <w:right w:val="none" w:sz="0" w:space="0" w:color="auto"/>
      </w:divBdr>
    </w:div>
    <w:div w:id="1601063574">
      <w:bodyDiv w:val="1"/>
      <w:marLeft w:val="0"/>
      <w:marRight w:val="0"/>
      <w:marTop w:val="0"/>
      <w:marBottom w:val="0"/>
      <w:divBdr>
        <w:top w:val="none" w:sz="0" w:space="0" w:color="auto"/>
        <w:left w:val="none" w:sz="0" w:space="0" w:color="auto"/>
        <w:bottom w:val="none" w:sz="0" w:space="0" w:color="auto"/>
        <w:right w:val="none" w:sz="0" w:space="0" w:color="auto"/>
      </w:divBdr>
      <w:divsChild>
        <w:div w:id="1325938207">
          <w:marLeft w:val="0"/>
          <w:marRight w:val="0"/>
          <w:marTop w:val="0"/>
          <w:marBottom w:val="0"/>
          <w:divBdr>
            <w:top w:val="none" w:sz="0" w:space="0" w:color="auto"/>
            <w:left w:val="none" w:sz="0" w:space="0" w:color="auto"/>
            <w:bottom w:val="none" w:sz="0" w:space="0" w:color="auto"/>
            <w:right w:val="none" w:sz="0" w:space="0" w:color="auto"/>
          </w:divBdr>
          <w:divsChild>
            <w:div w:id="1758138811">
              <w:marLeft w:val="0"/>
              <w:marRight w:val="0"/>
              <w:marTop w:val="0"/>
              <w:marBottom w:val="0"/>
              <w:divBdr>
                <w:top w:val="none" w:sz="0" w:space="0" w:color="auto"/>
                <w:left w:val="none" w:sz="0" w:space="0" w:color="auto"/>
                <w:bottom w:val="none" w:sz="0" w:space="0" w:color="auto"/>
                <w:right w:val="none" w:sz="0" w:space="0" w:color="auto"/>
              </w:divBdr>
              <w:divsChild>
                <w:div w:id="5613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736031">
      <w:bodyDiv w:val="1"/>
      <w:marLeft w:val="0"/>
      <w:marRight w:val="0"/>
      <w:marTop w:val="0"/>
      <w:marBottom w:val="0"/>
      <w:divBdr>
        <w:top w:val="none" w:sz="0" w:space="0" w:color="auto"/>
        <w:left w:val="none" w:sz="0" w:space="0" w:color="auto"/>
        <w:bottom w:val="none" w:sz="0" w:space="0" w:color="auto"/>
        <w:right w:val="none" w:sz="0" w:space="0" w:color="auto"/>
      </w:divBdr>
    </w:div>
    <w:div w:id="1695500937">
      <w:bodyDiv w:val="1"/>
      <w:marLeft w:val="0"/>
      <w:marRight w:val="0"/>
      <w:marTop w:val="0"/>
      <w:marBottom w:val="0"/>
      <w:divBdr>
        <w:top w:val="none" w:sz="0" w:space="0" w:color="auto"/>
        <w:left w:val="none" w:sz="0" w:space="0" w:color="auto"/>
        <w:bottom w:val="none" w:sz="0" w:space="0" w:color="auto"/>
        <w:right w:val="none" w:sz="0" w:space="0" w:color="auto"/>
      </w:divBdr>
    </w:div>
    <w:div w:id="1972586417">
      <w:bodyDiv w:val="1"/>
      <w:marLeft w:val="0"/>
      <w:marRight w:val="0"/>
      <w:marTop w:val="0"/>
      <w:marBottom w:val="0"/>
      <w:divBdr>
        <w:top w:val="none" w:sz="0" w:space="0" w:color="auto"/>
        <w:left w:val="none" w:sz="0" w:space="0" w:color="auto"/>
        <w:bottom w:val="none" w:sz="0" w:space="0" w:color="auto"/>
        <w:right w:val="none" w:sz="0" w:space="0" w:color="auto"/>
      </w:divBdr>
    </w:div>
    <w:div w:id="198681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n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archive.nationalarchives.gov.uk/20160105160709/https://www.gov.uk/government/uploads/system/uploads/attachment_data/file/214970/sexual-offending-overview-jan-201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uk/search?client=safari&amp;rls=en&amp;q=B.+Krahe%CC%81,+%E2%80%98Myths+about+Rape+Myths%3F+Let+the+Evidence+Speak.+A+Comment+on+Reece+(2013)%E2%80%99+(2013)&amp;ie=UTF-8&amp;oe=UTF-8&amp;gfe_rd=cr&amp;ei=ZsQsWOfTHIvDaPTVhOA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theguardian.com/society/2016/nov/17/review-of-law-on-case-evidence-announced-after-ched-evans-ret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9DCC6-F141-44E0-917A-C5078B07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8459</Words>
  <Characters>48217</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56563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Ravinder Barn</dc:creator>
  <cp:keywords/>
  <dc:description/>
  <cp:lastModifiedBy>Revan, Jade</cp:lastModifiedBy>
  <cp:revision>3</cp:revision>
  <cp:lastPrinted>2018-02-01T14:35:00Z</cp:lastPrinted>
  <dcterms:created xsi:type="dcterms:W3CDTF">2018-06-01T12:52:00Z</dcterms:created>
  <dcterms:modified xsi:type="dcterms:W3CDTF">2018-06-01T12:52:00Z</dcterms:modified>
</cp:coreProperties>
</file>