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CB19B" w14:textId="7D9C7E18" w:rsidR="005C5644" w:rsidRPr="00D433F0" w:rsidRDefault="00ED3904" w:rsidP="003D7795">
      <w:pPr>
        <w:spacing w:line="480" w:lineRule="auto"/>
        <w:rPr>
          <w:b/>
        </w:rPr>
      </w:pPr>
      <w:r>
        <w:rPr>
          <w:b/>
        </w:rPr>
        <w:t>Enough is e</w:t>
      </w:r>
      <w:r w:rsidR="00812AD2">
        <w:rPr>
          <w:b/>
        </w:rPr>
        <w:t>nough</w:t>
      </w:r>
      <w:r w:rsidR="000076DF">
        <w:rPr>
          <w:b/>
        </w:rPr>
        <w:t xml:space="preserve">: </w:t>
      </w:r>
      <w:r w:rsidR="00047839">
        <w:rPr>
          <w:b/>
        </w:rPr>
        <w:t xml:space="preserve">The UK </w:t>
      </w:r>
      <w:r w:rsidR="002C0859" w:rsidRPr="00D433F0">
        <w:rPr>
          <w:b/>
        </w:rPr>
        <w:t>Prevent</w:t>
      </w:r>
      <w:r>
        <w:rPr>
          <w:b/>
        </w:rPr>
        <w:t xml:space="preserve"> Strategy and normative i</w:t>
      </w:r>
      <w:r w:rsidR="00047839">
        <w:rPr>
          <w:b/>
        </w:rPr>
        <w:t>nvalidation</w:t>
      </w:r>
    </w:p>
    <w:p w14:paraId="41B667BE" w14:textId="77777777" w:rsidR="00BE1FA7" w:rsidRPr="00D433F0" w:rsidRDefault="00BE1FA7" w:rsidP="003D7795">
      <w:pPr>
        <w:spacing w:line="480" w:lineRule="auto"/>
      </w:pPr>
    </w:p>
    <w:p w14:paraId="287B7490" w14:textId="77777777" w:rsidR="00841E61" w:rsidRDefault="00841E61" w:rsidP="003D7795">
      <w:pPr>
        <w:spacing w:line="480" w:lineRule="auto"/>
      </w:pPr>
    </w:p>
    <w:p w14:paraId="415DB1C4" w14:textId="77777777" w:rsidR="00FB1F48" w:rsidRDefault="00FB1F48" w:rsidP="003D7795">
      <w:pPr>
        <w:spacing w:line="480" w:lineRule="auto"/>
      </w:pPr>
    </w:p>
    <w:p w14:paraId="5A1BEFC6" w14:textId="77777777" w:rsidR="00C275EE" w:rsidRDefault="00C275EE" w:rsidP="003D7795">
      <w:pPr>
        <w:spacing w:line="480" w:lineRule="auto"/>
      </w:pPr>
    </w:p>
    <w:p w14:paraId="41F68AB7" w14:textId="0E65B8F1" w:rsidR="00966EFE" w:rsidRDefault="00C404DB" w:rsidP="003D7795">
      <w:pPr>
        <w:spacing w:line="480" w:lineRule="auto"/>
        <w:ind w:left="567" w:right="567"/>
        <w:rPr>
          <w:i/>
        </w:rPr>
      </w:pPr>
      <w:r>
        <w:rPr>
          <w:i/>
        </w:rPr>
        <w:t>The</w:t>
      </w:r>
      <w:r w:rsidR="00966EFE">
        <w:rPr>
          <w:i/>
        </w:rPr>
        <w:t xml:space="preserve"> clash bet</w:t>
      </w:r>
      <w:r w:rsidR="00C2393F">
        <w:rPr>
          <w:i/>
        </w:rPr>
        <w:t>ween national security and civil</w:t>
      </w:r>
      <w:r w:rsidR="00966EFE">
        <w:rPr>
          <w:i/>
        </w:rPr>
        <w:t xml:space="preserve"> rights comprises one of the most controversial aspects of counter-radicalisation strategy. Analysts present this as a conflict between the need for restrictive security measures (e.g. surveillance) and the need to uphold civil liberties (e.g. privacy and freedom of speech). In responding to this dilemma, the article examines how this binary normative </w:t>
      </w:r>
      <w:r w:rsidR="00966EFE" w:rsidRPr="005701C0">
        <w:rPr>
          <w:i/>
        </w:rPr>
        <w:t>struggle</w:t>
      </w:r>
      <w:r w:rsidR="00966EFE">
        <w:rPr>
          <w:i/>
        </w:rPr>
        <w:t xml:space="preserve"> impacts on the rhetorical presentation of counter-radicalisation policies – in particular, the UK Prevent Strategy and the rhetoric employed by </w:t>
      </w:r>
      <w:r w:rsidR="00B8396F">
        <w:rPr>
          <w:i/>
        </w:rPr>
        <w:t xml:space="preserve">UK </w:t>
      </w:r>
      <w:r w:rsidR="00966EFE">
        <w:rPr>
          <w:i/>
        </w:rPr>
        <w:t xml:space="preserve">Prime Minister and former Home Secretary, Theresa May. It argues that the normative environment has </w:t>
      </w:r>
      <w:r w:rsidR="00966EFE" w:rsidRPr="001E5ADA">
        <w:rPr>
          <w:i/>
        </w:rPr>
        <w:t>obliged</w:t>
      </w:r>
      <w:r w:rsidR="00966EFE">
        <w:rPr>
          <w:i/>
        </w:rPr>
        <w:t xml:space="preserve"> May to construct rhetoric within the context of, </w:t>
      </w:r>
      <w:r w:rsidR="00966EFE" w:rsidRPr="00BE1403">
        <w:rPr>
          <w:i/>
        </w:rPr>
        <w:t xml:space="preserve">what is termed here, </w:t>
      </w:r>
      <w:r w:rsidR="00966EFE" w:rsidRPr="00FF1457">
        <w:t>normative invalidation</w:t>
      </w:r>
      <w:r w:rsidR="00966EFE" w:rsidRPr="00BE1403">
        <w:rPr>
          <w:i/>
        </w:rPr>
        <w:t xml:space="preserve">. </w:t>
      </w:r>
      <w:r w:rsidR="00966EFE">
        <w:rPr>
          <w:i/>
        </w:rPr>
        <w:t xml:space="preserve">In facing two comparably compelling and related norms of action, May is necessarily required to invalidate or neutralise any norm not adhered to as an essential </w:t>
      </w:r>
      <w:r w:rsidR="00966EFE" w:rsidRPr="001E5ADA">
        <w:rPr>
          <w:i/>
        </w:rPr>
        <w:t>characteristic</w:t>
      </w:r>
      <w:r w:rsidR="00966EFE">
        <w:rPr>
          <w:i/>
        </w:rPr>
        <w:t xml:space="preserve"> of rhetorical strategy. </w:t>
      </w:r>
      <w:r w:rsidR="00966EFE" w:rsidRPr="00BE1403">
        <w:rPr>
          <w:i/>
        </w:rPr>
        <w:t>This is discussed in relation to the Stra</w:t>
      </w:r>
      <w:r w:rsidR="00966EFE">
        <w:rPr>
          <w:i/>
        </w:rPr>
        <w:t>tegic Narratives paradigm.</w:t>
      </w:r>
    </w:p>
    <w:p w14:paraId="79F7B6C5" w14:textId="77777777" w:rsidR="00C275EE" w:rsidRDefault="00C275EE" w:rsidP="003D7795">
      <w:pPr>
        <w:spacing w:line="480" w:lineRule="auto"/>
        <w:ind w:left="567" w:right="567"/>
      </w:pPr>
    </w:p>
    <w:p w14:paraId="2F2B9635" w14:textId="4ABBABBF" w:rsidR="00C275EE" w:rsidRPr="00C6612E" w:rsidRDefault="00C275EE" w:rsidP="003D7795">
      <w:pPr>
        <w:spacing w:line="480" w:lineRule="auto"/>
        <w:ind w:left="567" w:right="567"/>
      </w:pPr>
      <w:r w:rsidRPr="00C6612E">
        <w:rPr>
          <w:b/>
        </w:rPr>
        <w:t>Keywords:</w:t>
      </w:r>
      <w:r>
        <w:t xml:space="preserve"> Counter-radicalisation, Prevent; </w:t>
      </w:r>
      <w:r w:rsidR="002400B3">
        <w:t>Theresa May; normative theory; Strategic N</w:t>
      </w:r>
      <w:r>
        <w:t>arratives</w:t>
      </w:r>
      <w:r w:rsidR="00900F6F">
        <w:t>; terrorism</w:t>
      </w:r>
    </w:p>
    <w:p w14:paraId="7CCA650E" w14:textId="77777777" w:rsidR="00C275EE" w:rsidRDefault="00C275EE" w:rsidP="003D7795">
      <w:pPr>
        <w:spacing w:line="480" w:lineRule="auto"/>
      </w:pPr>
    </w:p>
    <w:p w14:paraId="7B93BA07" w14:textId="77777777" w:rsidR="00C275EE" w:rsidRDefault="00C275EE" w:rsidP="003D7795">
      <w:pPr>
        <w:spacing w:line="480" w:lineRule="auto"/>
      </w:pPr>
    </w:p>
    <w:p w14:paraId="6D5486C4" w14:textId="77777777" w:rsidR="00C275EE" w:rsidRDefault="00C275EE" w:rsidP="003D7795">
      <w:pPr>
        <w:spacing w:line="480" w:lineRule="auto"/>
      </w:pPr>
    </w:p>
    <w:p w14:paraId="05328B3C" w14:textId="77777777" w:rsidR="007B20DA" w:rsidRDefault="007B20DA" w:rsidP="003D7795">
      <w:pPr>
        <w:spacing w:line="480" w:lineRule="auto"/>
      </w:pPr>
    </w:p>
    <w:p w14:paraId="20A598A4" w14:textId="3F3F7B38" w:rsidR="008071E6" w:rsidRDefault="009911C8" w:rsidP="003D7795">
      <w:pPr>
        <w:spacing w:line="480" w:lineRule="auto"/>
      </w:pPr>
      <w:r>
        <w:t>How do we prevent</w:t>
      </w:r>
      <w:r w:rsidR="00477968">
        <w:t xml:space="preserve"> terrorism?</w:t>
      </w:r>
      <w:r w:rsidR="00CA40B6">
        <w:t xml:space="preserve"> This</w:t>
      </w:r>
      <w:r w:rsidR="00FE3235">
        <w:t xml:space="preserve"> is the </w:t>
      </w:r>
      <w:r w:rsidR="007B20DA">
        <w:t>million-dollar</w:t>
      </w:r>
      <w:r w:rsidR="00FE3235">
        <w:t xml:space="preserve"> question</w:t>
      </w:r>
      <w:r w:rsidR="004B6476">
        <w:t xml:space="preserve"> of the</w:t>
      </w:r>
      <w:r w:rsidR="001819DB">
        <w:t xml:space="preserve"> age</w:t>
      </w:r>
      <w:r w:rsidR="00FE3235">
        <w:t>.</w:t>
      </w:r>
      <w:r w:rsidR="00CA40B6">
        <w:t xml:space="preserve"> It is also a highly controversial one.</w:t>
      </w:r>
      <w:r w:rsidR="002806AC">
        <w:t xml:space="preserve"> Not</w:t>
      </w:r>
      <w:r w:rsidR="00F20099">
        <w:t xml:space="preserve"> only is there dispute over which</w:t>
      </w:r>
      <w:r w:rsidR="002806AC">
        <w:t xml:space="preserve"> method</w:t>
      </w:r>
      <w:r w:rsidR="00F20099">
        <w:t>s are</w:t>
      </w:r>
      <w:r w:rsidR="002806AC">
        <w:t xml:space="preserve"> most </w:t>
      </w:r>
      <w:r w:rsidR="00E31B9C">
        <w:t>effective</w:t>
      </w:r>
      <w:r w:rsidR="002C7B6D">
        <w:t xml:space="preserve"> – such as</w:t>
      </w:r>
      <w:r w:rsidR="00F20099">
        <w:t xml:space="preserve"> </w:t>
      </w:r>
      <w:r w:rsidR="00984597">
        <w:t xml:space="preserve">the debate </w:t>
      </w:r>
      <w:r w:rsidR="00E31B9C">
        <w:t>between the relative merits of</w:t>
      </w:r>
      <w:r w:rsidR="00984597">
        <w:t xml:space="preserve"> </w:t>
      </w:r>
      <w:r w:rsidR="00E31B9C">
        <w:t>counterterrorism and</w:t>
      </w:r>
      <w:r w:rsidR="00121453">
        <w:t xml:space="preserve"> counter-</w:t>
      </w:r>
      <w:r w:rsidR="002C7B6D">
        <w:t>radicalisation</w:t>
      </w:r>
      <w:r w:rsidR="00E31B9C">
        <w:t xml:space="preserve"> </w:t>
      </w:r>
      <w:r w:rsidR="002C7B6D">
        <w:t>– but this</w:t>
      </w:r>
      <w:r w:rsidR="00F20099">
        <w:t xml:space="preserve"> issue</w:t>
      </w:r>
      <w:r w:rsidR="002C7B6D">
        <w:t xml:space="preserve"> is </w:t>
      </w:r>
      <w:r w:rsidR="00A535E8">
        <w:t xml:space="preserve">also </w:t>
      </w:r>
      <w:r w:rsidR="00984597">
        <w:t xml:space="preserve">embroiled in </w:t>
      </w:r>
      <w:r w:rsidR="00F20099">
        <w:t xml:space="preserve">wider </w:t>
      </w:r>
      <w:r w:rsidR="00724CE6">
        <w:t>conflict</w:t>
      </w:r>
      <w:r w:rsidR="00921970">
        <w:t>s</w:t>
      </w:r>
      <w:r w:rsidR="00724CE6">
        <w:t xml:space="preserve"> between </w:t>
      </w:r>
      <w:r w:rsidR="004E18B4">
        <w:t xml:space="preserve">national </w:t>
      </w:r>
      <w:r w:rsidR="002C7B6D">
        <w:t>se</w:t>
      </w:r>
      <w:r w:rsidR="00724CE6">
        <w:t>curity and</w:t>
      </w:r>
      <w:r w:rsidR="002C7B6D">
        <w:t xml:space="preserve"> human rights.</w:t>
      </w:r>
      <w:r w:rsidR="00652546">
        <w:t xml:space="preserve"> </w:t>
      </w:r>
      <w:r w:rsidR="00F13831">
        <w:t>L</w:t>
      </w:r>
      <w:r w:rsidR="008F19D5">
        <w:t>iberal democracies are</w:t>
      </w:r>
      <w:r w:rsidR="00FF3625">
        <w:t xml:space="preserve"> supposedly </w:t>
      </w:r>
      <w:r w:rsidR="008F19D5">
        <w:t>com</w:t>
      </w:r>
      <w:r w:rsidR="000E7915">
        <w:t>mitted to upholding the civil liberties</w:t>
      </w:r>
      <w:r w:rsidR="00D96499">
        <w:t xml:space="preserve"> and freedom of their</w:t>
      </w:r>
      <w:r w:rsidR="008F19D5">
        <w:t xml:space="preserve"> citizens. This</w:t>
      </w:r>
      <w:r w:rsidR="00F510FD">
        <w:t xml:space="preserve"> protec</w:t>
      </w:r>
      <w:bookmarkStart w:id="0" w:name="_GoBack"/>
      <w:bookmarkEnd w:id="0"/>
      <w:r w:rsidR="00F510FD">
        <w:t>tion</w:t>
      </w:r>
      <w:r w:rsidR="008F19D5">
        <w:t xml:space="preserve">, </w:t>
      </w:r>
      <w:r w:rsidR="00FF3625">
        <w:t xml:space="preserve">however, </w:t>
      </w:r>
      <w:r w:rsidR="00F510FD">
        <w:t xml:space="preserve">can </w:t>
      </w:r>
      <w:r w:rsidR="00FF3625">
        <w:t>clash</w:t>
      </w:r>
      <w:r w:rsidR="00D46523">
        <w:t xml:space="preserve"> with the claim</w:t>
      </w:r>
      <w:r w:rsidR="008F19D5">
        <w:t xml:space="preserve"> that stringent, restrictive, and invasive measure</w:t>
      </w:r>
      <w:r w:rsidR="00962206">
        <w:t>s are necessary to ensure those</w:t>
      </w:r>
      <w:r w:rsidR="008F19D5">
        <w:t xml:space="preserve"> same citizens’</w:t>
      </w:r>
      <w:r w:rsidR="00F510FD">
        <w:t xml:space="preserve"> security from </w:t>
      </w:r>
      <w:r w:rsidR="00FF3625">
        <w:t>terrorist attack</w:t>
      </w:r>
      <w:r w:rsidR="009030D6">
        <w:t>. This conflict is</w:t>
      </w:r>
      <w:r w:rsidR="00732A17">
        <w:t xml:space="preserve"> manifest in the UK </w:t>
      </w:r>
      <w:r w:rsidR="00DC0478">
        <w:t>Prevent</w:t>
      </w:r>
      <w:r w:rsidR="00732A17">
        <w:t xml:space="preserve"> Strategy.</w:t>
      </w:r>
      <w:r w:rsidR="009E0A88">
        <w:t xml:space="preserve"> Embracing a policy of counter-</w:t>
      </w:r>
      <w:r w:rsidR="00975024">
        <w:t xml:space="preserve">radicalisation, Prevent has been </w:t>
      </w:r>
      <w:r w:rsidR="00931869" w:rsidRPr="00931869">
        <w:t>plagued</w:t>
      </w:r>
      <w:r w:rsidR="00975024">
        <w:t xml:space="preserve"> by criticisms that its poli</w:t>
      </w:r>
      <w:r w:rsidR="00931869">
        <w:t xml:space="preserve">cies </w:t>
      </w:r>
      <w:r w:rsidR="00975024">
        <w:t>undermine civil liberties in preference to national security</w:t>
      </w:r>
      <w:r w:rsidR="00C1397B">
        <w:t>,</w:t>
      </w:r>
      <w:r w:rsidR="00C1397B" w:rsidRPr="00C1397B">
        <w:t xml:space="preserve"> </w:t>
      </w:r>
      <w:r w:rsidR="00C1397B">
        <w:t>especially where this relates to</w:t>
      </w:r>
      <w:r w:rsidR="00A045A0">
        <w:t xml:space="preserve"> increased surveillance</w:t>
      </w:r>
      <w:r w:rsidR="00975024">
        <w:t xml:space="preserve">. This </w:t>
      </w:r>
      <w:r w:rsidR="00425D19" w:rsidRPr="00425D19">
        <w:t>censure</w:t>
      </w:r>
      <w:r w:rsidR="00B65E33">
        <w:t xml:space="preserve"> </w:t>
      </w:r>
      <w:r w:rsidR="00D62D9E">
        <w:t>is</w:t>
      </w:r>
      <w:r w:rsidR="00425D19">
        <w:t xml:space="preserve"> exacerbated </w:t>
      </w:r>
      <w:r w:rsidR="00975024">
        <w:t xml:space="preserve">by media publicity </w:t>
      </w:r>
      <w:r w:rsidR="00D62D9E">
        <w:t>detailing</w:t>
      </w:r>
      <w:r w:rsidR="000E4658">
        <w:t xml:space="preserve"> the </w:t>
      </w:r>
      <w:r w:rsidR="00C83061">
        <w:t>strategy’s extremes</w:t>
      </w:r>
      <w:r w:rsidR="00975024">
        <w:t>.</w:t>
      </w:r>
      <w:r w:rsidR="00C83061">
        <w:t xml:space="preserve"> In one</w:t>
      </w:r>
      <w:r w:rsidR="00E63C51">
        <w:t xml:space="preserve"> example, </w:t>
      </w:r>
      <w:r w:rsidR="00C83061">
        <w:t xml:space="preserve">nursery </w:t>
      </w:r>
      <w:r w:rsidR="008071E6">
        <w:t xml:space="preserve">staff threatened to </w:t>
      </w:r>
      <w:r w:rsidR="000F74EB">
        <w:t>refer a</w:t>
      </w:r>
      <w:r w:rsidR="008071E6">
        <w:t xml:space="preserve"> four-year-old</w:t>
      </w:r>
      <w:r w:rsidR="000F74EB">
        <w:t xml:space="preserve"> child for </w:t>
      </w:r>
      <w:proofErr w:type="spellStart"/>
      <w:r w:rsidR="000F74EB">
        <w:t>deradicalis</w:t>
      </w:r>
      <w:r w:rsidR="00A67AC4">
        <w:t>a</w:t>
      </w:r>
      <w:r w:rsidR="000F74EB">
        <w:t>tion</w:t>
      </w:r>
      <w:proofErr w:type="spellEnd"/>
      <w:r w:rsidR="000F74EB">
        <w:t xml:space="preserve"> </w:t>
      </w:r>
      <w:r w:rsidR="008071E6">
        <w:t>after he drew a picture of his</w:t>
      </w:r>
      <w:r w:rsidR="00E63C51">
        <w:t xml:space="preserve"> </w:t>
      </w:r>
      <w:r w:rsidR="00C83061">
        <w:t xml:space="preserve">father making a </w:t>
      </w:r>
      <w:r w:rsidR="00236BEC">
        <w:t>bomb</w:t>
      </w:r>
      <w:r w:rsidR="008071E6">
        <w:rPr>
          <w:rStyle w:val="FootnoteReference"/>
        </w:rPr>
        <w:footnoteReference w:id="1"/>
      </w:r>
      <w:r w:rsidR="00E63C51">
        <w:t xml:space="preserve">. </w:t>
      </w:r>
      <w:r w:rsidR="008071E6">
        <w:t>The child</w:t>
      </w:r>
      <w:r w:rsidR="00C83061">
        <w:t xml:space="preserve"> had actually drawn</w:t>
      </w:r>
      <w:r w:rsidR="008071E6">
        <w:t xml:space="preserve"> his father cooking – the ‘device’ was not a bomb</w:t>
      </w:r>
      <w:r w:rsidR="00C83061">
        <w:t>, but a knife</w:t>
      </w:r>
      <w:r w:rsidR="008071E6">
        <w:t xml:space="preserve"> being used to cut up a cucumber. This e</w:t>
      </w:r>
      <w:r w:rsidR="00AF5455">
        <w:t>xample reflects</w:t>
      </w:r>
      <w:r w:rsidR="00654BFE">
        <w:t xml:space="preserve"> fears</w:t>
      </w:r>
      <w:r w:rsidR="008071E6">
        <w:t xml:space="preserve"> </w:t>
      </w:r>
      <w:r w:rsidR="00A67AC4">
        <w:t xml:space="preserve">that </w:t>
      </w:r>
      <w:r w:rsidR="008071E6">
        <w:t xml:space="preserve">government preferences for upholding </w:t>
      </w:r>
      <w:r w:rsidR="00A67AC4">
        <w:t xml:space="preserve">national </w:t>
      </w:r>
      <w:r w:rsidR="005B3E97">
        <w:t>security were</w:t>
      </w:r>
      <w:r w:rsidR="00262B1C">
        <w:t xml:space="preserve"> eroding core rights</w:t>
      </w:r>
      <w:r w:rsidR="00A67AC4">
        <w:t>.</w:t>
      </w:r>
      <w:r w:rsidR="00B610C5">
        <w:t xml:space="preserve"> </w:t>
      </w:r>
    </w:p>
    <w:p w14:paraId="4C15259C" w14:textId="77777777" w:rsidR="008071E6" w:rsidRDefault="008071E6" w:rsidP="003D7795">
      <w:pPr>
        <w:spacing w:line="480" w:lineRule="auto"/>
      </w:pPr>
    </w:p>
    <w:p w14:paraId="1132B240" w14:textId="01D67827" w:rsidR="001139DE" w:rsidRDefault="00106B2B" w:rsidP="003D7795">
      <w:pPr>
        <w:spacing w:line="480" w:lineRule="auto"/>
      </w:pPr>
      <w:r>
        <w:t>Of course, some would l</w:t>
      </w:r>
      <w:r w:rsidR="00D814C8">
        <w:t>ook at this story and argue</w:t>
      </w:r>
      <w:r>
        <w:t xml:space="preserve"> </w:t>
      </w:r>
      <w:r w:rsidR="00A318A1">
        <w:t xml:space="preserve">that </w:t>
      </w:r>
      <w:r w:rsidR="00B610C5">
        <w:t>this is</w:t>
      </w:r>
      <w:r w:rsidR="00437DB5">
        <w:t xml:space="preserve"> </w:t>
      </w:r>
      <w:r w:rsidR="003D7E03">
        <w:t>a necessary</w:t>
      </w:r>
      <w:r w:rsidR="00B610C5">
        <w:t xml:space="preserve"> requirement of a world with terrorists in</w:t>
      </w:r>
      <w:r w:rsidR="00926E6A">
        <w:t xml:space="preserve"> it</w:t>
      </w:r>
      <w:r w:rsidR="00B610C5">
        <w:t xml:space="preserve">. </w:t>
      </w:r>
      <w:r w:rsidR="00F76D2A">
        <w:t>If terrorists do not play b</w:t>
      </w:r>
      <w:r w:rsidR="0016224E">
        <w:t xml:space="preserve">y the rules, then </w:t>
      </w:r>
      <w:r w:rsidR="002C4B7B">
        <w:t xml:space="preserve">– realistically – </w:t>
      </w:r>
      <w:r w:rsidR="0016224E">
        <w:t>neither can those</w:t>
      </w:r>
      <w:r w:rsidR="007A4311">
        <w:t xml:space="preserve"> who seek</w:t>
      </w:r>
      <w:r w:rsidR="0016224E">
        <w:t xml:space="preserve"> to stop them</w:t>
      </w:r>
      <w:r w:rsidR="00CF4A40">
        <w:t>, at the risk of being put at</w:t>
      </w:r>
      <w:r w:rsidR="00113D6C">
        <w:t xml:space="preserve"> strategic</w:t>
      </w:r>
      <w:r w:rsidR="003B0422">
        <w:t xml:space="preserve"> </w:t>
      </w:r>
      <w:r w:rsidR="00113D6C">
        <w:t>disadvantage</w:t>
      </w:r>
      <w:r w:rsidR="00F76D2A">
        <w:t>.</w:t>
      </w:r>
      <w:r w:rsidR="00332511">
        <w:t xml:space="preserve"> This</w:t>
      </w:r>
      <w:r w:rsidR="000076DF">
        <w:t xml:space="preserve"> binary and antagonistic relation</w:t>
      </w:r>
      <w:r w:rsidR="00CB70D8">
        <w:t xml:space="preserve">ship between security and liberty creates </w:t>
      </w:r>
      <w:r w:rsidR="006D31AF" w:rsidRPr="00D433F0">
        <w:t>a normative dilemma</w:t>
      </w:r>
      <w:r w:rsidR="00CB70D8">
        <w:t xml:space="preserve"> (</w:t>
      </w:r>
      <w:r w:rsidR="00253257">
        <w:t>using</w:t>
      </w:r>
      <w:r w:rsidR="00CB70D8">
        <w:t xml:space="preserve"> the model of dilemma </w:t>
      </w:r>
      <w:r w:rsidR="00253257">
        <w:t>proposed by</w:t>
      </w:r>
      <w:r w:rsidR="00C002FB">
        <w:t xml:space="preserve"> Martha </w:t>
      </w:r>
      <w:proofErr w:type="spellStart"/>
      <w:r w:rsidR="00C002FB">
        <w:t>Finnemore</w:t>
      </w:r>
      <w:proofErr w:type="spellEnd"/>
      <w:r w:rsidR="00C002FB">
        <w:rPr>
          <w:rStyle w:val="FootnoteReference"/>
        </w:rPr>
        <w:footnoteReference w:id="2"/>
      </w:r>
      <w:r w:rsidR="00CB70D8">
        <w:t>)</w:t>
      </w:r>
      <w:r w:rsidR="0086433B">
        <w:t xml:space="preserve">: rights or </w:t>
      </w:r>
      <w:r w:rsidR="0086433B" w:rsidRPr="0086433B">
        <w:t>protection</w:t>
      </w:r>
      <w:r w:rsidR="0086433B">
        <w:t xml:space="preserve">? </w:t>
      </w:r>
      <w:r w:rsidR="00CB70D8">
        <w:t>In</w:t>
      </w:r>
      <w:r w:rsidR="0086433B">
        <w:t xml:space="preserve"> terms of understanding how this</w:t>
      </w:r>
      <w:r w:rsidR="00CB70D8">
        <w:t xml:space="preserve"> dilemma is resolved, current analysis has focused on </w:t>
      </w:r>
      <w:r w:rsidR="00253257">
        <w:t xml:space="preserve">ascertaining how an actor chooses </w:t>
      </w:r>
      <w:r w:rsidR="00CB70D8">
        <w:t>betwee</w:t>
      </w:r>
      <w:r w:rsidR="00253257">
        <w:t>n</w:t>
      </w:r>
      <w:r w:rsidR="00BF1BB9">
        <w:t>, or balances,</w:t>
      </w:r>
      <w:r w:rsidR="00403FE1">
        <w:t xml:space="preserve"> </w:t>
      </w:r>
      <w:r w:rsidR="00253257">
        <w:t>two competing interests. H</w:t>
      </w:r>
      <w:r w:rsidR="00CB70D8" w:rsidRPr="00D433F0">
        <w:t xml:space="preserve">ow </w:t>
      </w:r>
      <w:r w:rsidR="00253257">
        <w:t xml:space="preserve">do politicians </w:t>
      </w:r>
      <w:r w:rsidR="00073436">
        <w:t>select</w:t>
      </w:r>
      <w:r w:rsidR="00253257">
        <w:t xml:space="preserve"> b</w:t>
      </w:r>
      <w:r w:rsidR="0086433B">
        <w:t>etween multiple options when</w:t>
      </w:r>
      <w:r w:rsidR="00CF4A40">
        <w:t xml:space="preserve"> all </w:t>
      </w:r>
      <w:r w:rsidR="00253257">
        <w:t>options are comparatively</w:t>
      </w:r>
      <w:r w:rsidR="00CB70D8" w:rsidRPr="00D433F0">
        <w:t xml:space="preserve"> compelling in respect of normative expectation?</w:t>
      </w:r>
      <w:r w:rsidR="00CB70D8" w:rsidRPr="00CB70D8">
        <w:t xml:space="preserve"> </w:t>
      </w:r>
      <w:r w:rsidR="006D31AF" w:rsidRPr="00D433F0">
        <w:t xml:space="preserve">Yet this approach </w:t>
      </w:r>
      <w:r w:rsidR="00253257" w:rsidRPr="00253257">
        <w:t>neglects</w:t>
      </w:r>
      <w:r w:rsidR="006D31AF" w:rsidRPr="00D433F0">
        <w:t xml:space="preserve"> </w:t>
      </w:r>
      <w:r w:rsidR="00253257">
        <w:t xml:space="preserve">to address a key aspect of </w:t>
      </w:r>
      <w:r w:rsidR="006D31AF" w:rsidRPr="00D433F0">
        <w:t xml:space="preserve">coping with </w:t>
      </w:r>
      <w:proofErr w:type="gramStart"/>
      <w:r w:rsidR="006D31AF" w:rsidRPr="00D433F0">
        <w:t>dilemma</w:t>
      </w:r>
      <w:proofErr w:type="gramEnd"/>
      <w:r w:rsidR="006D31AF" w:rsidRPr="00D433F0">
        <w:t xml:space="preserve">: the </w:t>
      </w:r>
      <w:r w:rsidR="006D31AF" w:rsidRPr="001139DE">
        <w:rPr>
          <w:i/>
        </w:rPr>
        <w:t>rhetorical construction</w:t>
      </w:r>
      <w:r w:rsidR="006D31AF" w:rsidRPr="00D433F0">
        <w:t xml:space="preserve"> of decision. </w:t>
      </w:r>
      <w:r w:rsidR="002B4B21" w:rsidRPr="00D433F0">
        <w:t>Regardless of the motivation behind a</w:t>
      </w:r>
      <w:r w:rsidR="002B4B21">
        <w:t xml:space="preserve"> specific</w:t>
      </w:r>
      <w:r w:rsidR="002B4B21" w:rsidRPr="00D433F0">
        <w:t xml:space="preserve"> </w:t>
      </w:r>
      <w:r w:rsidR="00871E4F">
        <w:t>policy</w:t>
      </w:r>
      <w:r w:rsidR="002B4B21">
        <w:t>, what happens</w:t>
      </w:r>
      <w:r w:rsidR="002B4B21" w:rsidRPr="00D433F0">
        <w:t xml:space="preserve"> when that decision is communicated</w:t>
      </w:r>
      <w:r w:rsidR="00D478E8">
        <w:t xml:space="preserve"> to </w:t>
      </w:r>
      <w:r w:rsidR="002B4B21">
        <w:t xml:space="preserve">political and public audiences? </w:t>
      </w:r>
      <w:r w:rsidR="00C467E6">
        <w:t>Existing d</w:t>
      </w:r>
      <w:r w:rsidR="001139DE">
        <w:t xml:space="preserve">ebate </w:t>
      </w:r>
      <w:r w:rsidR="00AB5A2F">
        <w:t>focuses</w:t>
      </w:r>
      <w:r w:rsidR="001139DE">
        <w:t xml:space="preserve"> only</w:t>
      </w:r>
      <w:r w:rsidR="00AB5A2F">
        <w:t xml:space="preserve"> on </w:t>
      </w:r>
      <w:r w:rsidR="006C0A79">
        <w:t>the conten</w:t>
      </w:r>
      <w:r w:rsidR="0070397D">
        <w:t>t of</w:t>
      </w:r>
      <w:r w:rsidR="00554BEF">
        <w:t xml:space="preserve"> </w:t>
      </w:r>
      <w:r w:rsidR="00AB5A2F">
        <w:t>policy,</w:t>
      </w:r>
      <w:r w:rsidR="0028349F">
        <w:t xml:space="preserve"> </w:t>
      </w:r>
      <w:r w:rsidR="0070397D">
        <w:t>overlooking</w:t>
      </w:r>
      <w:r w:rsidR="001A4425">
        <w:t xml:space="preserve"> how</w:t>
      </w:r>
      <w:r w:rsidR="00AB5A2F">
        <w:t xml:space="preserve"> binary </w:t>
      </w:r>
      <w:r w:rsidR="001A4425">
        <w:t>norms influence</w:t>
      </w:r>
      <w:r w:rsidR="00AB5A2F">
        <w:t xml:space="preserve"> the </w:t>
      </w:r>
      <w:r w:rsidR="001139DE">
        <w:t>‘selling’</w:t>
      </w:r>
      <w:r w:rsidR="00AB5A2F">
        <w:t xml:space="preserve"> of</w:t>
      </w:r>
      <w:r w:rsidR="00B43C9D">
        <w:t xml:space="preserve"> it</w:t>
      </w:r>
      <w:r w:rsidR="00FB5EA4">
        <w:t xml:space="preserve">. </w:t>
      </w:r>
      <w:r w:rsidR="00C62ACD">
        <w:t>To</w:t>
      </w:r>
      <w:r w:rsidR="009A5F00">
        <w:t xml:space="preserve"> the extent </w:t>
      </w:r>
      <w:r w:rsidR="00610D5E">
        <w:t>discussion</w:t>
      </w:r>
      <w:r w:rsidR="009A5F00">
        <w:t xml:space="preserve"> does refer to rhetoric, this tends to assume that language </w:t>
      </w:r>
      <w:r w:rsidR="0094553C">
        <w:t>is merely</w:t>
      </w:r>
      <w:r w:rsidR="00CC6FBE">
        <w:t xml:space="preserve"> a direct reflection of the normative dilemma in question</w:t>
      </w:r>
      <w:r w:rsidR="003C3768">
        <w:t xml:space="preserve"> and does not </w:t>
      </w:r>
      <w:r w:rsidR="0094553C">
        <w:t>consider</w:t>
      </w:r>
      <w:r w:rsidR="003C3768">
        <w:t xml:space="preserve"> that politicians may manipulate their language </w:t>
      </w:r>
      <w:r w:rsidR="006D3724">
        <w:t>in order to secure</w:t>
      </w:r>
      <w:r w:rsidR="003C3768">
        <w:t xml:space="preserve"> support for </w:t>
      </w:r>
      <w:r w:rsidR="000F28A0">
        <w:t xml:space="preserve">their </w:t>
      </w:r>
      <w:r w:rsidR="0094553C">
        <w:t>political ambitions</w:t>
      </w:r>
      <w:r w:rsidR="00CC6FBE">
        <w:t>. Consequently, there exists a significant gap in the study of conflicting norms.</w:t>
      </w:r>
    </w:p>
    <w:p w14:paraId="7BB4E96A" w14:textId="77777777" w:rsidR="001139DE" w:rsidRDefault="001139DE" w:rsidP="003D7795">
      <w:pPr>
        <w:spacing w:line="480" w:lineRule="auto"/>
      </w:pPr>
    </w:p>
    <w:p w14:paraId="779E6F15" w14:textId="0CAC1700" w:rsidR="00C92A2F" w:rsidRDefault="00070307" w:rsidP="003D7795">
      <w:pPr>
        <w:spacing w:line="480" w:lineRule="auto"/>
      </w:pPr>
      <w:r>
        <w:t>R</w:t>
      </w:r>
      <w:r w:rsidR="00E3484C">
        <w:t xml:space="preserve">esolving </w:t>
      </w:r>
      <w:r w:rsidR="00753345">
        <w:t>this gap, this</w:t>
      </w:r>
      <w:r w:rsidR="00910E44">
        <w:t xml:space="preserve"> article </w:t>
      </w:r>
      <w:r w:rsidR="00E738C2" w:rsidRPr="00E738C2">
        <w:t>establishes</w:t>
      </w:r>
      <w:r w:rsidR="00FA7715">
        <w:t xml:space="preserve"> a</w:t>
      </w:r>
      <w:r w:rsidR="00494CC9">
        <w:t>n original</w:t>
      </w:r>
      <w:r w:rsidR="00FA7715">
        <w:t xml:space="preserve"> model of rhetorical construction in respect to binary norms.</w:t>
      </w:r>
      <w:r w:rsidR="00135E90">
        <w:t xml:space="preserve"> Specifically, decision-making </w:t>
      </w:r>
      <w:r w:rsidR="00943BF2">
        <w:t>with</w:t>
      </w:r>
      <w:r w:rsidR="00762D46">
        <w:t xml:space="preserve">in a </w:t>
      </w:r>
      <w:r w:rsidR="004C638B" w:rsidRPr="004C638B">
        <w:t>contradictory</w:t>
      </w:r>
      <w:r w:rsidR="00762D46">
        <w:t xml:space="preserve"> normative context</w:t>
      </w:r>
      <w:r w:rsidR="00943BF2">
        <w:t xml:space="preserve"> demands that </w:t>
      </w:r>
      <w:r w:rsidR="00135E90">
        <w:t>actor</w:t>
      </w:r>
      <w:r w:rsidR="00943BF2">
        <w:t>s</w:t>
      </w:r>
      <w:r w:rsidR="00135E90">
        <w:t xml:space="preserve"> develop</w:t>
      </w:r>
      <w:r w:rsidR="00787E66">
        <w:t xml:space="preserve"> rhetorical strategies</w:t>
      </w:r>
      <w:r w:rsidR="0089054D">
        <w:t xml:space="preserve"> that</w:t>
      </w:r>
      <w:r w:rsidR="001E2FC7">
        <w:t xml:space="preserve"> support</w:t>
      </w:r>
      <w:r w:rsidR="009139C0">
        <w:t xml:space="preserve"> the </w:t>
      </w:r>
      <w:r w:rsidR="00943BF2">
        <w:t>policy they wish to pur</w:t>
      </w:r>
      <w:r w:rsidR="001E2FC7">
        <w:t>sue, but also explicitly reject</w:t>
      </w:r>
      <w:r w:rsidR="00943BF2">
        <w:t xml:space="preserve"> any</w:t>
      </w:r>
      <w:r w:rsidR="009139C0">
        <w:t xml:space="preserve"> ‘alternative’ approach </w:t>
      </w:r>
      <w:r w:rsidR="00943BF2">
        <w:t>associated</w:t>
      </w:r>
      <w:r w:rsidR="00762D46">
        <w:t xml:space="preserve"> with conflicting </w:t>
      </w:r>
      <w:r w:rsidR="00A62223">
        <w:t xml:space="preserve">policy </w:t>
      </w:r>
      <w:r w:rsidR="00762D46">
        <w:t>norms</w:t>
      </w:r>
      <w:r w:rsidR="00943BF2">
        <w:t>. Actors</w:t>
      </w:r>
      <w:r w:rsidR="00BF1BB9">
        <w:t xml:space="preserve"> necessarily engage </w:t>
      </w:r>
      <w:r w:rsidR="006D31AF" w:rsidRPr="00D433F0">
        <w:t xml:space="preserve">in a process of, what is termed here, </w:t>
      </w:r>
      <w:r w:rsidR="006D31AF" w:rsidRPr="00D433F0">
        <w:rPr>
          <w:i/>
        </w:rPr>
        <w:t>normative invalidation</w:t>
      </w:r>
      <w:r w:rsidR="006D31AF" w:rsidRPr="00D433F0">
        <w:t xml:space="preserve">. </w:t>
      </w:r>
      <w:r w:rsidR="00D527A2">
        <w:t>W</w:t>
      </w:r>
      <w:r w:rsidR="00BF1BB9">
        <w:t>here an actor is subje</w:t>
      </w:r>
      <w:r w:rsidR="00480D5C">
        <w:t xml:space="preserve">ct to </w:t>
      </w:r>
      <w:r w:rsidR="00162055">
        <w:t>multiple</w:t>
      </w:r>
      <w:r w:rsidR="00480D5C">
        <w:t xml:space="preserve"> significant norms (in this case,</w:t>
      </w:r>
      <w:r w:rsidR="001E0E7C">
        <w:t xml:space="preserve"> security and </w:t>
      </w:r>
      <w:r w:rsidR="00D527A2">
        <w:t>rights</w:t>
      </w:r>
      <w:r w:rsidR="00BF1BB9">
        <w:t xml:space="preserve">), simply selecting one over the other is insufficient </w:t>
      </w:r>
      <w:r w:rsidR="00F42B7A">
        <w:t>to remove</w:t>
      </w:r>
      <w:r w:rsidR="00BF1BB9">
        <w:t xml:space="preserve"> any normative expectatio</w:t>
      </w:r>
      <w:r w:rsidR="00480D5C">
        <w:t>n surrounding the rejected norm</w:t>
      </w:r>
      <w:r w:rsidR="00BF1BB9">
        <w:t xml:space="preserve">. </w:t>
      </w:r>
      <w:r w:rsidR="006D31AF" w:rsidRPr="00D433F0">
        <w:t xml:space="preserve">The actor, therefore, must </w:t>
      </w:r>
      <w:r w:rsidR="00DF3C69">
        <w:t>construct rhetoric in ways that actively invalidate and neutralise</w:t>
      </w:r>
      <w:r w:rsidR="006D31AF" w:rsidRPr="00D433F0">
        <w:t xml:space="preserve"> the relevance and/or meaning of </w:t>
      </w:r>
      <w:r w:rsidR="008078BF">
        <w:t>the</w:t>
      </w:r>
      <w:r w:rsidR="00995510">
        <w:t xml:space="preserve"> rejected norm</w:t>
      </w:r>
      <w:r w:rsidR="00BF1BB9">
        <w:t xml:space="preserve">, </w:t>
      </w:r>
      <w:r w:rsidR="006D31AF" w:rsidRPr="00D433F0">
        <w:t xml:space="preserve">where this constitutes a </w:t>
      </w:r>
      <w:r w:rsidR="0082528B" w:rsidRPr="0082528B">
        <w:t>vital</w:t>
      </w:r>
      <w:r w:rsidR="006D31AF" w:rsidRPr="00D433F0">
        <w:rPr>
          <w:i/>
        </w:rPr>
        <w:t xml:space="preserve"> </w:t>
      </w:r>
      <w:r w:rsidR="006D31AF" w:rsidRPr="00D433F0">
        <w:t xml:space="preserve">aspect of their rhetoric. </w:t>
      </w:r>
      <w:r w:rsidR="00997A9E">
        <w:t xml:space="preserve">Critically, this is not the claim that </w:t>
      </w:r>
      <w:proofErr w:type="gramStart"/>
      <w:r w:rsidR="00997A9E">
        <w:t>actors</w:t>
      </w:r>
      <w:proofErr w:type="gramEnd"/>
      <w:r w:rsidR="00997A9E">
        <w:t xml:space="preserve"> balance or trade-off competing norms</w:t>
      </w:r>
      <w:r w:rsidR="001555F5">
        <w:t xml:space="preserve"> (as per existing assumptions), but that they actively use rhetoric to invalidate one or more of those norms as a means of selling policy. As such, this article makes an important contribution the debate concerning how actors deal with normative dilemmas. </w:t>
      </w:r>
      <w:r w:rsidR="008E426A">
        <w:t xml:space="preserve">Comprehending this model of normative invalidation is </w:t>
      </w:r>
      <w:r w:rsidR="001555F5">
        <w:t xml:space="preserve">critical </w:t>
      </w:r>
      <w:r w:rsidR="00C92A2F">
        <w:t xml:space="preserve">as it plays into ideas as to how </w:t>
      </w:r>
      <w:r w:rsidR="001555F5">
        <w:t xml:space="preserve">politicians </w:t>
      </w:r>
      <w:r w:rsidR="001555F5" w:rsidRPr="001555F5">
        <w:t>promote</w:t>
      </w:r>
      <w:r w:rsidR="008E426A">
        <w:t xml:space="preserve"> policies, especially in a contentious environment</w:t>
      </w:r>
      <w:r w:rsidR="00C92A2F">
        <w:t>.</w:t>
      </w:r>
      <w:r w:rsidR="008E426A">
        <w:t xml:space="preserve"> </w:t>
      </w:r>
      <w:r w:rsidR="00C92A2F">
        <w:t xml:space="preserve">Identifying the ways in which actors manipulate and exploit rhetoric, particularly to undermine </w:t>
      </w:r>
      <w:r w:rsidR="00991CFF" w:rsidRPr="00991CFF">
        <w:t>incompatible</w:t>
      </w:r>
      <w:r w:rsidR="00C92A2F">
        <w:t xml:space="preserve"> points of view, is critical to understanding policy success, the relationships between political and public actors, as well as the function of democratic politics. </w:t>
      </w:r>
    </w:p>
    <w:p w14:paraId="6EA3C048" w14:textId="77777777" w:rsidR="00DC7329" w:rsidRDefault="00DC7329" w:rsidP="003D7795">
      <w:pPr>
        <w:spacing w:line="480" w:lineRule="auto"/>
      </w:pPr>
    </w:p>
    <w:p w14:paraId="779C5C29" w14:textId="4FC7DFB7" w:rsidR="00370986" w:rsidRDefault="00863705" w:rsidP="003D7795">
      <w:pPr>
        <w:spacing w:line="480" w:lineRule="auto"/>
      </w:pPr>
      <w:r>
        <w:t>This</w:t>
      </w:r>
      <w:r w:rsidR="00C92A2F">
        <w:t xml:space="preserve"> article explains normative invalidation via the</w:t>
      </w:r>
      <w:r>
        <w:t xml:space="preserve"> constructivist</w:t>
      </w:r>
      <w:r w:rsidR="00C92A2F">
        <w:t xml:space="preserve"> </w:t>
      </w:r>
      <w:r w:rsidR="00007816">
        <w:t>paradigm</w:t>
      </w:r>
      <w:r w:rsidR="00C02ECE">
        <w:t xml:space="preserve"> of Strategic Narratives</w:t>
      </w:r>
      <w:r w:rsidR="00AC3BF2">
        <w:t xml:space="preserve"> (SN)</w:t>
      </w:r>
      <w:r>
        <w:t xml:space="preserve">, which explains how actors create persuasive rhetoric. The theoretical model proposed here, however, comprises a controversial expansion on this approach, and constructivist approaches to language </w:t>
      </w:r>
      <w:r w:rsidR="00C8569F">
        <w:t>more generally. Specifically, the article</w:t>
      </w:r>
      <w:r>
        <w:t xml:space="preserve"> puts forward an agency-centric interpretation of rhetoric</w:t>
      </w:r>
      <w:r w:rsidR="00B94667">
        <w:t xml:space="preserve"> that conflicts with accepted understandings of language as a restriction on actor behav</w:t>
      </w:r>
      <w:r w:rsidR="00C8569F">
        <w:t>iour and rhetorical development. Constructivist approaches tend to assume that</w:t>
      </w:r>
      <w:r w:rsidR="00B94667">
        <w:t xml:space="preserve"> </w:t>
      </w:r>
      <w:r w:rsidR="00C8569F">
        <w:t>language is set;</w:t>
      </w:r>
      <w:r w:rsidR="00B94667">
        <w:t xml:space="preserve"> </w:t>
      </w:r>
      <w:r w:rsidR="00C8569F">
        <w:t>actors cannot construct linguistic and normative meaning themselves. And i</w:t>
      </w:r>
      <w:r w:rsidR="00B94667">
        <w:t>ndeed, the idea of normative inv</w:t>
      </w:r>
      <w:r w:rsidR="00C8569F">
        <w:t>alidation buys into this framework</w:t>
      </w:r>
      <w:r w:rsidR="00B94667">
        <w:t xml:space="preserve"> to a certain extent </w:t>
      </w:r>
      <w:r w:rsidR="00C8569F">
        <w:t>whereby it demonstrates that norms cannot</w:t>
      </w:r>
      <w:r w:rsidR="00370986">
        <w:t xml:space="preserve"> be disregarded in respect to the expression of political language. Yet within this understanding of restraint, this article shows there is also significant opportunity for actors to redefine, </w:t>
      </w:r>
      <w:proofErr w:type="spellStart"/>
      <w:r w:rsidR="00370986">
        <w:t>reproblematize</w:t>
      </w:r>
      <w:proofErr w:type="spellEnd"/>
      <w:r w:rsidR="00370986">
        <w:t xml:space="preserve">, and redescribe norms as part of a rhetorical strategy – both </w:t>
      </w:r>
      <w:r w:rsidR="00B94667">
        <w:t xml:space="preserve">in terms of promoting and invalidating </w:t>
      </w:r>
      <w:r w:rsidR="00370986">
        <w:t>normative expectations.</w:t>
      </w:r>
      <w:r w:rsidR="00370986" w:rsidRPr="00370986">
        <w:t xml:space="preserve"> </w:t>
      </w:r>
      <w:r w:rsidR="00370986">
        <w:t>Consequently, this article makes a second original contribution to the debate on political language. The article demonstrates that actors possess substantial agency – explicitly, more agency than previously assumed – in addressing and responding to norms, and explicitly normative dilemma. This provides a much deeper, complex, and sophisticated understanding of how political actors construct language.</w:t>
      </w:r>
    </w:p>
    <w:p w14:paraId="17E028C8" w14:textId="77777777" w:rsidR="00792A0E" w:rsidRDefault="00792A0E" w:rsidP="003D7795">
      <w:pPr>
        <w:spacing w:line="480" w:lineRule="auto"/>
      </w:pPr>
    </w:p>
    <w:p w14:paraId="24ABB4FE" w14:textId="7CBA1368" w:rsidR="00863705" w:rsidRDefault="001212DF" w:rsidP="003D7795">
      <w:pPr>
        <w:spacing w:line="480" w:lineRule="auto"/>
      </w:pPr>
      <w:r>
        <w:t xml:space="preserve">In providing empirical evidence of normative invalidation, this article applies this </w:t>
      </w:r>
      <w:r w:rsidR="009765D4">
        <w:t>theory</w:t>
      </w:r>
      <w:r>
        <w:t xml:space="preserve"> to </w:t>
      </w:r>
      <w:r w:rsidR="00966FBD">
        <w:t>Prevent and the rhetoric of</w:t>
      </w:r>
      <w:r w:rsidR="00770165">
        <w:t xml:space="preserve"> </w:t>
      </w:r>
      <w:r w:rsidR="00966FBD">
        <w:t>British Prime Minister and former Home Secretary</w:t>
      </w:r>
      <w:r w:rsidR="00770165">
        <w:t>,</w:t>
      </w:r>
      <w:r w:rsidR="00770165" w:rsidRPr="00770165">
        <w:t xml:space="preserve"> </w:t>
      </w:r>
      <w:r w:rsidR="00770165">
        <w:t>Theresa May</w:t>
      </w:r>
      <w:r w:rsidR="00A51DB6">
        <w:rPr>
          <w:rStyle w:val="FootnoteReference"/>
        </w:rPr>
        <w:footnoteReference w:id="3"/>
      </w:r>
      <w:r w:rsidR="00966FBD">
        <w:t>.</w:t>
      </w:r>
      <w:r w:rsidR="00725762">
        <w:t xml:space="preserve"> </w:t>
      </w:r>
      <w:r w:rsidR="00B4036D">
        <w:t>Prevent comprises</w:t>
      </w:r>
      <w:r w:rsidR="001A7820">
        <w:t xml:space="preserve"> a </w:t>
      </w:r>
      <w:r w:rsidR="005B201E">
        <w:t xml:space="preserve">good </w:t>
      </w:r>
      <w:r w:rsidR="00B4036D">
        <w:t>choice</w:t>
      </w:r>
      <w:r w:rsidR="006851BD">
        <w:t xml:space="preserve"> of case study</w:t>
      </w:r>
      <w:r w:rsidR="001A7820">
        <w:t xml:space="preserve"> </w:t>
      </w:r>
      <w:r w:rsidR="00005FC8">
        <w:t>as</w:t>
      </w:r>
      <w:r w:rsidR="00B4036D">
        <w:t xml:space="preserve"> it embodies a key normative dilemma.</w:t>
      </w:r>
      <w:r w:rsidR="00B6639B">
        <w:t xml:space="preserve"> The strategy </w:t>
      </w:r>
      <w:r w:rsidR="00EC4028">
        <w:t xml:space="preserve">is </w:t>
      </w:r>
      <w:r w:rsidR="00B6639B">
        <w:t xml:space="preserve">also </w:t>
      </w:r>
      <w:r w:rsidR="00005FC8">
        <w:t xml:space="preserve">compelling </w:t>
      </w:r>
      <w:r w:rsidR="008F23FD">
        <w:t>because</w:t>
      </w:r>
      <w:r w:rsidR="00B6639B">
        <w:t xml:space="preserve"> it </w:t>
      </w:r>
      <w:r w:rsidR="00A178A2">
        <w:t>is</w:t>
      </w:r>
      <w:r w:rsidR="00383AE1">
        <w:t xml:space="preserve"> c</w:t>
      </w:r>
      <w:r w:rsidR="00513E5E">
        <w:t xml:space="preserve">ontroversial. </w:t>
      </w:r>
      <w:proofErr w:type="spellStart"/>
      <w:r w:rsidR="00513E5E">
        <w:t>Prevent</w:t>
      </w:r>
      <w:r w:rsidR="00A91C3C">
        <w:t>’s</w:t>
      </w:r>
      <w:proofErr w:type="spellEnd"/>
      <w:r w:rsidR="00383AE1">
        <w:t xml:space="preserve"> </w:t>
      </w:r>
      <w:r w:rsidR="00770165">
        <w:t>success</w:t>
      </w:r>
      <w:r w:rsidR="00383AE1">
        <w:t xml:space="preserve"> was called into question</w:t>
      </w:r>
      <w:r w:rsidR="00DA7D3D">
        <w:t xml:space="preserve"> during the first half of</w:t>
      </w:r>
      <w:r w:rsidR="00383AE1">
        <w:t xml:space="preserve"> 2017 following terr</w:t>
      </w:r>
      <w:r w:rsidR="00743C20">
        <w:t>orist attacks at Westminster,</w:t>
      </w:r>
      <w:r w:rsidR="00383AE1">
        <w:t xml:space="preserve"> Manchester</w:t>
      </w:r>
      <w:r w:rsidR="00743C20">
        <w:t>, and London Bridge</w:t>
      </w:r>
      <w:r w:rsidR="002E69AC">
        <w:rPr>
          <w:rStyle w:val="FootnoteReference"/>
        </w:rPr>
        <w:footnoteReference w:id="4"/>
      </w:r>
      <w:r w:rsidR="00743C20">
        <w:t xml:space="preserve">. </w:t>
      </w:r>
      <w:r w:rsidR="00DA7D3D">
        <w:t xml:space="preserve">In response to these strikes, May’s prize policy was denounced as </w:t>
      </w:r>
      <w:r w:rsidR="00DA7D3D" w:rsidRPr="00DA7D3D">
        <w:t>ineffectual</w:t>
      </w:r>
      <w:r w:rsidR="0099288A">
        <w:t>, especially</w:t>
      </w:r>
      <w:r w:rsidR="00770165">
        <w:t xml:space="preserve"> after</w:t>
      </w:r>
      <w:r w:rsidR="00DA7D3D">
        <w:t xml:space="preserve"> it was reveale</w:t>
      </w:r>
      <w:r w:rsidR="00770165">
        <w:t xml:space="preserve">d that one of the </w:t>
      </w:r>
      <w:r w:rsidR="00DA7D3D">
        <w:t>London Bridge</w:t>
      </w:r>
      <w:r w:rsidR="00770165">
        <w:t xml:space="preserve"> terrorists</w:t>
      </w:r>
      <w:r w:rsidR="00DA7D3D">
        <w:t xml:space="preserve"> had been involved in the programme</w:t>
      </w:r>
      <w:r w:rsidR="0022763D">
        <w:rPr>
          <w:rStyle w:val="FootnoteReference"/>
        </w:rPr>
        <w:footnoteReference w:id="5"/>
      </w:r>
      <w:r w:rsidR="00DA7D3D">
        <w:t xml:space="preserve">. </w:t>
      </w:r>
      <w:r w:rsidR="00AC5732">
        <w:t xml:space="preserve">May has, however, </w:t>
      </w:r>
      <w:r w:rsidR="003B2542">
        <w:t>remained</w:t>
      </w:r>
      <w:r w:rsidR="005D6E83">
        <w:t xml:space="preserve"> </w:t>
      </w:r>
      <w:r w:rsidR="00D16EEA">
        <w:t>unswervingly</w:t>
      </w:r>
      <w:r w:rsidR="00AC5732">
        <w:t xml:space="preserve"> </w:t>
      </w:r>
      <w:r w:rsidR="005D6E83">
        <w:t>committed</w:t>
      </w:r>
      <w:r w:rsidR="00AC5732">
        <w:t xml:space="preserve"> a </w:t>
      </w:r>
      <w:proofErr w:type="spellStart"/>
      <w:r w:rsidR="00AC5732">
        <w:t>hardline</w:t>
      </w:r>
      <w:proofErr w:type="spellEnd"/>
      <w:r w:rsidR="00AC5732">
        <w:t xml:space="preserve"> st</w:t>
      </w:r>
      <w:r w:rsidR="00B6639B">
        <w:t>ance on counter-radicalisation</w:t>
      </w:r>
      <w:r w:rsidR="00340480">
        <w:t xml:space="preserve"> that prioritises </w:t>
      </w:r>
      <w:r w:rsidR="00AA7805">
        <w:t>national security</w:t>
      </w:r>
      <w:r w:rsidR="00B6639B">
        <w:t>. D</w:t>
      </w:r>
      <w:r w:rsidR="0002635B">
        <w:t xml:space="preserve">oes this </w:t>
      </w:r>
      <w:r w:rsidR="00711969">
        <w:t>mean her rhetoric is</w:t>
      </w:r>
      <w:r w:rsidR="002B740A">
        <w:t xml:space="preserve"> as </w:t>
      </w:r>
      <w:r w:rsidR="007324AA" w:rsidRPr="007324AA">
        <w:t>fierce</w:t>
      </w:r>
      <w:r w:rsidR="002B740A">
        <w:t xml:space="preserve"> as her policy stance?</w:t>
      </w:r>
      <w:r w:rsidR="0002635B">
        <w:t xml:space="preserve"> This analysis</w:t>
      </w:r>
      <w:r w:rsidR="00711969">
        <w:t xml:space="preserve"> </w:t>
      </w:r>
      <w:r w:rsidR="00AA7805">
        <w:t>says</w:t>
      </w:r>
      <w:r w:rsidR="002B740A">
        <w:t xml:space="preserve"> yes –</w:t>
      </w:r>
      <w:r w:rsidR="0002635B">
        <w:t xml:space="preserve"> but only when accompanied by rhetorical devices that undermine </w:t>
      </w:r>
      <w:r w:rsidR="002B740A">
        <w:t xml:space="preserve">and normatively invalidate </w:t>
      </w:r>
      <w:r w:rsidR="00340480">
        <w:t>corresponding</w:t>
      </w:r>
      <w:r w:rsidR="004B0238">
        <w:t xml:space="preserve"> </w:t>
      </w:r>
      <w:r w:rsidR="00AA7805">
        <w:t>norms upholding civil rights</w:t>
      </w:r>
      <w:r w:rsidR="0002635B">
        <w:t>.</w:t>
      </w:r>
      <w:r w:rsidR="004D0441">
        <w:t xml:space="preserve"> Tough talk on</w:t>
      </w:r>
      <w:r w:rsidR="000B4357">
        <w:t xml:space="preserve"> national</w:t>
      </w:r>
      <w:r w:rsidR="004D0441">
        <w:t xml:space="preserve"> security </w:t>
      </w:r>
      <w:r w:rsidR="00434876">
        <w:t>is</w:t>
      </w:r>
      <w:r w:rsidR="005E0766">
        <w:t xml:space="preserve"> more </w:t>
      </w:r>
      <w:r w:rsidR="004D0441">
        <w:t xml:space="preserve">successful when </w:t>
      </w:r>
      <w:r w:rsidR="00434876">
        <w:t>it</w:t>
      </w:r>
      <w:r w:rsidR="00D72AA6">
        <w:t xml:space="preserve"> </w:t>
      </w:r>
      <w:r w:rsidR="00D72AA6" w:rsidRPr="00D72AA6">
        <w:t>simultaneously</w:t>
      </w:r>
      <w:r w:rsidR="00434876">
        <w:t xml:space="preserve"> neutralises opposing claims</w:t>
      </w:r>
      <w:r w:rsidR="00F5522A">
        <w:t xml:space="preserve"> to </w:t>
      </w:r>
      <w:r w:rsidR="00562AC4">
        <w:t>rights</w:t>
      </w:r>
      <w:r w:rsidR="00E52B8E">
        <w:t xml:space="preserve"> </w:t>
      </w:r>
      <w:r w:rsidR="00600CEE" w:rsidRPr="008F43A9">
        <w:rPr>
          <w:i/>
        </w:rPr>
        <w:t>before</w:t>
      </w:r>
      <w:r w:rsidR="00600CEE">
        <w:t xml:space="preserve"> those claims</w:t>
      </w:r>
      <w:r w:rsidR="00434876">
        <w:t xml:space="preserve"> can be utilised by critics</w:t>
      </w:r>
      <w:r w:rsidR="00D72AA6">
        <w:t xml:space="preserve"> against the constructing actor</w:t>
      </w:r>
      <w:r w:rsidR="00600CEE">
        <w:t>.</w:t>
      </w:r>
      <w:r w:rsidR="00D12FB4">
        <w:t xml:space="preserve"> </w:t>
      </w:r>
      <w:r w:rsidR="00931C56">
        <w:t>Importantly</w:t>
      </w:r>
      <w:r w:rsidR="00E52B8E">
        <w:t>, the</w:t>
      </w:r>
      <w:r w:rsidR="00D12FB4">
        <w:t xml:space="preserve"> trends</w:t>
      </w:r>
      <w:r w:rsidR="008350E1">
        <w:t xml:space="preserve"> of normative invalidation</w:t>
      </w:r>
      <w:r w:rsidR="00D12FB4">
        <w:t xml:space="preserve"> </w:t>
      </w:r>
      <w:r w:rsidR="00E52B8E">
        <w:t xml:space="preserve">identified here </w:t>
      </w:r>
      <w:r w:rsidR="00D12FB4">
        <w:t>are not limited to one specific type of audience, but underpin May</w:t>
      </w:r>
      <w:r w:rsidR="00B652AA">
        <w:t>’s rhetorical interaction with</w:t>
      </w:r>
      <w:r w:rsidR="00D12FB4">
        <w:t xml:space="preserve"> </w:t>
      </w:r>
      <w:r w:rsidR="008350E1">
        <w:t xml:space="preserve">a range of </w:t>
      </w:r>
      <w:r w:rsidR="00D12FB4">
        <w:t xml:space="preserve">political and public spheres – indeed, with any audience </w:t>
      </w:r>
      <w:r w:rsidR="009F2D58">
        <w:t xml:space="preserve">expected to be </w:t>
      </w:r>
      <w:r w:rsidR="00D12FB4">
        <w:t>aware of the normative dilemma identified here.</w:t>
      </w:r>
      <w:r w:rsidR="0096361D">
        <w:t xml:space="preserve"> </w:t>
      </w:r>
      <w:r w:rsidR="00E35E88">
        <w:t>Obv</w:t>
      </w:r>
      <w:r w:rsidR="00A178A2">
        <w:t xml:space="preserve">iously different audiences </w:t>
      </w:r>
      <w:r w:rsidR="00E35E88">
        <w:t>generate different shades of rheto</w:t>
      </w:r>
      <w:r w:rsidR="00191E4D">
        <w:t>ric; the way May speaks to her C</w:t>
      </w:r>
      <w:r w:rsidR="00E35E88">
        <w:t xml:space="preserve">abinet is very different to speaking to Muslim populations. Despite the difference in audience, however, this article demonstrates that the same basic trend of normative invalidation applies. </w:t>
      </w:r>
      <w:r w:rsidR="008977CE">
        <w:t>Moreover, it</w:t>
      </w:r>
      <w:r w:rsidR="00863705">
        <w:t xml:space="preserve"> is recognised that this ‘case study’ approach comprises only one example of a much wider rhetorical trend, with all the obvious research limitations attached to this. In demonstrating the theoretical approach proposed here, however, a single case study provides an effective method of proving the analytical point, especially where this permits an in-depth investigation of different layers of rhetorical construction. This method should not be seen to suggest that normative invalidation is inapplicable to other scenarios/actors. This article asserts that the model outlined here comprises a transferable framework that can be employed in other cases of normative dilemma. By demonstrating how normative invalidation works in relation to Prevent, so this provides a guide for how this functions elsewhere in the world of political rhetoric. </w:t>
      </w:r>
    </w:p>
    <w:p w14:paraId="51993872" w14:textId="36CAFF2A" w:rsidR="00E35E88" w:rsidRDefault="00E35E88" w:rsidP="003D7795">
      <w:pPr>
        <w:spacing w:line="480" w:lineRule="auto"/>
      </w:pPr>
    </w:p>
    <w:p w14:paraId="56A31571" w14:textId="77777777" w:rsidR="003D7795" w:rsidRDefault="003D7795" w:rsidP="003D7795">
      <w:pPr>
        <w:spacing w:line="480" w:lineRule="auto"/>
      </w:pPr>
    </w:p>
    <w:p w14:paraId="1273042E" w14:textId="77777777" w:rsidR="0002635B" w:rsidRPr="00D433F0" w:rsidRDefault="0002635B" w:rsidP="003D7795">
      <w:pPr>
        <w:spacing w:line="480" w:lineRule="auto"/>
      </w:pPr>
    </w:p>
    <w:p w14:paraId="2CD6ADA8" w14:textId="77777777" w:rsidR="006D31AF" w:rsidRPr="00D433F0" w:rsidRDefault="006D31AF" w:rsidP="003D7795">
      <w:pPr>
        <w:spacing w:line="480" w:lineRule="auto"/>
      </w:pPr>
    </w:p>
    <w:p w14:paraId="42D0C160" w14:textId="29EE837E" w:rsidR="006D31AF" w:rsidRPr="00D433F0" w:rsidRDefault="006D31AF" w:rsidP="003D7795">
      <w:pPr>
        <w:spacing w:line="480" w:lineRule="auto"/>
        <w:rPr>
          <w:b/>
        </w:rPr>
      </w:pPr>
      <w:r w:rsidRPr="00D433F0">
        <w:rPr>
          <w:b/>
        </w:rPr>
        <w:t>Security</w:t>
      </w:r>
      <w:r w:rsidR="008E22F8" w:rsidRPr="00D433F0">
        <w:rPr>
          <w:b/>
        </w:rPr>
        <w:t xml:space="preserve"> </w:t>
      </w:r>
      <w:r w:rsidR="004C5981">
        <w:rPr>
          <w:b/>
        </w:rPr>
        <w:t>vs</w:t>
      </w:r>
      <w:r w:rsidR="00813448" w:rsidRPr="00D433F0">
        <w:rPr>
          <w:b/>
        </w:rPr>
        <w:t>.</w:t>
      </w:r>
      <w:r w:rsidR="008E22F8" w:rsidRPr="00D433F0">
        <w:rPr>
          <w:b/>
        </w:rPr>
        <w:t xml:space="preserve"> </w:t>
      </w:r>
      <w:r w:rsidR="004C5981">
        <w:rPr>
          <w:b/>
        </w:rPr>
        <w:t>r</w:t>
      </w:r>
      <w:r w:rsidR="001E4A34">
        <w:rPr>
          <w:b/>
        </w:rPr>
        <w:t>ights</w:t>
      </w:r>
      <w:r w:rsidR="004C5981">
        <w:rPr>
          <w:b/>
        </w:rPr>
        <w:t>: t</w:t>
      </w:r>
      <w:r w:rsidR="006D4C71">
        <w:rPr>
          <w:b/>
        </w:rPr>
        <w:t>he Preven</w:t>
      </w:r>
      <w:r w:rsidR="004C5981">
        <w:rPr>
          <w:b/>
        </w:rPr>
        <w:t>t s</w:t>
      </w:r>
      <w:r w:rsidR="006D4C71">
        <w:rPr>
          <w:b/>
        </w:rPr>
        <w:t>trategy</w:t>
      </w:r>
    </w:p>
    <w:p w14:paraId="5D975451" w14:textId="77777777" w:rsidR="006D31AF" w:rsidRPr="00D433F0" w:rsidRDefault="006D31AF" w:rsidP="003D7795">
      <w:pPr>
        <w:spacing w:line="480" w:lineRule="auto"/>
      </w:pPr>
    </w:p>
    <w:p w14:paraId="45D06DF9" w14:textId="086836D3" w:rsidR="00445640" w:rsidRDefault="005F5C2D" w:rsidP="003D7795">
      <w:pPr>
        <w:spacing w:line="480" w:lineRule="auto"/>
      </w:pPr>
      <w:r>
        <w:t>Prevent</w:t>
      </w:r>
      <w:r w:rsidR="003F3B03">
        <w:t xml:space="preserve"> comprises</w:t>
      </w:r>
      <w:r w:rsidR="00B457CD" w:rsidRPr="00D433F0">
        <w:t xml:space="preserve"> </w:t>
      </w:r>
      <w:r w:rsidR="00795D7A">
        <w:t>the counter-radicalisation</w:t>
      </w:r>
      <w:r w:rsidR="00E1446B">
        <w:t xml:space="preserve"> strand of</w:t>
      </w:r>
      <w:r w:rsidR="004F56E2">
        <w:t xml:space="preserve"> the UK’s four-pronged </w:t>
      </w:r>
      <w:r w:rsidR="00677C2E">
        <w:t>strategy to</w:t>
      </w:r>
      <w:r w:rsidR="00630E52">
        <w:t xml:space="preserve"> </w:t>
      </w:r>
      <w:r w:rsidR="00677C2E">
        <w:t>confront</w:t>
      </w:r>
      <w:r w:rsidR="006B5A90">
        <w:t xml:space="preserve"> terrorism,</w:t>
      </w:r>
      <w:r w:rsidR="00630E52">
        <w:t xml:space="preserve"> CONTEST (alongside Pursue, Protect, and Prepare)</w:t>
      </w:r>
      <w:r w:rsidR="00775F7B">
        <w:rPr>
          <w:rStyle w:val="FootnoteReference"/>
        </w:rPr>
        <w:footnoteReference w:id="6"/>
      </w:r>
      <w:r w:rsidR="00630E52">
        <w:t xml:space="preserve">. </w:t>
      </w:r>
      <w:r w:rsidR="00EC5E17">
        <w:t>As well as being described as the most importa</w:t>
      </w:r>
      <w:r w:rsidR="000E1722">
        <w:t>nt aspect</w:t>
      </w:r>
      <w:r w:rsidR="00EC5E17">
        <w:t xml:space="preserve"> of CONTEST</w:t>
      </w:r>
      <w:r w:rsidR="0022763D">
        <w:rPr>
          <w:rStyle w:val="FootnoteReference"/>
        </w:rPr>
        <w:footnoteReference w:id="7"/>
      </w:r>
      <w:r w:rsidR="00BB1ADA">
        <w:t>, Prevent</w:t>
      </w:r>
      <w:r w:rsidR="00EC5E17">
        <w:t xml:space="preserve"> has also been named the most controversial</w:t>
      </w:r>
      <w:r w:rsidR="005468D0">
        <w:t>, explicitly</w:t>
      </w:r>
      <w:r w:rsidR="00BB1ADA">
        <w:t xml:space="preserve"> for</w:t>
      </w:r>
      <w:r w:rsidR="00D04171">
        <w:t xml:space="preserve"> prioritising </w:t>
      </w:r>
      <w:r w:rsidR="00A05F42">
        <w:t xml:space="preserve">national </w:t>
      </w:r>
      <w:r w:rsidR="00D04171">
        <w:t>security at the expense of</w:t>
      </w:r>
      <w:r w:rsidR="00BB1ADA">
        <w:t xml:space="preserve"> </w:t>
      </w:r>
      <w:r w:rsidR="00D04171">
        <w:t>civil liberties</w:t>
      </w:r>
      <w:r w:rsidR="0022763D">
        <w:rPr>
          <w:rStyle w:val="FootnoteReference"/>
        </w:rPr>
        <w:footnoteReference w:id="8"/>
      </w:r>
      <w:r w:rsidR="00BB1ADA">
        <w:t xml:space="preserve">. </w:t>
      </w:r>
      <w:r w:rsidR="00BA05DD">
        <w:t>This</w:t>
      </w:r>
      <w:r w:rsidR="00650B19">
        <w:t xml:space="preserve"> concern</w:t>
      </w:r>
      <w:r w:rsidR="00C47D07">
        <w:t xml:space="preserve"> </w:t>
      </w:r>
      <w:r w:rsidR="00650B19">
        <w:t>relates</w:t>
      </w:r>
      <w:r w:rsidR="00C47D07">
        <w:t xml:space="preserve"> largely</w:t>
      </w:r>
      <w:r w:rsidR="00650B19">
        <w:t xml:space="preserve"> to surveillance</w:t>
      </w:r>
      <w:r w:rsidR="006D24C0">
        <w:t>. T</w:t>
      </w:r>
      <w:r w:rsidR="00EF779F">
        <w:t>he strategy</w:t>
      </w:r>
      <w:r w:rsidR="00132159">
        <w:t xml:space="preserve"> </w:t>
      </w:r>
      <w:r w:rsidR="004A4174">
        <w:t>is</w:t>
      </w:r>
      <w:r w:rsidR="00132159">
        <w:t xml:space="preserve"> accused of</w:t>
      </w:r>
      <w:r w:rsidR="004A4174">
        <w:t xml:space="preserve"> spying on Muslim communities</w:t>
      </w:r>
      <w:r w:rsidR="0022763D">
        <w:rPr>
          <w:rStyle w:val="FootnoteReference"/>
        </w:rPr>
        <w:footnoteReference w:id="9"/>
      </w:r>
      <w:r w:rsidR="004A4174">
        <w:t xml:space="preserve">, to the extent that </w:t>
      </w:r>
      <w:r w:rsidR="006D24C0">
        <w:t>Britain has been described as a ‘police state’</w:t>
      </w:r>
      <w:r w:rsidR="0022763D">
        <w:rPr>
          <w:rStyle w:val="FootnoteReference"/>
        </w:rPr>
        <w:footnoteReference w:id="10"/>
      </w:r>
      <w:r w:rsidR="006D24C0">
        <w:t xml:space="preserve"> </w:t>
      </w:r>
      <w:r w:rsidR="00210250">
        <w:t>and Prevent compared to a ‘witch hunt’</w:t>
      </w:r>
      <w:r w:rsidR="0022763D">
        <w:rPr>
          <w:rStyle w:val="FootnoteReference"/>
        </w:rPr>
        <w:footnoteReference w:id="11"/>
      </w:r>
      <w:r w:rsidR="006D24C0">
        <w:t xml:space="preserve">. </w:t>
      </w:r>
      <w:r w:rsidR="006F47D4">
        <w:t xml:space="preserve">For example, </w:t>
      </w:r>
      <w:r w:rsidR="00B718BA">
        <w:t xml:space="preserve">Prevent </w:t>
      </w:r>
      <w:r w:rsidR="006228B7">
        <w:t xml:space="preserve">now </w:t>
      </w:r>
      <w:r w:rsidR="00B718BA">
        <w:t xml:space="preserve">involves </w:t>
      </w:r>
      <w:r w:rsidR="006F47D4">
        <w:t xml:space="preserve">an </w:t>
      </w:r>
      <w:r w:rsidR="00B718BA">
        <w:t>unprecedented</w:t>
      </w:r>
      <w:r w:rsidR="006F47D4">
        <w:t xml:space="preserve"> </w:t>
      </w:r>
      <w:r w:rsidR="00B718BA">
        <w:t>surveillance of education in schools</w:t>
      </w:r>
      <w:r w:rsidR="005565AD">
        <w:t xml:space="preserve"> and universities</w:t>
      </w:r>
      <w:r w:rsidR="0022763D">
        <w:rPr>
          <w:rStyle w:val="FootnoteReference"/>
        </w:rPr>
        <w:footnoteReference w:id="12"/>
      </w:r>
      <w:r w:rsidR="006F47D4">
        <w:t xml:space="preserve">, as well as </w:t>
      </w:r>
      <w:r w:rsidR="00B718BA" w:rsidRPr="00D433F0">
        <w:t>the</w:t>
      </w:r>
      <w:r w:rsidR="00B718BA">
        <w:t xml:space="preserve"> National Health Service</w:t>
      </w:r>
      <w:r w:rsidR="00B718BA" w:rsidRPr="00D433F0">
        <w:t xml:space="preserve"> </w:t>
      </w:r>
      <w:r w:rsidR="00B718BA">
        <w:t>(</w:t>
      </w:r>
      <w:r w:rsidR="00B718BA" w:rsidRPr="00D433F0">
        <w:t>NHS</w:t>
      </w:r>
      <w:r w:rsidR="006F47D4">
        <w:t>), where medical staffs are</w:t>
      </w:r>
      <w:r w:rsidR="00B718BA">
        <w:t xml:space="preserve"> trained to spot signs of radicalisation in their patients</w:t>
      </w:r>
      <w:r w:rsidR="006D5410">
        <w:rPr>
          <w:rStyle w:val="FootnoteReference"/>
        </w:rPr>
        <w:footnoteReference w:id="13"/>
      </w:r>
      <w:r w:rsidR="00B718BA" w:rsidRPr="00D433F0">
        <w:t>.</w:t>
      </w:r>
      <w:r w:rsidR="00B718BA" w:rsidRPr="006E41DD">
        <w:t xml:space="preserve"> </w:t>
      </w:r>
      <w:r w:rsidR="006D7BCF">
        <w:t>While the scheme has undergone numerous strategic amendments since its development in 2003 that partially address some of these concerns, in</w:t>
      </w:r>
      <w:r w:rsidR="00445640">
        <w:t>cluding a major review in 2011,</w:t>
      </w:r>
      <w:r w:rsidR="008A6D09">
        <w:t xml:space="preserve"> </w:t>
      </w:r>
      <w:r w:rsidR="006D7BCF">
        <w:t xml:space="preserve">criticisms persist. </w:t>
      </w:r>
      <w:r w:rsidR="00445640">
        <w:t>The contentious</w:t>
      </w:r>
      <w:r w:rsidR="00670337">
        <w:t xml:space="preserve"> concept o</w:t>
      </w:r>
      <w:r w:rsidR="00445640">
        <w:t xml:space="preserve">f surveillance is made more controversial by the way </w:t>
      </w:r>
      <w:r w:rsidR="00670337">
        <w:t xml:space="preserve">Prevent </w:t>
      </w:r>
      <w:r w:rsidR="00445640">
        <w:t>effectively</w:t>
      </w:r>
      <w:r w:rsidR="006E41DD">
        <w:t xml:space="preserve"> </w:t>
      </w:r>
      <w:r w:rsidR="00445640">
        <w:t>endorses a very</w:t>
      </w:r>
      <w:r w:rsidR="006E41DD">
        <w:t xml:space="preserve"> fluid conception</w:t>
      </w:r>
      <w:r w:rsidR="00445640">
        <w:t xml:space="preserve"> of future action,</w:t>
      </w:r>
      <w:r w:rsidR="000913C4">
        <w:t xml:space="preserve"> securitising </w:t>
      </w:r>
      <w:r w:rsidR="00BF7978">
        <w:t>pre-cursor activity</w:t>
      </w:r>
      <w:r w:rsidR="006E41DD">
        <w:t xml:space="preserve"> </w:t>
      </w:r>
      <w:r w:rsidR="007D2653">
        <w:t xml:space="preserve">(such as immigration violations, fraud, and engagement with so-called extremists) </w:t>
      </w:r>
      <w:r w:rsidR="000913C4">
        <w:t xml:space="preserve">regardless of whether this actually leads to </w:t>
      </w:r>
      <w:r w:rsidR="006E41DD">
        <w:t>terroris</w:t>
      </w:r>
      <w:r w:rsidR="000913C4">
        <w:t>t activity</w:t>
      </w:r>
      <w:r w:rsidR="000D45F9">
        <w:rPr>
          <w:rStyle w:val="FootnoteReference"/>
        </w:rPr>
        <w:footnoteReference w:id="14"/>
      </w:r>
      <w:r w:rsidR="008B275F">
        <w:t xml:space="preserve">. </w:t>
      </w:r>
      <w:r w:rsidR="00BF7978">
        <w:t>While this</w:t>
      </w:r>
      <w:r w:rsidR="00B002AA">
        <w:t xml:space="preserve"> pre-criminal </w:t>
      </w:r>
      <w:r w:rsidR="00BF7978">
        <w:t xml:space="preserve">conceptualisation of </w:t>
      </w:r>
      <w:r w:rsidR="00B002AA">
        <w:t>space has ch</w:t>
      </w:r>
      <w:r w:rsidR="00BF7978">
        <w:t>anged</w:t>
      </w:r>
      <w:r w:rsidR="00683913">
        <w:rPr>
          <w:rStyle w:val="FootnoteReference"/>
        </w:rPr>
        <w:footnoteReference w:id="15"/>
      </w:r>
      <w:r w:rsidR="00BF7978">
        <w:t xml:space="preserve">, this remains </w:t>
      </w:r>
      <w:r w:rsidR="00B002AA">
        <w:t xml:space="preserve">a major </w:t>
      </w:r>
      <w:r w:rsidR="00BF7978">
        <w:t xml:space="preserve">ethical concern </w:t>
      </w:r>
      <w:r w:rsidR="006350AA">
        <w:t>in that ‘potential’ terrorists</w:t>
      </w:r>
      <w:r w:rsidR="00BF7978">
        <w:t xml:space="preserve"> are</w:t>
      </w:r>
      <w:r w:rsidR="00445640">
        <w:t xml:space="preserve"> discriminated against and</w:t>
      </w:r>
      <w:r w:rsidR="00BF7978">
        <w:t xml:space="preserve"> denied ‘</w:t>
      </w:r>
      <w:r w:rsidR="00007828">
        <w:t>the rights of full citizenship’</w:t>
      </w:r>
      <w:r w:rsidR="00683913">
        <w:rPr>
          <w:rStyle w:val="FootnoteReference"/>
        </w:rPr>
        <w:footnoteReference w:id="16"/>
      </w:r>
      <w:r w:rsidR="00940CC9">
        <w:t>.</w:t>
      </w:r>
      <w:r w:rsidR="00940CC9" w:rsidRPr="00940CC9">
        <w:t xml:space="preserve"> </w:t>
      </w:r>
      <w:r w:rsidR="00CB33BD">
        <w:t xml:space="preserve">This approach is also </w:t>
      </w:r>
      <w:r w:rsidR="00BF7978">
        <w:t xml:space="preserve">liable to identify </w:t>
      </w:r>
      <w:r w:rsidR="00940CC9">
        <w:t>‘false positives</w:t>
      </w:r>
      <w:r w:rsidR="00BF7978">
        <w:t>,</w:t>
      </w:r>
      <w:r w:rsidR="00940CC9">
        <w:t>’</w:t>
      </w:r>
      <w:r w:rsidR="00BF7978">
        <w:t xml:space="preserve"> in which suspects are identified with no clear proof </w:t>
      </w:r>
      <w:r w:rsidR="006350AA">
        <w:t xml:space="preserve">as </w:t>
      </w:r>
      <w:r w:rsidR="00BF7978">
        <w:t>to their guilt</w:t>
      </w:r>
      <w:r w:rsidR="00D14CB7">
        <w:rPr>
          <w:rStyle w:val="FootnoteReference"/>
        </w:rPr>
        <w:footnoteReference w:id="17"/>
      </w:r>
      <w:r w:rsidR="00940CC9">
        <w:t>.</w:t>
      </w:r>
      <w:r w:rsidR="00A520B9">
        <w:t xml:space="preserve"> </w:t>
      </w:r>
      <w:r w:rsidR="00445640">
        <w:t>This is not just ethically questionable, but it</w:t>
      </w:r>
      <w:r w:rsidR="000002E1">
        <w:t xml:space="preserve"> also</w:t>
      </w:r>
      <w:r w:rsidR="00445640">
        <w:t xml:space="preserve"> undermines community relations that are essential to the success of Prevent. </w:t>
      </w:r>
      <w:r w:rsidR="00445640" w:rsidRPr="00D433F0">
        <w:t xml:space="preserve">Baroness </w:t>
      </w:r>
      <w:proofErr w:type="spellStart"/>
      <w:r w:rsidR="00445640">
        <w:t>Sayeeda</w:t>
      </w:r>
      <w:proofErr w:type="spellEnd"/>
      <w:r w:rsidR="00445640">
        <w:t xml:space="preserve"> </w:t>
      </w:r>
      <w:proofErr w:type="spellStart"/>
      <w:r w:rsidR="00445640" w:rsidRPr="00D433F0">
        <w:t>Warsi</w:t>
      </w:r>
      <w:proofErr w:type="spellEnd"/>
      <w:r w:rsidR="00445640">
        <w:t xml:space="preserve"> says the way in which surveillance is currently carried out means Prevent is ‘toxic</w:t>
      </w:r>
      <w:r w:rsidR="00445640" w:rsidRPr="00D433F0">
        <w:t>’</w:t>
      </w:r>
      <w:r w:rsidR="00445640">
        <w:t xml:space="preserve"> to community-based engagement</w:t>
      </w:r>
      <w:r w:rsidR="00445640">
        <w:rPr>
          <w:rStyle w:val="FootnoteReference"/>
        </w:rPr>
        <w:footnoteReference w:id="18"/>
      </w:r>
      <w:r w:rsidR="00445640">
        <w:t>.</w:t>
      </w:r>
    </w:p>
    <w:p w14:paraId="71617B27" w14:textId="77777777" w:rsidR="00445640" w:rsidRDefault="00445640" w:rsidP="003D7795">
      <w:pPr>
        <w:spacing w:line="480" w:lineRule="auto"/>
      </w:pPr>
    </w:p>
    <w:p w14:paraId="1DAC3F9E" w14:textId="057AC20A" w:rsidR="008A7160" w:rsidRDefault="0056190A" w:rsidP="003D7795">
      <w:pPr>
        <w:spacing w:line="480" w:lineRule="auto"/>
      </w:pPr>
      <w:r>
        <w:t>This</w:t>
      </w:r>
      <w:r w:rsidR="008B3503">
        <w:t xml:space="preserve"> c</w:t>
      </w:r>
      <w:r w:rsidR="00453B59">
        <w:t xml:space="preserve">lash between security and </w:t>
      </w:r>
      <w:r w:rsidR="008B3503">
        <w:t xml:space="preserve">rights is nothing new. </w:t>
      </w:r>
      <w:r w:rsidR="00072DF8">
        <w:t>While the</w:t>
      </w:r>
      <w:r w:rsidR="007175DB">
        <w:t xml:space="preserve"> conflict has</w:t>
      </w:r>
      <w:r w:rsidR="00CA6FC6">
        <w:t xml:space="preserve"> been</w:t>
      </w:r>
      <w:r w:rsidR="00017684">
        <w:t xml:space="preserve"> </w:t>
      </w:r>
      <w:r w:rsidR="00CA6FC6">
        <w:t>dismissed a</w:t>
      </w:r>
      <w:r w:rsidR="005F2999">
        <w:t>s a false dichotomy</w:t>
      </w:r>
      <w:r w:rsidR="00DE244A">
        <w:rPr>
          <w:rStyle w:val="FootnoteReference"/>
        </w:rPr>
        <w:footnoteReference w:id="19"/>
      </w:r>
      <w:r w:rsidR="005F2999">
        <w:t xml:space="preserve">, the debate </w:t>
      </w:r>
      <w:r w:rsidR="00851AD8">
        <w:t>is conventionally</w:t>
      </w:r>
      <w:r w:rsidR="005F2999">
        <w:t xml:space="preserve"> constructed as a standoff </w:t>
      </w:r>
      <w:r w:rsidR="00CA6FC6">
        <w:t>between two normative positions</w:t>
      </w:r>
      <w:r w:rsidR="005F2999">
        <w:t xml:space="preserve">. </w:t>
      </w:r>
      <w:r w:rsidR="008A7160">
        <w:t>In clarifying what is meant</w:t>
      </w:r>
      <w:r w:rsidR="00D008A9">
        <w:t xml:space="preserve"> here</w:t>
      </w:r>
      <w:r w:rsidR="008A7160">
        <w:t xml:space="preserve"> by</w:t>
      </w:r>
      <w:r w:rsidR="00D008A9">
        <w:t xml:space="preserve"> the reference to</w:t>
      </w:r>
      <w:r w:rsidR="008A7160">
        <w:t xml:space="preserve"> norms</w:t>
      </w:r>
      <w:r w:rsidR="008A7160" w:rsidRPr="00BE1403">
        <w:t>: ‘Norms are regarded as standards of behaviour, defined in terms of rights and obligations. In this sense norms are general prescriptions of behaviour that regulate intentions and effects.’</w:t>
      </w:r>
      <w:r w:rsidR="008A7160" w:rsidRPr="00BE1403">
        <w:rPr>
          <w:rStyle w:val="FootnoteReference"/>
        </w:rPr>
        <w:footnoteReference w:id="20"/>
      </w:r>
      <w:r w:rsidR="008A7160" w:rsidRPr="00BE1403">
        <w:t xml:space="preserve"> Such behaviour can be comprehended within the terms of Peter </w:t>
      </w:r>
      <w:proofErr w:type="spellStart"/>
      <w:r w:rsidR="008A7160" w:rsidRPr="00BE1403">
        <w:t>Katzenstein’s</w:t>
      </w:r>
      <w:proofErr w:type="spellEnd"/>
      <w:r w:rsidR="008A7160" w:rsidRPr="00BE1403">
        <w:t xml:space="preserve"> well-used conception of ‘the proper behaviour of actors within a given identity.’</w:t>
      </w:r>
      <w:r w:rsidR="008A7160" w:rsidRPr="00BE1403">
        <w:rPr>
          <w:rStyle w:val="FootnoteReference"/>
        </w:rPr>
        <w:footnoteReference w:id="21"/>
      </w:r>
      <w:r w:rsidR="00822163">
        <w:t xml:space="preserve"> Critically</w:t>
      </w:r>
      <w:r w:rsidR="00072DF8">
        <w:t xml:space="preserve">, however, the employment of ‘norms’ </w:t>
      </w:r>
      <w:r w:rsidR="00822163">
        <w:t>here is understood within the context of actual policy-making.</w:t>
      </w:r>
      <w:r w:rsidR="00557729">
        <w:t xml:space="preserve"> While </w:t>
      </w:r>
      <w:r w:rsidR="00832A6E">
        <w:t xml:space="preserve">the ideas of security and </w:t>
      </w:r>
      <w:r w:rsidR="00557729">
        <w:t xml:space="preserve">rights can be comprehended in the more abstract </w:t>
      </w:r>
      <w:r w:rsidR="00423FDB">
        <w:t xml:space="preserve">sense of appropriate behaviour, </w:t>
      </w:r>
      <w:r w:rsidR="007600FC">
        <w:t xml:space="preserve">the way in which these </w:t>
      </w:r>
      <w:r w:rsidR="00832A6E">
        <w:t>concept</w:t>
      </w:r>
      <w:r w:rsidR="007600FC">
        <w:t>s are discussed</w:t>
      </w:r>
      <w:r w:rsidR="00832A6E">
        <w:t xml:space="preserve"> within</w:t>
      </w:r>
      <w:r w:rsidR="00832A6E" w:rsidRPr="00832A6E">
        <w:t xml:space="preserve"> </w:t>
      </w:r>
      <w:r w:rsidR="007600FC">
        <w:t>a</w:t>
      </w:r>
      <w:r w:rsidR="00832A6E">
        <w:t xml:space="preserve"> specific context of </w:t>
      </w:r>
      <w:r w:rsidR="003C7F3F">
        <w:t>real</w:t>
      </w:r>
      <w:r w:rsidR="007600FC">
        <w:t xml:space="preserve"> </w:t>
      </w:r>
      <w:r w:rsidR="003C7F3F">
        <w:t>policy decisions</w:t>
      </w:r>
      <w:r w:rsidR="00832A6E">
        <w:t xml:space="preserve"> cannot be overlooked. Both the issues of security and </w:t>
      </w:r>
      <w:r w:rsidR="00423FDB">
        <w:t>rights do embrace an</w:t>
      </w:r>
      <w:r w:rsidR="00C34C00">
        <w:t>d express core ideals. W</w:t>
      </w:r>
      <w:r w:rsidR="00832A6E">
        <w:t>ithin the context of their political application</w:t>
      </w:r>
      <w:r w:rsidR="00423FDB">
        <w:t xml:space="preserve">, </w:t>
      </w:r>
      <w:r w:rsidR="00C34C00">
        <w:t xml:space="preserve">however, </w:t>
      </w:r>
      <w:r w:rsidR="00423FDB">
        <w:t xml:space="preserve">this is inevitably also a question of policy. </w:t>
      </w:r>
      <w:r w:rsidR="00870BC9">
        <w:t xml:space="preserve">Consequently, this article employs a </w:t>
      </w:r>
      <w:r w:rsidR="00145D1F">
        <w:t>somewhat qualified notion of a</w:t>
      </w:r>
      <w:r w:rsidR="00F45FFA">
        <w:t xml:space="preserve"> norm as relating</w:t>
      </w:r>
      <w:r w:rsidR="00870BC9">
        <w:t xml:space="preserve"> not only to actor behaviour, but also</w:t>
      </w:r>
      <w:r w:rsidR="00832A6E">
        <w:t xml:space="preserve"> explicitly</w:t>
      </w:r>
      <w:r w:rsidR="00870BC9">
        <w:t xml:space="preserve"> </w:t>
      </w:r>
      <w:r w:rsidR="00F45FFA">
        <w:t xml:space="preserve">to </w:t>
      </w:r>
      <w:r w:rsidR="00870BC9">
        <w:t>the ad</w:t>
      </w:r>
      <w:r w:rsidR="00832A6E">
        <w:t>option of specific policies associated with a given normative position</w:t>
      </w:r>
      <w:r w:rsidR="00870BC9">
        <w:t xml:space="preserve">. </w:t>
      </w:r>
      <w:r w:rsidR="00832A6E">
        <w:t>The informal phrase ‘policy norm’ is used</w:t>
      </w:r>
      <w:r w:rsidR="000603EB">
        <w:t xml:space="preserve"> here to reflect this. </w:t>
      </w:r>
      <w:r w:rsidR="00870BC9">
        <w:t xml:space="preserve">This </w:t>
      </w:r>
      <w:r w:rsidR="00832A6E">
        <w:t xml:space="preserve">approach is specifically designed to compliment </w:t>
      </w:r>
      <w:r w:rsidR="00870BC9">
        <w:t xml:space="preserve">the work of </w:t>
      </w:r>
      <w:proofErr w:type="spellStart"/>
      <w:r w:rsidR="00C302F3">
        <w:t>Anastassia</w:t>
      </w:r>
      <w:proofErr w:type="spellEnd"/>
      <w:r w:rsidR="00C302F3">
        <w:t xml:space="preserve"> </w:t>
      </w:r>
      <w:proofErr w:type="spellStart"/>
      <w:r w:rsidR="00870BC9">
        <w:t>Tsoukala</w:t>
      </w:r>
      <w:proofErr w:type="spellEnd"/>
      <w:r w:rsidR="00870BC9">
        <w:rPr>
          <w:rStyle w:val="FootnoteReference"/>
        </w:rPr>
        <w:footnoteReference w:id="22"/>
      </w:r>
      <w:r w:rsidR="00832A6E">
        <w:t xml:space="preserve"> and also (</w:t>
      </w:r>
      <w:r w:rsidR="00870BC9">
        <w:t>more general</w:t>
      </w:r>
      <w:r w:rsidR="00832A6E">
        <w:t xml:space="preserve">ly) </w:t>
      </w:r>
      <w:r w:rsidR="00870BC9">
        <w:t>Michel Foucault’s notion of problematization</w:t>
      </w:r>
      <w:r w:rsidR="00870BC9">
        <w:rPr>
          <w:rStyle w:val="FootnoteReference"/>
        </w:rPr>
        <w:footnoteReference w:id="23"/>
      </w:r>
      <w:r w:rsidR="00870BC9">
        <w:t>, in viewing</w:t>
      </w:r>
      <w:r w:rsidR="00832A6E">
        <w:t xml:space="preserve"> policy</w:t>
      </w:r>
      <w:r w:rsidR="00870BC9">
        <w:t xml:space="preserve"> norms as the reflection </w:t>
      </w:r>
      <w:r w:rsidR="00832A6E">
        <w:t>not only of standards of behaviour, but also as an expression of how to solve societal and political problems</w:t>
      </w:r>
      <w:r w:rsidR="00870BC9">
        <w:t>.</w:t>
      </w:r>
      <w:r w:rsidR="00767BF8">
        <w:t xml:space="preserve"> </w:t>
      </w:r>
    </w:p>
    <w:p w14:paraId="74114A5A" w14:textId="77777777" w:rsidR="008A7160" w:rsidRDefault="008A7160" w:rsidP="003D7795">
      <w:pPr>
        <w:spacing w:line="480" w:lineRule="auto"/>
      </w:pPr>
    </w:p>
    <w:p w14:paraId="7966C7D3" w14:textId="5585C637" w:rsidR="00066199" w:rsidRDefault="00580D6E" w:rsidP="003D7795">
      <w:pPr>
        <w:spacing w:line="480" w:lineRule="auto"/>
      </w:pPr>
      <w:r>
        <w:t>Returning</w:t>
      </w:r>
      <w:r w:rsidR="00557729">
        <w:t xml:space="preserve"> to the conflict between security and rights, c</w:t>
      </w:r>
      <w:r w:rsidR="00713C70">
        <w:t>hoosing between the two</w:t>
      </w:r>
      <w:r w:rsidR="002941FE">
        <w:t xml:space="preserve"> is </w:t>
      </w:r>
      <w:r w:rsidR="00637D64">
        <w:t>seen</w:t>
      </w:r>
      <w:r w:rsidR="009E0E6C">
        <w:t xml:space="preserve"> </w:t>
      </w:r>
      <w:r w:rsidR="002941FE">
        <w:t xml:space="preserve">as the ‘cardinal question’ </w:t>
      </w:r>
      <w:r w:rsidR="00543A98">
        <w:t>of security</w:t>
      </w:r>
      <w:r w:rsidR="00DE244A">
        <w:rPr>
          <w:rStyle w:val="FootnoteReference"/>
        </w:rPr>
        <w:footnoteReference w:id="24"/>
      </w:r>
      <w:r w:rsidR="00543A98">
        <w:t>, and</w:t>
      </w:r>
      <w:r w:rsidR="00991609">
        <w:t xml:space="preserve"> ‘a seemingly inescapable predicament’</w:t>
      </w:r>
      <w:r w:rsidR="005C4170">
        <w:rPr>
          <w:rStyle w:val="FootnoteReference"/>
        </w:rPr>
        <w:footnoteReference w:id="25"/>
      </w:r>
      <w:r w:rsidR="00991609">
        <w:t>.</w:t>
      </w:r>
      <w:r w:rsidR="009C76D8">
        <w:t xml:space="preserve"> </w:t>
      </w:r>
      <w:r w:rsidR="00842E8C">
        <w:t xml:space="preserve">While it </w:t>
      </w:r>
      <w:r w:rsidR="00EC524E">
        <w:t>is</w:t>
      </w:r>
      <w:r w:rsidR="00842E8C">
        <w:t xml:space="preserve"> argued that the two are not necessarily </w:t>
      </w:r>
      <w:r w:rsidR="00431391">
        <w:t>in</w:t>
      </w:r>
      <w:r w:rsidR="00842E8C">
        <w:t>compatible</w:t>
      </w:r>
      <w:r w:rsidR="00842E8C">
        <w:rPr>
          <w:rStyle w:val="FootnoteReference"/>
        </w:rPr>
        <w:footnoteReference w:id="26"/>
      </w:r>
      <w:r w:rsidR="00842E8C">
        <w:t xml:space="preserve">, this is </w:t>
      </w:r>
      <w:r w:rsidR="009E0E6C">
        <w:t>conventionally</w:t>
      </w:r>
      <w:r w:rsidR="00842E8C">
        <w:t xml:space="preserve"> presented as a choi</w:t>
      </w:r>
      <w:r w:rsidR="00EC524E">
        <w:t>ce</w:t>
      </w:r>
      <w:r w:rsidR="00842E8C">
        <w:t xml:space="preserve">. </w:t>
      </w:r>
      <w:r w:rsidR="00B31B28">
        <w:t xml:space="preserve">On </w:t>
      </w:r>
      <w:r w:rsidR="008B3503">
        <w:t>one hand</w:t>
      </w:r>
      <w:r w:rsidR="00B03025">
        <w:t>,</w:t>
      </w:r>
      <w:r w:rsidR="00841B98">
        <w:t xml:space="preserve"> securing</w:t>
      </w:r>
      <w:r w:rsidR="008B3503">
        <w:t xml:space="preserve"> </w:t>
      </w:r>
      <w:r w:rsidR="00851AD8">
        <w:t>rights</w:t>
      </w:r>
      <w:r w:rsidR="00841B98">
        <w:t xml:space="preserve"> is</w:t>
      </w:r>
      <w:r w:rsidR="008B3503">
        <w:t xml:space="preserve"> </w:t>
      </w:r>
      <w:r w:rsidR="00851AD8">
        <w:t>considered</w:t>
      </w:r>
      <w:r w:rsidR="009C76D8">
        <w:t xml:space="preserve"> detrimental to the provision of </w:t>
      </w:r>
      <w:r w:rsidR="001C42E7">
        <w:t xml:space="preserve">national </w:t>
      </w:r>
      <w:r w:rsidR="009C76D8">
        <w:t>security</w:t>
      </w:r>
      <w:r w:rsidR="00B03025">
        <w:t>, e</w:t>
      </w:r>
      <w:r w:rsidR="002831A6">
        <w:t>specially in times of emergency</w:t>
      </w:r>
      <w:r w:rsidR="00D274CD">
        <w:rPr>
          <w:rStyle w:val="FootnoteReference"/>
        </w:rPr>
        <w:footnoteReference w:id="27"/>
      </w:r>
      <w:r w:rsidR="00B03025">
        <w:t>.</w:t>
      </w:r>
      <w:r w:rsidR="00765227">
        <w:t xml:space="preserve"> </w:t>
      </w:r>
      <w:r w:rsidR="00B03025">
        <w:t xml:space="preserve">Demanding that all rights be respected is </w:t>
      </w:r>
      <w:r w:rsidR="002831A6">
        <w:t>dismissed</w:t>
      </w:r>
      <w:r w:rsidR="00B03025">
        <w:t xml:space="preserve"> </w:t>
      </w:r>
      <w:r w:rsidR="00765227">
        <w:t>as ‘alarmist’ and of ‘</w:t>
      </w:r>
      <w:r w:rsidR="00EA792B">
        <w:t>tying the hands of security agencies in disrupting and preventing terrorists</w:t>
      </w:r>
      <w:r w:rsidR="00D274CD">
        <w:t>.</w:t>
      </w:r>
      <w:r w:rsidR="00EA792B">
        <w:t>’</w:t>
      </w:r>
      <w:r w:rsidR="00C71D37">
        <w:t xml:space="preserve"> </w:t>
      </w:r>
      <w:r w:rsidR="00765227">
        <w:t>Wil</w:t>
      </w:r>
      <w:r w:rsidR="00D274CD">
        <w:t xml:space="preserve">liam </w:t>
      </w:r>
      <w:proofErr w:type="spellStart"/>
      <w:r w:rsidR="00D274CD">
        <w:t>Stuntz</w:t>
      </w:r>
      <w:proofErr w:type="spellEnd"/>
      <w:r w:rsidR="00D274CD">
        <w:t xml:space="preserve"> </w:t>
      </w:r>
      <w:r w:rsidR="00B03025">
        <w:t xml:space="preserve">states: </w:t>
      </w:r>
      <w:r w:rsidR="00842E8C">
        <w:t>‘</w:t>
      </w:r>
      <w:r w:rsidR="00765227">
        <w:t>Privacy and transparency are the diseases. We ne</w:t>
      </w:r>
      <w:r w:rsidR="00B03025">
        <w:t>ed to find a vaccine, and soon.</w:t>
      </w:r>
      <w:r w:rsidR="00842E8C">
        <w:t>’</w:t>
      </w:r>
      <w:r w:rsidR="00D274CD">
        <w:rPr>
          <w:rStyle w:val="FootnoteReference"/>
        </w:rPr>
        <w:footnoteReference w:id="28"/>
      </w:r>
      <w:r w:rsidR="00765227">
        <w:t xml:space="preserve"> </w:t>
      </w:r>
      <w:r w:rsidR="00836833">
        <w:t>This view has gained political</w:t>
      </w:r>
      <w:r w:rsidR="008A007A">
        <w:t xml:space="preserve"> traction since 9/11, following</w:t>
      </w:r>
      <w:r w:rsidR="00B03025">
        <w:t xml:space="preserve"> which ‘exceptional’ securit</w:t>
      </w:r>
      <w:r w:rsidR="00B31B28">
        <w:t>y measures have been normalised</w:t>
      </w:r>
      <w:r w:rsidR="00AD1BF4">
        <w:rPr>
          <w:rStyle w:val="FootnoteReference"/>
        </w:rPr>
        <w:footnoteReference w:id="29"/>
      </w:r>
      <w:r w:rsidR="00B03025">
        <w:t>.</w:t>
      </w:r>
      <w:r w:rsidR="00B03025" w:rsidRPr="00B03025">
        <w:t xml:space="preserve"> </w:t>
      </w:r>
      <w:r w:rsidR="00B03025">
        <w:t xml:space="preserve">In the wake of the attacks on New York and Washington DC, security </w:t>
      </w:r>
      <w:r w:rsidR="008A007A">
        <w:t>is</w:t>
      </w:r>
      <w:r w:rsidR="00271E3B">
        <w:t xml:space="preserve"> </w:t>
      </w:r>
      <w:r w:rsidR="008A007A">
        <w:t>prioritised</w:t>
      </w:r>
      <w:r w:rsidR="00B03025">
        <w:t xml:space="preserve"> – what </w:t>
      </w:r>
      <w:proofErr w:type="spellStart"/>
      <w:r w:rsidR="00B03025">
        <w:t>Colm</w:t>
      </w:r>
      <w:proofErr w:type="spellEnd"/>
      <w:r w:rsidR="00B03025">
        <w:t xml:space="preserve"> </w:t>
      </w:r>
      <w:proofErr w:type="spellStart"/>
      <w:r w:rsidR="00B03025">
        <w:t>O’C</w:t>
      </w:r>
      <w:r w:rsidR="00AD1BF4">
        <w:t>inneide</w:t>
      </w:r>
      <w:proofErr w:type="spellEnd"/>
      <w:r w:rsidR="00B03025">
        <w:t xml:space="preserve"> wonderfully describes as </w:t>
      </w:r>
      <w:r w:rsidR="008A007A">
        <w:t xml:space="preserve">responding to </w:t>
      </w:r>
      <w:r w:rsidR="00B03025">
        <w:t>‘the s</w:t>
      </w:r>
      <w:r w:rsidR="00AD1BF4">
        <w:t>iren song of dreadful necessity</w:t>
      </w:r>
      <w:r w:rsidR="00B03025">
        <w:t>’</w:t>
      </w:r>
      <w:r w:rsidR="00AD1BF4">
        <w:rPr>
          <w:rStyle w:val="FootnoteReference"/>
        </w:rPr>
        <w:footnoteReference w:id="30"/>
      </w:r>
      <w:r w:rsidR="00AD1BF4">
        <w:t>.</w:t>
      </w:r>
      <w:r w:rsidR="00B03025">
        <w:t xml:space="preserve"> </w:t>
      </w:r>
      <w:r w:rsidR="00765227">
        <w:t>On the other h</w:t>
      </w:r>
      <w:r w:rsidR="00B63A9E">
        <w:t xml:space="preserve">and, </w:t>
      </w:r>
      <w:r w:rsidR="00304460">
        <w:t xml:space="preserve">scholars </w:t>
      </w:r>
      <w:r w:rsidR="00271F15">
        <w:t>oppose sacrificing</w:t>
      </w:r>
      <w:r w:rsidR="00B63A9E">
        <w:t xml:space="preserve"> </w:t>
      </w:r>
      <w:r w:rsidR="00271F15">
        <w:t>rights</w:t>
      </w:r>
      <w:r w:rsidR="00D251C0">
        <w:rPr>
          <w:rStyle w:val="FootnoteReference"/>
        </w:rPr>
        <w:footnoteReference w:id="31"/>
      </w:r>
      <w:r w:rsidR="004A41EE">
        <w:t xml:space="preserve">. </w:t>
      </w:r>
      <w:r w:rsidR="00271E3B">
        <w:t xml:space="preserve">M.V. Naidu calls national security </w:t>
      </w:r>
      <w:r w:rsidR="004A70DE">
        <w:t>the ‘greatest attack on civil liberty’</w:t>
      </w:r>
      <w:r w:rsidR="004A70DE">
        <w:rPr>
          <w:rStyle w:val="FootnoteReference"/>
        </w:rPr>
        <w:footnoteReference w:id="32"/>
      </w:r>
      <w:r w:rsidR="004A70DE">
        <w:t xml:space="preserve">. </w:t>
      </w:r>
      <w:r w:rsidR="004F5A1E">
        <w:t>This situation is especially damming given that terrorists may actively want and approve of such disruption to democratic life</w:t>
      </w:r>
      <w:r w:rsidR="004F5A1E">
        <w:rPr>
          <w:rStyle w:val="FootnoteReference"/>
        </w:rPr>
        <w:footnoteReference w:id="33"/>
      </w:r>
      <w:r w:rsidR="00066199">
        <w:t xml:space="preserve">. </w:t>
      </w:r>
      <w:r w:rsidR="006A7428">
        <w:t>Consequently, a normative dilemma emerges: should politicians prioritis</w:t>
      </w:r>
      <w:r w:rsidR="00A16EF5">
        <w:t>e national security</w:t>
      </w:r>
      <w:r w:rsidR="006A7428">
        <w:t xml:space="preserve">, especially in times of extreme threat? Or should </w:t>
      </w:r>
      <w:r w:rsidR="00691F65">
        <w:t>human rights</w:t>
      </w:r>
      <w:r w:rsidR="006A7428">
        <w:t xml:space="preserve"> be respected at all costs?</w:t>
      </w:r>
      <w:r w:rsidR="00EE7E60">
        <w:t xml:space="preserve"> </w:t>
      </w:r>
    </w:p>
    <w:p w14:paraId="44017910" w14:textId="77777777" w:rsidR="00066199" w:rsidRDefault="00066199" w:rsidP="003D7795">
      <w:pPr>
        <w:spacing w:line="480" w:lineRule="auto"/>
      </w:pPr>
    </w:p>
    <w:p w14:paraId="46213869" w14:textId="0AF8471C" w:rsidR="00736B57" w:rsidRDefault="008424D5" w:rsidP="003D7795">
      <w:pPr>
        <w:spacing w:line="480" w:lineRule="auto"/>
      </w:pPr>
      <w:r>
        <w:t>Resolving this dilemma is frequently presented as a need for balance</w:t>
      </w:r>
      <w:r w:rsidR="000F4F0B">
        <w:t xml:space="preserve"> and compromise</w:t>
      </w:r>
      <w:r w:rsidR="001F28F3">
        <w:rPr>
          <w:rStyle w:val="FootnoteReference"/>
        </w:rPr>
        <w:footnoteReference w:id="34"/>
      </w:r>
      <w:r>
        <w:t xml:space="preserve">. </w:t>
      </w:r>
      <w:r w:rsidR="007B6846">
        <w:t>Within this context, human rights</w:t>
      </w:r>
      <w:r>
        <w:t xml:space="preserve"> are no</w:t>
      </w:r>
      <w:r w:rsidR="007B6846">
        <w:t xml:space="preserve"> longer considered absolute</w:t>
      </w:r>
      <w:r>
        <w:t xml:space="preserve">, but subject to a </w:t>
      </w:r>
      <w:proofErr w:type="spellStart"/>
      <w:r>
        <w:t>tradeoff</w:t>
      </w:r>
      <w:proofErr w:type="spellEnd"/>
      <w:r>
        <w:t xml:space="preserve"> with</w:t>
      </w:r>
      <w:r w:rsidR="006F4CC5">
        <w:t xml:space="preserve"> </w:t>
      </w:r>
      <w:r w:rsidR="00E01ECE">
        <w:t xml:space="preserve">limited </w:t>
      </w:r>
      <w:r>
        <w:t>security measures</w:t>
      </w:r>
      <w:r w:rsidR="00AA5987">
        <w:t>. T</w:t>
      </w:r>
      <w:r w:rsidR="00041568">
        <w:t xml:space="preserve">he </w:t>
      </w:r>
      <w:r w:rsidR="007B24DA">
        <w:t>ideal</w:t>
      </w:r>
      <w:r w:rsidR="004D2483">
        <w:t xml:space="preserve"> of rights</w:t>
      </w:r>
      <w:r w:rsidR="007B24DA">
        <w:t xml:space="preserve"> is supposedly transformed </w:t>
      </w:r>
      <w:r w:rsidR="000B24F0">
        <w:t xml:space="preserve">from an abstract conception </w:t>
      </w:r>
      <w:r w:rsidR="00041568">
        <w:t>to</w:t>
      </w:r>
      <w:r w:rsidR="007B24DA">
        <w:t xml:space="preserve"> a </w:t>
      </w:r>
      <w:r w:rsidR="006E507F">
        <w:t xml:space="preserve">pragmatic </w:t>
      </w:r>
      <w:r w:rsidR="000B24F0">
        <w:t>norm</w:t>
      </w:r>
      <w:r w:rsidR="00041568">
        <w:t xml:space="preserve"> </w:t>
      </w:r>
      <w:r w:rsidR="007B24DA">
        <w:t xml:space="preserve">characterised by the </w:t>
      </w:r>
      <w:r w:rsidR="00732CFE">
        <w:t>realities of</w:t>
      </w:r>
      <w:r w:rsidR="00041568">
        <w:t xml:space="preserve"> actual policymaking</w:t>
      </w:r>
      <w:r w:rsidR="003C3334">
        <w:rPr>
          <w:rStyle w:val="FootnoteReference"/>
        </w:rPr>
        <w:footnoteReference w:id="35"/>
      </w:r>
      <w:r w:rsidR="00433AF5">
        <w:t xml:space="preserve"> </w:t>
      </w:r>
      <w:r>
        <w:t xml:space="preserve">– </w:t>
      </w:r>
      <w:r w:rsidR="007B6846">
        <w:t>however ‘unpleasant’ this</w:t>
      </w:r>
      <w:r>
        <w:t xml:space="preserve"> may be</w:t>
      </w:r>
      <w:r w:rsidR="00433AF5">
        <w:rPr>
          <w:rStyle w:val="FootnoteReference"/>
        </w:rPr>
        <w:footnoteReference w:id="36"/>
      </w:r>
      <w:r>
        <w:t>.</w:t>
      </w:r>
      <w:r w:rsidR="00A607BC">
        <w:t xml:space="preserve"> Balance has comprised</w:t>
      </w:r>
      <w:r w:rsidR="000F4F0B">
        <w:t xml:space="preserve"> a key feature of the post-9/11 discourse on </w:t>
      </w:r>
      <w:r w:rsidR="00E72269">
        <w:t>terrorism</w:t>
      </w:r>
      <w:r w:rsidR="00E84EE7">
        <w:t>, whereby</w:t>
      </w:r>
      <w:r w:rsidR="00B825CA">
        <w:t xml:space="preserve"> a</w:t>
      </w:r>
      <w:r w:rsidR="00A612F1">
        <w:t>m increased</w:t>
      </w:r>
      <w:r w:rsidR="00B825CA">
        <w:t xml:space="preserve"> </w:t>
      </w:r>
      <w:r w:rsidR="009461AD">
        <w:t>focus on</w:t>
      </w:r>
      <w:r w:rsidR="00D521B1">
        <w:t xml:space="preserve"> </w:t>
      </w:r>
      <w:r w:rsidR="00732CFE">
        <w:t xml:space="preserve">national </w:t>
      </w:r>
      <w:r w:rsidR="00D521B1">
        <w:t>security</w:t>
      </w:r>
      <w:r w:rsidR="000F4F0B">
        <w:t xml:space="preserve"> </w:t>
      </w:r>
      <w:r w:rsidR="003A5EDA">
        <w:t>is</w:t>
      </w:r>
      <w:r w:rsidR="000F4F0B">
        <w:t xml:space="preserve"> portrayed as necessitating </w:t>
      </w:r>
      <w:r w:rsidR="00240607">
        <w:t>a ‘new balance’</w:t>
      </w:r>
      <w:r w:rsidR="00433AF5">
        <w:rPr>
          <w:rStyle w:val="FootnoteReference"/>
        </w:rPr>
        <w:footnoteReference w:id="37"/>
      </w:r>
      <w:r w:rsidR="00240607">
        <w:t>,</w:t>
      </w:r>
      <w:r w:rsidR="001E6BE8">
        <w:t xml:space="preserve"> ‘rebalancing’</w:t>
      </w:r>
      <w:r w:rsidR="00433AF5">
        <w:rPr>
          <w:rStyle w:val="FootnoteReference"/>
        </w:rPr>
        <w:footnoteReference w:id="38"/>
      </w:r>
      <w:r w:rsidR="001E6BE8">
        <w:t>, or ‘recalibra</w:t>
      </w:r>
      <w:r w:rsidR="0092468D">
        <w:t>ting the balance’</w:t>
      </w:r>
      <w:r w:rsidR="00433AF5">
        <w:rPr>
          <w:rStyle w:val="FootnoteReference"/>
        </w:rPr>
        <w:footnoteReference w:id="39"/>
      </w:r>
      <w:r w:rsidR="00433AF5">
        <w:t xml:space="preserve"> </w:t>
      </w:r>
      <w:r w:rsidR="006F4CC5">
        <w:t>between rights and security</w:t>
      </w:r>
      <w:r w:rsidR="001E6BE8">
        <w:t>.</w:t>
      </w:r>
      <w:r w:rsidR="00801EE4" w:rsidRPr="00801EE4">
        <w:t xml:space="preserve"> </w:t>
      </w:r>
      <w:r w:rsidR="00F77884">
        <w:t xml:space="preserve">Others, however, describe this </w:t>
      </w:r>
      <w:r w:rsidR="006F4CC5">
        <w:t xml:space="preserve">approach </w:t>
      </w:r>
      <w:r w:rsidR="00F77884">
        <w:t>as a</w:t>
      </w:r>
      <w:r w:rsidR="006F4CC5">
        <w:t xml:space="preserve"> ‘Faustian Pact’</w:t>
      </w:r>
      <w:r w:rsidR="00433AF5">
        <w:rPr>
          <w:rStyle w:val="FootnoteReference"/>
        </w:rPr>
        <w:footnoteReference w:id="40"/>
      </w:r>
      <w:r w:rsidR="0099524D">
        <w:t xml:space="preserve"> or r</w:t>
      </w:r>
      <w:r w:rsidR="00870624">
        <w:t xml:space="preserve">eject the concept of balance </w:t>
      </w:r>
      <w:r w:rsidR="0099524D">
        <w:t>altogether</w:t>
      </w:r>
      <w:r w:rsidR="00547CD5">
        <w:rPr>
          <w:rStyle w:val="FootnoteReference"/>
        </w:rPr>
        <w:footnoteReference w:id="41"/>
      </w:r>
      <w:r w:rsidR="008B3503">
        <w:t xml:space="preserve">. </w:t>
      </w:r>
      <w:r w:rsidR="005C5B1A">
        <w:t>In reference to the latter,</w:t>
      </w:r>
      <w:r w:rsidR="00F0682D">
        <w:t xml:space="preserve"> Dan Squires QC states that security and liberty are n</w:t>
      </w:r>
      <w:r w:rsidR="00721E43">
        <w:t xml:space="preserve">ot </w:t>
      </w:r>
      <w:r w:rsidR="00E44A4F">
        <w:t xml:space="preserve">conceptually </w:t>
      </w:r>
      <w:r w:rsidR="00721E43">
        <w:t>equal and subseq</w:t>
      </w:r>
      <w:r w:rsidR="00F53B11">
        <w:t>u</w:t>
      </w:r>
      <w:r w:rsidR="00721E43">
        <w:t xml:space="preserve">ently cannot be </w:t>
      </w:r>
      <w:r w:rsidR="00F53B11" w:rsidRPr="00F53B11">
        <w:t>offset</w:t>
      </w:r>
      <w:r w:rsidR="00721E43">
        <w:t>,</w:t>
      </w:r>
      <w:r w:rsidR="00F0682D">
        <w:t xml:space="preserve"> to the extent</w:t>
      </w:r>
      <w:r w:rsidR="00721E43">
        <w:t xml:space="preserve"> that</w:t>
      </w:r>
      <w:r w:rsidR="00F0682D">
        <w:t xml:space="preserve"> ‘it is not clear that we are involved in a meaningful exercise at all’</w:t>
      </w:r>
      <w:r w:rsidR="00E97AF4">
        <w:t xml:space="preserve"> in trying to achieve compromise</w:t>
      </w:r>
      <w:r w:rsidR="00F0682D">
        <w:rPr>
          <w:rStyle w:val="FootnoteReference"/>
        </w:rPr>
        <w:footnoteReference w:id="42"/>
      </w:r>
      <w:r w:rsidR="00F0682D">
        <w:t>. Furthermore, b</w:t>
      </w:r>
      <w:r w:rsidR="00B83110">
        <w:t>alance</w:t>
      </w:r>
      <w:r w:rsidR="009C21FD">
        <w:t xml:space="preserve"> is</w:t>
      </w:r>
      <w:r w:rsidR="00F0682D">
        <w:t xml:space="preserve"> criticised as</w:t>
      </w:r>
      <w:r w:rsidR="009C21FD">
        <w:t xml:space="preserve"> a loaded metaphor that assumes ‘that </w:t>
      </w:r>
      <w:r w:rsidR="009C21FD">
        <w:rPr>
          <w:i/>
        </w:rPr>
        <w:t>liberty can make no positive contribution to security</w:t>
      </w:r>
      <w:r w:rsidR="009C21FD">
        <w:t>’</w:t>
      </w:r>
      <w:r w:rsidR="00547CD5">
        <w:rPr>
          <w:rStyle w:val="FootnoteReference"/>
        </w:rPr>
        <w:footnoteReference w:id="43"/>
      </w:r>
      <w:r w:rsidR="009C21FD">
        <w:t xml:space="preserve">. While balance </w:t>
      </w:r>
      <w:r w:rsidR="00192C82">
        <w:t>engenders positive</w:t>
      </w:r>
      <w:r w:rsidR="00B83110">
        <w:t xml:space="preserve"> images of scales and justice – </w:t>
      </w:r>
      <w:r w:rsidR="00F53B11">
        <w:t xml:space="preserve">which promote </w:t>
      </w:r>
      <w:r w:rsidR="00B83110">
        <w:t>the idea that any compromise is fair and equalis</w:t>
      </w:r>
      <w:r w:rsidR="00B83110" w:rsidRPr="00B83110">
        <w:t>ed</w:t>
      </w:r>
      <w:r w:rsidR="00B83110">
        <w:t xml:space="preserve"> – this framework </w:t>
      </w:r>
      <w:r w:rsidR="001D2C6B">
        <w:t>may actually perpetuate</w:t>
      </w:r>
      <w:r w:rsidR="00B83110">
        <w:t xml:space="preserve"> a negative</w:t>
      </w:r>
      <w:r w:rsidR="009C21FD">
        <w:t xml:space="preserve"> assump</w:t>
      </w:r>
      <w:r w:rsidR="00F53B11">
        <w:t xml:space="preserve">tion against the value of </w:t>
      </w:r>
      <w:r w:rsidR="00281AAE">
        <w:t xml:space="preserve">rights. </w:t>
      </w:r>
      <w:r w:rsidR="00F0682D">
        <w:t>This</w:t>
      </w:r>
      <w:r w:rsidR="003F51DB">
        <w:t xml:space="preserve"> debate against balance as a workable conception</w:t>
      </w:r>
      <w:r w:rsidR="00F0682D">
        <w:t>, however,</w:t>
      </w:r>
      <w:r w:rsidR="001D2C6B">
        <w:t xml:space="preserve"> does</w:t>
      </w:r>
      <w:r w:rsidR="003F51DB">
        <w:t xml:space="preserve"> not undermine the </w:t>
      </w:r>
      <w:r w:rsidR="003E317E">
        <w:t xml:space="preserve">way people still </w:t>
      </w:r>
      <w:r w:rsidR="007A382D">
        <w:t>view</w:t>
      </w:r>
      <w:r w:rsidR="003F51DB">
        <w:t xml:space="preserve"> the situation as a dilemma between two modes of policymaking. Even </w:t>
      </w:r>
      <w:r w:rsidR="003E317E">
        <w:t>where analysts disagree with balance</w:t>
      </w:r>
      <w:r w:rsidR="003F51DB">
        <w:t xml:space="preserve"> as </w:t>
      </w:r>
      <w:r w:rsidR="003E317E">
        <w:t>an appropriate way forward, norms concerning</w:t>
      </w:r>
      <w:r w:rsidR="003F51DB">
        <w:t xml:space="preserve"> what policy </w:t>
      </w:r>
      <w:r w:rsidR="003F51DB" w:rsidRPr="003E317E">
        <w:rPr>
          <w:i/>
        </w:rPr>
        <w:t xml:space="preserve">should </w:t>
      </w:r>
      <w:r w:rsidR="003F51DB">
        <w:t xml:space="preserve">do in respect of counterterrorism </w:t>
      </w:r>
      <w:r w:rsidR="003E317E">
        <w:t xml:space="preserve">and counter-radicalisation </w:t>
      </w:r>
      <w:r w:rsidR="003F51DB">
        <w:t>still exist and influence actors, both at the public and political level</w:t>
      </w:r>
      <w:r w:rsidR="003E317E">
        <w:t>s</w:t>
      </w:r>
      <w:r w:rsidR="003F51DB">
        <w:t>.</w:t>
      </w:r>
      <w:r w:rsidR="004932E7">
        <w:t xml:space="preserve"> </w:t>
      </w:r>
      <w:r w:rsidR="00736B57">
        <w:t xml:space="preserve">This </w:t>
      </w:r>
      <w:r w:rsidR="00184A17">
        <w:t>contradictory normative environment</w:t>
      </w:r>
      <w:r w:rsidR="00736B57">
        <w:t xml:space="preserve"> is problematic for </w:t>
      </w:r>
      <w:r w:rsidR="002A1FFB">
        <w:t>policymakers</w:t>
      </w:r>
      <w:r w:rsidR="00736B57">
        <w:t xml:space="preserve"> in that any </w:t>
      </w:r>
      <w:r w:rsidR="002A1FFB">
        <w:t xml:space="preserve">proposed </w:t>
      </w:r>
      <w:r w:rsidR="00736B57">
        <w:t>policy seems destined to upset someone. Political actors, therefore, face a challenge: how do you win support for a decision that will inevitably</w:t>
      </w:r>
      <w:r w:rsidR="00F9788E">
        <w:t xml:space="preserve"> be controversial</w:t>
      </w:r>
      <w:r w:rsidR="00736B57">
        <w:t xml:space="preserve">? </w:t>
      </w:r>
    </w:p>
    <w:p w14:paraId="1D77E210" w14:textId="77777777" w:rsidR="006A357B" w:rsidRDefault="006A357B" w:rsidP="003D7795">
      <w:pPr>
        <w:spacing w:line="480" w:lineRule="auto"/>
      </w:pPr>
    </w:p>
    <w:p w14:paraId="2DFEBB06" w14:textId="77777777" w:rsidR="00842E8C" w:rsidRDefault="00842E8C" w:rsidP="003D7795">
      <w:pPr>
        <w:spacing w:line="480" w:lineRule="auto"/>
      </w:pPr>
    </w:p>
    <w:p w14:paraId="745BE35E" w14:textId="77777777" w:rsidR="00EE7E60" w:rsidRPr="00D433F0" w:rsidRDefault="00EE7E60" w:rsidP="003D7795">
      <w:pPr>
        <w:spacing w:line="480" w:lineRule="auto"/>
      </w:pPr>
    </w:p>
    <w:p w14:paraId="4B209B88" w14:textId="696699DB" w:rsidR="006D31AF" w:rsidRPr="00D433F0" w:rsidRDefault="00575227" w:rsidP="003D7795">
      <w:pPr>
        <w:spacing w:line="480" w:lineRule="auto"/>
        <w:rPr>
          <w:b/>
        </w:rPr>
      </w:pPr>
      <w:r>
        <w:rPr>
          <w:b/>
        </w:rPr>
        <w:t xml:space="preserve">Normative </w:t>
      </w:r>
      <w:r w:rsidR="004C5981">
        <w:rPr>
          <w:b/>
        </w:rPr>
        <w:t>i</w:t>
      </w:r>
      <w:r>
        <w:rPr>
          <w:b/>
        </w:rPr>
        <w:t>nvalidation</w:t>
      </w:r>
    </w:p>
    <w:p w14:paraId="3CFB9629" w14:textId="77777777" w:rsidR="006D31AF" w:rsidRPr="00D433F0" w:rsidRDefault="006D31AF" w:rsidP="003D7795">
      <w:pPr>
        <w:spacing w:line="480" w:lineRule="auto"/>
      </w:pPr>
    </w:p>
    <w:p w14:paraId="2278D3D1" w14:textId="75FFD704" w:rsidR="00F45905" w:rsidRDefault="006D31AF" w:rsidP="003D7795">
      <w:pPr>
        <w:spacing w:line="480" w:lineRule="auto"/>
      </w:pPr>
      <w:r w:rsidRPr="00D433F0">
        <w:t xml:space="preserve">The resolution of normative dilemma </w:t>
      </w:r>
      <w:r w:rsidR="00431D55">
        <w:t>remains an</w:t>
      </w:r>
      <w:r w:rsidR="00ED5437">
        <w:t xml:space="preserve"> under-analysed issue. The</w:t>
      </w:r>
      <w:r w:rsidR="00C060C7">
        <w:t>re is a</w:t>
      </w:r>
      <w:r w:rsidR="00ED5437">
        <w:t xml:space="preserve"> tendency to assume that conflicting </w:t>
      </w:r>
      <w:r w:rsidR="00842E41">
        <w:t xml:space="preserve">policy </w:t>
      </w:r>
      <w:r w:rsidR="00ED5437">
        <w:t>n</w:t>
      </w:r>
      <w:r w:rsidR="00D87A1A">
        <w:t>orms</w:t>
      </w:r>
      <w:r w:rsidR="002C0B62">
        <w:t xml:space="preserve"> </w:t>
      </w:r>
      <w:r w:rsidR="00D87A1A">
        <w:t>essentially ‘battle it out,</w:t>
      </w:r>
      <w:r w:rsidR="00ED5437">
        <w:t>’ with one eventually taking precedence over</w:t>
      </w:r>
      <w:r w:rsidR="00D87A1A">
        <w:t xml:space="preserve"> </w:t>
      </w:r>
      <w:r w:rsidR="00ED5437">
        <w:t>the other</w:t>
      </w:r>
      <w:r w:rsidR="0015351A">
        <w:t xml:space="preserve"> or some form</w:t>
      </w:r>
      <w:r w:rsidR="002559B4">
        <w:t xml:space="preserve"> of balance being concluded</w:t>
      </w:r>
      <w:r w:rsidR="00E2142F">
        <w:t xml:space="preserve">. In terms of how </w:t>
      </w:r>
      <w:r w:rsidR="007C46FD">
        <w:t>resolution</w:t>
      </w:r>
      <w:r w:rsidR="00ED5437">
        <w:t xml:space="preserve"> occurs, this is typically attributed </w:t>
      </w:r>
      <w:r w:rsidR="007C46FD">
        <w:t xml:space="preserve">to </w:t>
      </w:r>
      <w:r w:rsidR="0050415E">
        <w:t>one of t</w:t>
      </w:r>
      <w:r w:rsidR="009B7D2F">
        <w:t>wo explanations. First, this is</w:t>
      </w:r>
      <w:r w:rsidR="007C46FD">
        <w:t xml:space="preserve"> </w:t>
      </w:r>
      <w:r w:rsidR="0050415E">
        <w:t xml:space="preserve">a </w:t>
      </w:r>
      <w:r w:rsidR="00E2142F">
        <w:t>measure</w:t>
      </w:r>
      <w:r w:rsidR="00037854">
        <w:t xml:space="preserve"> of normative strength. O</w:t>
      </w:r>
      <w:r w:rsidR="00ED5437">
        <w:t xml:space="preserve">ne norm is </w:t>
      </w:r>
      <w:r w:rsidR="0050415E">
        <w:t xml:space="preserve">hierarchically </w:t>
      </w:r>
      <w:r w:rsidR="00ED5437">
        <w:t>stronger a</w:t>
      </w:r>
      <w:r w:rsidR="009B7D2F">
        <w:t>nd more pervasive</w:t>
      </w:r>
      <w:r w:rsidR="007C46FD">
        <w:t>, leading to its adoption</w:t>
      </w:r>
      <w:r w:rsidR="00787096">
        <w:rPr>
          <w:rStyle w:val="FootnoteReference"/>
        </w:rPr>
        <w:footnoteReference w:id="44"/>
      </w:r>
      <w:r w:rsidR="0050415E">
        <w:t xml:space="preserve">. </w:t>
      </w:r>
      <w:r w:rsidR="00F84421">
        <w:t>Second, it is argued that</w:t>
      </w:r>
      <w:r w:rsidR="0050415E">
        <w:t xml:space="preserve"> the</w:t>
      </w:r>
      <w:r w:rsidR="007C46FD">
        <w:t xml:space="preserve"> priority</w:t>
      </w:r>
      <w:r w:rsidR="0050415E">
        <w:t xml:space="preserve"> selection of one norm is </w:t>
      </w:r>
      <w:r w:rsidR="00ED5437">
        <w:t xml:space="preserve">the </w:t>
      </w:r>
      <w:r w:rsidR="00350CC2">
        <w:t xml:space="preserve">product of </w:t>
      </w:r>
      <w:r w:rsidR="0050415E">
        <w:t>se</w:t>
      </w:r>
      <w:r w:rsidR="00350CC2">
        <w:t>lf-interest, where actors choose</w:t>
      </w:r>
      <w:r w:rsidR="0050415E">
        <w:t xml:space="preserve"> the norm that best serves their</w:t>
      </w:r>
      <w:r w:rsidR="00963D5F">
        <w:t xml:space="preserve"> own </w:t>
      </w:r>
      <w:r w:rsidR="00F76085">
        <w:t xml:space="preserve">policy </w:t>
      </w:r>
      <w:r w:rsidR="00ED5437">
        <w:t>a</w:t>
      </w:r>
      <w:r w:rsidR="009A116B">
        <w:t>mbitions</w:t>
      </w:r>
      <w:r w:rsidR="00787096">
        <w:rPr>
          <w:rStyle w:val="FootnoteReference"/>
        </w:rPr>
        <w:footnoteReference w:id="45"/>
      </w:r>
      <w:r w:rsidR="0050415E">
        <w:t>.</w:t>
      </w:r>
      <w:r w:rsidR="00350CC2">
        <w:t xml:space="preserve"> </w:t>
      </w:r>
      <w:r w:rsidR="00E511E7">
        <w:t>N</w:t>
      </w:r>
      <w:r w:rsidR="0068400A">
        <w:t>ormative employment</w:t>
      </w:r>
      <w:r w:rsidR="00C96995">
        <w:t>, therefore,</w:t>
      </w:r>
      <w:r w:rsidR="0068400A">
        <w:t xml:space="preserve"> is </w:t>
      </w:r>
      <w:r w:rsidR="000822D9">
        <w:t xml:space="preserve">ultimately </w:t>
      </w:r>
      <w:r w:rsidR="0068400A">
        <w:t>a combination</w:t>
      </w:r>
      <w:r w:rsidR="00571CCB">
        <w:t xml:space="preserve"> of realist behaviour</w:t>
      </w:r>
      <w:r w:rsidR="00F84421">
        <w:t xml:space="preserve"> and normative pressure, </w:t>
      </w:r>
      <w:r w:rsidR="0068400A">
        <w:t>within</w:t>
      </w:r>
      <w:r w:rsidR="00F84421">
        <w:t xml:space="preserve"> which self-interest has the upper hand</w:t>
      </w:r>
      <w:r w:rsidR="00787096">
        <w:rPr>
          <w:rStyle w:val="FootnoteReference"/>
        </w:rPr>
        <w:footnoteReference w:id="46"/>
      </w:r>
      <w:r w:rsidRPr="00D433F0">
        <w:t xml:space="preserve">. </w:t>
      </w:r>
      <w:r w:rsidR="000822D9">
        <w:t>Both</w:t>
      </w:r>
      <w:r w:rsidR="003A4395">
        <w:t xml:space="preserve"> </w:t>
      </w:r>
      <w:r w:rsidR="00486747">
        <w:t xml:space="preserve">these </w:t>
      </w:r>
      <w:r w:rsidR="003A4395">
        <w:t>approaches</w:t>
      </w:r>
      <w:r w:rsidR="003C3FF7">
        <w:t xml:space="preserve"> oversimpli</w:t>
      </w:r>
      <w:r w:rsidR="00D90F13">
        <w:t xml:space="preserve">fy the </w:t>
      </w:r>
      <w:r w:rsidR="00963D5F" w:rsidRPr="00963D5F">
        <w:t>character</w:t>
      </w:r>
      <w:r w:rsidR="003A4395">
        <w:t xml:space="preserve"> of</w:t>
      </w:r>
      <w:r w:rsidR="00D90F13">
        <w:t xml:space="preserve"> conflicting norms;</w:t>
      </w:r>
      <w:r w:rsidR="003C3FF7">
        <w:t xml:space="preserve"> specifically</w:t>
      </w:r>
      <w:r w:rsidR="00963D5F">
        <w:t>,</w:t>
      </w:r>
      <w:r w:rsidR="003C3FF7">
        <w:t xml:space="preserve"> </w:t>
      </w:r>
      <w:r w:rsidR="00D90F13">
        <w:t>that each conceptualisation o</w:t>
      </w:r>
      <w:r w:rsidR="00C420FC">
        <w:t>f normative dilemma relies on the</w:t>
      </w:r>
      <w:r w:rsidR="00963D5F">
        <w:t xml:space="preserve"> same</w:t>
      </w:r>
      <w:r w:rsidR="00C420FC">
        <w:t xml:space="preserve"> intrinsic</w:t>
      </w:r>
      <w:r w:rsidR="00D90F13">
        <w:t xml:space="preserve"> assumption </w:t>
      </w:r>
      <w:r w:rsidR="003C3FF7">
        <w:t>that the ‘unused’ norm – once rejected</w:t>
      </w:r>
      <w:r w:rsidR="00497034">
        <w:t>, or partially rejected in the case of balance</w:t>
      </w:r>
      <w:r w:rsidR="003C3FF7">
        <w:t xml:space="preserve"> – is no longer of consequence.</w:t>
      </w:r>
      <w:r w:rsidR="0048594C">
        <w:t xml:space="preserve"> This is not the case</w:t>
      </w:r>
      <w:r w:rsidR="00F02BF0">
        <w:t>. While a rejected norm may no longer</w:t>
      </w:r>
      <w:r w:rsidR="00A53B5E">
        <w:t xml:space="preserve"> be of</w:t>
      </w:r>
      <w:r w:rsidR="00D336A6">
        <w:t xml:space="preserve"> consequence to an</w:t>
      </w:r>
      <w:r w:rsidR="00C749DD">
        <w:t xml:space="preserve"> actor in respect of the content of</w:t>
      </w:r>
      <w:r w:rsidR="00CA7826">
        <w:t xml:space="preserve"> their</w:t>
      </w:r>
      <w:r w:rsidR="00C749DD">
        <w:t xml:space="preserve"> policy</w:t>
      </w:r>
      <w:r w:rsidR="00F02BF0">
        <w:t xml:space="preserve"> (in that they have made their decision)</w:t>
      </w:r>
      <w:r w:rsidR="00C749DD">
        <w:t xml:space="preserve">, </w:t>
      </w:r>
      <w:r w:rsidR="00B6078A">
        <w:t>this</w:t>
      </w:r>
      <w:r w:rsidR="00CA7826">
        <w:t xml:space="preserve"> norm is still relevant to</w:t>
      </w:r>
      <w:r w:rsidR="00F02BF0">
        <w:t xml:space="preserve"> the communication of</w:t>
      </w:r>
      <w:r w:rsidR="00C749DD">
        <w:t xml:space="preserve"> policy to others. In failing to consider this aspect of policy construction, </w:t>
      </w:r>
      <w:r w:rsidR="00F02BF0">
        <w:t>the debate</w:t>
      </w:r>
      <w:r w:rsidR="00CA7826">
        <w:t xml:space="preserve"> creates a major gap in our </w:t>
      </w:r>
      <w:r w:rsidR="00502C2E">
        <w:t>comprehension</w:t>
      </w:r>
      <w:r w:rsidR="00C749DD">
        <w:t xml:space="preserve"> of normative dilemma. </w:t>
      </w:r>
      <w:r w:rsidR="00CA7826">
        <w:t xml:space="preserve">This </w:t>
      </w:r>
      <w:r w:rsidR="0022752D">
        <w:t>gap occurs</w:t>
      </w:r>
      <w:r w:rsidR="00777E1B">
        <w:t xml:space="preserve"> because the current </w:t>
      </w:r>
      <w:r w:rsidR="0022424D">
        <w:t>debate</w:t>
      </w:r>
      <w:r w:rsidR="00CA7826">
        <w:t xml:space="preserve"> ignores an</w:t>
      </w:r>
      <w:r w:rsidR="00DD477D">
        <w:t xml:space="preserve"> entire stage of policy-making </w:t>
      </w:r>
      <w:r w:rsidR="00676A32">
        <w:t>(communication) and</w:t>
      </w:r>
      <w:r w:rsidR="00CA7826">
        <w:t xml:space="preserve"> o</w:t>
      </w:r>
      <w:r w:rsidR="00676A32">
        <w:t>verlooks a key political space</w:t>
      </w:r>
      <w:r w:rsidR="00CA7826">
        <w:t xml:space="preserve"> in which norms influence</w:t>
      </w:r>
      <w:r w:rsidR="00676A32">
        <w:t xml:space="preserve"> (the rhetorical)</w:t>
      </w:r>
      <w:r w:rsidR="00CA7826">
        <w:t>.</w:t>
      </w:r>
      <w:r w:rsidR="00DD477D">
        <w:t xml:space="preserve"> It is in this space that both norms </w:t>
      </w:r>
      <w:r w:rsidR="00767F79">
        <w:t>retain</w:t>
      </w:r>
      <w:r w:rsidR="00DD477D">
        <w:t xml:space="preserve"> full relevance, despite the actor’s policy ambitions, </w:t>
      </w:r>
      <w:r w:rsidR="00DD477D" w:rsidRPr="00DD477D">
        <w:rPr>
          <w:i/>
        </w:rPr>
        <w:t>until</w:t>
      </w:r>
      <w:r w:rsidR="00767F79">
        <w:t xml:space="preserve"> that</w:t>
      </w:r>
      <w:r w:rsidR="00DD477D">
        <w:t xml:space="preserve"> actor can </w:t>
      </w:r>
      <w:r w:rsidR="00767F79">
        <w:t xml:space="preserve">rhetorically </w:t>
      </w:r>
      <w:r w:rsidR="00DD477D">
        <w:t xml:space="preserve">persuade an audience one way or another. </w:t>
      </w:r>
      <w:r w:rsidR="00CB177F">
        <w:t>Regardless of the motivating factor</w:t>
      </w:r>
      <w:r w:rsidR="00A7615C">
        <w:t>s behind a</w:t>
      </w:r>
      <w:r w:rsidR="00CB177F">
        <w:t xml:space="preserve"> decision be</w:t>
      </w:r>
      <w:r w:rsidR="003B3370">
        <w:t>tween two norm</w:t>
      </w:r>
      <w:r w:rsidR="00CE44E5">
        <w:t>s</w:t>
      </w:r>
      <w:r w:rsidR="003B3370">
        <w:t>, this decision</w:t>
      </w:r>
      <w:r w:rsidR="00CB177F">
        <w:t xml:space="preserve"> continues to exist </w:t>
      </w:r>
      <w:r w:rsidR="00A7615C">
        <w:t>with</w:t>
      </w:r>
      <w:r w:rsidR="00CB177F">
        <w:t xml:space="preserve">in a binary normative environment in which both norms </w:t>
      </w:r>
      <w:r w:rsidR="007F5767">
        <w:t>are accepted as valid</w:t>
      </w:r>
      <w:r w:rsidR="00CB177F">
        <w:t>.</w:t>
      </w:r>
      <w:r w:rsidR="00CE44E5">
        <w:t xml:space="preserve"> </w:t>
      </w:r>
      <w:r w:rsidR="009D5B9E">
        <w:t xml:space="preserve">Selecting one policy approach does not automatically negate the other, especially where failing to do so potentially provides a platform to critics (and where that criticism also plays into a strong and pre-existing normative framework). The actor cannot adopt </w:t>
      </w:r>
      <w:r w:rsidR="00F978C2">
        <w:t xml:space="preserve">only </w:t>
      </w:r>
      <w:r w:rsidR="009D5B9E">
        <w:t>part of a binary debate; indeed, that not addressing the debate in its entirety risks undermining the political strategy pursued</w:t>
      </w:r>
      <w:r w:rsidR="00BB3B29">
        <w:t xml:space="preserve">. </w:t>
      </w:r>
      <w:r w:rsidR="001743B7">
        <w:t>Consequently, this opens up an original an</w:t>
      </w:r>
      <w:r w:rsidR="00A97741">
        <w:t>d crucial</w:t>
      </w:r>
      <w:r w:rsidR="009948B6">
        <w:t xml:space="preserve"> question: how</w:t>
      </w:r>
      <w:r w:rsidR="001743B7">
        <w:t xml:space="preserve"> does an actor communicate policy </w:t>
      </w:r>
      <w:r w:rsidR="00097AC5">
        <w:t>when this</w:t>
      </w:r>
      <w:r w:rsidR="00FB282E">
        <w:t xml:space="preserve"> is constructed</w:t>
      </w:r>
      <w:r w:rsidR="004568B9">
        <w:t xml:space="preserve"> </w:t>
      </w:r>
      <w:r w:rsidR="00FB282E">
        <w:t>with</w:t>
      </w:r>
      <w:r w:rsidR="004568B9">
        <w:t xml:space="preserve">in </w:t>
      </w:r>
      <w:r w:rsidR="001743B7">
        <w:t>a binary normative environment?</w:t>
      </w:r>
    </w:p>
    <w:p w14:paraId="3590B0AD" w14:textId="77777777" w:rsidR="00F45905" w:rsidRDefault="00F45905" w:rsidP="003D7795">
      <w:pPr>
        <w:spacing w:line="480" w:lineRule="auto"/>
      </w:pPr>
    </w:p>
    <w:p w14:paraId="24D637F9" w14:textId="5427C379" w:rsidR="00314B10" w:rsidRDefault="0031038D" w:rsidP="003D7795">
      <w:pPr>
        <w:spacing w:line="480" w:lineRule="auto"/>
      </w:pPr>
      <w:r>
        <w:t xml:space="preserve">This </w:t>
      </w:r>
      <w:r w:rsidR="00395511">
        <w:t>solution proposed here is</w:t>
      </w:r>
      <w:r>
        <w:t xml:space="preserve"> the concept of </w:t>
      </w:r>
      <w:r w:rsidRPr="005E3230">
        <w:rPr>
          <w:i/>
        </w:rPr>
        <w:t>normative invalidation</w:t>
      </w:r>
      <w:r w:rsidR="005E3230">
        <w:t xml:space="preserve">. </w:t>
      </w:r>
      <w:r w:rsidR="004C39C6">
        <w:t>This is the claim that r</w:t>
      </w:r>
      <w:r w:rsidR="005F6D6F">
        <w:t xml:space="preserve">hetorical strategy must outline a justification as to why any rejected </w:t>
      </w:r>
      <w:r w:rsidR="006C3F9A">
        <w:t>or partial policy norm</w:t>
      </w:r>
      <w:r w:rsidR="005F6D6F">
        <w:t xml:space="preserve"> does not apply </w:t>
      </w:r>
      <w:r w:rsidR="001F7FC7">
        <w:t>with</w:t>
      </w:r>
      <w:r w:rsidR="005F6D6F">
        <w:t>in a given scenari</w:t>
      </w:r>
      <w:r w:rsidR="0080509F">
        <w:t xml:space="preserve">o. </w:t>
      </w:r>
      <w:r w:rsidR="00D57D85">
        <w:t>For example, if an act</w:t>
      </w:r>
      <w:r w:rsidR="00B71446">
        <w:t xml:space="preserve">or promotes the maintenance of </w:t>
      </w:r>
      <w:r w:rsidR="00D57D85">
        <w:t>rights in relation to counter-radicalisat</w:t>
      </w:r>
      <w:r w:rsidR="00B71446">
        <w:t xml:space="preserve">ion, they must additionally </w:t>
      </w:r>
      <w:r w:rsidR="00264344">
        <w:t>create a</w:t>
      </w:r>
      <w:r w:rsidR="00CF6AF1">
        <w:t xml:space="preserve"> perception </w:t>
      </w:r>
      <w:r w:rsidR="00B71446">
        <w:t>that</w:t>
      </w:r>
      <w:r w:rsidR="00D57D85">
        <w:t xml:space="preserve"> this policy will no</w:t>
      </w:r>
      <w:r w:rsidR="006F3F30">
        <w:t xml:space="preserve">t detrimentally impact the </w:t>
      </w:r>
      <w:r w:rsidR="00D57D85">
        <w:t>prov</w:t>
      </w:r>
      <w:r w:rsidR="006F3F30">
        <w:t xml:space="preserve">ision and assurance of </w:t>
      </w:r>
      <w:r w:rsidR="002002F2">
        <w:t xml:space="preserve">national </w:t>
      </w:r>
      <w:r w:rsidR="006F3F30">
        <w:t>security against a major threat</w:t>
      </w:r>
      <w:r w:rsidR="002C09F8">
        <w:t xml:space="preserve">; </w:t>
      </w:r>
      <w:r w:rsidR="00046CAD">
        <w:t xml:space="preserve">simply </w:t>
      </w:r>
      <w:r w:rsidR="002C09F8">
        <w:t>invoking th</w:t>
      </w:r>
      <w:r w:rsidR="00AF6A22">
        <w:t>e ne</w:t>
      </w:r>
      <w:r w:rsidR="005F73A1">
        <w:t xml:space="preserve">ed for human rights is </w:t>
      </w:r>
      <w:r w:rsidR="008E5989">
        <w:t>insufficient</w:t>
      </w:r>
      <w:r w:rsidR="002C09F8">
        <w:t>.</w:t>
      </w:r>
      <w:r w:rsidR="00B71446">
        <w:t xml:space="preserve"> T</w:t>
      </w:r>
      <w:r w:rsidR="00DF6724">
        <w:t>he reverse is also true</w:t>
      </w:r>
      <w:r w:rsidR="00F6466F">
        <w:t>. A</w:t>
      </w:r>
      <w:r w:rsidR="00DF6724">
        <w:t xml:space="preserve">s this article will </w:t>
      </w:r>
      <w:r w:rsidR="00E12F10" w:rsidRPr="00E12F10">
        <w:t>establish</w:t>
      </w:r>
      <w:r w:rsidR="00DF6724">
        <w:t xml:space="preserve">, even the most </w:t>
      </w:r>
      <w:proofErr w:type="spellStart"/>
      <w:r w:rsidR="00DF6724">
        <w:t>hardline</w:t>
      </w:r>
      <w:proofErr w:type="spellEnd"/>
      <w:r w:rsidR="001126DF">
        <w:t xml:space="preserve"> policy</w:t>
      </w:r>
      <w:r w:rsidR="00DF6724">
        <w:t xml:space="preserve"> commitment to </w:t>
      </w:r>
      <w:r w:rsidR="00431AFB">
        <w:t xml:space="preserve">national </w:t>
      </w:r>
      <w:r w:rsidR="00DF6724">
        <w:t xml:space="preserve">security must still answer to </w:t>
      </w:r>
      <w:r w:rsidR="00FF3B50">
        <w:t xml:space="preserve">the </w:t>
      </w:r>
      <w:r w:rsidR="00E12F10">
        <w:t>rights</w:t>
      </w:r>
      <w:r w:rsidR="00FF3B50">
        <w:t xml:space="preserve"> cause</w:t>
      </w:r>
      <w:r w:rsidR="009E7E47">
        <w:t>.</w:t>
      </w:r>
      <w:r w:rsidR="000018EE">
        <w:t xml:space="preserve"> </w:t>
      </w:r>
      <w:r w:rsidR="001C1F69">
        <w:t>By identifying acts of rhetorical justification – where these specifically appeal to a contested norm – this article demonstrates the presence and substance of normative invalidation.</w:t>
      </w:r>
      <w:r w:rsidR="00DA093E">
        <w:t xml:space="preserve"> S</w:t>
      </w:r>
      <w:r w:rsidR="00880211">
        <w:t>pecifically, this</w:t>
      </w:r>
      <w:r w:rsidR="00DA093E">
        <w:t xml:space="preserve"> process</w:t>
      </w:r>
      <w:r w:rsidR="00880211">
        <w:t xml:space="preserve"> is not merely a case of setting one norm against the other</w:t>
      </w:r>
      <w:r w:rsidR="003826DF">
        <w:t xml:space="preserve"> or creating a balance between the two (as the debate currently tends to construct the situation)</w:t>
      </w:r>
      <w:r w:rsidR="00880211">
        <w:t>, but</w:t>
      </w:r>
      <w:r w:rsidR="00DA093E">
        <w:t xml:space="preserve"> the construction of</w:t>
      </w:r>
      <w:r w:rsidR="00880211">
        <w:t xml:space="preserve"> rhetoric</w:t>
      </w:r>
      <w:r w:rsidR="00DA093E">
        <w:t xml:space="preserve"> that</w:t>
      </w:r>
      <w:r w:rsidR="00880211">
        <w:t xml:space="preserve"> communicate</w:t>
      </w:r>
      <w:r w:rsidR="00DA093E">
        <w:t>s</w:t>
      </w:r>
      <w:r w:rsidR="00880211">
        <w:t xml:space="preserve"> a </w:t>
      </w:r>
      <w:r w:rsidR="006D31AF" w:rsidRPr="00D433F0">
        <w:t xml:space="preserve">clear </w:t>
      </w:r>
      <w:r w:rsidR="00880211" w:rsidRPr="00880211">
        <w:t>rationalisation</w:t>
      </w:r>
      <w:r w:rsidR="006D31AF" w:rsidRPr="00D433F0">
        <w:t xml:space="preserve"> for invalidation</w:t>
      </w:r>
      <w:r w:rsidR="00D1183B">
        <w:t xml:space="preserve"> and the contextual removal of any normative expectation associated with this</w:t>
      </w:r>
      <w:r w:rsidR="006D31AF" w:rsidRPr="00D433F0">
        <w:t xml:space="preserve">. </w:t>
      </w:r>
      <w:r w:rsidR="002D174E">
        <w:t>Rejected</w:t>
      </w:r>
      <w:r w:rsidR="004B0955">
        <w:t xml:space="preserve"> norms must be </w:t>
      </w:r>
      <w:r w:rsidR="0042043F">
        <w:t>removed from consideration in order for the rhetorical strategy to be successful</w:t>
      </w:r>
      <w:r w:rsidR="004B0955">
        <w:t xml:space="preserve"> with an audience.</w:t>
      </w:r>
      <w:r w:rsidR="0042043F">
        <w:t xml:space="preserve"> </w:t>
      </w:r>
      <w:r w:rsidR="002A750F">
        <w:t>Critically, i</w:t>
      </w:r>
      <w:r w:rsidR="00694178">
        <w:t>nvalidation does not mean the end of a norm.</w:t>
      </w:r>
      <w:r w:rsidR="001F780F">
        <w:t xml:space="preserve"> </w:t>
      </w:r>
      <w:r w:rsidR="00554C63">
        <w:t xml:space="preserve">Contextually undermining the relevance of </w:t>
      </w:r>
      <w:r w:rsidR="00310611">
        <w:t>a norm d</w:t>
      </w:r>
      <w:r w:rsidR="003259A3">
        <w:t>oes not require its elimination, only that it is shown not to apply in relation to a specific set of circumstances.</w:t>
      </w:r>
      <w:r w:rsidR="00420343">
        <w:t xml:space="preserve"> Furthermore, invalidation does not necessitate tha</w:t>
      </w:r>
      <w:r w:rsidR="00730BE8">
        <w:t>t the constructing actor abandon</w:t>
      </w:r>
      <w:r w:rsidR="00420343">
        <w:t xml:space="preserve"> any genuine </w:t>
      </w:r>
      <w:r w:rsidR="00420343" w:rsidRPr="00420343">
        <w:t>conviction</w:t>
      </w:r>
      <w:r w:rsidR="00730BE8">
        <w:t xml:space="preserve"> for</w:t>
      </w:r>
      <w:r w:rsidR="00655277">
        <w:t xml:space="preserve"> the norm.</w:t>
      </w:r>
      <w:r w:rsidR="00730BE8">
        <w:t xml:space="preserve"> The actor can still believe</w:t>
      </w:r>
      <w:r w:rsidR="003834C9">
        <w:t xml:space="preserve"> the normative expectation they reject, as long as they do not make that evident in the rhetoric they communicate.</w:t>
      </w:r>
      <w:r w:rsidR="00181B84">
        <w:t xml:space="preserve"> Similarly, it does not rule out</w:t>
      </w:r>
      <w:r w:rsidR="003467CA">
        <w:t xml:space="preserve"> the possibility that the same actor can employ the rejected norm in future rhetorical strategies (albeit at the risk of being labelled a hypocrite).</w:t>
      </w:r>
      <w:r w:rsidR="00314B10">
        <w:t xml:space="preserve"> </w:t>
      </w:r>
      <w:r w:rsidR="006D31AF" w:rsidRPr="00D433F0">
        <w:t xml:space="preserve">Invalidation is, therefore, a </w:t>
      </w:r>
      <w:r w:rsidR="006D31AF" w:rsidRPr="00D433F0">
        <w:rPr>
          <w:i/>
        </w:rPr>
        <w:t>rhetorical</w:t>
      </w:r>
      <w:r w:rsidR="00314B10">
        <w:t xml:space="preserve"> process</w:t>
      </w:r>
      <w:r w:rsidR="001C50A3">
        <w:t>,</w:t>
      </w:r>
      <w:r w:rsidR="006D31AF" w:rsidRPr="00D433F0">
        <w:t xml:space="preserve"> limited to context. </w:t>
      </w:r>
    </w:p>
    <w:p w14:paraId="5296AB09" w14:textId="77777777" w:rsidR="006D31AF" w:rsidRDefault="006D31AF" w:rsidP="003D7795">
      <w:pPr>
        <w:spacing w:line="480" w:lineRule="auto"/>
      </w:pPr>
    </w:p>
    <w:p w14:paraId="497A6A7D" w14:textId="77777777" w:rsidR="003D7795" w:rsidRPr="00D433F0" w:rsidRDefault="003D7795" w:rsidP="003D7795">
      <w:pPr>
        <w:spacing w:line="480" w:lineRule="auto"/>
      </w:pPr>
    </w:p>
    <w:p w14:paraId="792C54CE" w14:textId="77777777" w:rsidR="006D31AF" w:rsidRPr="00D433F0" w:rsidRDefault="006D31AF" w:rsidP="003D7795">
      <w:pPr>
        <w:spacing w:line="480" w:lineRule="auto"/>
      </w:pPr>
    </w:p>
    <w:p w14:paraId="34BE4930" w14:textId="6AD76C5E" w:rsidR="006D31AF" w:rsidRPr="00D433F0" w:rsidRDefault="006D31AF" w:rsidP="003D7795">
      <w:pPr>
        <w:spacing w:line="480" w:lineRule="auto"/>
        <w:rPr>
          <w:b/>
          <w:i/>
        </w:rPr>
      </w:pPr>
      <w:r w:rsidRPr="00D433F0">
        <w:rPr>
          <w:b/>
          <w:i/>
        </w:rPr>
        <w:t xml:space="preserve">Strategic </w:t>
      </w:r>
      <w:r w:rsidR="004C5981">
        <w:rPr>
          <w:b/>
          <w:i/>
        </w:rPr>
        <w:t>n</w:t>
      </w:r>
      <w:r w:rsidR="009D56ED">
        <w:rPr>
          <w:b/>
          <w:i/>
        </w:rPr>
        <w:t>orms</w:t>
      </w:r>
    </w:p>
    <w:p w14:paraId="030A9513" w14:textId="48560411" w:rsidR="006D31AF" w:rsidRDefault="00087945" w:rsidP="003D7795">
      <w:pPr>
        <w:spacing w:line="480" w:lineRule="auto"/>
      </w:pPr>
      <w:r>
        <w:t>N</w:t>
      </w:r>
      <w:r w:rsidR="006D31AF" w:rsidRPr="00D433F0">
        <w:t>ormative invalidation</w:t>
      </w:r>
      <w:r w:rsidR="00B838B2">
        <w:t xml:space="preserve"> could </w:t>
      </w:r>
      <w:r>
        <w:t>imply that norms dictate rhetorical strategy.</w:t>
      </w:r>
      <w:r w:rsidR="007A3B93">
        <w:t xml:space="preserve"> Actors cannot sidestep the normative dilemma; therefore, a pre-existing </w:t>
      </w:r>
      <w:r w:rsidR="006C7A9C">
        <w:t>framework</w:t>
      </w:r>
      <w:r w:rsidR="00A95679">
        <w:t xml:space="preserve"> of understanding </w:t>
      </w:r>
      <w:r w:rsidR="007A3B93">
        <w:t>binds them</w:t>
      </w:r>
      <w:r w:rsidR="0053776E">
        <w:t xml:space="preserve"> and</w:t>
      </w:r>
      <w:r w:rsidR="009F7073">
        <w:t xml:space="preserve"> what they can achieve in terms of</w:t>
      </w:r>
      <w:r w:rsidR="00054C9D">
        <w:t xml:space="preserve"> rhetoric construction</w:t>
      </w:r>
      <w:r w:rsidR="007A3B93">
        <w:t xml:space="preserve">. </w:t>
      </w:r>
      <w:r w:rsidR="006D31AF" w:rsidRPr="00D433F0">
        <w:t xml:space="preserve">This </w:t>
      </w:r>
      <w:r w:rsidR="001A5550">
        <w:t xml:space="preserve">assumption </w:t>
      </w:r>
      <w:r w:rsidR="000316B1">
        <w:t>reflects</w:t>
      </w:r>
      <w:r w:rsidR="006D31AF" w:rsidRPr="00D433F0">
        <w:t xml:space="preserve"> existing </w:t>
      </w:r>
      <w:r w:rsidR="009F7073">
        <w:t>theories as to</w:t>
      </w:r>
      <w:r w:rsidR="000316B1">
        <w:t xml:space="preserve"> how language </w:t>
      </w:r>
      <w:r w:rsidR="0053776E">
        <w:t>work</w:t>
      </w:r>
      <w:r w:rsidR="000316B1">
        <w:t>s</w:t>
      </w:r>
      <w:r w:rsidR="006D31AF" w:rsidRPr="00D433F0">
        <w:t>. Constructivists view l</w:t>
      </w:r>
      <w:r w:rsidR="009F7073">
        <w:t>anguage as a restraint</w:t>
      </w:r>
      <w:r w:rsidR="00012FCC">
        <w:rPr>
          <w:rStyle w:val="FootnoteReference"/>
        </w:rPr>
        <w:footnoteReference w:id="47"/>
      </w:r>
      <w:r w:rsidR="006D31AF" w:rsidRPr="00D433F0">
        <w:t>. Language</w:t>
      </w:r>
      <w:r w:rsidR="009F7073">
        <w:t xml:space="preserve"> is not something</w:t>
      </w:r>
      <w:r w:rsidR="000D4C9C">
        <w:t xml:space="preserve"> actors create</w:t>
      </w:r>
      <w:r w:rsidR="006C2D96">
        <w:t xml:space="preserve">, but something </w:t>
      </w:r>
      <w:r w:rsidR="009F7073">
        <w:t>they adhere</w:t>
      </w:r>
      <w:r w:rsidR="006D31AF" w:rsidRPr="00D433F0">
        <w:t xml:space="preserve"> to – if only because</w:t>
      </w:r>
      <w:r w:rsidR="000D4C9C">
        <w:t xml:space="preserve"> actors would be incomprehensible if they started making language up</w:t>
      </w:r>
      <w:r w:rsidR="00012FCC">
        <w:rPr>
          <w:rStyle w:val="FootnoteReference"/>
        </w:rPr>
        <w:footnoteReference w:id="48"/>
      </w:r>
      <w:r w:rsidR="006D31AF" w:rsidRPr="00D433F0">
        <w:t xml:space="preserve">. </w:t>
      </w:r>
      <w:r w:rsidR="007D3D2E">
        <w:t>This constructivist approach is reflected in much of the critical literature on terrorism and the political language used to expre</w:t>
      </w:r>
      <w:r w:rsidR="00A94EF8">
        <w:t>ss the</w:t>
      </w:r>
      <w:r w:rsidR="00A95679">
        <w:t xml:space="preserve"> threat</w:t>
      </w:r>
      <w:r w:rsidR="007D3D2E">
        <w:rPr>
          <w:rStyle w:val="FootnoteReference"/>
        </w:rPr>
        <w:footnoteReference w:id="49"/>
      </w:r>
      <w:r w:rsidR="007D3D2E">
        <w:t xml:space="preserve">. </w:t>
      </w:r>
      <w:r w:rsidR="004C7667">
        <w:t xml:space="preserve">This article, however, proposes an alternative means </w:t>
      </w:r>
      <w:r w:rsidR="00782920">
        <w:t>of conceptualising normative use</w:t>
      </w:r>
      <w:r w:rsidR="00B71103">
        <w:t>, one</w:t>
      </w:r>
      <w:r w:rsidR="001B1778">
        <w:t xml:space="preserve"> more open to the influence of actor agency. An actor’s ability to choose between competing norms</w:t>
      </w:r>
      <w:r w:rsidR="004E2C8F">
        <w:t xml:space="preserve"> already suggests a more extensive capacity </w:t>
      </w:r>
      <w:r w:rsidR="00CA6BCA">
        <w:t>for agency than</w:t>
      </w:r>
      <w:r w:rsidR="004E2C8F">
        <w:t xml:space="preserve"> many</w:t>
      </w:r>
      <w:r w:rsidR="00CA6BCA">
        <w:t xml:space="preserve"> strong</w:t>
      </w:r>
      <w:r w:rsidR="004E2C8F">
        <w:t xml:space="preserve"> constructivist approaches would allow for.</w:t>
      </w:r>
      <w:r w:rsidR="00CA6BCA">
        <w:t xml:space="preserve"> Consequently, </w:t>
      </w:r>
      <w:r w:rsidR="0087724C">
        <w:t>it is argued that there</w:t>
      </w:r>
      <w:r w:rsidR="00CA6BCA">
        <w:t xml:space="preserve"> </w:t>
      </w:r>
      <w:r w:rsidR="0031028E">
        <w:t>exists</w:t>
      </w:r>
      <w:r w:rsidR="00CA6BCA">
        <w:t xml:space="preserve"> scope for an actor to shape the construction and expression of</w:t>
      </w:r>
      <w:r w:rsidR="005F6BE8">
        <w:t xml:space="preserve"> norms within a specific rhetorical strategy.</w:t>
      </w:r>
    </w:p>
    <w:p w14:paraId="281895DF" w14:textId="77777777" w:rsidR="00B42870" w:rsidRDefault="00B42870" w:rsidP="003D7795">
      <w:pPr>
        <w:spacing w:line="480" w:lineRule="auto"/>
      </w:pPr>
    </w:p>
    <w:p w14:paraId="1F37B8A1" w14:textId="08B7409B" w:rsidR="006D31AF" w:rsidRPr="00D433F0" w:rsidRDefault="00B42870" w:rsidP="003D7795">
      <w:pPr>
        <w:spacing w:line="480" w:lineRule="auto"/>
      </w:pPr>
      <w:r>
        <w:t>This</w:t>
      </w:r>
      <w:r w:rsidR="008613B5">
        <w:t xml:space="preserve"> alternative perspective is</w:t>
      </w:r>
      <w:r w:rsidR="005A6C07">
        <w:t xml:space="preserve"> conceptualised</w:t>
      </w:r>
      <w:r>
        <w:t xml:space="preserve"> </w:t>
      </w:r>
      <w:r w:rsidR="008613B5">
        <w:t xml:space="preserve">here </w:t>
      </w:r>
      <w:r w:rsidR="00FE7435">
        <w:t xml:space="preserve">with reference to </w:t>
      </w:r>
      <w:r w:rsidR="00AC3BF2">
        <w:t>SN</w:t>
      </w:r>
      <w:r w:rsidR="007C7AF6">
        <w:t xml:space="preserve">. SN </w:t>
      </w:r>
      <w:r w:rsidR="006D31AF" w:rsidRPr="00D433F0">
        <w:t>t</w:t>
      </w:r>
      <w:r w:rsidR="00B76950">
        <w:t>heorise</w:t>
      </w:r>
      <w:r w:rsidR="007C7AF6">
        <w:t>s</w:t>
      </w:r>
      <w:r w:rsidR="00B76950">
        <w:t xml:space="preserve"> how strategic rhetorical</w:t>
      </w:r>
      <w:r w:rsidR="006D31AF" w:rsidRPr="00D433F0">
        <w:t xml:space="preserve"> construction takes place</w:t>
      </w:r>
      <w:r w:rsidR="00FE7435">
        <w:t>, whereby these narratives</w:t>
      </w:r>
      <w:r w:rsidR="00AC3BF2">
        <w:t xml:space="preserve"> constitute</w:t>
      </w:r>
      <w:r w:rsidR="006D31AF" w:rsidRPr="00D433F0">
        <w:t xml:space="preserve">: </w:t>
      </w:r>
    </w:p>
    <w:p w14:paraId="37B2A8F8" w14:textId="77777777" w:rsidR="006D31AF" w:rsidRPr="00D433F0" w:rsidRDefault="006D31AF" w:rsidP="003D7795">
      <w:pPr>
        <w:spacing w:line="480" w:lineRule="auto"/>
      </w:pPr>
    </w:p>
    <w:p w14:paraId="5C08F993" w14:textId="33534866" w:rsidR="006D31AF" w:rsidRPr="00D433F0" w:rsidRDefault="006D31AF" w:rsidP="003D7795">
      <w:pPr>
        <w:spacing w:line="480" w:lineRule="auto"/>
        <w:ind w:left="567"/>
      </w:pPr>
      <w:r w:rsidRPr="00D433F0">
        <w:t xml:space="preserve">[A] </w:t>
      </w:r>
      <w:proofErr w:type="gramStart"/>
      <w:r w:rsidRPr="00D433F0">
        <w:t>means</w:t>
      </w:r>
      <w:proofErr w:type="gramEnd"/>
      <w:r w:rsidRPr="00D433F0">
        <w:t xml:space="preserve"> for political actors to construct a shared meaning of the past, present, and future of international politics to shape the behaviour of domestic and international actors. Strategic narratives provide a tool for political actors to extend their influence, manage expectations, and change the discursive environment in which they operate… The point of strategic narratives is to influence the behaviour of others</w:t>
      </w:r>
      <w:r w:rsidR="006D0D93">
        <w:rPr>
          <w:rStyle w:val="FootnoteReference"/>
        </w:rPr>
        <w:footnoteReference w:id="50"/>
      </w:r>
      <w:r w:rsidRPr="00D433F0">
        <w:t>.</w:t>
      </w:r>
    </w:p>
    <w:p w14:paraId="2122EA5C" w14:textId="77777777" w:rsidR="00F96C6E" w:rsidRPr="00D433F0" w:rsidRDefault="00F96C6E" w:rsidP="003D7795">
      <w:pPr>
        <w:spacing w:line="480" w:lineRule="auto"/>
      </w:pPr>
    </w:p>
    <w:p w14:paraId="4FAC0750" w14:textId="11899144" w:rsidR="006D31AF" w:rsidRPr="00D433F0" w:rsidRDefault="006D31AF" w:rsidP="003D7795">
      <w:pPr>
        <w:spacing w:line="480" w:lineRule="auto"/>
      </w:pPr>
      <w:r w:rsidRPr="00D433F0">
        <w:t xml:space="preserve">Narratives are the </w:t>
      </w:r>
      <w:r w:rsidR="00506DA0">
        <w:t xml:space="preserve">words, speech, and actions </w:t>
      </w:r>
      <w:r w:rsidRPr="00D433F0">
        <w:t>allow</w:t>
      </w:r>
      <w:r w:rsidR="00506DA0">
        <w:t>ing</w:t>
      </w:r>
      <w:r w:rsidRPr="00D433F0">
        <w:t xml:space="preserve"> actors to present politics in </w:t>
      </w:r>
      <w:r w:rsidR="001C2168">
        <w:t xml:space="preserve">specific ways. Explicitly, </w:t>
      </w:r>
      <w:r w:rsidRPr="00D433F0">
        <w:t xml:space="preserve">they are the ‘compelling </w:t>
      </w:r>
      <w:proofErr w:type="spellStart"/>
      <w:r w:rsidRPr="00D433F0">
        <w:t>storylines’</w:t>
      </w:r>
      <w:proofErr w:type="spellEnd"/>
      <w:r w:rsidRPr="00D433F0">
        <w:t xml:space="preserve"> by which actors strategically utilize rhetoric to craft and enact </w:t>
      </w:r>
      <w:r w:rsidR="005444DA">
        <w:t xml:space="preserve">certain </w:t>
      </w:r>
      <w:r w:rsidRPr="00D433F0">
        <w:t xml:space="preserve">perceptions of a political issue, in order to shape </w:t>
      </w:r>
      <w:r w:rsidR="005444DA">
        <w:t xml:space="preserve">audience </w:t>
      </w:r>
      <w:r w:rsidRPr="00D433F0">
        <w:t xml:space="preserve">opinion in line with their own </w:t>
      </w:r>
      <w:r w:rsidR="001C2168">
        <w:t>interests</w:t>
      </w:r>
      <w:r w:rsidR="006D0D93">
        <w:rPr>
          <w:rStyle w:val="FootnoteReference"/>
        </w:rPr>
        <w:footnoteReference w:id="51"/>
      </w:r>
      <w:r w:rsidRPr="00D433F0">
        <w:t xml:space="preserve">. Actors use narratives to create a description of the world – an understanding of what politics looks like and entails – whereby they ‘force’ their audience into adopting certain interpretations and pathways of logic that compliment </w:t>
      </w:r>
      <w:r w:rsidR="00ED7F68">
        <w:t>those interests</w:t>
      </w:r>
      <w:r w:rsidRPr="00D433F0">
        <w:t xml:space="preserve">. More than mere spin or framing, actors use </w:t>
      </w:r>
      <w:r w:rsidR="00ED7F68">
        <w:t>rhetoric</w:t>
      </w:r>
      <w:r w:rsidRPr="00D433F0">
        <w:t xml:space="preserve"> to influence how politics is carried out, and where such narratives hold together the necessary networks of communication and information required </w:t>
      </w:r>
      <w:proofErr w:type="gramStart"/>
      <w:r w:rsidRPr="00D433F0">
        <w:t>to make</w:t>
      </w:r>
      <w:proofErr w:type="gramEnd"/>
      <w:r w:rsidRPr="00D433F0">
        <w:t xml:space="preserve"> this popular</w:t>
      </w:r>
      <w:r w:rsidR="006D0D93">
        <w:rPr>
          <w:rStyle w:val="FootnoteReference"/>
        </w:rPr>
        <w:footnoteReference w:id="52"/>
      </w:r>
      <w:r w:rsidRPr="00D433F0">
        <w:t xml:space="preserve">. Unsurprisingly </w:t>
      </w:r>
      <w:r w:rsidR="00B171A5">
        <w:t xml:space="preserve">then, parallels have </w:t>
      </w:r>
      <w:r w:rsidRPr="00D433F0">
        <w:t>been drawn with Joseph Nye’s soft power</w:t>
      </w:r>
      <w:r w:rsidR="006D0D93">
        <w:rPr>
          <w:rStyle w:val="FootnoteReference"/>
        </w:rPr>
        <w:footnoteReference w:id="53"/>
      </w:r>
      <w:r w:rsidR="00B171A5">
        <w:t xml:space="preserve"> and </w:t>
      </w:r>
      <w:r w:rsidRPr="00D433F0">
        <w:t>the concept of speech acts</w:t>
      </w:r>
      <w:r w:rsidR="006D0D93">
        <w:rPr>
          <w:rStyle w:val="FootnoteReference"/>
        </w:rPr>
        <w:footnoteReference w:id="54"/>
      </w:r>
      <w:r w:rsidRPr="00D433F0">
        <w:t xml:space="preserve">, where these also appeal to the idea that language can be taken advantage of for such means. Critically, this is </w:t>
      </w:r>
      <w:r w:rsidR="00B171A5">
        <w:t>an</w:t>
      </w:r>
      <w:r w:rsidRPr="00D433F0">
        <w:t xml:space="preserve"> intrinsically deliberate</w:t>
      </w:r>
      <w:r w:rsidRPr="00D433F0">
        <w:rPr>
          <w:i/>
        </w:rPr>
        <w:t xml:space="preserve"> </w:t>
      </w:r>
      <w:r w:rsidRPr="00D433F0">
        <w:t xml:space="preserve">behaviour. The </w:t>
      </w:r>
      <w:r w:rsidR="00711038">
        <w:t>strategic narrative</w:t>
      </w:r>
      <w:r w:rsidRPr="00D433F0">
        <w:t xml:space="preserve"> i</w:t>
      </w:r>
      <w:r w:rsidR="00711038">
        <w:t xml:space="preserve">s a conscious product, </w:t>
      </w:r>
      <w:r w:rsidRPr="00D433F0">
        <w:t>operationalized to secure a specified political purpose or benefit. While this is not to state that every act of linguistic employment is deliberate (actors</w:t>
      </w:r>
      <w:r w:rsidR="00711038">
        <w:t xml:space="preserve"> do not premeditatedly </w:t>
      </w:r>
      <w:r w:rsidRPr="00D433F0">
        <w:t xml:space="preserve">construct every word or </w:t>
      </w:r>
      <w:r w:rsidR="00711038">
        <w:t>idea</w:t>
      </w:r>
      <w:r w:rsidRPr="00D433F0">
        <w:t xml:space="preserve"> they employ), the opportunity exists for the planned and persuasive expression of </w:t>
      </w:r>
      <w:r w:rsidR="00ED7F68">
        <w:t>rhetoric</w:t>
      </w:r>
      <w:r w:rsidRPr="00D433F0">
        <w:t xml:space="preserve">, specifically via narrative structures. </w:t>
      </w:r>
    </w:p>
    <w:p w14:paraId="15A16D98" w14:textId="77777777" w:rsidR="006D31AF" w:rsidRPr="00D433F0" w:rsidRDefault="006D31AF" w:rsidP="003D7795">
      <w:pPr>
        <w:spacing w:line="480" w:lineRule="auto"/>
      </w:pPr>
    </w:p>
    <w:p w14:paraId="119C6B69" w14:textId="3A72B671" w:rsidR="00B371A5" w:rsidRDefault="006D31AF" w:rsidP="003D7795">
      <w:pPr>
        <w:spacing w:line="480" w:lineRule="auto"/>
      </w:pPr>
      <w:r w:rsidRPr="00D433F0">
        <w:t xml:space="preserve">The SN approach does not necessarily conflict with </w:t>
      </w:r>
      <w:r w:rsidR="00FF7163">
        <w:t>constructivist</w:t>
      </w:r>
      <w:r w:rsidRPr="00D433F0">
        <w:t xml:space="preserve"> interpretations of normative and linguistic theory already identified</w:t>
      </w:r>
      <w:r w:rsidR="00FF7163">
        <w:t xml:space="preserve">. </w:t>
      </w:r>
      <w:r w:rsidR="00F916E5">
        <w:t>Elsewhere, however, a more</w:t>
      </w:r>
      <w:r w:rsidRPr="00D433F0">
        <w:t xml:space="preserve"> </w:t>
      </w:r>
      <w:r w:rsidR="009D6BCF">
        <w:t>expansive</w:t>
      </w:r>
      <w:r w:rsidRPr="00D433F0">
        <w:t xml:space="preserve"> </w:t>
      </w:r>
      <w:r w:rsidR="009D6BCF">
        <w:t>form</w:t>
      </w:r>
      <w:r w:rsidRPr="00D433F0">
        <w:t xml:space="preserve"> of narrative construction has </w:t>
      </w:r>
      <w:r w:rsidR="009D6BCF">
        <w:t>been proposed. This comprises a more agency-centric interpretation</w:t>
      </w:r>
      <w:r w:rsidRPr="00D433F0">
        <w:t xml:space="preserve"> based on the work of political theorist Quentin Skinner</w:t>
      </w:r>
      <w:r w:rsidR="008C4473">
        <w:rPr>
          <w:rStyle w:val="FootnoteReference"/>
        </w:rPr>
        <w:footnoteReference w:id="55"/>
      </w:r>
      <w:r w:rsidR="009D6BCF">
        <w:t>. I</w:t>
      </w:r>
      <w:r w:rsidRPr="00D433F0">
        <w:t>t is claimed</w:t>
      </w:r>
      <w:r w:rsidR="009D6BCF">
        <w:t xml:space="preserve"> that</w:t>
      </w:r>
      <w:r w:rsidRPr="00D433F0">
        <w:t xml:space="preserve"> actors exe</w:t>
      </w:r>
      <w:r w:rsidR="009D6BCF">
        <w:t>rt considerable agency</w:t>
      </w:r>
      <w:r w:rsidR="00C13F69">
        <w:t xml:space="preserve"> </w:t>
      </w:r>
      <w:r w:rsidRPr="00D433F0">
        <w:t xml:space="preserve">over the </w:t>
      </w:r>
      <w:r w:rsidR="00C13F69">
        <w:t>construction of rhetoric</w:t>
      </w:r>
      <w:r w:rsidR="00F916E5">
        <w:t xml:space="preserve">. </w:t>
      </w:r>
      <w:r w:rsidRPr="00D433F0">
        <w:t>This does not preclude the idea that norms express pre-</w:t>
      </w:r>
      <w:r w:rsidR="009D6BCF">
        <w:t>existing meanings that constrain</w:t>
      </w:r>
      <w:r w:rsidR="00215F43">
        <w:t xml:space="preserve"> the actor. </w:t>
      </w:r>
      <w:r w:rsidRPr="00D433F0">
        <w:t>Skinner accepts the i</w:t>
      </w:r>
      <w:r w:rsidR="00F916E5">
        <w:t>dea of convention and that language</w:t>
      </w:r>
      <w:r w:rsidRPr="00D433F0">
        <w:t xml:space="preserve"> articulate meanings that </w:t>
      </w:r>
      <w:r w:rsidR="009D6BCF">
        <w:t>limit</w:t>
      </w:r>
      <w:r w:rsidRPr="00D433F0">
        <w:t xml:space="preserve"> actor innovation</w:t>
      </w:r>
      <w:r w:rsidR="008C4473">
        <w:rPr>
          <w:rStyle w:val="FootnoteReference"/>
        </w:rPr>
        <w:footnoteReference w:id="56"/>
      </w:r>
      <w:r w:rsidR="008C4473">
        <w:t xml:space="preserve">. </w:t>
      </w:r>
      <w:r w:rsidRPr="00D433F0">
        <w:t>What this article does a</w:t>
      </w:r>
      <w:r w:rsidR="004513EC">
        <w:t>ssert, however, is that there exists</w:t>
      </w:r>
      <w:r w:rsidRPr="00D433F0">
        <w:t xml:space="preserve"> greater flexibility surrounding </w:t>
      </w:r>
      <w:r w:rsidR="004513EC">
        <w:t xml:space="preserve">policy </w:t>
      </w:r>
      <w:r w:rsidRPr="00D433F0">
        <w:t>norm usage</w:t>
      </w:r>
      <w:r w:rsidR="00F916E5">
        <w:t xml:space="preserve"> within rhetoric</w:t>
      </w:r>
      <w:r w:rsidRPr="00D433F0">
        <w:t xml:space="preserve"> than </w:t>
      </w:r>
      <w:r w:rsidR="009D6BCF">
        <w:t>currently assumed</w:t>
      </w:r>
      <w:r w:rsidRPr="00D433F0">
        <w:t xml:space="preserve">. </w:t>
      </w:r>
      <w:r w:rsidR="004513EC">
        <w:t>While actors cannot ignore normative expectations</w:t>
      </w:r>
      <w:r w:rsidRPr="00D433F0">
        <w:t>, they still possess significant control over how norms are</w:t>
      </w:r>
      <w:r w:rsidR="004513EC">
        <w:t xml:space="preserve"> rhetorically</w:t>
      </w:r>
      <w:r w:rsidRPr="00D433F0">
        <w:t xml:space="preserve"> applied, specifically where </w:t>
      </w:r>
      <w:r w:rsidR="004513EC">
        <w:t>this</w:t>
      </w:r>
      <w:r w:rsidRPr="00D433F0">
        <w:t xml:space="preserve"> deliberate</w:t>
      </w:r>
      <w:r w:rsidR="00141DE2">
        <w:t xml:space="preserve"> </w:t>
      </w:r>
      <w:r w:rsidRPr="00D433F0">
        <w:t>applicat</w:t>
      </w:r>
      <w:r w:rsidR="008C4960">
        <w:t>ion is designed to realise their</w:t>
      </w:r>
      <w:r w:rsidRPr="00D433F0">
        <w:t xml:space="preserve"> own </w:t>
      </w:r>
      <w:r w:rsidR="00141DE2">
        <w:t>interests</w:t>
      </w:r>
      <w:r w:rsidRPr="00D433F0">
        <w:t xml:space="preserve">. </w:t>
      </w:r>
      <w:r w:rsidR="00000EB9" w:rsidRPr="00D433F0">
        <w:t xml:space="preserve">While </w:t>
      </w:r>
      <w:r w:rsidR="00000EB9">
        <w:t>norms</w:t>
      </w:r>
      <w:r w:rsidR="00000EB9" w:rsidRPr="00D433F0">
        <w:t xml:space="preserve"> by their very nature prohibit behaviour, these are also rhetorical tools to be exploited. </w:t>
      </w:r>
      <w:r w:rsidR="00141DE2">
        <w:t>A</w:t>
      </w:r>
      <w:r w:rsidRPr="00D433F0">
        <w:t xml:space="preserve">ctors engage strategically with the </w:t>
      </w:r>
      <w:r w:rsidR="00F916E5">
        <w:t>norms</w:t>
      </w:r>
      <w:r w:rsidR="002C1433">
        <w:t xml:space="preserve"> that also restrain</w:t>
      </w:r>
      <w:r w:rsidRPr="00D433F0">
        <w:t xml:space="preserve"> them</w:t>
      </w:r>
      <w:r w:rsidR="00000EB9">
        <w:t>, including where this relates to normative</w:t>
      </w:r>
      <w:r w:rsidR="007869D6" w:rsidRPr="00BE1403">
        <w:t xml:space="preserve"> meaning. </w:t>
      </w:r>
      <w:r w:rsidR="005F2033" w:rsidRPr="00BE1403">
        <w:t>Invalidation must ta</w:t>
      </w:r>
      <w:r w:rsidR="007300DB">
        <w:t>ke place for this to be achieved</w:t>
      </w:r>
      <w:r w:rsidR="005F2033" w:rsidRPr="00BE1403">
        <w:t>, but actors still exert signif</w:t>
      </w:r>
      <w:r w:rsidR="005F2033">
        <w:t>icant agency over the ideas they</w:t>
      </w:r>
      <w:r w:rsidR="005F2033" w:rsidRPr="00BE1403">
        <w:t xml:space="preserve"> both use and reject. </w:t>
      </w:r>
      <w:r w:rsidR="00967B3B">
        <w:t>Crit</w:t>
      </w:r>
      <w:r w:rsidR="001B35C3">
        <w:t>i</w:t>
      </w:r>
      <w:r w:rsidR="00967B3B">
        <w:t>cally, t</w:t>
      </w:r>
      <w:r w:rsidR="003E0CA0">
        <w:t>his</w:t>
      </w:r>
      <w:r w:rsidR="00B371A5">
        <w:t xml:space="preserve"> </w:t>
      </w:r>
      <w:r w:rsidR="006A5CAB">
        <w:t xml:space="preserve">original </w:t>
      </w:r>
      <w:r w:rsidR="00384DC6">
        <w:t>approach</w:t>
      </w:r>
      <w:r w:rsidR="007C7CFE">
        <w:t xml:space="preserve"> </w:t>
      </w:r>
      <w:r w:rsidR="00B371A5">
        <w:t>constitutes a potentially controversial deviation from existing under</w:t>
      </w:r>
      <w:r w:rsidR="00472E0A">
        <w:t>standings of normative theory. As already noted, t</w:t>
      </w:r>
      <w:r w:rsidR="00B371A5">
        <w:t>he idea that actors possess even the limited agency suggested here is contentious</w:t>
      </w:r>
      <w:r w:rsidR="00204E92">
        <w:t xml:space="preserve">. </w:t>
      </w:r>
      <w:r w:rsidR="006A5CAB">
        <w:t>It will, however, now be demonstrated</w:t>
      </w:r>
      <w:r w:rsidR="00670EB4">
        <w:t xml:space="preserve"> through an empirical analysis</w:t>
      </w:r>
      <w:r w:rsidR="006A5CAB">
        <w:t xml:space="preserve"> that this agency-centric perspective </w:t>
      </w:r>
      <w:r w:rsidR="00B371A5">
        <w:t>must be recognised if analysis is to have a full understanding of how norms apply</w:t>
      </w:r>
      <w:r w:rsidR="00DD145E">
        <w:t xml:space="preserve"> to the development of political rhetoric</w:t>
      </w:r>
      <w:r w:rsidR="00B371A5">
        <w:t xml:space="preserve"> – especially on such a major issue as</w:t>
      </w:r>
      <w:r w:rsidR="006A5CAB">
        <w:t xml:space="preserve"> terrorism.</w:t>
      </w:r>
    </w:p>
    <w:p w14:paraId="140C32C2" w14:textId="77777777" w:rsidR="004C04E9" w:rsidRDefault="004C04E9" w:rsidP="003D7795">
      <w:pPr>
        <w:spacing w:line="480" w:lineRule="auto"/>
      </w:pPr>
    </w:p>
    <w:p w14:paraId="3979A318" w14:textId="77777777" w:rsidR="00C17E9A" w:rsidRDefault="00C17E9A" w:rsidP="003D7795">
      <w:pPr>
        <w:spacing w:line="480" w:lineRule="auto"/>
      </w:pPr>
    </w:p>
    <w:p w14:paraId="53F3F532" w14:textId="77777777" w:rsidR="00D030E1" w:rsidRPr="00D433F0" w:rsidRDefault="00D030E1" w:rsidP="003D7795">
      <w:pPr>
        <w:spacing w:line="480" w:lineRule="auto"/>
      </w:pPr>
    </w:p>
    <w:p w14:paraId="51126165" w14:textId="7E827E32" w:rsidR="00D030E1" w:rsidRPr="00D433F0" w:rsidRDefault="004C5981" w:rsidP="003D7795">
      <w:pPr>
        <w:spacing w:line="480" w:lineRule="auto"/>
        <w:rPr>
          <w:b/>
        </w:rPr>
      </w:pPr>
      <w:r>
        <w:rPr>
          <w:b/>
        </w:rPr>
        <w:t>Theresa May and narratives of s</w:t>
      </w:r>
      <w:r w:rsidR="00C46453">
        <w:rPr>
          <w:b/>
        </w:rPr>
        <w:t>ecurity</w:t>
      </w:r>
    </w:p>
    <w:p w14:paraId="492F3E8D" w14:textId="77777777" w:rsidR="00D030E1" w:rsidRDefault="00D030E1" w:rsidP="003D7795">
      <w:pPr>
        <w:spacing w:line="480" w:lineRule="auto"/>
      </w:pPr>
    </w:p>
    <w:p w14:paraId="0B103FE8" w14:textId="7278322C" w:rsidR="00E850A2" w:rsidRDefault="00053232" w:rsidP="003D7795">
      <w:pPr>
        <w:spacing w:line="480" w:lineRule="auto"/>
      </w:pPr>
      <w:r>
        <w:t xml:space="preserve">Theresa </w:t>
      </w:r>
      <w:r w:rsidR="00B6234D">
        <w:t>May</w:t>
      </w:r>
      <w:r>
        <w:t xml:space="preserve"> </w:t>
      </w:r>
      <w:r w:rsidR="00B6234D">
        <w:t>has never b</w:t>
      </w:r>
      <w:r w:rsidR="00322A09">
        <w:t xml:space="preserve">een shy of </w:t>
      </w:r>
      <w:r w:rsidR="00B6234D">
        <w:t xml:space="preserve">tough law-and-order </w:t>
      </w:r>
      <w:r w:rsidR="00AD1D80">
        <w:t>on</w:t>
      </w:r>
      <w:r w:rsidR="00B6234D">
        <w:t xml:space="preserve"> terrorism</w:t>
      </w:r>
      <w:r w:rsidR="00322A09">
        <w:t xml:space="preserve"> –</w:t>
      </w:r>
      <w:r w:rsidR="00D54C30">
        <w:t xml:space="preserve"> an</w:t>
      </w:r>
      <w:r w:rsidR="00322A09">
        <w:t xml:space="preserve"> approach that</w:t>
      </w:r>
      <w:r w:rsidR="00B234E0">
        <w:t xml:space="preserve"> </w:t>
      </w:r>
      <w:r w:rsidR="00CB6001">
        <w:t xml:space="preserve">explicitly </w:t>
      </w:r>
      <w:proofErr w:type="spellStart"/>
      <w:r w:rsidR="00CB6001">
        <w:t>sidelines</w:t>
      </w:r>
      <w:proofErr w:type="spellEnd"/>
      <w:r w:rsidR="00BD2ADA">
        <w:t xml:space="preserve"> </w:t>
      </w:r>
      <w:r w:rsidR="00463439">
        <w:t>rights</w:t>
      </w:r>
      <w:r w:rsidR="005A2209">
        <w:t xml:space="preserve"> in pursuit of </w:t>
      </w:r>
      <w:r w:rsidR="007872EA">
        <w:t>stringent security measures</w:t>
      </w:r>
      <w:r w:rsidR="0028302D">
        <w:rPr>
          <w:rStyle w:val="FootnoteReference"/>
        </w:rPr>
        <w:footnoteReference w:id="57"/>
      </w:r>
      <w:r w:rsidR="00B6234D">
        <w:t xml:space="preserve">. </w:t>
      </w:r>
      <w:r w:rsidR="004B76BA">
        <w:t>May’s doctrine</w:t>
      </w:r>
      <w:r w:rsidR="00BB227A">
        <w:t xml:space="preserve"> is based</w:t>
      </w:r>
      <w:r w:rsidR="00BD2ADA">
        <w:t xml:space="preserve"> primarily</w:t>
      </w:r>
      <w:r w:rsidR="00BB227A">
        <w:t xml:space="preserve"> on an opposition to extremism</w:t>
      </w:r>
      <w:r w:rsidR="005A2209">
        <w:t xml:space="preserve"> and she is </w:t>
      </w:r>
      <w:r w:rsidR="00C832D2">
        <w:t xml:space="preserve">invested heavily in </w:t>
      </w:r>
      <w:r w:rsidR="005A2209">
        <w:t>Prevent</w:t>
      </w:r>
      <w:r w:rsidR="00C832D2">
        <w:t xml:space="preserve">, specifically as a </w:t>
      </w:r>
      <w:proofErr w:type="spellStart"/>
      <w:r w:rsidR="00C832D2">
        <w:t>hardline</w:t>
      </w:r>
      <w:proofErr w:type="spellEnd"/>
      <w:r w:rsidR="00C832D2">
        <w:t xml:space="preserve"> measure to control the spread and influence of extrem</w:t>
      </w:r>
      <w:r w:rsidR="005A2209">
        <w:t xml:space="preserve">ist thinking. The key word </w:t>
      </w:r>
      <w:r w:rsidR="00C832D2">
        <w:t>is ‘</w:t>
      </w:r>
      <w:proofErr w:type="spellStart"/>
      <w:r w:rsidR="00C832D2">
        <w:t>hardline</w:t>
      </w:r>
      <w:proofErr w:type="spellEnd"/>
      <w:r w:rsidR="00C832D2">
        <w:t>.’ Prevent is not constructed as a soft approach</w:t>
      </w:r>
      <w:r w:rsidR="00F517CB">
        <w:t xml:space="preserve">, </w:t>
      </w:r>
      <w:r w:rsidR="00C832D2">
        <w:t>but</w:t>
      </w:r>
      <w:r w:rsidR="002A04C5">
        <w:t xml:space="preserve"> as</w:t>
      </w:r>
      <w:r w:rsidR="00C832D2">
        <w:t xml:space="preserve"> an aggressive</w:t>
      </w:r>
      <w:r w:rsidR="005A2209">
        <w:t xml:space="preserve"> </w:t>
      </w:r>
      <w:r w:rsidR="002A04C5">
        <w:t xml:space="preserve">policy of </w:t>
      </w:r>
      <w:proofErr w:type="spellStart"/>
      <w:r w:rsidR="002A04C5">
        <w:t>deradicalisation</w:t>
      </w:r>
      <w:proofErr w:type="spellEnd"/>
      <w:r w:rsidR="002A04C5">
        <w:t xml:space="preserve"> that should not be mitigated by any </w:t>
      </w:r>
      <w:r w:rsidR="004366FD">
        <w:t>significant</w:t>
      </w:r>
      <w:r w:rsidR="00A03A59">
        <w:t xml:space="preserve"> </w:t>
      </w:r>
      <w:r w:rsidR="008D2AE3">
        <w:t>recourse to</w:t>
      </w:r>
      <w:r w:rsidR="002A04C5">
        <w:t xml:space="preserve"> civil liberties. </w:t>
      </w:r>
      <w:r w:rsidR="001870C0">
        <w:t>It is, therefore, unsurprising that May finds herself on the secur</w:t>
      </w:r>
      <w:r w:rsidR="004F66FB">
        <w:t>ity side of the security-rights</w:t>
      </w:r>
      <w:r w:rsidR="001870C0">
        <w:t xml:space="preserve"> debate. Not least where many</w:t>
      </w:r>
      <w:r w:rsidR="006D2861">
        <w:t xml:space="preserve"> </w:t>
      </w:r>
      <w:r w:rsidR="001870C0">
        <w:t>civil liberties concern the freedom of speech, rights to democratic representation,</w:t>
      </w:r>
      <w:r w:rsidR="00D96C42">
        <w:t xml:space="preserve"> and</w:t>
      </w:r>
      <w:r w:rsidR="001870C0">
        <w:t xml:space="preserve"> cultural respect – all conducive to the spread of ideas, extremist or otherwise – the protection of rights lies at odds with May’s pol</w:t>
      </w:r>
      <w:r w:rsidR="00C75388">
        <w:t xml:space="preserve">icy stance. </w:t>
      </w:r>
      <w:r w:rsidR="00C94846">
        <w:t>This</w:t>
      </w:r>
      <w:r w:rsidR="007108F5">
        <w:t xml:space="preserve"> policy stance</w:t>
      </w:r>
      <w:r w:rsidR="007F04DA">
        <w:t xml:space="preserve"> was</w:t>
      </w:r>
      <w:r w:rsidR="009225F4">
        <w:t xml:space="preserve"> </w:t>
      </w:r>
      <w:r w:rsidR="00E25CBF">
        <w:t>evident</w:t>
      </w:r>
      <w:r w:rsidR="009225F4">
        <w:t xml:space="preserve"> </w:t>
      </w:r>
      <w:r w:rsidR="00A84C33">
        <w:t>during</w:t>
      </w:r>
      <w:r w:rsidR="00463439">
        <w:t xml:space="preserve"> the last </w:t>
      </w:r>
      <w:r w:rsidR="00E328EE">
        <w:t>days of the 2017 General Election</w:t>
      </w:r>
      <w:r w:rsidR="00D54C30">
        <w:t xml:space="preserve">. </w:t>
      </w:r>
      <w:r w:rsidR="00407E70">
        <w:t>As part of her</w:t>
      </w:r>
      <w:r w:rsidR="00B93F8D">
        <w:t xml:space="preserve"> ‘enough is enough’ strategy</w:t>
      </w:r>
      <w:r w:rsidR="00A63B4D">
        <w:t xml:space="preserve"> announced after seven were killed in the London Bridge</w:t>
      </w:r>
      <w:r w:rsidR="00D54C30">
        <w:t xml:space="preserve"> terrorist</w:t>
      </w:r>
      <w:r w:rsidR="00A63B4D">
        <w:t xml:space="preserve"> attack</w:t>
      </w:r>
      <w:r w:rsidR="00AE7287">
        <w:rPr>
          <w:rStyle w:val="FootnoteReference"/>
        </w:rPr>
        <w:footnoteReference w:id="58"/>
      </w:r>
      <w:r w:rsidR="00B93F8D">
        <w:t xml:space="preserve">, </w:t>
      </w:r>
      <w:r w:rsidR="00407E70">
        <w:t>May</w:t>
      </w:r>
      <w:r w:rsidR="00D54C30">
        <w:t xml:space="preserve"> declared her willingness to abandon </w:t>
      </w:r>
      <w:r w:rsidR="00463439">
        <w:t>rights</w:t>
      </w:r>
      <w:r w:rsidR="00D54C30">
        <w:t xml:space="preserve"> where these </w:t>
      </w:r>
      <w:r w:rsidR="00D52129">
        <w:t>ca</w:t>
      </w:r>
      <w:r w:rsidR="00463439">
        <w:t>me into opposition with</w:t>
      </w:r>
      <w:r w:rsidR="00D54C30">
        <w:t xml:space="preserve"> security</w:t>
      </w:r>
      <w:r w:rsidR="00A84C33">
        <w:t xml:space="preserve"> provisions</w:t>
      </w:r>
      <w:r w:rsidR="008612B9">
        <w:rPr>
          <w:rFonts w:eastAsia="Times New Roman"/>
        </w:rPr>
        <w:t>:</w:t>
      </w:r>
      <w:r w:rsidR="008612B9" w:rsidRPr="008612B9">
        <w:t xml:space="preserve"> </w:t>
      </w:r>
      <w:r w:rsidR="008612B9">
        <w:t>‘And if human rights laws stop us from doing it</w:t>
      </w:r>
      <w:r w:rsidR="00106017">
        <w:t xml:space="preserve"> [increasing security measures]</w:t>
      </w:r>
      <w:r w:rsidR="008612B9">
        <w:t>, we will change those laws so we can do it’</w:t>
      </w:r>
      <w:r w:rsidR="00AE7287">
        <w:rPr>
          <w:rStyle w:val="FootnoteReference"/>
        </w:rPr>
        <w:footnoteReference w:id="59"/>
      </w:r>
      <w:r w:rsidR="00B6234D">
        <w:t xml:space="preserve">. </w:t>
      </w:r>
      <w:r w:rsidR="00F40970">
        <w:t>Specifically, this</w:t>
      </w:r>
      <w:r w:rsidR="00714A44">
        <w:t xml:space="preserve"> </w:t>
      </w:r>
      <w:r w:rsidR="00C75388">
        <w:t xml:space="preserve">situation </w:t>
      </w:r>
      <w:r w:rsidR="00714A44">
        <w:t>was</w:t>
      </w:r>
      <w:r w:rsidR="00F40970">
        <w:t xml:space="preserve"> portrayed as a</w:t>
      </w:r>
      <w:r w:rsidR="004F66FB">
        <w:t xml:space="preserve"> </w:t>
      </w:r>
      <w:r w:rsidR="00F40970">
        <w:t>need to be strong</w:t>
      </w:r>
      <w:r w:rsidR="00714A44">
        <w:t>er</w:t>
      </w:r>
      <w:r w:rsidR="00F40970">
        <w:t xml:space="preserve"> on extremism</w:t>
      </w:r>
      <w:r w:rsidR="00714A44">
        <w:t>, whereby Britain was</w:t>
      </w:r>
      <w:r w:rsidR="00A01727">
        <w:t xml:space="preserve"> ‘too tolerant’ of </w:t>
      </w:r>
      <w:r w:rsidR="00A7212E">
        <w:t>the ‘evil ideology of Islamist extremism’</w:t>
      </w:r>
      <w:r w:rsidR="00F40970">
        <w:rPr>
          <w:rStyle w:val="FootnoteReference"/>
        </w:rPr>
        <w:footnoteReference w:id="60"/>
      </w:r>
      <w:r w:rsidR="00F40970">
        <w:t xml:space="preserve">. </w:t>
      </w:r>
      <w:r w:rsidR="006B65D3">
        <w:t xml:space="preserve">As part of this, </w:t>
      </w:r>
      <w:r w:rsidR="009D19B0">
        <w:t>May</w:t>
      </w:r>
      <w:r w:rsidR="009F09A3">
        <w:t xml:space="preserve"> announced her new pet project – the Commission on Coun</w:t>
      </w:r>
      <w:r w:rsidR="00E222BB">
        <w:t xml:space="preserve">tering Extremism, which </w:t>
      </w:r>
      <w:r w:rsidR="00A5485A">
        <w:t>advise</w:t>
      </w:r>
      <w:r w:rsidR="00E222BB">
        <w:t>s</w:t>
      </w:r>
      <w:r w:rsidR="00A5485A">
        <w:t xml:space="preserve"> as to</w:t>
      </w:r>
      <w:r w:rsidR="009F09A3">
        <w:t xml:space="preserve"> what </w:t>
      </w:r>
      <w:r w:rsidR="00FD65BD">
        <w:t xml:space="preserve">legal </w:t>
      </w:r>
      <w:proofErr w:type="gramStart"/>
      <w:r w:rsidR="00FD65BD">
        <w:t>provisions</w:t>
      </w:r>
      <w:proofErr w:type="gramEnd"/>
      <w:r w:rsidR="009F09A3">
        <w:t xml:space="preserve"> would be appropriate in prioritising British values over extremist Islamic views. </w:t>
      </w:r>
    </w:p>
    <w:p w14:paraId="38E5F8AA" w14:textId="77777777" w:rsidR="00E850A2" w:rsidRDefault="00E850A2" w:rsidP="003D7795">
      <w:pPr>
        <w:spacing w:line="480" w:lineRule="auto"/>
      </w:pPr>
    </w:p>
    <w:p w14:paraId="72909273" w14:textId="25D5F9F3" w:rsidR="00ED60F5" w:rsidRDefault="00106017" w:rsidP="003D7795">
      <w:pPr>
        <w:spacing w:line="480" w:lineRule="auto"/>
      </w:pPr>
      <w:r>
        <w:t xml:space="preserve">Admittedly, </w:t>
      </w:r>
      <w:r w:rsidR="009F09A3">
        <w:t>these announcements were</w:t>
      </w:r>
      <w:r w:rsidR="00A84C33">
        <w:t xml:space="preserve"> made at a time when</w:t>
      </w:r>
      <w:r>
        <w:t xml:space="preserve"> May was u</w:t>
      </w:r>
      <w:r w:rsidR="00860FED">
        <w:t>nder pressure to look strong</w:t>
      </w:r>
      <w:r>
        <w:t xml:space="preserve">. </w:t>
      </w:r>
      <w:r w:rsidR="00463439">
        <w:t xml:space="preserve">After two terrorist attacks </w:t>
      </w:r>
      <w:r w:rsidR="00B6234D">
        <w:t>during the</w:t>
      </w:r>
      <w:r>
        <w:t xml:space="preserve"> election</w:t>
      </w:r>
      <w:r w:rsidR="00B6234D">
        <w:t xml:space="preserve"> campaign, she was facing criticism that, as Home Secretary, she had aut</w:t>
      </w:r>
      <w:r>
        <w:t>horised police cuts</w:t>
      </w:r>
      <w:r w:rsidR="008E666C">
        <w:t xml:space="preserve"> </w:t>
      </w:r>
      <w:r w:rsidR="00FA1A62">
        <w:t xml:space="preserve">that had made the UK </w:t>
      </w:r>
      <w:r w:rsidR="00FA1A62" w:rsidRPr="00714A44">
        <w:t>more</w:t>
      </w:r>
      <w:r w:rsidR="00FA1A62">
        <w:t xml:space="preserve"> vulnerable to terrorism</w:t>
      </w:r>
      <w:r w:rsidR="00AE7287">
        <w:rPr>
          <w:rStyle w:val="FootnoteReference"/>
        </w:rPr>
        <w:footnoteReference w:id="61"/>
      </w:r>
      <w:r w:rsidR="00B6234D">
        <w:t xml:space="preserve">. </w:t>
      </w:r>
      <w:r w:rsidR="00FA1A62">
        <w:t xml:space="preserve">The attacks were also cited as evidence that </w:t>
      </w:r>
      <w:r w:rsidR="00C02497">
        <w:t xml:space="preserve">the </w:t>
      </w:r>
      <w:r w:rsidR="00FA1A62">
        <w:t>Prevent</w:t>
      </w:r>
      <w:r w:rsidR="00C02497">
        <w:t xml:space="preserve"> Strategy</w:t>
      </w:r>
      <w:r w:rsidR="00FA1A62">
        <w:t xml:space="preserve"> was ineffective</w:t>
      </w:r>
      <w:r w:rsidR="00FA1A62" w:rsidRPr="00D433F0">
        <w:t>.</w:t>
      </w:r>
      <w:r w:rsidR="00FA1A62">
        <w:t xml:space="preserve"> </w:t>
      </w:r>
      <w:r w:rsidR="006106D8">
        <w:t>Running for election on a</w:t>
      </w:r>
      <w:r w:rsidR="00E1557F">
        <w:t xml:space="preserve"> ‘strong and stable’ platform, May needed to re-</w:t>
      </w:r>
      <w:r w:rsidR="00AD526D">
        <w:t>establish her credentials</w:t>
      </w:r>
      <w:r w:rsidR="00AE7287">
        <w:rPr>
          <w:rStyle w:val="FootnoteReference"/>
        </w:rPr>
        <w:footnoteReference w:id="62"/>
      </w:r>
      <w:r w:rsidR="00E1557F">
        <w:t>.</w:t>
      </w:r>
      <w:r w:rsidR="00090147">
        <w:t xml:space="preserve"> </w:t>
      </w:r>
      <w:r w:rsidR="00463439">
        <w:t>The defiance in her</w:t>
      </w:r>
      <w:r w:rsidR="00090147">
        <w:t xml:space="preserve"> speech, however, is </w:t>
      </w:r>
      <w:r w:rsidR="00F151A7">
        <w:t>consistent</w:t>
      </w:r>
      <w:r w:rsidR="00090147">
        <w:t xml:space="preserve"> with </w:t>
      </w:r>
      <w:r w:rsidR="00070572">
        <w:t>her</w:t>
      </w:r>
      <w:r w:rsidR="001109F5">
        <w:t xml:space="preserve"> wider</w:t>
      </w:r>
      <w:r w:rsidR="00070572">
        <w:t xml:space="preserve"> rhetoric</w:t>
      </w:r>
      <w:r w:rsidR="00090147">
        <w:t>, and specifically in relation to Prevent</w:t>
      </w:r>
      <w:r w:rsidR="0078192D">
        <w:t xml:space="preserve"> as a barrier against extremism</w:t>
      </w:r>
      <w:r w:rsidR="00090147">
        <w:t xml:space="preserve"> (as will be detailed below).</w:t>
      </w:r>
      <w:r w:rsidR="00573C52">
        <w:t xml:space="preserve"> </w:t>
      </w:r>
      <w:r w:rsidR="00B6234D">
        <w:t xml:space="preserve">In </w:t>
      </w:r>
      <w:r w:rsidR="00010A6C" w:rsidRPr="00010A6C">
        <w:t>rigidly</w:t>
      </w:r>
      <w:r w:rsidR="00B6234D">
        <w:t xml:space="preserve"> promoting security</w:t>
      </w:r>
      <w:r w:rsidR="00D1026C">
        <w:t xml:space="preserve"> over rights</w:t>
      </w:r>
      <w:r w:rsidR="00D52129">
        <w:t>, however, May has additionally</w:t>
      </w:r>
      <w:r w:rsidR="00B6234D">
        <w:t xml:space="preserve"> needed to </w:t>
      </w:r>
      <w:r w:rsidR="00463439">
        <w:t>address</w:t>
      </w:r>
      <w:r w:rsidR="00B6234D">
        <w:t xml:space="preserve"> </w:t>
      </w:r>
      <w:r w:rsidR="00010A6C">
        <w:t xml:space="preserve">expectations concerning </w:t>
      </w:r>
      <w:r w:rsidR="000943B5">
        <w:t>the latter</w:t>
      </w:r>
      <w:r w:rsidR="006B65D3">
        <w:t>,</w:t>
      </w:r>
      <w:r w:rsidR="00B6234D">
        <w:t xml:space="preserve"> as an act of normative invalidation.</w:t>
      </w:r>
      <w:r w:rsidR="00830AD1">
        <w:t xml:space="preserve"> </w:t>
      </w:r>
      <w:r w:rsidR="000A2FC3">
        <w:t xml:space="preserve">May does not balance security/civil liberties, but actively undermines the civil liberties norm via her rhetoric. </w:t>
      </w:r>
      <w:r w:rsidR="00F73296">
        <w:t xml:space="preserve">Indeed, her </w:t>
      </w:r>
      <w:r w:rsidR="00463439">
        <w:t xml:space="preserve">direct </w:t>
      </w:r>
      <w:r w:rsidR="00F73296">
        <w:t xml:space="preserve">attack </w:t>
      </w:r>
      <w:r w:rsidR="00463439">
        <w:t xml:space="preserve">on human rights law </w:t>
      </w:r>
      <w:r w:rsidR="000943B5">
        <w:t xml:space="preserve">detailed here </w:t>
      </w:r>
      <w:r w:rsidR="00F73296">
        <w:t xml:space="preserve">can be interpreted as </w:t>
      </w:r>
      <w:r w:rsidR="00C94A01">
        <w:t>an</w:t>
      </w:r>
      <w:r w:rsidR="00AC43FA">
        <w:t xml:space="preserve"> acknowledgment that she </w:t>
      </w:r>
      <w:r w:rsidR="00463439">
        <w:t>c</w:t>
      </w:r>
      <w:r w:rsidR="00AC43FA">
        <w:t>ould</w:t>
      </w:r>
      <w:r w:rsidR="000943B5">
        <w:t xml:space="preserve"> potentially</w:t>
      </w:r>
      <w:r w:rsidR="00AC43FA">
        <w:t xml:space="preserve"> be criticised</w:t>
      </w:r>
      <w:r w:rsidR="00F73296">
        <w:t xml:space="preserve"> on the ground</w:t>
      </w:r>
      <w:r w:rsidR="00647E3B">
        <w:t>s</w:t>
      </w:r>
      <w:r w:rsidR="00F73296">
        <w:t xml:space="preserve"> of </w:t>
      </w:r>
      <w:r w:rsidR="00463439">
        <w:t>diminishing rights</w:t>
      </w:r>
      <w:r w:rsidR="0054206E">
        <w:t xml:space="preserve"> and subsequently</w:t>
      </w:r>
      <w:r w:rsidR="00F73296">
        <w:t xml:space="preserve"> prese</w:t>
      </w:r>
      <w:r w:rsidR="000943B5">
        <w:t>nted policy</w:t>
      </w:r>
      <w:r w:rsidR="00876F21">
        <w:t xml:space="preserve"> in a manner</w:t>
      </w:r>
      <w:r w:rsidR="000943B5">
        <w:t xml:space="preserve"> that negated</w:t>
      </w:r>
      <w:r w:rsidR="00F63C71">
        <w:t xml:space="preserve"> the claim to civil liberties </w:t>
      </w:r>
      <w:r w:rsidR="000943B5">
        <w:t>before anyone could</w:t>
      </w:r>
      <w:r w:rsidR="00647E3B">
        <w:t xml:space="preserve"> make that</w:t>
      </w:r>
      <w:r w:rsidR="00F73296">
        <w:t xml:space="preserve"> argument</w:t>
      </w:r>
      <w:r w:rsidR="000943B5">
        <w:t xml:space="preserve"> against her.</w:t>
      </w:r>
    </w:p>
    <w:p w14:paraId="0FD4D901" w14:textId="77777777" w:rsidR="00ED60F5" w:rsidRDefault="00ED60F5" w:rsidP="003D7795">
      <w:pPr>
        <w:spacing w:line="480" w:lineRule="auto"/>
      </w:pPr>
    </w:p>
    <w:p w14:paraId="7B5EDF9F" w14:textId="26B20983" w:rsidR="00E35EA1" w:rsidRDefault="00F63C71" w:rsidP="003D7795">
      <w:pPr>
        <w:spacing w:line="480" w:lineRule="auto"/>
      </w:pPr>
      <w:r>
        <w:t xml:space="preserve">In identifying further examples of normative invalidation </w:t>
      </w:r>
      <w:r w:rsidR="004407B3">
        <w:t>with</w:t>
      </w:r>
      <w:r>
        <w:t xml:space="preserve">in May’s rhetoric, data has been sourced from a variety of publications, </w:t>
      </w:r>
      <w:r w:rsidR="00ED60F5">
        <w:t xml:space="preserve">including </w:t>
      </w:r>
      <w:proofErr w:type="spellStart"/>
      <w:r w:rsidR="00ED60F5" w:rsidRPr="00BD5F92">
        <w:rPr>
          <w:i/>
        </w:rPr>
        <w:t>Hansard</w:t>
      </w:r>
      <w:proofErr w:type="spellEnd"/>
      <w:r>
        <w:t xml:space="preserve">, UK </w:t>
      </w:r>
      <w:r w:rsidR="004B5FA8">
        <w:t>newsp</w:t>
      </w:r>
      <w:r>
        <w:t xml:space="preserve">apers and </w:t>
      </w:r>
      <w:r w:rsidR="004B5FA8">
        <w:t xml:space="preserve">online news </w:t>
      </w:r>
      <w:r>
        <w:t>outlets</w:t>
      </w:r>
      <w:r w:rsidR="004B5FA8">
        <w:t>,</w:t>
      </w:r>
      <w:r>
        <w:t xml:space="preserve"> as well as</w:t>
      </w:r>
      <w:r w:rsidR="00ED60F5">
        <w:t xml:space="preserve"> the Conservative Party website. This </w:t>
      </w:r>
      <w:r w:rsidR="00C86F85">
        <w:t>plurality</w:t>
      </w:r>
      <w:r w:rsidR="00ED60F5">
        <w:t xml:space="preserve"> of </w:t>
      </w:r>
      <w:r>
        <w:t>data</w:t>
      </w:r>
      <w:r w:rsidR="00ED60F5">
        <w:t xml:space="preserve"> allow</w:t>
      </w:r>
      <w:r w:rsidR="004B5FA8">
        <w:t>s for a comparative analysis across</w:t>
      </w:r>
      <w:r w:rsidR="00ED60F5">
        <w:t xml:space="preserve"> different speeches, </w:t>
      </w:r>
      <w:r w:rsidR="004407B3">
        <w:t xml:space="preserve">made </w:t>
      </w:r>
      <w:r w:rsidR="00ED60F5">
        <w:t>at different times, and in relation to different audiences</w:t>
      </w:r>
      <w:r w:rsidR="000A104C">
        <w:t xml:space="preserve"> (</w:t>
      </w:r>
      <w:r w:rsidR="004407B3">
        <w:t>e.g.</w:t>
      </w:r>
      <w:r w:rsidR="000A104C">
        <w:t xml:space="preserve"> political elite</w:t>
      </w:r>
      <w:r w:rsidR="00287F0D">
        <w:t>s</w:t>
      </w:r>
      <w:r w:rsidR="000A104C">
        <w:t xml:space="preserve">, security </w:t>
      </w:r>
      <w:r w:rsidR="00287F0D">
        <w:t xml:space="preserve">organisations, </w:t>
      </w:r>
      <w:r w:rsidR="000A104C">
        <w:t xml:space="preserve">businesses, </w:t>
      </w:r>
      <w:r>
        <w:t>various</w:t>
      </w:r>
      <w:r w:rsidR="000A104C">
        <w:t xml:space="preserve"> media, and general speeches to the public)</w:t>
      </w:r>
      <w:r w:rsidR="00ED60F5">
        <w:t>.</w:t>
      </w:r>
      <w:r w:rsidR="004B5FA8">
        <w:t xml:space="preserve"> </w:t>
      </w:r>
      <w:r>
        <w:t>As well</w:t>
      </w:r>
      <w:r w:rsidR="00230F02">
        <w:t xml:space="preserve"> </w:t>
      </w:r>
      <w:r w:rsidR="007F7201">
        <w:t xml:space="preserve">as </w:t>
      </w:r>
      <w:r w:rsidR="00230F02">
        <w:t>demonstrating</w:t>
      </w:r>
      <w:r w:rsidR="004B5FA8">
        <w:t xml:space="preserve"> that </w:t>
      </w:r>
      <w:r w:rsidR="00F73296">
        <w:t xml:space="preserve">May achieves normative invalidation </w:t>
      </w:r>
      <w:r w:rsidR="00941D84">
        <w:t xml:space="preserve">in </w:t>
      </w:r>
      <w:r w:rsidR="00191E4D">
        <w:t xml:space="preserve">diverse ways, </w:t>
      </w:r>
      <w:r>
        <w:t xml:space="preserve">this data also shows that </w:t>
      </w:r>
      <w:r w:rsidR="00101FA5">
        <w:t>the Prime Minister</w:t>
      </w:r>
      <w:r w:rsidR="00F422B0">
        <w:t xml:space="preserve"> employs</w:t>
      </w:r>
      <w:r w:rsidR="004B5FA8">
        <w:t xml:space="preserve"> the same tactics of normative invalidation regardless of audience.</w:t>
      </w:r>
      <w:r w:rsidR="00EE6B2D">
        <w:t xml:space="preserve"> </w:t>
      </w:r>
      <w:r>
        <w:t xml:space="preserve">While discourse analysis assumes that </w:t>
      </w:r>
      <w:r w:rsidR="00772DAA">
        <w:t>rhetoric changes according to audience</w:t>
      </w:r>
      <w:r>
        <w:t xml:space="preserve">, here there is consistency. </w:t>
      </w:r>
      <w:r w:rsidR="00EE6B2D">
        <w:t xml:space="preserve">Admittedly, all the audiences </w:t>
      </w:r>
      <w:r w:rsidR="00230F02">
        <w:t>within</w:t>
      </w:r>
      <w:r>
        <w:t xml:space="preserve"> the data analysed </w:t>
      </w:r>
      <w:r w:rsidR="00EE6B2D">
        <w:t>are a) public</w:t>
      </w:r>
      <w:r w:rsidR="00CA1DC1">
        <w:t xml:space="preserve"> </w:t>
      </w:r>
      <w:r>
        <w:t xml:space="preserve">i.e. not </w:t>
      </w:r>
      <w:r w:rsidR="00CA1DC1">
        <w:t>carried out behind closed doors</w:t>
      </w:r>
      <w:r w:rsidR="00EE6B2D">
        <w:t xml:space="preserve"> and b) </w:t>
      </w:r>
      <w:r>
        <w:t xml:space="preserve">likely </w:t>
      </w:r>
      <w:r w:rsidR="00EE6B2D">
        <w:t xml:space="preserve">conscious of the normative dilemma </w:t>
      </w:r>
      <w:r>
        <w:t xml:space="preserve">between security and rights. </w:t>
      </w:r>
      <w:r w:rsidR="00230F02">
        <w:t>W</w:t>
      </w:r>
      <w:r w:rsidR="00CA1DC1">
        <w:t xml:space="preserve">ithin this context, it is </w:t>
      </w:r>
      <w:r w:rsidR="00230F02">
        <w:t xml:space="preserve">possible that May constructs rhetoric differently in terms of audiences not covered by this data e.g. </w:t>
      </w:r>
      <w:r w:rsidR="00CA1DC1">
        <w:t>with</w:t>
      </w:r>
      <w:r w:rsidR="00230F02">
        <w:t>in</w:t>
      </w:r>
      <w:r w:rsidR="0064743F">
        <w:t xml:space="preserve"> a more private context. It would</w:t>
      </w:r>
      <w:r w:rsidR="00230F02">
        <w:t xml:space="preserve"> not be theoretically uncontroversial to suggest that May speaks diffe</w:t>
      </w:r>
      <w:r w:rsidR="00CA1DC1">
        <w:t>rently in public to how she</w:t>
      </w:r>
      <w:r w:rsidR="00230F02">
        <w:t xml:space="preserve"> talks</w:t>
      </w:r>
      <w:r w:rsidR="00CA1DC1">
        <w:t>, say,</w:t>
      </w:r>
      <w:r w:rsidR="00230F02">
        <w:t xml:space="preserve"> to her Cabinet. Where this article is explicitly focused on public rhetoric, however, this is not a problem. </w:t>
      </w:r>
      <w:r w:rsidR="00E35EA1">
        <w:t>Moreover, this consistency is unsurprising. Given</w:t>
      </w:r>
      <w:r w:rsidR="00263D82">
        <w:t xml:space="preserve"> the extent to which Prevent has</w:t>
      </w:r>
      <w:r w:rsidR="0033426A">
        <w:t xml:space="preserve"> influenced</w:t>
      </w:r>
      <w:r w:rsidR="00263D82">
        <w:t xml:space="preserve"> everyday life – from what you say to your doctor, to education in schools</w:t>
      </w:r>
      <w:r w:rsidR="00E35EA1">
        <w:t xml:space="preserve"> – even non-expert audiences </w:t>
      </w:r>
      <w:r w:rsidR="00263D82">
        <w:t xml:space="preserve">can grasp what the curtailment of civil liberties means, and more specifically what this means in relation to the horrific terror attacks they see reported in the news. </w:t>
      </w:r>
      <w:r w:rsidR="00E35EA1">
        <w:t>May’s consistency, therefore, is a reflection of the community-based nature of the issue</w:t>
      </w:r>
      <w:r w:rsidR="00EB0AC8">
        <w:t xml:space="preserve"> and </w:t>
      </w:r>
      <w:r w:rsidR="00A53A74">
        <w:t>her</w:t>
      </w:r>
      <w:r w:rsidR="00077750">
        <w:t xml:space="preserve"> problematization of extremism</w:t>
      </w:r>
      <w:r w:rsidR="00E35EA1">
        <w:t>.</w:t>
      </w:r>
    </w:p>
    <w:p w14:paraId="679FA8A1" w14:textId="77777777" w:rsidR="00F63C71" w:rsidRDefault="00F63C71" w:rsidP="003D7795">
      <w:pPr>
        <w:spacing w:line="480" w:lineRule="auto"/>
      </w:pPr>
    </w:p>
    <w:p w14:paraId="3D9F8826" w14:textId="77777777" w:rsidR="00EF6D96" w:rsidRDefault="00EF6D96" w:rsidP="003D7795">
      <w:pPr>
        <w:spacing w:line="480" w:lineRule="auto"/>
      </w:pPr>
    </w:p>
    <w:p w14:paraId="39B8FB19" w14:textId="77777777" w:rsidR="00803139" w:rsidRPr="00C80127" w:rsidRDefault="00803139" w:rsidP="003D7795">
      <w:pPr>
        <w:spacing w:line="480" w:lineRule="auto"/>
        <w:rPr>
          <w:b/>
          <w:i/>
        </w:rPr>
      </w:pPr>
      <w:r>
        <w:rPr>
          <w:b/>
          <w:i/>
        </w:rPr>
        <w:t>Security as an achievement; rights as a failure</w:t>
      </w:r>
    </w:p>
    <w:p w14:paraId="0885CEBE" w14:textId="793C97EF" w:rsidR="00803139" w:rsidRDefault="00803139" w:rsidP="003D7795">
      <w:pPr>
        <w:spacing w:line="480" w:lineRule="auto"/>
      </w:pPr>
      <w:r>
        <w:t>May presents increased security measu</w:t>
      </w:r>
      <w:r w:rsidR="00083D00">
        <w:t xml:space="preserve">res as a success. She rhetorically </w:t>
      </w:r>
      <w:r>
        <w:t xml:space="preserve">constructs both the introduction of new security provisions and the outcomes of existing ones as </w:t>
      </w:r>
      <w:r w:rsidRPr="00566BFA">
        <w:t>wholly</w:t>
      </w:r>
      <w:r>
        <w:t xml:space="preserve"> positive and good. She boasts of her success in removing ‘</w:t>
      </w:r>
      <w:r w:rsidRPr="00D433F0">
        <w:t>citizenship from naturalised Britons w</w:t>
      </w:r>
      <w:r>
        <w:t>ho pose a threat to our country’</w:t>
      </w:r>
      <w:r>
        <w:rPr>
          <w:rStyle w:val="FootnoteReference"/>
        </w:rPr>
        <w:footnoteReference w:id="63"/>
      </w:r>
      <w:r>
        <w:t xml:space="preserve"> and that she has ‘</w:t>
      </w:r>
      <w:r>
        <w:rPr>
          <w:rFonts w:eastAsia="Times New Roman"/>
        </w:rPr>
        <w:t>kicked a few of them out’</w:t>
      </w:r>
      <w:r>
        <w:rPr>
          <w:rStyle w:val="FootnoteReference"/>
          <w:rFonts w:eastAsia="Times New Roman"/>
        </w:rPr>
        <w:footnoteReference w:id="64"/>
      </w:r>
      <w:r>
        <w:t>: ‘</w:t>
      </w:r>
      <w:r w:rsidRPr="00D433F0">
        <w:t>Since coming to power, I have already excluded 44 individuals from the UK either because of unacceptable behaviour o</w:t>
      </w:r>
      <w:r>
        <w:t>r for national security reasons’</w:t>
      </w:r>
      <w:r>
        <w:rPr>
          <w:rStyle w:val="FootnoteReference"/>
        </w:rPr>
        <w:footnoteReference w:id="65"/>
      </w:r>
      <w:r>
        <w:t>. Contrasting herself to Labour’s policy towards extremists, under which she says Muslim preachers were ‘embraced on stage’, May has ‘</w:t>
      </w:r>
      <w:r w:rsidRPr="00D433F0">
        <w:t>excluded more foreign hate preachers th</w:t>
      </w:r>
      <w:r>
        <w:t>an any Home Secretary before me’</w:t>
      </w:r>
      <w:r>
        <w:rPr>
          <w:rStyle w:val="FootnoteReference"/>
        </w:rPr>
        <w:footnoteReference w:id="66"/>
      </w:r>
      <w:r>
        <w:t xml:space="preserve">. Moreover, her commitment to Prevent has provided ‘much </w:t>
      </w:r>
      <w:r w:rsidRPr="00D433F0">
        <w:t>greater effectivenes</w:t>
      </w:r>
      <w:r>
        <w:t>s’ in tackling radicalisation</w:t>
      </w:r>
      <w:r>
        <w:rPr>
          <w:rStyle w:val="FootnoteReference"/>
        </w:rPr>
        <w:footnoteReference w:id="67"/>
      </w:r>
      <w:r>
        <w:t xml:space="preserve">. What some may consider rights abuses, she pre-constructs as worthy of a gold star – </w:t>
      </w:r>
      <w:r w:rsidR="00083D00">
        <w:t>where this comprises a</w:t>
      </w:r>
      <w:r>
        <w:t xml:space="preserve"> tactic of normative invalidation. Security policy measures are presented as major wins, thereby negating claims that these may be morally contentious. How could these measures be inappropriate when they are something to be proud of?</w:t>
      </w:r>
    </w:p>
    <w:p w14:paraId="10590EA4" w14:textId="77777777" w:rsidR="00803139" w:rsidRDefault="00803139" w:rsidP="003D7795">
      <w:pPr>
        <w:spacing w:line="480" w:lineRule="auto"/>
      </w:pPr>
    </w:p>
    <w:p w14:paraId="43936539" w14:textId="667489F4" w:rsidR="00803139" w:rsidRDefault="00803139" w:rsidP="003D7795">
      <w:pPr>
        <w:spacing w:line="480" w:lineRule="auto"/>
        <w:rPr>
          <w:rFonts w:eastAsia="Times New Roman"/>
        </w:rPr>
      </w:pPr>
      <w:r>
        <w:t xml:space="preserve">The construction of security as achievement allows for the </w:t>
      </w:r>
      <w:proofErr w:type="spellStart"/>
      <w:r>
        <w:t>othering</w:t>
      </w:r>
      <w:proofErr w:type="spellEnd"/>
      <w:r>
        <w:t xml:space="preserve"> of the rights policy norm as a failure. May presents rights as exacerbating the risk from extremism and terrorism. For example, </w:t>
      </w:r>
      <w:r w:rsidR="00083D00">
        <w:t>in relation to the European Convention on Human R</w:t>
      </w:r>
      <w:r w:rsidR="00083D00" w:rsidRPr="00D433F0">
        <w:t>ights</w:t>
      </w:r>
      <w:r w:rsidR="00083D00">
        <w:t xml:space="preserve"> (ECHR)</w:t>
      </w:r>
      <w:r>
        <w:t>, May rejects the authority of this provision by stating that: ‘</w:t>
      </w:r>
      <w:r w:rsidRPr="00D433F0">
        <w:t>Court interpretations of the European Convention of Human Rights have sometimes prevented us from returning dangerous terroris</w:t>
      </w:r>
      <w:r>
        <w:t>ts to their countries of origin’</w:t>
      </w:r>
      <w:r>
        <w:rPr>
          <w:rStyle w:val="FootnoteReference"/>
        </w:rPr>
        <w:footnoteReference w:id="68"/>
      </w:r>
      <w:r>
        <w:t xml:space="preserve">. Consequently, the ECHR is presented as a barrier to achieving security via policy measures, especially in terms of the deportation of suspects/terrorists and specifically where this represents a failure that May has been </w:t>
      </w:r>
      <w:r w:rsidRPr="007D7ABB">
        <w:rPr>
          <w:i/>
        </w:rPr>
        <w:t xml:space="preserve">successful </w:t>
      </w:r>
      <w:r>
        <w:t>in overcoming by amending policy</w:t>
      </w:r>
      <w:r>
        <w:rPr>
          <w:rStyle w:val="FootnoteReference"/>
        </w:rPr>
        <w:footnoteReference w:id="69"/>
      </w:r>
      <w:r>
        <w:rPr>
          <w:rFonts w:eastAsia="Times New Roman"/>
        </w:rPr>
        <w:t>. Without her input and the imposition of restrictive security measures, the UK – it seems – would be overrun with terrorists. The strategic narrative argues that rights are the enemy; their safeguarding leaves the state more insecure. In contrast, security measures are to be celebrated and applauded. In this way, rights are normatively invalidated and the path left clear for further security measures in the future.</w:t>
      </w:r>
    </w:p>
    <w:p w14:paraId="0D3808DF" w14:textId="77777777" w:rsidR="00803139" w:rsidRDefault="00803139" w:rsidP="003D7795">
      <w:pPr>
        <w:spacing w:line="480" w:lineRule="auto"/>
      </w:pPr>
    </w:p>
    <w:p w14:paraId="2FA7F232" w14:textId="77777777" w:rsidR="00803139" w:rsidRDefault="00803139" w:rsidP="003D7795">
      <w:pPr>
        <w:spacing w:line="480" w:lineRule="auto"/>
      </w:pPr>
    </w:p>
    <w:p w14:paraId="4004C92D" w14:textId="12A69253" w:rsidR="00C80127" w:rsidRPr="00C80127" w:rsidRDefault="00C80127" w:rsidP="003D7795">
      <w:pPr>
        <w:spacing w:line="480" w:lineRule="auto"/>
        <w:rPr>
          <w:b/>
          <w:i/>
        </w:rPr>
      </w:pPr>
      <w:r w:rsidRPr="00C80127">
        <w:rPr>
          <w:b/>
          <w:i/>
        </w:rPr>
        <w:t>A necessary response</w:t>
      </w:r>
    </w:p>
    <w:p w14:paraId="3BC9F024" w14:textId="77777777" w:rsidR="000164D7" w:rsidRDefault="000164D7" w:rsidP="003D7795">
      <w:pPr>
        <w:spacing w:line="480" w:lineRule="auto"/>
      </w:pPr>
    </w:p>
    <w:p w14:paraId="626E47B1" w14:textId="5D398E39" w:rsidR="000164D7" w:rsidRPr="00D433F0" w:rsidRDefault="000164D7" w:rsidP="003D7795">
      <w:pPr>
        <w:spacing w:line="480" w:lineRule="auto"/>
        <w:ind w:left="567"/>
        <w:rPr>
          <w:rFonts w:eastAsia="Times New Roman"/>
        </w:rPr>
      </w:pPr>
      <w:r>
        <w:rPr>
          <w:rFonts w:eastAsia="Times New Roman"/>
        </w:rPr>
        <w:t>‘</w:t>
      </w:r>
      <w:r w:rsidRPr="00D433F0">
        <w:rPr>
          <w:rFonts w:eastAsia="Times New Roman"/>
        </w:rPr>
        <w:t xml:space="preserve">The first duty of any government is to protect the </w:t>
      </w:r>
      <w:r>
        <w:rPr>
          <w:rFonts w:eastAsia="Times New Roman"/>
        </w:rPr>
        <w:t>British public</w:t>
      </w:r>
      <w:r w:rsidR="00AE14D2">
        <w:rPr>
          <w:rFonts w:eastAsia="Times New Roman"/>
        </w:rPr>
        <w:t>.</w:t>
      </w:r>
      <w:r>
        <w:rPr>
          <w:rFonts w:eastAsia="Times New Roman"/>
        </w:rPr>
        <w:t>’</w:t>
      </w:r>
      <w:r w:rsidR="00BA4335">
        <w:rPr>
          <w:rStyle w:val="FootnoteReference"/>
          <w:rFonts w:eastAsia="Times New Roman"/>
        </w:rPr>
        <w:footnoteReference w:id="70"/>
      </w:r>
    </w:p>
    <w:p w14:paraId="4D0E5C42" w14:textId="77777777" w:rsidR="000164D7" w:rsidRDefault="000164D7" w:rsidP="003D7795">
      <w:pPr>
        <w:spacing w:line="480" w:lineRule="auto"/>
      </w:pPr>
    </w:p>
    <w:p w14:paraId="27603502" w14:textId="6F1E2B22" w:rsidR="00035837" w:rsidRDefault="00432ACE" w:rsidP="003D7795">
      <w:pPr>
        <w:spacing w:line="480" w:lineRule="auto"/>
      </w:pPr>
      <w:r>
        <w:t xml:space="preserve">May also </w:t>
      </w:r>
      <w:r w:rsidR="001F69D3">
        <w:t xml:space="preserve">invalidates </w:t>
      </w:r>
      <w:r w:rsidR="001662A9">
        <w:t>the idea that counter</w:t>
      </w:r>
      <w:r w:rsidR="001D688F">
        <w:t>-</w:t>
      </w:r>
      <w:r w:rsidR="002F57A1">
        <w:t xml:space="preserve">radicalisation </w:t>
      </w:r>
      <w:r w:rsidR="001662A9">
        <w:t xml:space="preserve">policy should uphold rights </w:t>
      </w:r>
      <w:r w:rsidR="00FD72DD">
        <w:t xml:space="preserve">by </w:t>
      </w:r>
      <w:r w:rsidR="0024112A">
        <w:t>emphasizing</w:t>
      </w:r>
      <w:r w:rsidR="00FD72DD">
        <w:t xml:space="preserve"> the </w:t>
      </w:r>
      <w:r w:rsidR="00E44E70">
        <w:t>severity of the terrorist threat.</w:t>
      </w:r>
      <w:r w:rsidR="00DC3232">
        <w:t xml:space="preserve"> </w:t>
      </w:r>
      <w:r w:rsidR="00BF5489">
        <w:t xml:space="preserve">Exploiting </w:t>
      </w:r>
      <w:r w:rsidR="00DC3232">
        <w:t xml:space="preserve">the </w:t>
      </w:r>
      <w:r w:rsidR="00FF1191">
        <w:t>claim</w:t>
      </w:r>
      <w:r w:rsidR="00DC3232">
        <w:t xml:space="preserve"> that more threat justifies </w:t>
      </w:r>
      <w:r w:rsidR="00BF5489">
        <w:t>fewer rights</w:t>
      </w:r>
      <w:r w:rsidR="00C6546A">
        <w:t>, May negates the appeal</w:t>
      </w:r>
      <w:r w:rsidR="00DC3232">
        <w:t xml:space="preserve"> to civil </w:t>
      </w:r>
      <w:r w:rsidR="00545F1C">
        <w:t>liberties by</w:t>
      </w:r>
      <w:r w:rsidR="00BF5489">
        <w:t xml:space="preserve"> constructing </w:t>
      </w:r>
      <w:r w:rsidR="008F471C">
        <w:t xml:space="preserve">a strategic narrative </w:t>
      </w:r>
      <w:r w:rsidR="001D688F">
        <w:t xml:space="preserve">that the threat level is simply too extreme. </w:t>
      </w:r>
      <w:r w:rsidR="00474899">
        <w:t>She employed</w:t>
      </w:r>
      <w:r w:rsidR="00254A12">
        <w:t xml:space="preserve"> this tactic when </w:t>
      </w:r>
      <w:r w:rsidR="000F76E9">
        <w:t>presenting</w:t>
      </w:r>
      <w:r w:rsidR="00254A12">
        <w:t xml:space="preserve"> the re-vamped Prevent Strategy</w:t>
      </w:r>
      <w:r w:rsidR="000F76E9">
        <w:t xml:space="preserve"> </w:t>
      </w:r>
      <w:r w:rsidR="00254A12">
        <w:t xml:space="preserve">in 2011. </w:t>
      </w:r>
      <w:r w:rsidR="000F76E9">
        <w:t xml:space="preserve">Prior to </w:t>
      </w:r>
      <w:r w:rsidR="00254A12">
        <w:t>outlining a range of potentially</w:t>
      </w:r>
      <w:r w:rsidR="000F76E9">
        <w:t xml:space="preserve"> controversial new </w:t>
      </w:r>
      <w:r w:rsidR="00096648">
        <w:t xml:space="preserve">security </w:t>
      </w:r>
      <w:r w:rsidR="000F76E9">
        <w:t>measures, May</w:t>
      </w:r>
      <w:r w:rsidR="00254A12">
        <w:t xml:space="preserve"> pre-empted the </w:t>
      </w:r>
      <w:r w:rsidR="007F77AF">
        <w:t>rights</w:t>
      </w:r>
      <w:r w:rsidR="00254A12">
        <w:t xml:space="preserve"> argument by</w:t>
      </w:r>
      <w:r w:rsidR="000F76E9">
        <w:t xml:space="preserve"> constructing the UK as facing </w:t>
      </w:r>
      <w:r w:rsidR="005F2E22">
        <w:t>‘</w:t>
      </w:r>
      <w:r w:rsidR="003A0984" w:rsidRPr="00D433F0">
        <w:t>a serious and sustained threat from terrorism</w:t>
      </w:r>
      <w:r w:rsidR="007E0730">
        <w:t>’</w:t>
      </w:r>
      <w:r w:rsidR="007E0730">
        <w:rPr>
          <w:rStyle w:val="FootnoteReference"/>
        </w:rPr>
        <w:footnoteReference w:id="71"/>
      </w:r>
      <w:r w:rsidR="003A0984" w:rsidRPr="00D433F0">
        <w:t xml:space="preserve">. </w:t>
      </w:r>
      <w:r w:rsidR="00DD34F6">
        <w:t>She continued</w:t>
      </w:r>
      <w:r w:rsidR="007E0730">
        <w:t>: ‘</w:t>
      </w:r>
      <w:r w:rsidR="003A0984" w:rsidRPr="00D433F0">
        <w:t>Osama bin Laden may be dead, but the threat from al-</w:t>
      </w:r>
      <w:r w:rsidR="00C36879">
        <w:t>Qaeda-inspired terrorism is not.</w:t>
      </w:r>
      <w:r w:rsidR="007E0730">
        <w:t>’</w:t>
      </w:r>
      <w:r w:rsidR="003A0984" w:rsidRPr="00D433F0">
        <w:t xml:space="preserve"> </w:t>
      </w:r>
      <w:r w:rsidR="00154176">
        <w:t>This</w:t>
      </w:r>
      <w:r w:rsidR="007F77AF">
        <w:t xml:space="preserve"> rhetoric</w:t>
      </w:r>
      <w:r w:rsidR="00154176">
        <w:t xml:space="preserve"> is specifically relevant to counter-radicalisation: ‘</w:t>
      </w:r>
      <w:r w:rsidR="00154176" w:rsidRPr="00D433F0">
        <w:t xml:space="preserve">Al </w:t>
      </w:r>
      <w:proofErr w:type="spellStart"/>
      <w:r w:rsidR="00154176" w:rsidRPr="00D433F0">
        <w:t>Qa’ida’s</w:t>
      </w:r>
      <w:proofErr w:type="spellEnd"/>
      <w:r w:rsidR="00154176" w:rsidRPr="00D433F0">
        <w:t xml:space="preserve"> ideology may be discredited, but it can still be used to radicalise</w:t>
      </w:r>
      <w:r w:rsidR="00154176">
        <w:t>’</w:t>
      </w:r>
      <w:r w:rsidR="00C36879">
        <w:rPr>
          <w:rStyle w:val="FootnoteReference"/>
        </w:rPr>
        <w:footnoteReference w:id="72"/>
      </w:r>
      <w:r w:rsidR="00154176" w:rsidRPr="00D433F0">
        <w:t>.</w:t>
      </w:r>
      <w:r w:rsidR="00154176">
        <w:t xml:space="preserve"> </w:t>
      </w:r>
      <w:r w:rsidR="00096648">
        <w:t>In response</w:t>
      </w:r>
      <w:r w:rsidR="007E125F">
        <w:t>, Prevent is presented as essential in order to ‘tackle that th</w:t>
      </w:r>
      <w:r w:rsidR="00DD355F">
        <w:t>reat’ regardless of the impact on rights</w:t>
      </w:r>
      <w:r w:rsidR="00C36879">
        <w:rPr>
          <w:rStyle w:val="FootnoteReference"/>
        </w:rPr>
        <w:footnoteReference w:id="73"/>
      </w:r>
      <w:r w:rsidR="007E125F">
        <w:t xml:space="preserve">. </w:t>
      </w:r>
      <w:r w:rsidR="0096663C">
        <w:t>This</w:t>
      </w:r>
      <w:r w:rsidR="00CE5C26">
        <w:t xml:space="preserve"> </w:t>
      </w:r>
      <w:r w:rsidR="007657F5">
        <w:t xml:space="preserve">strategic </w:t>
      </w:r>
      <w:r w:rsidR="00276FF5">
        <w:t>approach</w:t>
      </w:r>
      <w:r w:rsidR="002B46D8">
        <w:t xml:space="preserve"> is</w:t>
      </w:r>
      <w:r w:rsidR="00474899">
        <w:t xml:space="preserve"> </w:t>
      </w:r>
      <w:r w:rsidR="00DD355F">
        <w:t>further employed</w:t>
      </w:r>
      <w:r w:rsidR="00A70A56">
        <w:t xml:space="preserve"> </w:t>
      </w:r>
      <w:r w:rsidR="002B46D8">
        <w:t>elsewhere for the same</w:t>
      </w:r>
      <w:r w:rsidR="00CE5C26">
        <w:t xml:space="preserve"> purposes of</w:t>
      </w:r>
      <w:r w:rsidR="00DD355F">
        <w:t xml:space="preserve"> invalidation, where</w:t>
      </w:r>
      <w:r w:rsidR="002B46D8">
        <w:t xml:space="preserve"> May repeatedly refers to </w:t>
      </w:r>
      <w:r w:rsidR="00F26529">
        <w:t xml:space="preserve">the </w:t>
      </w:r>
      <w:r w:rsidR="002B46D8">
        <w:t>designation of the UK threat leve</w:t>
      </w:r>
      <w:r w:rsidR="00A9675D">
        <w:t>l as ‘severe</w:t>
      </w:r>
      <w:r w:rsidR="00CE5C26">
        <w:t xml:space="preserve">’ and </w:t>
      </w:r>
      <w:r w:rsidR="001B5216">
        <w:t xml:space="preserve">explicitly emphasizes that </w:t>
      </w:r>
      <w:r w:rsidR="002B46D8">
        <w:t>this means a future attack is ‘</w:t>
      </w:r>
      <w:r w:rsidR="003A0984" w:rsidRPr="00D433F0">
        <w:t>highly likely</w:t>
      </w:r>
      <w:r w:rsidR="000B30F1">
        <w:t>’</w:t>
      </w:r>
      <w:r w:rsidR="003C3EB9">
        <w:t xml:space="preserve"> </w:t>
      </w:r>
      <w:r w:rsidR="008C51B4">
        <w:t>or ‘imminent’</w:t>
      </w:r>
      <w:r w:rsidR="00C36879">
        <w:rPr>
          <w:rStyle w:val="FootnoteReference"/>
        </w:rPr>
        <w:footnoteReference w:id="74"/>
      </w:r>
      <w:r w:rsidR="003A0984">
        <w:t>.</w:t>
      </w:r>
      <w:r w:rsidR="00057B8F">
        <w:t xml:space="preserve"> </w:t>
      </w:r>
      <w:r w:rsidR="006611FB">
        <w:t xml:space="preserve">Specifically, </w:t>
      </w:r>
      <w:r w:rsidR="007D2BDD">
        <w:t xml:space="preserve">May </w:t>
      </w:r>
      <w:r w:rsidR="004B3AA7">
        <w:t>asserts that</w:t>
      </w:r>
      <w:r w:rsidR="007D2BDD">
        <w:t xml:space="preserve"> </w:t>
      </w:r>
      <w:r w:rsidR="00DD355F">
        <w:t xml:space="preserve">this </w:t>
      </w:r>
      <w:r w:rsidR="00157BA0">
        <w:t>threat</w:t>
      </w:r>
      <w:r w:rsidR="00DD355F">
        <w:t xml:space="preserve"> level</w:t>
      </w:r>
      <w:r w:rsidR="004B3AA7">
        <w:t xml:space="preserve"> demands</w:t>
      </w:r>
      <w:r w:rsidR="006611FB">
        <w:t xml:space="preserve"> ‘</w:t>
      </w:r>
      <w:r w:rsidR="006611FB" w:rsidRPr="00D433F0">
        <w:rPr>
          <w:rFonts w:eastAsia="Times New Roman"/>
        </w:rPr>
        <w:t>we must ac</w:t>
      </w:r>
      <w:r w:rsidR="006611FB">
        <w:rPr>
          <w:rFonts w:eastAsia="Times New Roman"/>
        </w:rPr>
        <w:t>t’</w:t>
      </w:r>
      <w:r w:rsidR="007D2BDD">
        <w:rPr>
          <w:rFonts w:eastAsia="Times New Roman"/>
        </w:rPr>
        <w:t xml:space="preserve"> i.e. increase security provisions</w:t>
      </w:r>
      <w:r w:rsidR="002E2784">
        <w:rPr>
          <w:rStyle w:val="FootnoteReference"/>
          <w:rFonts w:eastAsia="Times New Roman"/>
        </w:rPr>
        <w:footnoteReference w:id="75"/>
      </w:r>
      <w:r w:rsidR="001F0735">
        <w:rPr>
          <w:rFonts w:eastAsia="Times New Roman"/>
        </w:rPr>
        <w:t xml:space="preserve">. </w:t>
      </w:r>
      <w:r w:rsidR="004B3AA7">
        <w:rPr>
          <w:rFonts w:eastAsia="Times New Roman"/>
        </w:rPr>
        <w:t>A security-centric policy</w:t>
      </w:r>
      <w:r w:rsidR="001F0735">
        <w:rPr>
          <w:rFonts w:eastAsia="Times New Roman"/>
        </w:rPr>
        <w:t xml:space="preserve"> is the only way to</w:t>
      </w:r>
      <w:r w:rsidR="001F0735">
        <w:t xml:space="preserve"> </w:t>
      </w:r>
      <w:r w:rsidR="001F0735">
        <w:rPr>
          <w:rFonts w:eastAsia="Times New Roman"/>
        </w:rPr>
        <w:t>‘</w:t>
      </w:r>
      <w:r w:rsidR="002E2784">
        <w:t>keep us all safe’</w:t>
      </w:r>
      <w:r w:rsidR="002E2784">
        <w:rPr>
          <w:rStyle w:val="FootnoteReference"/>
        </w:rPr>
        <w:footnoteReference w:id="76"/>
      </w:r>
      <w:r w:rsidR="001B5216">
        <w:t>, however ‘controversial’ the</w:t>
      </w:r>
      <w:r w:rsidR="00956439">
        <w:t xml:space="preserve"> measures </w:t>
      </w:r>
      <w:r w:rsidR="00A9675D">
        <w:t>introduced in the name of Prevent</w:t>
      </w:r>
      <w:r w:rsidR="003811EA">
        <w:t xml:space="preserve"> are in terms of</w:t>
      </w:r>
      <w:r w:rsidR="001B5216">
        <w:t xml:space="preserve"> rights violations</w:t>
      </w:r>
      <w:r w:rsidR="002E2784">
        <w:rPr>
          <w:rStyle w:val="FootnoteReference"/>
        </w:rPr>
        <w:footnoteReference w:id="77"/>
      </w:r>
      <w:r w:rsidR="00023941">
        <w:t xml:space="preserve">. </w:t>
      </w:r>
      <w:r w:rsidR="00035837">
        <w:t xml:space="preserve">May further constructs </w:t>
      </w:r>
      <w:r w:rsidR="007657F5">
        <w:t xml:space="preserve">a strategic narrative of </w:t>
      </w:r>
      <w:r w:rsidR="00035837">
        <w:t>the terrorist threat as one in which failing t</w:t>
      </w:r>
      <w:r w:rsidR="00EC56E4">
        <w:t>o introduce ‘vital’ new restrictions</w:t>
      </w:r>
      <w:r w:rsidR="00035837">
        <w:t xml:space="preserve"> will exacerbate the identified insecurity</w:t>
      </w:r>
      <w:r w:rsidR="002E2784">
        <w:rPr>
          <w:rStyle w:val="FootnoteReference"/>
        </w:rPr>
        <w:footnoteReference w:id="78"/>
      </w:r>
      <w:r w:rsidR="00035837">
        <w:t xml:space="preserve">. </w:t>
      </w:r>
      <w:r w:rsidR="00DD355F">
        <w:t xml:space="preserve">In relation to the </w:t>
      </w:r>
      <w:r w:rsidR="00DD355F" w:rsidRPr="00DD355F">
        <w:t>contentious</w:t>
      </w:r>
      <w:r w:rsidR="00035837" w:rsidRPr="006861D6">
        <w:t xml:space="preserve"> </w:t>
      </w:r>
      <w:r w:rsidR="008E709B">
        <w:t>D</w:t>
      </w:r>
      <w:r w:rsidR="00035837" w:rsidRPr="00D433F0">
        <w:t>raft Communications Data Bill</w:t>
      </w:r>
      <w:r w:rsidR="00023941">
        <w:t xml:space="preserve"> (which would increase</w:t>
      </w:r>
      <w:r w:rsidR="00035837">
        <w:t xml:space="preserve"> monitoring of radicalisation and terrorist activity via phone and</w:t>
      </w:r>
      <w:r w:rsidR="00DD355F">
        <w:t xml:space="preserve"> the Internet</w:t>
      </w:r>
      <w:r w:rsidR="00035837">
        <w:t>), May said:</w:t>
      </w:r>
    </w:p>
    <w:p w14:paraId="30DE55BC" w14:textId="77777777" w:rsidR="00035837" w:rsidRDefault="00035837" w:rsidP="003D7795">
      <w:pPr>
        <w:spacing w:line="480" w:lineRule="auto"/>
      </w:pPr>
    </w:p>
    <w:p w14:paraId="5C8BD620" w14:textId="27287B3E" w:rsidR="00035837" w:rsidRDefault="00035837" w:rsidP="003D7795">
      <w:pPr>
        <w:spacing w:line="480" w:lineRule="auto"/>
        <w:ind w:left="567"/>
      </w:pPr>
      <w:r w:rsidRPr="00D433F0">
        <w:t>Let me be absolutely clear: every day that passes without the proposals in the draft Communications Data Bill, the capabilities of the people who keep us safe diminish; and as those capabilities diminish, more people fi</w:t>
      </w:r>
      <w:r w:rsidR="008948BB">
        <w:t xml:space="preserve">nd themselves in danger and – </w:t>
      </w:r>
      <w:r w:rsidR="005969A1">
        <w:t>yes …</w:t>
      </w:r>
      <w:r w:rsidRPr="00D433F0">
        <w:t>innocent lives will be put</w:t>
      </w:r>
      <w:r>
        <w:t xml:space="preserve"> at risk</w:t>
      </w:r>
      <w:r w:rsidR="002E2784">
        <w:rPr>
          <w:rStyle w:val="FootnoteReference"/>
        </w:rPr>
        <w:footnoteReference w:id="79"/>
      </w:r>
      <w:r>
        <w:t>.</w:t>
      </w:r>
    </w:p>
    <w:p w14:paraId="36F32251" w14:textId="77777777" w:rsidR="00035837" w:rsidRDefault="00035837" w:rsidP="003D7795">
      <w:pPr>
        <w:spacing w:line="480" w:lineRule="auto"/>
      </w:pPr>
    </w:p>
    <w:p w14:paraId="776F77B3" w14:textId="65A64942" w:rsidR="00035837" w:rsidRPr="0018577A" w:rsidRDefault="00FB78BD" w:rsidP="003D7795">
      <w:pPr>
        <w:spacing w:line="480" w:lineRule="auto"/>
      </w:pPr>
      <w:r>
        <w:t>There is also</w:t>
      </w:r>
      <w:r w:rsidR="00A70A56">
        <w:t xml:space="preserve"> a </w:t>
      </w:r>
      <w:r w:rsidR="00CD75F8">
        <w:t>patriotic element</w:t>
      </w:r>
      <w:r w:rsidR="00A70A56">
        <w:t>.</w:t>
      </w:r>
      <w:r w:rsidR="00A338B6">
        <w:t xml:space="preserve"> May </w:t>
      </w:r>
      <w:r w:rsidR="00FC5AD4">
        <w:t>declares a</w:t>
      </w:r>
      <w:r>
        <w:t xml:space="preserve"> need to make ‘</w:t>
      </w:r>
      <w:r w:rsidRPr="00D433F0">
        <w:rPr>
          <w:rFonts w:eastAsia="Times New Roman"/>
        </w:rPr>
        <w:t xml:space="preserve">Britain the most secure and safest country </w:t>
      </w:r>
      <w:r w:rsidR="002E2784">
        <w:rPr>
          <w:rFonts w:eastAsia="Times New Roman"/>
        </w:rPr>
        <w:t>and strongest country in Europe</w:t>
      </w:r>
      <w:r>
        <w:rPr>
          <w:rFonts w:eastAsia="Times New Roman"/>
        </w:rPr>
        <w:t>’</w:t>
      </w:r>
      <w:r w:rsidR="002E2784">
        <w:rPr>
          <w:rStyle w:val="FootnoteReference"/>
          <w:rFonts w:eastAsia="Times New Roman"/>
        </w:rPr>
        <w:footnoteReference w:id="80"/>
      </w:r>
      <w:r w:rsidR="002E2784">
        <w:rPr>
          <w:rFonts w:eastAsia="Times New Roman"/>
        </w:rPr>
        <w:t>.</w:t>
      </w:r>
      <w:r w:rsidR="001B5216">
        <w:rPr>
          <w:rFonts w:eastAsia="Times New Roman"/>
        </w:rPr>
        <w:t xml:space="preserve"> </w:t>
      </w:r>
      <w:r w:rsidR="00770190">
        <w:rPr>
          <w:rFonts w:eastAsia="Times New Roman"/>
        </w:rPr>
        <w:t>Security is linked to patriotism and national pride</w:t>
      </w:r>
      <w:r w:rsidR="005752D8">
        <w:rPr>
          <w:rFonts w:eastAsia="Times New Roman"/>
        </w:rPr>
        <w:t>, which</w:t>
      </w:r>
      <w:r w:rsidR="00A70A56">
        <w:rPr>
          <w:rFonts w:eastAsia="Times New Roman"/>
        </w:rPr>
        <w:t xml:space="preserve"> – as</w:t>
      </w:r>
      <w:r w:rsidR="005752D8">
        <w:rPr>
          <w:rFonts w:eastAsia="Times New Roman"/>
        </w:rPr>
        <w:t xml:space="preserve"> </w:t>
      </w:r>
      <w:r w:rsidR="00770190">
        <w:rPr>
          <w:rFonts w:eastAsia="Times New Roman"/>
        </w:rPr>
        <w:t>the pro-</w:t>
      </w:r>
      <w:proofErr w:type="spellStart"/>
      <w:r w:rsidR="00770190">
        <w:rPr>
          <w:rFonts w:eastAsia="Times New Roman"/>
        </w:rPr>
        <w:t>Brexit</w:t>
      </w:r>
      <w:proofErr w:type="spellEnd"/>
      <w:r w:rsidR="00770190">
        <w:rPr>
          <w:rFonts w:eastAsia="Times New Roman"/>
        </w:rPr>
        <w:t xml:space="preserve"> vote reveals </w:t>
      </w:r>
      <w:r w:rsidR="00A70A56">
        <w:rPr>
          <w:rFonts w:eastAsia="Times New Roman"/>
        </w:rPr>
        <w:t xml:space="preserve">– </w:t>
      </w:r>
      <w:r w:rsidR="00770190">
        <w:rPr>
          <w:rFonts w:eastAsia="Times New Roman"/>
        </w:rPr>
        <w:t>is a h</w:t>
      </w:r>
      <w:r w:rsidR="0014621A">
        <w:rPr>
          <w:rFonts w:eastAsia="Times New Roman"/>
        </w:rPr>
        <w:t>igh</w:t>
      </w:r>
      <w:r w:rsidR="000448C3">
        <w:rPr>
          <w:rFonts w:eastAsia="Times New Roman"/>
        </w:rPr>
        <w:t>ly potent frame to draw upon in relation to</w:t>
      </w:r>
      <w:r w:rsidR="0014621A">
        <w:rPr>
          <w:rFonts w:eastAsia="Times New Roman"/>
        </w:rPr>
        <w:t xml:space="preserve"> a UK audience.</w:t>
      </w:r>
    </w:p>
    <w:p w14:paraId="657603D0" w14:textId="77777777" w:rsidR="00B13CFC" w:rsidRDefault="00B13CFC" w:rsidP="003D7795">
      <w:pPr>
        <w:spacing w:line="480" w:lineRule="auto"/>
        <w:rPr>
          <w:rFonts w:eastAsia="Times New Roman"/>
        </w:rPr>
      </w:pPr>
    </w:p>
    <w:p w14:paraId="5F9C6E10" w14:textId="2246B224" w:rsidR="00F0566F" w:rsidRPr="00492B58" w:rsidRDefault="00492B58" w:rsidP="003D7795">
      <w:pPr>
        <w:spacing w:line="480" w:lineRule="auto"/>
        <w:rPr>
          <w:rFonts w:eastAsia="Times New Roman"/>
        </w:rPr>
      </w:pPr>
      <w:r>
        <w:rPr>
          <w:rFonts w:eastAsia="Times New Roman"/>
        </w:rPr>
        <w:t>This approach has</w:t>
      </w:r>
      <w:r w:rsidR="00D31992">
        <w:rPr>
          <w:rFonts w:eastAsia="Times New Roman"/>
        </w:rPr>
        <w:t xml:space="preserve"> clear</w:t>
      </w:r>
      <w:r>
        <w:rPr>
          <w:rFonts w:eastAsia="Times New Roman"/>
        </w:rPr>
        <w:t xml:space="preserve"> overtones of the idea of exception</w:t>
      </w:r>
      <w:r w:rsidR="00E837C1">
        <w:rPr>
          <w:rFonts w:eastAsia="Times New Roman"/>
        </w:rPr>
        <w:t xml:space="preserve">, as expressed by </w:t>
      </w:r>
      <w:proofErr w:type="spellStart"/>
      <w:r w:rsidR="00E837C1">
        <w:rPr>
          <w:rFonts w:eastAsia="Times New Roman"/>
        </w:rPr>
        <w:t>Tsoukala</w:t>
      </w:r>
      <w:proofErr w:type="spellEnd"/>
      <w:r>
        <w:rPr>
          <w:rStyle w:val="FootnoteReference"/>
          <w:rFonts w:eastAsia="Times New Roman"/>
        </w:rPr>
        <w:footnoteReference w:id="81"/>
      </w:r>
      <w:r w:rsidR="00E837C1">
        <w:rPr>
          <w:rFonts w:eastAsia="Times New Roman"/>
        </w:rPr>
        <w:t>. R</w:t>
      </w:r>
      <w:r w:rsidR="001B5216">
        <w:rPr>
          <w:rFonts w:eastAsia="Times New Roman"/>
        </w:rPr>
        <w:t>ights are effectively ruled out as</w:t>
      </w:r>
      <w:r w:rsidR="00D5243A">
        <w:rPr>
          <w:rFonts w:eastAsia="Times New Roman"/>
        </w:rPr>
        <w:t xml:space="preserve"> an</w:t>
      </w:r>
      <w:r w:rsidR="001B5216">
        <w:rPr>
          <w:rFonts w:eastAsia="Times New Roman"/>
        </w:rPr>
        <w:t xml:space="preserve"> inappropriate</w:t>
      </w:r>
      <w:r w:rsidR="00F37563">
        <w:rPr>
          <w:rFonts w:eastAsia="Times New Roman"/>
        </w:rPr>
        <w:t xml:space="preserve"> policy norm</w:t>
      </w:r>
      <w:r w:rsidR="005752D8">
        <w:rPr>
          <w:rFonts w:eastAsia="Times New Roman"/>
        </w:rPr>
        <w:t>, at least</w:t>
      </w:r>
      <w:r w:rsidR="001B5216">
        <w:rPr>
          <w:rFonts w:eastAsia="Times New Roman"/>
        </w:rPr>
        <w:t xml:space="preserve"> </w:t>
      </w:r>
      <w:r w:rsidR="00401DC4">
        <w:rPr>
          <w:rFonts w:eastAsia="Times New Roman"/>
        </w:rPr>
        <w:t>with</w:t>
      </w:r>
      <w:r w:rsidR="00DB3BDF">
        <w:rPr>
          <w:rFonts w:eastAsia="Times New Roman"/>
        </w:rPr>
        <w:t xml:space="preserve">in the current threat climate, </w:t>
      </w:r>
      <w:r w:rsidR="00761D4F">
        <w:rPr>
          <w:rFonts w:eastAsia="Times New Roman"/>
        </w:rPr>
        <w:t>and t</w:t>
      </w:r>
      <w:r>
        <w:rPr>
          <w:rFonts w:eastAsia="Times New Roman"/>
        </w:rPr>
        <w:t>he engrain</w:t>
      </w:r>
      <w:r w:rsidR="004318EE">
        <w:rPr>
          <w:rFonts w:eastAsia="Times New Roman"/>
        </w:rPr>
        <w:t xml:space="preserve">ed </w:t>
      </w:r>
      <w:r w:rsidR="002406DA">
        <w:rPr>
          <w:rFonts w:eastAsia="Times New Roman"/>
        </w:rPr>
        <w:t xml:space="preserve">policy </w:t>
      </w:r>
      <w:r w:rsidR="004318EE">
        <w:rPr>
          <w:rFonts w:eastAsia="Times New Roman"/>
        </w:rPr>
        <w:t>norm</w:t>
      </w:r>
      <w:r w:rsidR="00761D4F">
        <w:rPr>
          <w:rFonts w:eastAsia="Times New Roman"/>
        </w:rPr>
        <w:t xml:space="preserve"> of exception means that </w:t>
      </w:r>
      <w:r w:rsidR="001B5216">
        <w:rPr>
          <w:rFonts w:eastAsia="Times New Roman"/>
        </w:rPr>
        <w:t xml:space="preserve">May </w:t>
      </w:r>
      <w:r w:rsidR="005752D8">
        <w:rPr>
          <w:rFonts w:eastAsia="Times New Roman"/>
        </w:rPr>
        <w:t>does not even have to</w:t>
      </w:r>
      <w:r w:rsidR="00035837">
        <w:rPr>
          <w:rFonts w:eastAsia="Times New Roman"/>
        </w:rPr>
        <w:t xml:space="preserve"> explicitly state this</w:t>
      </w:r>
      <w:r w:rsidR="00DC1E21">
        <w:rPr>
          <w:rFonts w:eastAsia="Times New Roman"/>
        </w:rPr>
        <w:t xml:space="preserve"> for it to be accepted as valid</w:t>
      </w:r>
      <w:r w:rsidR="00035837">
        <w:rPr>
          <w:rFonts w:eastAsia="Times New Roman"/>
        </w:rPr>
        <w:t>.</w:t>
      </w:r>
      <w:r w:rsidR="00401DC4">
        <w:rPr>
          <w:rFonts w:eastAsia="Times New Roman"/>
        </w:rPr>
        <w:t xml:space="preserve"> </w:t>
      </w:r>
      <w:r w:rsidR="002035E6">
        <w:rPr>
          <w:rFonts w:eastAsia="Times New Roman"/>
        </w:rPr>
        <w:t>T</w:t>
      </w:r>
      <w:r>
        <w:rPr>
          <w:rFonts w:eastAsia="Times New Roman"/>
        </w:rPr>
        <w:t>here is</w:t>
      </w:r>
      <w:r w:rsidR="002035E6">
        <w:rPr>
          <w:rFonts w:eastAsia="Times New Roman"/>
        </w:rPr>
        <w:t>, however,</w:t>
      </w:r>
      <w:r>
        <w:rPr>
          <w:rFonts w:eastAsia="Times New Roman"/>
        </w:rPr>
        <w:t xml:space="preserve"> something more comple</w:t>
      </w:r>
      <w:r w:rsidR="002035E6">
        <w:rPr>
          <w:rFonts w:eastAsia="Times New Roman"/>
        </w:rPr>
        <w:t>x here in that May uses the concept</w:t>
      </w:r>
      <w:r>
        <w:rPr>
          <w:rFonts w:eastAsia="Times New Roman"/>
        </w:rPr>
        <w:t xml:space="preserve"> of exception to explain away rights</w:t>
      </w:r>
      <w:r w:rsidR="00BE303B">
        <w:rPr>
          <w:rFonts w:eastAsia="Times New Roman"/>
        </w:rPr>
        <w:t xml:space="preserve"> and where this comprises</w:t>
      </w:r>
      <w:r w:rsidR="00437A04">
        <w:rPr>
          <w:rFonts w:eastAsia="Times New Roman"/>
        </w:rPr>
        <w:t xml:space="preserve"> only one of many strategies</w:t>
      </w:r>
      <w:r w:rsidR="00BE303B">
        <w:rPr>
          <w:rFonts w:eastAsia="Times New Roman"/>
        </w:rPr>
        <w:t xml:space="preserve"> of invalidation</w:t>
      </w:r>
      <w:r w:rsidR="00437A04">
        <w:rPr>
          <w:rFonts w:eastAsia="Times New Roman"/>
        </w:rPr>
        <w:t>. While May</w:t>
      </w:r>
      <w:r w:rsidR="00401DC4">
        <w:rPr>
          <w:rFonts w:eastAsia="Times New Roman"/>
        </w:rPr>
        <w:t xml:space="preserve"> does </w:t>
      </w:r>
      <w:r w:rsidR="00AE1AA9" w:rsidRPr="00AE1AA9">
        <w:rPr>
          <w:rFonts w:eastAsia="Times New Roman"/>
        </w:rPr>
        <w:t>unequivocally</w:t>
      </w:r>
      <w:r w:rsidR="00401DC4">
        <w:rPr>
          <w:rFonts w:eastAsia="Times New Roman"/>
        </w:rPr>
        <w:t xml:space="preserve"> maintain</w:t>
      </w:r>
      <w:r w:rsidR="00704431">
        <w:rPr>
          <w:rFonts w:eastAsia="Times New Roman"/>
        </w:rPr>
        <w:t xml:space="preserve"> that </w:t>
      </w:r>
      <w:r w:rsidR="00AE1AA9">
        <w:rPr>
          <w:rFonts w:eastAsia="Times New Roman"/>
        </w:rPr>
        <w:t>rights cannot be prioritised</w:t>
      </w:r>
      <w:r w:rsidR="00035837">
        <w:rPr>
          <w:rFonts w:eastAsia="Times New Roman"/>
        </w:rPr>
        <w:t xml:space="preserve"> after London Bridge</w:t>
      </w:r>
      <w:r w:rsidR="001B5216">
        <w:rPr>
          <w:rFonts w:eastAsia="Times New Roman"/>
        </w:rPr>
        <w:t xml:space="preserve"> </w:t>
      </w:r>
      <w:r w:rsidR="00035837">
        <w:rPr>
          <w:rFonts w:eastAsia="Times New Roman"/>
        </w:rPr>
        <w:t>(</w:t>
      </w:r>
      <w:r w:rsidR="00035837">
        <w:t>direct normative invalidation</w:t>
      </w:r>
      <w:r w:rsidR="00035837">
        <w:rPr>
          <w:rFonts w:eastAsia="Times New Roman"/>
        </w:rPr>
        <w:t>)</w:t>
      </w:r>
      <w:r w:rsidR="00401DC4">
        <w:rPr>
          <w:rFonts w:eastAsia="Times New Roman"/>
        </w:rPr>
        <w:t>,</w:t>
      </w:r>
      <w:r w:rsidR="00035837" w:rsidRPr="00035837">
        <w:t xml:space="preserve"> </w:t>
      </w:r>
      <w:r w:rsidR="00035837">
        <w:t>other form</w:t>
      </w:r>
      <w:r w:rsidR="002A46D3">
        <w:t xml:space="preserve">s of </w:t>
      </w:r>
      <w:r w:rsidR="005752D8">
        <w:t>rhetoric are subtler and create</w:t>
      </w:r>
      <w:r w:rsidR="00035837">
        <w:t xml:space="preserve"> a pathway of logic that necessarily </w:t>
      </w:r>
      <w:r w:rsidR="00401DC4">
        <w:t xml:space="preserve">concludes </w:t>
      </w:r>
      <w:r w:rsidR="00035837">
        <w:t>rights cannot be fully respected in the case of terrorism (indirect normative invalidation). In the case of building an exclusive focus around the level of threat,</w:t>
      </w:r>
      <w:r w:rsidR="00035837">
        <w:rPr>
          <w:rFonts w:eastAsia="Times New Roman"/>
        </w:rPr>
        <w:t xml:space="preserve"> </w:t>
      </w:r>
      <w:r w:rsidR="001B5216">
        <w:rPr>
          <w:rFonts w:eastAsia="Times New Roman"/>
        </w:rPr>
        <w:t>the strength of the</w:t>
      </w:r>
      <w:r w:rsidR="00C642E5">
        <w:rPr>
          <w:rFonts w:eastAsia="Times New Roman"/>
        </w:rPr>
        <w:t xml:space="preserve"> s</w:t>
      </w:r>
      <w:r w:rsidR="00F1344E">
        <w:rPr>
          <w:rFonts w:eastAsia="Times New Roman"/>
        </w:rPr>
        <w:t>ecurity/rights</w:t>
      </w:r>
      <w:r w:rsidR="001B5216">
        <w:rPr>
          <w:rFonts w:eastAsia="Times New Roman"/>
        </w:rPr>
        <w:t xml:space="preserve"> dilemma means </w:t>
      </w:r>
      <w:r w:rsidR="00C642E5">
        <w:rPr>
          <w:rFonts w:eastAsia="Times New Roman"/>
        </w:rPr>
        <w:t xml:space="preserve">that </w:t>
      </w:r>
      <w:r w:rsidR="001B5216">
        <w:rPr>
          <w:rFonts w:eastAsia="Times New Roman"/>
        </w:rPr>
        <w:t>th</w:t>
      </w:r>
      <w:r w:rsidR="00C642E5">
        <w:rPr>
          <w:rFonts w:eastAsia="Times New Roman"/>
        </w:rPr>
        <w:t xml:space="preserve">e negation </w:t>
      </w:r>
      <w:r w:rsidR="001A0855">
        <w:rPr>
          <w:rFonts w:eastAsia="Times New Roman"/>
        </w:rPr>
        <w:t xml:space="preserve">of civil liberties </w:t>
      </w:r>
      <w:r w:rsidR="00C642E5">
        <w:rPr>
          <w:rFonts w:eastAsia="Times New Roman"/>
        </w:rPr>
        <w:t>is</w:t>
      </w:r>
      <w:r w:rsidR="001B5216">
        <w:rPr>
          <w:rFonts w:eastAsia="Times New Roman"/>
        </w:rPr>
        <w:t xml:space="preserve"> a) implied and b) a logical consequence of </w:t>
      </w:r>
      <w:r w:rsidR="00C642E5">
        <w:rPr>
          <w:rFonts w:eastAsia="Times New Roman"/>
        </w:rPr>
        <w:t xml:space="preserve">rhetorically </w:t>
      </w:r>
      <w:r w:rsidR="001B5216">
        <w:rPr>
          <w:rFonts w:eastAsia="Times New Roman"/>
        </w:rPr>
        <w:t>setting the scene in favour of a security-centric argument.</w:t>
      </w:r>
      <w:r w:rsidR="002313A5">
        <w:rPr>
          <w:rFonts w:eastAsia="Times New Roman"/>
        </w:rPr>
        <w:t xml:space="preserve"> </w:t>
      </w:r>
      <w:r w:rsidR="00DB3BDF">
        <w:rPr>
          <w:rFonts w:eastAsia="Times New Roman"/>
        </w:rPr>
        <w:t xml:space="preserve">May effectively tips the </w:t>
      </w:r>
      <w:r w:rsidR="004441F8">
        <w:rPr>
          <w:rFonts w:eastAsia="Times New Roman"/>
        </w:rPr>
        <w:t xml:space="preserve">scales in favour of security before anything is </w:t>
      </w:r>
      <w:r w:rsidR="001A0855">
        <w:rPr>
          <w:rFonts w:eastAsia="Times New Roman"/>
        </w:rPr>
        <w:t xml:space="preserve">even </w:t>
      </w:r>
      <w:r w:rsidR="004441F8">
        <w:rPr>
          <w:rFonts w:eastAsia="Times New Roman"/>
        </w:rPr>
        <w:t xml:space="preserve">weighed. </w:t>
      </w:r>
      <w:r w:rsidR="00F0566F">
        <w:rPr>
          <w:rFonts w:eastAsia="Times New Roman"/>
        </w:rPr>
        <w:t>In an</w:t>
      </w:r>
      <w:r w:rsidR="000379F5">
        <w:rPr>
          <w:rFonts w:eastAsia="Times New Roman"/>
        </w:rPr>
        <w:t>other example</w:t>
      </w:r>
      <w:r w:rsidR="00DB3BDF">
        <w:rPr>
          <w:rFonts w:eastAsia="Times New Roman"/>
        </w:rPr>
        <w:t>,</w:t>
      </w:r>
      <w:r w:rsidR="000379F5">
        <w:rPr>
          <w:rFonts w:eastAsia="Times New Roman"/>
        </w:rPr>
        <w:t xml:space="preserve"> she declares </w:t>
      </w:r>
      <w:r w:rsidR="00F0566F">
        <w:rPr>
          <w:rFonts w:eastAsia="Times New Roman"/>
        </w:rPr>
        <w:t>counter-radicalisation is necessary as</w:t>
      </w:r>
      <w:r w:rsidR="00F0566F" w:rsidRPr="00423169">
        <w:t xml:space="preserve"> </w:t>
      </w:r>
      <w:r w:rsidR="00F0566F">
        <w:t>‘</w:t>
      </w:r>
      <w:r w:rsidR="00F0566F" w:rsidRPr="00D433F0">
        <w:t>we cannot allow this ideology t</w:t>
      </w:r>
      <w:r w:rsidR="00F0566F">
        <w:t>he safe spa</w:t>
      </w:r>
      <w:r w:rsidR="00C36879">
        <w:t>ce it needs to breed’</w:t>
      </w:r>
      <w:r w:rsidR="00AF2285">
        <w:rPr>
          <w:rStyle w:val="FootnoteReference"/>
        </w:rPr>
        <w:footnoteReference w:id="82"/>
      </w:r>
      <w:r w:rsidR="00AF2285">
        <w:t xml:space="preserve">. </w:t>
      </w:r>
      <w:r w:rsidR="00F0566F">
        <w:t>She continues ‘</w:t>
      </w:r>
      <w:r w:rsidR="00F0566F" w:rsidRPr="00D433F0">
        <w:t>While we have made significant progress in recent years, there is – to be frank – far too much tolera</w:t>
      </w:r>
      <w:r w:rsidR="00F0566F">
        <w:t xml:space="preserve">nce of extremism in our country.’ Again, while there is no direct </w:t>
      </w:r>
      <w:r w:rsidR="002A46D3">
        <w:t>reference to</w:t>
      </w:r>
      <w:r w:rsidR="00F1344E">
        <w:t xml:space="preserve"> rights</w:t>
      </w:r>
      <w:r w:rsidR="00F0566F">
        <w:t>, the indirect imp</w:t>
      </w:r>
      <w:r w:rsidR="00246479">
        <w:t xml:space="preserve">lication is clear: respecting </w:t>
      </w:r>
      <w:r w:rsidR="000379F5">
        <w:t>rights creates extremism, which itself is equated with</w:t>
      </w:r>
      <w:r w:rsidR="00F0566F">
        <w:t xml:space="preserve"> terrorism. </w:t>
      </w:r>
      <w:r w:rsidR="00947F39">
        <w:t>Furthermore, May</w:t>
      </w:r>
      <w:r w:rsidR="002A46D3">
        <w:t xml:space="preserve"> pre-empts </w:t>
      </w:r>
      <w:r w:rsidR="00F0566F">
        <w:t>support for the notion of toleration</w:t>
      </w:r>
      <w:r w:rsidR="00F1344E">
        <w:t xml:space="preserve"> </w:t>
      </w:r>
      <w:r w:rsidR="002A46D3">
        <w:t>by negating it</w:t>
      </w:r>
      <w:r w:rsidR="00F0566F">
        <w:t xml:space="preserve"> as a vehicle for extremism. </w:t>
      </w:r>
      <w:r w:rsidR="00784443">
        <w:t xml:space="preserve">May normatively invalidates the liberty argument by </w:t>
      </w:r>
      <w:r w:rsidR="00B31F46">
        <w:t>rhetorically constructing</w:t>
      </w:r>
      <w:r w:rsidR="00784443">
        <w:t xml:space="preserve"> a </w:t>
      </w:r>
      <w:r w:rsidR="007657F5">
        <w:t>strategic narrative</w:t>
      </w:r>
      <w:r w:rsidR="00F1344E">
        <w:t xml:space="preserve"> in which </w:t>
      </w:r>
      <w:r w:rsidR="002A46D3">
        <w:t>rights si</w:t>
      </w:r>
      <w:r w:rsidR="001F4122">
        <w:t xml:space="preserve">mply do not apply; indeed, </w:t>
      </w:r>
      <w:r w:rsidR="002A46D3">
        <w:t>they are</w:t>
      </w:r>
      <w:r w:rsidR="00784443">
        <w:t xml:space="preserve"> actively dangerous.</w:t>
      </w:r>
    </w:p>
    <w:p w14:paraId="431AB652" w14:textId="77777777" w:rsidR="004C3CE3" w:rsidRDefault="004C3CE3" w:rsidP="003D7795">
      <w:pPr>
        <w:spacing w:line="480" w:lineRule="auto"/>
        <w:rPr>
          <w:rFonts w:eastAsia="Times New Roman"/>
        </w:rPr>
      </w:pPr>
    </w:p>
    <w:p w14:paraId="5F14E313" w14:textId="0D976091" w:rsidR="004C3CE3" w:rsidRPr="00807DD6" w:rsidRDefault="009955B2" w:rsidP="003D7795">
      <w:pPr>
        <w:spacing w:line="480" w:lineRule="auto"/>
      </w:pPr>
      <w:r>
        <w:t xml:space="preserve">May </w:t>
      </w:r>
      <w:r w:rsidR="00DB3BDF">
        <w:t>also</w:t>
      </w:r>
      <w:r w:rsidR="004C3CE3">
        <w:t xml:space="preserve"> draws on previous terrorist attack</w:t>
      </w:r>
      <w:r w:rsidR="00B800CF">
        <w:t xml:space="preserve">s – particularly 7/7 – </w:t>
      </w:r>
      <w:r w:rsidR="004C3CE3">
        <w:t>to ‘remind’ an au</w:t>
      </w:r>
      <w:r w:rsidR="007E2A5C">
        <w:t>dience of what failing to act against</w:t>
      </w:r>
      <w:r w:rsidR="004C3CE3">
        <w:t xml:space="preserve"> terrorism can look like</w:t>
      </w:r>
      <w:r w:rsidR="00AF2285">
        <w:rPr>
          <w:rStyle w:val="FootnoteReference"/>
        </w:rPr>
        <w:footnoteReference w:id="83"/>
      </w:r>
      <w:r w:rsidR="004C3CE3">
        <w:t xml:space="preserve">. </w:t>
      </w:r>
      <w:r w:rsidR="00EC1741">
        <w:t>Again, this comprise</w:t>
      </w:r>
      <w:r w:rsidR="00077D62">
        <w:t xml:space="preserve">s a method of drawing upon an explicitly identified state of fear and </w:t>
      </w:r>
      <w:r w:rsidR="00C8338E" w:rsidRPr="00C8338E">
        <w:t>anxiety</w:t>
      </w:r>
      <w:r w:rsidR="00077D62">
        <w:t xml:space="preserve"> to prom</w:t>
      </w:r>
      <w:r>
        <w:t>ote a security-centric approach;</w:t>
      </w:r>
      <w:r w:rsidR="00077D62">
        <w:t xml:space="preserve"> this time one already experienced, as opposed to </w:t>
      </w:r>
      <w:r w:rsidR="00C8338E">
        <w:t xml:space="preserve">the </w:t>
      </w:r>
      <w:r w:rsidR="00077D62">
        <w:t xml:space="preserve">threat of future </w:t>
      </w:r>
      <w:r>
        <w:t>strikes</w:t>
      </w:r>
      <w:r w:rsidR="00077D62">
        <w:t xml:space="preserve">. </w:t>
      </w:r>
      <w:r w:rsidR="004C3CE3">
        <w:t>Specifically,</w:t>
      </w:r>
      <w:r w:rsidR="0055589D">
        <w:t xml:space="preserve"> May</w:t>
      </w:r>
      <w:r>
        <w:t xml:space="preserve"> constructs these events as ‘murder’</w:t>
      </w:r>
      <w:r w:rsidR="00AF2285">
        <w:rPr>
          <w:rStyle w:val="FootnoteReference"/>
        </w:rPr>
        <w:footnoteReference w:id="84"/>
      </w:r>
      <w:r w:rsidR="004C3CE3">
        <w:t xml:space="preserve">: Lee Rigby was </w:t>
      </w:r>
      <w:r w:rsidR="004C3CE3">
        <w:rPr>
          <w:rFonts w:eastAsia="Times New Roman"/>
        </w:rPr>
        <w:t>‘</w:t>
      </w:r>
      <w:r w:rsidR="004C3CE3" w:rsidRPr="00D433F0">
        <w:rPr>
          <w:rFonts w:eastAsia="Times New Roman"/>
        </w:rPr>
        <w:t>brutally murdered</w:t>
      </w:r>
      <w:r w:rsidR="004C3CE3">
        <w:rPr>
          <w:rFonts w:eastAsia="Times New Roman"/>
        </w:rPr>
        <w:t>’</w:t>
      </w:r>
      <w:r w:rsidR="00AF2285">
        <w:rPr>
          <w:rStyle w:val="FootnoteReference"/>
          <w:rFonts w:eastAsia="Times New Roman"/>
        </w:rPr>
        <w:footnoteReference w:id="85"/>
      </w:r>
      <w:r w:rsidR="00AF2285">
        <w:rPr>
          <w:rFonts w:eastAsia="Times New Roman"/>
        </w:rPr>
        <w:t xml:space="preserve">; </w:t>
      </w:r>
      <w:r w:rsidR="004C3CE3">
        <w:rPr>
          <w:rFonts w:eastAsia="Times New Roman"/>
        </w:rPr>
        <w:t xml:space="preserve">the </w:t>
      </w:r>
      <w:r w:rsidR="004C3CE3">
        <w:t xml:space="preserve">Brussels </w:t>
      </w:r>
      <w:r>
        <w:t>bombings were</w:t>
      </w:r>
      <w:r w:rsidR="004C3CE3">
        <w:t xml:space="preserve"> ‘cold-blooded’ murder</w:t>
      </w:r>
      <w:r w:rsidR="00AF2285">
        <w:rPr>
          <w:rStyle w:val="FootnoteReference"/>
        </w:rPr>
        <w:footnoteReference w:id="86"/>
      </w:r>
      <w:r w:rsidR="004C3CE3">
        <w:t xml:space="preserve">; </w:t>
      </w:r>
      <w:r w:rsidR="004C3CE3">
        <w:rPr>
          <w:rFonts w:eastAsia="Times New Roman"/>
        </w:rPr>
        <w:t>and</w:t>
      </w:r>
      <w:r w:rsidR="004C3CE3">
        <w:t xml:space="preserve"> Manchester involved the ‘</w:t>
      </w:r>
      <w:r w:rsidR="004C3CE3" w:rsidRPr="00D433F0">
        <w:rPr>
          <w:rFonts w:eastAsia="Times New Roman"/>
        </w:rPr>
        <w:t>murder of innocent citizens and the d</w:t>
      </w:r>
      <w:r w:rsidR="004C3CE3">
        <w:rPr>
          <w:rFonts w:eastAsia="Times New Roman"/>
        </w:rPr>
        <w:t>eliberate targeting of children’</w:t>
      </w:r>
      <w:r w:rsidR="00AF2285">
        <w:rPr>
          <w:rStyle w:val="FootnoteReference"/>
          <w:rFonts w:eastAsia="Times New Roman"/>
        </w:rPr>
        <w:footnoteReference w:id="87"/>
      </w:r>
      <w:r w:rsidR="00AF2285">
        <w:rPr>
          <w:rFonts w:eastAsia="Times New Roman"/>
        </w:rPr>
        <w:t xml:space="preserve">. </w:t>
      </w:r>
      <w:r w:rsidR="004C3CE3" w:rsidRPr="002A68FD">
        <w:t xml:space="preserve">The </w:t>
      </w:r>
      <w:r w:rsidR="004C3CE3">
        <w:t xml:space="preserve">characterisation of murder, </w:t>
      </w:r>
      <w:r w:rsidR="004C3CE3" w:rsidRPr="002A68FD">
        <w:t xml:space="preserve">as opposed to </w:t>
      </w:r>
      <w:r w:rsidR="004C3CE3">
        <w:t xml:space="preserve">a </w:t>
      </w:r>
      <w:r w:rsidR="004C3CE3" w:rsidRPr="002A68FD">
        <w:t>military</w:t>
      </w:r>
      <w:r w:rsidR="004C3CE3">
        <w:t xml:space="preserve"> or political attack, </w:t>
      </w:r>
      <w:r w:rsidR="004C3CE3" w:rsidRPr="002A68FD">
        <w:t>is</w:t>
      </w:r>
      <w:r w:rsidR="004C3CE3">
        <w:t xml:space="preserve"> strategic. Murder is </w:t>
      </w:r>
      <w:r w:rsidR="004C3CE3" w:rsidRPr="002A68FD">
        <w:t>an inhuman and proscribed act for which th</w:t>
      </w:r>
      <w:r w:rsidR="004C3CE3">
        <w:t xml:space="preserve">ere is no moral justification, </w:t>
      </w:r>
      <w:r w:rsidR="004C3CE3" w:rsidRPr="002A68FD">
        <w:t>or at least</w:t>
      </w:r>
      <w:r w:rsidR="004C3CE3">
        <w:t xml:space="preserve"> that it can be easily constructed as such</w:t>
      </w:r>
      <w:r w:rsidR="00AF2285">
        <w:rPr>
          <w:rStyle w:val="FootnoteReference"/>
        </w:rPr>
        <w:footnoteReference w:id="88"/>
      </w:r>
      <w:r w:rsidR="004C3CE3" w:rsidRPr="002A68FD">
        <w:t>.</w:t>
      </w:r>
      <w:r w:rsidR="004C3CE3">
        <w:t xml:space="preserve"> This is not to say the charge of terrorism is not also effective, but that the emotional and moral impact of murder is significantly more d</w:t>
      </w:r>
      <w:r w:rsidR="00DF0CA4">
        <w:t>ifficult to justify from a</w:t>
      </w:r>
      <w:r w:rsidR="004C3CE3">
        <w:t xml:space="preserve"> rights perspective. Who could </w:t>
      </w:r>
      <w:r w:rsidR="00EF5E97">
        <w:t>excuse</w:t>
      </w:r>
      <w:r w:rsidR="004C3CE3">
        <w:t xml:space="preserve"> any act that would mitigate or justify immoral and cold-hearted killing? </w:t>
      </w:r>
      <w:r w:rsidR="00793452">
        <w:t>As such, May once more</w:t>
      </w:r>
      <w:r w:rsidR="00E14969">
        <w:t xml:space="preserve"> invalidates</w:t>
      </w:r>
      <w:r w:rsidR="004C3CE3">
        <w:t xml:space="preserve"> the claim to </w:t>
      </w:r>
      <w:r w:rsidR="00E36928">
        <w:t>rights</w:t>
      </w:r>
      <w:r w:rsidR="004C3CE3">
        <w:t>.</w:t>
      </w:r>
      <w:r w:rsidR="00B00559">
        <w:t xml:space="preserve"> By creating a situation in which an audience effectively has to condone murder </w:t>
      </w:r>
      <w:r w:rsidR="00D4470D">
        <w:t xml:space="preserve">in order </w:t>
      </w:r>
      <w:r w:rsidR="00B00559">
        <w:t xml:space="preserve">to support </w:t>
      </w:r>
      <w:r w:rsidR="00DF0CA4">
        <w:t xml:space="preserve">the safeguarding of </w:t>
      </w:r>
      <w:r w:rsidR="00E36928">
        <w:t>rights</w:t>
      </w:r>
      <w:r w:rsidR="00B00559">
        <w:t>, May strengthen</w:t>
      </w:r>
      <w:r w:rsidR="006323AB">
        <w:t>s</w:t>
      </w:r>
      <w:r w:rsidR="00B00559">
        <w:t xml:space="preserve"> her </w:t>
      </w:r>
      <w:r w:rsidR="008A75C5">
        <w:t>narrative</w:t>
      </w:r>
      <w:r w:rsidR="00B00559">
        <w:t xml:space="preserve"> case for a security-centric approach.</w:t>
      </w:r>
    </w:p>
    <w:p w14:paraId="7EC07611" w14:textId="77777777" w:rsidR="00823BDD" w:rsidRDefault="00823BDD" w:rsidP="003D7795">
      <w:pPr>
        <w:spacing w:line="480" w:lineRule="auto"/>
        <w:rPr>
          <w:rFonts w:eastAsia="Times New Roman"/>
        </w:rPr>
      </w:pPr>
    </w:p>
    <w:p w14:paraId="054F65AB" w14:textId="77777777" w:rsidR="003475D0" w:rsidRDefault="003475D0" w:rsidP="003D7795">
      <w:pPr>
        <w:spacing w:line="480" w:lineRule="auto"/>
      </w:pPr>
    </w:p>
    <w:p w14:paraId="4E926023" w14:textId="607EF661" w:rsidR="00C80127" w:rsidRPr="00C80127" w:rsidRDefault="00C80127" w:rsidP="003D7795">
      <w:pPr>
        <w:spacing w:line="480" w:lineRule="auto"/>
        <w:rPr>
          <w:b/>
          <w:i/>
        </w:rPr>
      </w:pPr>
      <w:r>
        <w:rPr>
          <w:b/>
          <w:i/>
        </w:rPr>
        <w:t>Qualified conception of human rights</w:t>
      </w:r>
    </w:p>
    <w:p w14:paraId="28F62AAF" w14:textId="16E4BC2A" w:rsidR="00D76BFE" w:rsidRDefault="00003C5C" w:rsidP="003D7795">
      <w:pPr>
        <w:spacing w:line="480" w:lineRule="auto"/>
      </w:pPr>
      <w:r>
        <w:t>May further invalidates</w:t>
      </w:r>
      <w:r w:rsidR="00281EAA">
        <w:t xml:space="preserve"> the </w:t>
      </w:r>
      <w:r w:rsidR="00F12156">
        <w:t>rights</w:t>
      </w:r>
      <w:r w:rsidR="00281EAA">
        <w:t xml:space="preserve"> </w:t>
      </w:r>
      <w:r w:rsidR="0085589D">
        <w:t>policy norm</w:t>
      </w:r>
      <w:r w:rsidR="00281EAA">
        <w:t xml:space="preserve"> by constructing a highly </w:t>
      </w:r>
      <w:r w:rsidR="00BA2707">
        <w:t xml:space="preserve">qualified account of what </w:t>
      </w:r>
      <w:r w:rsidR="00281EAA">
        <w:t>rights are.</w:t>
      </w:r>
      <w:r w:rsidR="00F12156">
        <w:t xml:space="preserve"> </w:t>
      </w:r>
      <w:r w:rsidR="006D1072">
        <w:t>May</w:t>
      </w:r>
      <w:r w:rsidR="00780F4F">
        <w:t>’s rhetoric</w:t>
      </w:r>
      <w:r w:rsidR="00E867C1">
        <w:t xml:space="preserve"> limits </w:t>
      </w:r>
      <w:r w:rsidR="006D1072">
        <w:t>rights to the protecti</w:t>
      </w:r>
      <w:r w:rsidR="003B59E0">
        <w:t>on of ‘British values’ from terrorism</w:t>
      </w:r>
      <w:r w:rsidR="00AF2285">
        <w:rPr>
          <w:rStyle w:val="FootnoteReference"/>
        </w:rPr>
        <w:footnoteReference w:id="89"/>
      </w:r>
      <w:r w:rsidR="00AF2285">
        <w:t xml:space="preserve"> </w:t>
      </w:r>
      <w:r w:rsidR="00F12156">
        <w:t xml:space="preserve"> – where these values comprise</w:t>
      </w:r>
      <w:r w:rsidR="00E867C1">
        <w:t xml:space="preserve"> the only </w:t>
      </w:r>
      <w:r w:rsidR="005B6F93">
        <w:t xml:space="preserve">rights that matter – </w:t>
      </w:r>
      <w:r w:rsidR="006D1072">
        <w:t>as opposed to</w:t>
      </w:r>
      <w:r w:rsidR="00F12156">
        <w:t xml:space="preserve"> the </w:t>
      </w:r>
      <w:r w:rsidR="00522FC0">
        <w:t>rights subject to</w:t>
      </w:r>
      <w:r w:rsidR="006D1072">
        <w:t xml:space="preserve"> protec</w:t>
      </w:r>
      <w:r w:rsidR="00522FC0">
        <w:t>tion</w:t>
      </w:r>
      <w:r w:rsidR="00D022D4">
        <w:t xml:space="preserve"> from the implementation of </w:t>
      </w:r>
      <w:r w:rsidR="006D1072">
        <w:t xml:space="preserve">counter-radicalisation </w:t>
      </w:r>
      <w:r w:rsidR="00D022D4">
        <w:t xml:space="preserve">measures. </w:t>
      </w:r>
      <w:r w:rsidR="00F12156">
        <w:t>May’s</w:t>
      </w:r>
      <w:r w:rsidR="002B7E04">
        <w:t xml:space="preserve"> narrative</w:t>
      </w:r>
      <w:r w:rsidR="008D0F92">
        <w:t xml:space="preserve"> is focused</w:t>
      </w:r>
      <w:r w:rsidR="00C740BD">
        <w:t xml:space="preserve"> on p</w:t>
      </w:r>
      <w:r w:rsidR="005B6F93">
        <w:t>rotecting a certain ideol</w:t>
      </w:r>
      <w:r w:rsidR="00C740BD">
        <w:t>ogy and way of life</w:t>
      </w:r>
      <w:r w:rsidR="00934FC1">
        <w:t xml:space="preserve"> (as </w:t>
      </w:r>
      <w:r w:rsidR="00104FF7">
        <w:t>manifest in the Commission on Countering Extremism</w:t>
      </w:r>
      <w:r w:rsidR="00934FC1">
        <w:t>)</w:t>
      </w:r>
      <w:r w:rsidR="00F12156">
        <w:t>. Other</w:t>
      </w:r>
      <w:r w:rsidR="005B6F93">
        <w:t xml:space="preserve"> freedoms that</w:t>
      </w:r>
      <w:r w:rsidR="002D08E2">
        <w:t xml:space="preserve"> may</w:t>
      </w:r>
      <w:r w:rsidR="005B6F93">
        <w:t xml:space="preserve"> be diminishe</w:t>
      </w:r>
      <w:r w:rsidR="00F12156">
        <w:t>d by that process are not even rights</w:t>
      </w:r>
      <w:r w:rsidR="002F15C6">
        <w:t>,</w:t>
      </w:r>
      <w:r w:rsidR="005B6F93">
        <w:t xml:space="preserve"> let alone</w:t>
      </w:r>
      <w:r w:rsidR="00DD0C09">
        <w:t xml:space="preserve"> rights</w:t>
      </w:r>
      <w:r w:rsidR="005B6F93">
        <w:t xml:space="preserve"> to be respected. </w:t>
      </w:r>
      <w:r w:rsidR="00D76BFE">
        <w:t>The ultimate right is to live your</w:t>
      </w:r>
      <w:r w:rsidR="005B6F93">
        <w:t xml:space="preserve"> (‘British’)</w:t>
      </w:r>
      <w:r w:rsidR="00D76BFE">
        <w:t xml:space="preserve"> life as norm</w:t>
      </w:r>
      <w:r w:rsidR="00D022D4">
        <w:t>al</w:t>
      </w:r>
      <w:r w:rsidR="007E351D">
        <w:t xml:space="preserve"> in spite of terrorism</w:t>
      </w:r>
      <w:r w:rsidR="00D14AB6">
        <w:t xml:space="preserve">. </w:t>
      </w:r>
      <w:r w:rsidR="001729F0">
        <w:t xml:space="preserve">May </w:t>
      </w:r>
      <w:r w:rsidR="00D76BFE">
        <w:t>said after the Westminster attack</w:t>
      </w:r>
      <w:r w:rsidR="00C740BD">
        <w:t>:</w:t>
      </w:r>
    </w:p>
    <w:p w14:paraId="632C2825" w14:textId="77777777" w:rsidR="00D76BFE" w:rsidRDefault="00D76BFE" w:rsidP="003D7795">
      <w:pPr>
        <w:spacing w:line="480" w:lineRule="auto"/>
      </w:pPr>
    </w:p>
    <w:p w14:paraId="7B803EB8" w14:textId="198F00D4" w:rsidR="00D76BFE" w:rsidRDefault="00D76BFE" w:rsidP="003D7795">
      <w:pPr>
        <w:spacing w:line="480" w:lineRule="auto"/>
        <w:ind w:left="567"/>
      </w:pPr>
      <w:r w:rsidRPr="00D433F0">
        <w:t xml:space="preserve">As I speak millions will be boarding trains and aeroplanes to travel to London, and to see for </w:t>
      </w:r>
      <w:proofErr w:type="gramStart"/>
      <w:r w:rsidRPr="00D433F0">
        <w:t>themselves</w:t>
      </w:r>
      <w:proofErr w:type="gramEnd"/>
      <w:r w:rsidRPr="00D433F0">
        <w:t xml:space="preserve"> the greatest city on Earth.</w:t>
      </w:r>
      <w:r>
        <w:t xml:space="preserve"> </w:t>
      </w:r>
      <w:r w:rsidRPr="00D433F0">
        <w:t>It is in these actions – millions of acts of normality – that we find the best response to terrorism.</w:t>
      </w:r>
      <w:r>
        <w:t xml:space="preserve"> </w:t>
      </w:r>
      <w:proofErr w:type="gramStart"/>
      <w:r w:rsidRPr="00D433F0">
        <w:t>A response that denies our enemies their victory.</w:t>
      </w:r>
      <w:proofErr w:type="gramEnd"/>
      <w:r w:rsidRPr="00D433F0">
        <w:t xml:space="preserve"> That refuses to let them win. That shows we will never give in</w:t>
      </w:r>
      <w:r w:rsidR="001729F0">
        <w:rPr>
          <w:rStyle w:val="FootnoteReference"/>
        </w:rPr>
        <w:footnoteReference w:id="90"/>
      </w:r>
      <w:r>
        <w:t xml:space="preserve">. </w:t>
      </w:r>
    </w:p>
    <w:p w14:paraId="0078200C" w14:textId="77777777" w:rsidR="00D76BFE" w:rsidRDefault="00D76BFE" w:rsidP="003D7795">
      <w:pPr>
        <w:spacing w:line="480" w:lineRule="auto"/>
      </w:pPr>
    </w:p>
    <w:p w14:paraId="725D149C" w14:textId="0BE1D2AB" w:rsidR="00801420" w:rsidRDefault="001A6200" w:rsidP="003D7795">
      <w:pPr>
        <w:spacing w:line="480" w:lineRule="auto"/>
      </w:pPr>
      <w:r>
        <w:t>Prevent</w:t>
      </w:r>
      <w:r w:rsidR="00704873">
        <w:t xml:space="preserve"> </w:t>
      </w:r>
      <w:r w:rsidR="00B06D66">
        <w:t>exemplifies this</w:t>
      </w:r>
      <w:r w:rsidR="00704873">
        <w:t xml:space="preserve"> sentiment</w:t>
      </w:r>
      <w:r>
        <w:t xml:space="preserve"> </w:t>
      </w:r>
      <w:r w:rsidR="005B6F93">
        <w:t>where community financing is limited to associations that are clearly</w:t>
      </w:r>
      <w:r w:rsidR="00137914">
        <w:t xml:space="preserve"> committed to</w:t>
      </w:r>
      <w:r w:rsidR="00923BAF">
        <w:t xml:space="preserve"> ‘Bri</w:t>
      </w:r>
      <w:r w:rsidR="005B6F93">
        <w:t>tish values’</w:t>
      </w:r>
      <w:r w:rsidR="008E2502">
        <w:rPr>
          <w:rStyle w:val="FootnoteReference"/>
        </w:rPr>
        <w:footnoteReference w:id="91"/>
      </w:r>
      <w:r w:rsidR="005B6F93">
        <w:t xml:space="preserve">; </w:t>
      </w:r>
      <w:r w:rsidR="00CA0513">
        <w:t xml:space="preserve">and </w:t>
      </w:r>
      <w:r w:rsidR="005B6F93">
        <w:t>where groups</w:t>
      </w:r>
      <w:r w:rsidR="006A6290">
        <w:t xml:space="preserve"> who are</w:t>
      </w:r>
      <w:r w:rsidR="00923BAF">
        <w:t xml:space="preserve"> not are dismissed as promoting ‘twisted narratives’</w:t>
      </w:r>
      <w:r w:rsidR="005C1A2B">
        <w:t xml:space="preserve"> that conflict with and challenge ‘British’ freedoms</w:t>
      </w:r>
      <w:r w:rsidR="008E2502">
        <w:rPr>
          <w:rStyle w:val="FootnoteReference"/>
        </w:rPr>
        <w:footnoteReference w:id="92"/>
      </w:r>
      <w:r w:rsidR="00923BAF">
        <w:t xml:space="preserve">. </w:t>
      </w:r>
      <w:r w:rsidR="005B6F93">
        <w:t xml:space="preserve">Furthermore, May negates </w:t>
      </w:r>
      <w:r w:rsidR="00F12156">
        <w:t>the rights of radicalised persons</w:t>
      </w:r>
      <w:r w:rsidR="005B6F93">
        <w:t xml:space="preserve"> by dismissing their ideology as</w:t>
      </w:r>
      <w:r w:rsidR="003B1A88">
        <w:t xml:space="preserve"> ‘not Islamic’</w:t>
      </w:r>
      <w:r w:rsidR="008E2502">
        <w:rPr>
          <w:rStyle w:val="FootnoteReference"/>
        </w:rPr>
        <w:footnoteReference w:id="93"/>
      </w:r>
      <w:r w:rsidR="00484A2F">
        <w:t xml:space="preserve"> – that is, they have no legitimate </w:t>
      </w:r>
      <w:r w:rsidR="00122696">
        <w:t xml:space="preserve">religious and/or cultural </w:t>
      </w:r>
      <w:r w:rsidR="00484A2F">
        <w:t>grounds o</w:t>
      </w:r>
      <w:r w:rsidR="00F12156">
        <w:t xml:space="preserve">n which to lay a case for </w:t>
      </w:r>
      <w:r w:rsidR="00484A2F">
        <w:t>rights</w:t>
      </w:r>
      <w:r w:rsidR="005C1A2B">
        <w:t xml:space="preserve"> or representation</w:t>
      </w:r>
      <w:r w:rsidR="00484A2F">
        <w:t xml:space="preserve"> – and </w:t>
      </w:r>
      <w:r w:rsidR="005C1A2B">
        <w:t xml:space="preserve">by </w:t>
      </w:r>
      <w:r w:rsidR="00484A2F">
        <w:t xml:space="preserve">playing up </w:t>
      </w:r>
      <w:r w:rsidR="005C1A2B">
        <w:t xml:space="preserve">alleged </w:t>
      </w:r>
      <w:r w:rsidR="00484A2F">
        <w:t>abuses within the Musli</w:t>
      </w:r>
      <w:r w:rsidR="00CA0513">
        <w:t>m community, such as the discriminatory treatment of women</w:t>
      </w:r>
      <w:r w:rsidR="00E3289A">
        <w:rPr>
          <w:rStyle w:val="FootnoteReference"/>
        </w:rPr>
        <w:footnoteReference w:id="94"/>
      </w:r>
      <w:r w:rsidR="00484A2F">
        <w:t>.</w:t>
      </w:r>
      <w:r w:rsidR="008D0BBE">
        <w:t xml:space="preserve"> </w:t>
      </w:r>
      <w:r w:rsidR="004A23B5">
        <w:t xml:space="preserve">Consequently, this invalidates the </w:t>
      </w:r>
      <w:r w:rsidR="00F12156">
        <w:t>rights</w:t>
      </w:r>
      <w:r w:rsidR="005B6F93">
        <w:t xml:space="preserve"> argument as – while</w:t>
      </w:r>
      <w:r w:rsidR="004A23B5">
        <w:t xml:space="preserve"> making</w:t>
      </w:r>
      <w:r w:rsidR="005B6F93">
        <w:t xml:space="preserve"> it </w:t>
      </w:r>
      <w:r w:rsidR="003C23AE">
        <w:t>appear</w:t>
      </w:r>
      <w:r w:rsidR="005B6F93">
        <w:t xml:space="preserve"> as </w:t>
      </w:r>
      <w:r w:rsidR="00F12156">
        <w:t>though liberties</w:t>
      </w:r>
      <w:r w:rsidR="004A23B5">
        <w:t xml:space="preserve"> are </w:t>
      </w:r>
      <w:r w:rsidR="00F12156" w:rsidRPr="00F12156">
        <w:t>valued</w:t>
      </w:r>
      <w:r w:rsidR="005B6F93">
        <w:t xml:space="preserve"> –</w:t>
      </w:r>
      <w:r w:rsidR="003C23AE">
        <w:t xml:space="preserve"> May’s</w:t>
      </w:r>
      <w:r w:rsidR="005B6F93">
        <w:t xml:space="preserve"> </w:t>
      </w:r>
      <w:r w:rsidR="00695A8C">
        <w:t>strategic narrative</w:t>
      </w:r>
      <w:r w:rsidR="005B6F93">
        <w:t xml:space="preserve"> draws a </w:t>
      </w:r>
      <w:r w:rsidR="00C30ED9">
        <w:t xml:space="preserve">highly selective </w:t>
      </w:r>
      <w:r w:rsidR="005B6F93">
        <w:t xml:space="preserve">line between </w:t>
      </w:r>
      <w:r w:rsidR="003C23AE">
        <w:t>those who possess</w:t>
      </w:r>
      <w:r w:rsidR="005B6F93">
        <w:t xml:space="preserve"> rights and those who do not. It is worth noting that this invalidation of rights is exclusive to Muslim communities and does not take into account the far right. While the 2011 Prevent review committed the strategy to addressing far right extremism</w:t>
      </w:r>
      <w:r w:rsidR="004D361A">
        <w:t xml:space="preserve"> also</w:t>
      </w:r>
      <w:r w:rsidR="005B6F93">
        <w:t xml:space="preserve">, </w:t>
      </w:r>
      <w:r w:rsidR="001210C6">
        <w:t>relatively little</w:t>
      </w:r>
      <w:r w:rsidR="005B6F93">
        <w:t xml:space="preserve"> progress </w:t>
      </w:r>
      <w:r w:rsidR="001210C6">
        <w:t>has been made</w:t>
      </w:r>
      <w:r w:rsidR="00C30ED9">
        <w:t xml:space="preserve"> </w:t>
      </w:r>
      <w:r w:rsidR="00F12156">
        <w:t>in this area</w:t>
      </w:r>
      <w:r w:rsidR="008224E3">
        <w:rPr>
          <w:rStyle w:val="FootnoteReference"/>
        </w:rPr>
        <w:footnoteReference w:id="95"/>
      </w:r>
      <w:r w:rsidR="005B6F93">
        <w:t>.</w:t>
      </w:r>
    </w:p>
    <w:p w14:paraId="7B2238F6" w14:textId="77777777" w:rsidR="005B6F93" w:rsidRDefault="005B6F93" w:rsidP="003D7795">
      <w:pPr>
        <w:spacing w:line="480" w:lineRule="auto"/>
      </w:pPr>
    </w:p>
    <w:p w14:paraId="3D5A42A5" w14:textId="19B6ED6A" w:rsidR="00385428" w:rsidRDefault="00C30ED9" w:rsidP="003D7795">
      <w:pPr>
        <w:spacing w:line="480" w:lineRule="auto"/>
      </w:pPr>
      <w:r>
        <w:t xml:space="preserve">As part of this </w:t>
      </w:r>
      <w:r w:rsidR="00695A8C">
        <w:t xml:space="preserve">narrative </w:t>
      </w:r>
      <w:r>
        <w:t>tactic, May ties the concept of ‘British’ values</w:t>
      </w:r>
      <w:r w:rsidR="00337FFD">
        <w:t xml:space="preserve"> </w:t>
      </w:r>
      <w:r>
        <w:t xml:space="preserve">to democracy. Prevent, therefore, becomes a </w:t>
      </w:r>
      <w:r w:rsidR="00F70CB3">
        <w:t xml:space="preserve">rhetorical </w:t>
      </w:r>
      <w:r>
        <w:t xml:space="preserve">bastion in the protection of </w:t>
      </w:r>
      <w:r w:rsidR="00462796">
        <w:t>the democratic system</w:t>
      </w:r>
      <w:r w:rsidR="00462796">
        <w:rPr>
          <w:rStyle w:val="FootnoteReference"/>
        </w:rPr>
        <w:footnoteReference w:id="96"/>
      </w:r>
      <w:r w:rsidR="00AD4C45">
        <w:t>. This</w:t>
      </w:r>
      <w:r w:rsidR="00FC06BC">
        <w:t xml:space="preserve"> rhetoric</w:t>
      </w:r>
      <w:r w:rsidR="003C0900">
        <w:t xml:space="preserve"> is</w:t>
      </w:r>
      <w:r w:rsidR="001B699B">
        <w:t xml:space="preserve"> ironic</w:t>
      </w:r>
      <w:r w:rsidR="00D904B6">
        <w:t xml:space="preserve"> </w:t>
      </w:r>
      <w:r w:rsidR="00B758AA">
        <w:t>given that</w:t>
      </w:r>
      <w:r w:rsidR="00AD4C45">
        <w:t xml:space="preserve"> a)</w:t>
      </w:r>
      <w:r w:rsidR="00B758AA">
        <w:t xml:space="preserve"> it has </w:t>
      </w:r>
      <w:r>
        <w:t xml:space="preserve">already </w:t>
      </w:r>
      <w:r w:rsidR="00B758AA">
        <w:t xml:space="preserve">been shown above that Prevent encourages alienation from </w:t>
      </w:r>
      <w:r w:rsidR="003C0900">
        <w:t>the democratic</w:t>
      </w:r>
      <w:r w:rsidR="00B758AA">
        <w:t xml:space="preserve"> syst</w:t>
      </w:r>
      <w:r w:rsidR="00AD4C45">
        <w:t xml:space="preserve">em, </w:t>
      </w:r>
      <w:r w:rsidR="00B14D14">
        <w:t xml:space="preserve">and b) diminishing </w:t>
      </w:r>
      <w:r w:rsidR="00AD4C45">
        <w:t xml:space="preserve">rights </w:t>
      </w:r>
      <w:r>
        <w:t>undermines and opposes</w:t>
      </w:r>
      <w:r w:rsidR="00AD4C45">
        <w:t xml:space="preserve"> the</w:t>
      </w:r>
      <w:r>
        <w:t xml:space="preserve"> very</w:t>
      </w:r>
      <w:r w:rsidR="00B14D14">
        <w:t xml:space="preserve"> values of democratic</w:t>
      </w:r>
      <w:r w:rsidR="00AD4C45">
        <w:t xml:space="preserve"> representation</w:t>
      </w:r>
      <w:r w:rsidR="00385428">
        <w:t xml:space="preserve"> </w:t>
      </w:r>
      <w:r w:rsidR="00B14D14">
        <w:t>May employs</w:t>
      </w:r>
      <w:r w:rsidR="00AD4C45">
        <w:t xml:space="preserve"> to just</w:t>
      </w:r>
      <w:r w:rsidR="00385428">
        <w:t>ify her security-centric approach to</w:t>
      </w:r>
      <w:r w:rsidR="00AD4C45">
        <w:t xml:space="preserve"> counter-radicalisation</w:t>
      </w:r>
      <w:r w:rsidR="00462796">
        <w:rPr>
          <w:rStyle w:val="FootnoteReference"/>
        </w:rPr>
        <w:footnoteReference w:id="97"/>
      </w:r>
      <w:r w:rsidR="00AD4C45">
        <w:t>.</w:t>
      </w:r>
      <w:r w:rsidR="00AD4C45" w:rsidRPr="0083288C">
        <w:t xml:space="preserve"> </w:t>
      </w:r>
      <w:r w:rsidR="00385428">
        <w:t>Yet again, however, May present</w:t>
      </w:r>
      <w:r w:rsidR="00B14D14">
        <w:t>s an extremely</w:t>
      </w:r>
      <w:r w:rsidR="00385428">
        <w:t xml:space="preserve"> quali</w:t>
      </w:r>
      <w:r w:rsidR="00B14D14">
        <w:t>fied notion of what democracy constitutes</w:t>
      </w:r>
      <w:r w:rsidR="00385428">
        <w:t>, specifically in rel</w:t>
      </w:r>
      <w:r w:rsidR="00B14D14">
        <w:t>ation to the expression of</w:t>
      </w:r>
      <w:r w:rsidR="00385428">
        <w:t xml:space="preserve"> rights</w:t>
      </w:r>
      <w:r w:rsidR="00B14D14">
        <w:t>:</w:t>
      </w:r>
    </w:p>
    <w:p w14:paraId="17F32690" w14:textId="77777777" w:rsidR="00385428" w:rsidRDefault="00385428" w:rsidP="003D7795">
      <w:pPr>
        <w:spacing w:line="480" w:lineRule="auto"/>
      </w:pPr>
    </w:p>
    <w:p w14:paraId="50C97EC1" w14:textId="66B0DA6E" w:rsidR="00385428" w:rsidRDefault="00801420" w:rsidP="003D7795">
      <w:pPr>
        <w:spacing w:line="480" w:lineRule="auto"/>
        <w:ind w:left="567"/>
      </w:pPr>
      <w:r w:rsidRPr="00D433F0">
        <w:t>The starting point of the new strategy is the emphatic rejection of the misconception that in a libera</w:t>
      </w:r>
      <w:r w:rsidR="00385428">
        <w:t>l democracy like Britain, ‘anything goes’</w:t>
      </w:r>
      <w:r w:rsidRPr="00D433F0">
        <w:t>, the belief that living in a society like ours means there aren’t really any fundamental rules or norms</w:t>
      </w:r>
      <w:r w:rsidR="00462796">
        <w:rPr>
          <w:rStyle w:val="FootnoteReference"/>
        </w:rPr>
        <w:footnoteReference w:id="98"/>
      </w:r>
      <w:r w:rsidRPr="00D433F0">
        <w:t>.</w:t>
      </w:r>
    </w:p>
    <w:p w14:paraId="5F379CEA" w14:textId="77777777" w:rsidR="00385428" w:rsidRDefault="00385428" w:rsidP="003D7795">
      <w:pPr>
        <w:spacing w:line="480" w:lineRule="auto"/>
      </w:pPr>
    </w:p>
    <w:p w14:paraId="206EFA20" w14:textId="14E262B3" w:rsidR="00144C84" w:rsidRDefault="00385428" w:rsidP="003D7795">
      <w:pPr>
        <w:spacing w:line="480" w:lineRule="auto"/>
      </w:pPr>
      <w:r>
        <w:t>Democracy then is not</w:t>
      </w:r>
      <w:r w:rsidR="00C56017">
        <w:t xml:space="preserve"> a commitment to </w:t>
      </w:r>
      <w:r w:rsidR="009B6C2B">
        <w:t xml:space="preserve">representing all </w:t>
      </w:r>
      <w:r>
        <w:t>rights and opi</w:t>
      </w:r>
      <w:r w:rsidR="00490861">
        <w:t xml:space="preserve">nions, but only some. Despite </w:t>
      </w:r>
      <w:r w:rsidR="0089361C">
        <w:t xml:space="preserve">the promise of </w:t>
      </w:r>
      <w:r w:rsidR="00490861">
        <w:t>democratic representation, t</w:t>
      </w:r>
      <w:r w:rsidR="009B6C2B">
        <w:t xml:space="preserve">here </w:t>
      </w:r>
      <w:r w:rsidR="00490861">
        <w:t xml:space="preserve">are </w:t>
      </w:r>
      <w:r>
        <w:t>still rules as to how you should live your life</w:t>
      </w:r>
      <w:r w:rsidR="00C56017">
        <w:t xml:space="preserve"> and what ideals you should commit to</w:t>
      </w:r>
      <w:r>
        <w:t>; beyond that, y</w:t>
      </w:r>
      <w:r w:rsidR="008F32F3">
        <w:t xml:space="preserve">ou should not expect </w:t>
      </w:r>
      <w:r>
        <w:t>protection</w:t>
      </w:r>
      <w:r w:rsidR="00490861">
        <w:t xml:space="preserve"> for your ideology or actions. In particular, t</w:t>
      </w:r>
      <w:r>
        <w:t xml:space="preserve">he reference to ‘anything </w:t>
      </w:r>
      <w:r w:rsidR="00CA60EC">
        <w:t>goes’ invalidates the safeguarding and toleration of</w:t>
      </w:r>
      <w:r>
        <w:t xml:space="preserve"> any belief that falls outside the category of ‘British values</w:t>
      </w:r>
      <w:r w:rsidR="00532DA0">
        <w:t>.’ T</w:t>
      </w:r>
      <w:r w:rsidR="00A04EC1">
        <w:t>his reference</w:t>
      </w:r>
      <w:r>
        <w:t xml:space="preserve"> negates those very belief</w:t>
      </w:r>
      <w:r w:rsidR="00A26F96">
        <w:t xml:space="preserve">s by </w:t>
      </w:r>
      <w:proofErr w:type="spellStart"/>
      <w:r w:rsidR="00A26F96">
        <w:t>othering</w:t>
      </w:r>
      <w:proofErr w:type="spellEnd"/>
      <w:r w:rsidR="00A26F96">
        <w:t xml:space="preserve"> them as </w:t>
      </w:r>
      <w:r>
        <w:t>inconsistent and even repugnant to the ‘British’ society</w:t>
      </w:r>
      <w:r w:rsidR="009D6CBF">
        <w:rPr>
          <w:rStyle w:val="FootnoteReference"/>
        </w:rPr>
        <w:footnoteReference w:id="99"/>
      </w:r>
      <w:r>
        <w:t>.</w:t>
      </w:r>
      <w:r w:rsidR="00622D95">
        <w:t xml:space="preserve"> Within this context, </w:t>
      </w:r>
      <w:r w:rsidR="00C56017">
        <w:t xml:space="preserve">May presents this as a case in which </w:t>
      </w:r>
      <w:r w:rsidR="00A16DEC">
        <w:t xml:space="preserve">Prevent cannot diminish </w:t>
      </w:r>
      <w:r w:rsidR="00622D95">
        <w:t xml:space="preserve">rights on </w:t>
      </w:r>
      <w:r w:rsidR="00814B5F">
        <w:t xml:space="preserve">these </w:t>
      </w:r>
      <w:r w:rsidR="00A16DEC">
        <w:t>grounds,</w:t>
      </w:r>
      <w:r w:rsidR="00814B5F">
        <w:t xml:space="preserve"> </w:t>
      </w:r>
      <w:r w:rsidR="00A16DEC">
        <w:t>as</w:t>
      </w:r>
      <w:r w:rsidR="00814B5F">
        <w:t xml:space="preserve"> </w:t>
      </w:r>
      <w:r w:rsidR="00622D95">
        <w:t>no rights</w:t>
      </w:r>
      <w:r w:rsidR="00814B5F">
        <w:t xml:space="preserve"> exist</w:t>
      </w:r>
      <w:r w:rsidR="00622D95">
        <w:t xml:space="preserve"> in the first place. And to the extent that rights do </w:t>
      </w:r>
      <w:r w:rsidR="00A16DEC">
        <w:t>occur</w:t>
      </w:r>
      <w:r w:rsidR="00622D95">
        <w:t xml:space="preserve"> in the form of ‘British values,’ then restrict</w:t>
      </w:r>
      <w:r w:rsidR="00475C5E">
        <w:t>ive security measures are necessitated</w:t>
      </w:r>
      <w:r w:rsidR="00A16DEC">
        <w:t xml:space="preserve"> as the only way to ensure those values</w:t>
      </w:r>
      <w:r w:rsidR="00622D95">
        <w:t xml:space="preserve"> are </w:t>
      </w:r>
      <w:r w:rsidR="00A16DEC">
        <w:t>secure</w:t>
      </w:r>
      <w:r w:rsidR="009D6CBF">
        <w:t>d</w:t>
      </w:r>
      <w:r w:rsidR="00622D95">
        <w:t>.</w:t>
      </w:r>
      <w:r w:rsidR="001C6048">
        <w:t xml:space="preserve"> It is </w:t>
      </w:r>
      <w:r w:rsidR="007B7341">
        <w:t xml:space="preserve">a </w:t>
      </w:r>
      <w:r w:rsidR="00D6446A">
        <w:t>Catch 22: if you do no</w:t>
      </w:r>
      <w:r w:rsidR="00A16DEC">
        <w:t>t possess</w:t>
      </w:r>
      <w:r w:rsidR="001C6048">
        <w:t xml:space="preserve"> rights, then any security measure is justi</w:t>
      </w:r>
      <w:r w:rsidR="00A16DEC">
        <w:t>fied against you; if you do possess</w:t>
      </w:r>
      <w:r w:rsidR="001C6048">
        <w:t xml:space="preserve"> rights, then any security measure is justified</w:t>
      </w:r>
      <w:r w:rsidR="00D6446A">
        <w:t xml:space="preserve"> in ensuring </w:t>
      </w:r>
      <w:r w:rsidR="001C6048">
        <w:t xml:space="preserve">they </w:t>
      </w:r>
      <w:r w:rsidR="00A16DEC">
        <w:t>are</w:t>
      </w:r>
      <w:r w:rsidR="001C6048">
        <w:t xml:space="preserve"> upheld (even if this then </w:t>
      </w:r>
      <w:r w:rsidR="003629C6" w:rsidRPr="003629C6">
        <w:t>reduces</w:t>
      </w:r>
      <w:r w:rsidR="001C6048">
        <w:t xml:space="preserve"> those rights</w:t>
      </w:r>
      <w:r w:rsidR="0059286F">
        <w:t xml:space="preserve"> in the process</w:t>
      </w:r>
      <w:r w:rsidR="001C6048">
        <w:t>).</w:t>
      </w:r>
      <w:r w:rsidR="00144C84">
        <w:t xml:space="preserve"> </w:t>
      </w:r>
    </w:p>
    <w:p w14:paraId="74BDC6D5" w14:textId="77777777" w:rsidR="00144C84" w:rsidRDefault="00144C84" w:rsidP="003D7795">
      <w:pPr>
        <w:spacing w:line="480" w:lineRule="auto"/>
      </w:pPr>
    </w:p>
    <w:p w14:paraId="3846E63E" w14:textId="3BDC5071" w:rsidR="00385428" w:rsidRDefault="00144C84" w:rsidP="003D7795">
      <w:pPr>
        <w:spacing w:line="480" w:lineRule="auto"/>
      </w:pPr>
      <w:r>
        <w:t>Critically, this</w:t>
      </w:r>
      <w:r w:rsidR="00A2326E">
        <w:t xml:space="preserve"> situation</w:t>
      </w:r>
      <w:r>
        <w:t xml:space="preserve"> is not </w:t>
      </w:r>
      <w:r w:rsidR="00A2326E">
        <w:t xml:space="preserve">simply </w:t>
      </w:r>
      <w:r w:rsidR="00D2538D">
        <w:t xml:space="preserve">a case in which certain rights are </w:t>
      </w:r>
      <w:r>
        <w:t>absent</w:t>
      </w:r>
      <w:r w:rsidR="00D2538D">
        <w:t xml:space="preserve"> from the debate</w:t>
      </w:r>
      <w:r w:rsidR="00636880">
        <w:t>. I</w:t>
      </w:r>
      <w:r>
        <w:t xml:space="preserve">f </w:t>
      </w:r>
      <w:r w:rsidR="00636880">
        <w:t>this were a</w:t>
      </w:r>
      <w:r>
        <w:t xml:space="preserve"> situation</w:t>
      </w:r>
      <w:r w:rsidR="00636880">
        <w:t xml:space="preserve"> of </w:t>
      </w:r>
      <w:r w:rsidR="00D2538D">
        <w:t xml:space="preserve">mere </w:t>
      </w:r>
      <w:r w:rsidR="00636880">
        <w:t>absence</w:t>
      </w:r>
      <w:r>
        <w:t xml:space="preserve">, then the normative invalidation argument could be accused of being little more than a straw man. While May </w:t>
      </w:r>
      <w:r w:rsidR="007874EC">
        <w:t>dism</w:t>
      </w:r>
      <w:r>
        <w:t>isses certain ri</w:t>
      </w:r>
      <w:r w:rsidR="00D2538D">
        <w:t xml:space="preserve">ghts, however, she does so in </w:t>
      </w:r>
      <w:r>
        <w:t>way</w:t>
      </w:r>
      <w:r w:rsidR="00D2538D">
        <w:t>s</w:t>
      </w:r>
      <w:r>
        <w:t xml:space="preserve"> that ef</w:t>
      </w:r>
      <w:r w:rsidR="0049377E">
        <w:t xml:space="preserve">fectively acknowledges the </w:t>
      </w:r>
      <w:r w:rsidR="007874EC">
        <w:t xml:space="preserve">rights-based </w:t>
      </w:r>
      <w:r w:rsidR="0049377E">
        <w:t>policy norm</w:t>
      </w:r>
      <w:r>
        <w:t>. Reducing rights to a qualified classification does abse</w:t>
      </w:r>
      <w:r w:rsidR="007874EC">
        <w:t>nt certain forms of entitlement;</w:t>
      </w:r>
      <w:r>
        <w:t xml:space="preserve"> yet this rejection is only rhetorically possible to the extent</w:t>
      </w:r>
      <w:r w:rsidR="007874EC">
        <w:t xml:space="preserve"> that</w:t>
      </w:r>
      <w:r>
        <w:t xml:space="preserve"> it relies on a </w:t>
      </w:r>
      <w:r w:rsidR="0045589B">
        <w:t xml:space="preserve">manipulated notion of pro-rights norms. Consequently, this is not simply a </w:t>
      </w:r>
      <w:r w:rsidR="00525C57">
        <w:t xml:space="preserve">case of </w:t>
      </w:r>
      <w:r w:rsidR="0045589B">
        <w:t xml:space="preserve">rejecting non-British values, but </w:t>
      </w:r>
      <w:r w:rsidR="00525C57">
        <w:t>the utilisation of</w:t>
      </w:r>
      <w:r w:rsidR="0045589B">
        <w:t xml:space="preserve"> normative invalidation to </w:t>
      </w:r>
      <w:r w:rsidR="00525C57" w:rsidRPr="00525C57">
        <w:t>detach</w:t>
      </w:r>
      <w:r w:rsidR="0045589B">
        <w:t xml:space="preserve"> them from debate. The presence of a </w:t>
      </w:r>
      <w:r w:rsidR="00606F6B">
        <w:t xml:space="preserve">rhetorical </w:t>
      </w:r>
      <w:r w:rsidR="0045589B">
        <w:t>justification based on</w:t>
      </w:r>
      <w:r w:rsidR="00606F6B">
        <w:t xml:space="preserve"> the acknowledgment of</w:t>
      </w:r>
      <w:r w:rsidR="0045589B">
        <w:t xml:space="preserve"> rights</w:t>
      </w:r>
      <w:r w:rsidR="000636A9">
        <w:t>-based policy norms</w:t>
      </w:r>
      <w:r w:rsidR="0045589B">
        <w:t xml:space="preserve"> – as opposed to mere rejection – demonstrates </w:t>
      </w:r>
      <w:r w:rsidR="00606F6B">
        <w:t>that this comprises</w:t>
      </w:r>
      <w:r w:rsidR="0045589B">
        <w:t xml:space="preserve"> a more complex construction of language i.e. normative invalidation.</w:t>
      </w:r>
    </w:p>
    <w:p w14:paraId="61E813AF" w14:textId="77777777" w:rsidR="00144C84" w:rsidRDefault="00144C84" w:rsidP="003D7795">
      <w:pPr>
        <w:spacing w:line="480" w:lineRule="auto"/>
      </w:pPr>
    </w:p>
    <w:p w14:paraId="1702D876" w14:textId="696E0A76" w:rsidR="00326AEB" w:rsidRDefault="00134AA3" w:rsidP="003D7795">
      <w:pPr>
        <w:spacing w:line="480" w:lineRule="auto"/>
      </w:pPr>
      <w:r>
        <w:t xml:space="preserve">May’s </w:t>
      </w:r>
      <w:r w:rsidR="00A53952">
        <w:t xml:space="preserve">tactic of </w:t>
      </w:r>
      <w:r>
        <w:t>qualification also appeals</w:t>
      </w:r>
      <w:r w:rsidR="0027217E">
        <w:t xml:space="preserve"> to the concept of bala</w:t>
      </w:r>
      <w:r w:rsidR="00B977CA">
        <w:t>nce. While she</w:t>
      </w:r>
      <w:r w:rsidR="00A26F96">
        <w:t xml:space="preserve"> explicitly</w:t>
      </w:r>
      <w:r w:rsidR="00B977CA">
        <w:t xml:space="preserve"> </w:t>
      </w:r>
      <w:r w:rsidR="00854394">
        <w:t>does not adopt a</w:t>
      </w:r>
      <w:r w:rsidR="0027217E">
        <w:t xml:space="preserve"> balance</w:t>
      </w:r>
      <w:r w:rsidR="003A4DBA">
        <w:t>d</w:t>
      </w:r>
      <w:r w:rsidR="0027217E">
        <w:t xml:space="preserve"> approach </w:t>
      </w:r>
      <w:r w:rsidR="00B977CA">
        <w:t>in terms of actual policy</w:t>
      </w:r>
      <w:r w:rsidR="000F5542">
        <w:t>, May</w:t>
      </w:r>
      <w:r w:rsidR="00AE2345">
        <w:t xml:space="preserve"> exploits this narrative</w:t>
      </w:r>
      <w:r w:rsidR="0027217E">
        <w:t xml:space="preserve"> in order to further </w:t>
      </w:r>
      <w:r w:rsidR="003A4DBA">
        <w:t>invalidate</w:t>
      </w:r>
      <w:r w:rsidR="0027217E">
        <w:t xml:space="preserve"> any commitment to</w:t>
      </w:r>
      <w:r w:rsidR="00412FF0">
        <w:t xml:space="preserve"> the</w:t>
      </w:r>
      <w:r w:rsidR="0027217E">
        <w:t xml:space="preserve"> </w:t>
      </w:r>
      <w:r w:rsidR="00412FF0">
        <w:t>preservation of</w:t>
      </w:r>
      <w:r w:rsidR="0027217E">
        <w:t xml:space="preserve"> </w:t>
      </w:r>
      <w:r w:rsidR="006036B8">
        <w:t>rights</w:t>
      </w:r>
      <w:r w:rsidR="0027217E">
        <w:t>.</w:t>
      </w:r>
      <w:r w:rsidR="007747AD">
        <w:t xml:space="preserve"> In relation to Prevent, May</w:t>
      </w:r>
      <w:r w:rsidR="00462796">
        <w:t xml:space="preserve"> </w:t>
      </w:r>
      <w:r w:rsidR="00277629">
        <w:t>states</w:t>
      </w:r>
      <w:r w:rsidR="007747AD">
        <w:t>: ‘</w:t>
      </w:r>
      <w:proofErr w:type="gramStart"/>
      <w:r w:rsidR="00211F27" w:rsidRPr="00D433F0">
        <w:t>The</w:t>
      </w:r>
      <w:proofErr w:type="gramEnd"/>
      <w:r w:rsidR="00211F27" w:rsidRPr="00D433F0">
        <w:t xml:space="preserve"> freedom to exercise our rights depends fundamentally on our security. But likewise there is no va</w:t>
      </w:r>
      <w:r w:rsidR="00462796">
        <w:t>lue in security without liberty</w:t>
      </w:r>
      <w:r w:rsidR="0073191E">
        <w:t>.</w:t>
      </w:r>
      <w:r w:rsidR="007747AD">
        <w:t>’</w:t>
      </w:r>
      <w:r w:rsidR="00462796">
        <w:rPr>
          <w:rStyle w:val="FootnoteReference"/>
        </w:rPr>
        <w:footnoteReference w:id="100"/>
      </w:r>
      <w:r w:rsidR="00B042B9">
        <w:t xml:space="preserve"> May</w:t>
      </w:r>
      <w:r w:rsidR="00AB0262">
        <w:t xml:space="preserve"> </w:t>
      </w:r>
      <w:r w:rsidR="00B042B9">
        <w:t>employs</w:t>
      </w:r>
      <w:r w:rsidR="007747AD">
        <w:t xml:space="preserve"> the </w:t>
      </w:r>
      <w:r w:rsidR="002A150A">
        <w:t xml:space="preserve">specific </w:t>
      </w:r>
      <w:r w:rsidR="007747AD">
        <w:t xml:space="preserve">concept of balance identified above in which liberty is </w:t>
      </w:r>
      <w:r w:rsidR="00667CAB">
        <w:t xml:space="preserve">considered </w:t>
      </w:r>
      <w:r w:rsidR="007747AD">
        <w:t>th</w:t>
      </w:r>
      <w:r w:rsidR="00AB0262">
        <w:t>e more destructive partner</w:t>
      </w:r>
      <w:r w:rsidR="00462796">
        <w:rPr>
          <w:rStyle w:val="FootnoteReference"/>
        </w:rPr>
        <w:footnoteReference w:id="101"/>
      </w:r>
      <w:r w:rsidR="00AB0262">
        <w:t>. Critically, however, n</w:t>
      </w:r>
      <w:r w:rsidR="007747AD">
        <w:t>ot only can this model be</w:t>
      </w:r>
      <w:r w:rsidR="006F43FE">
        <w:t xml:space="preserve"> used to </w:t>
      </w:r>
      <w:r w:rsidR="00AB0262">
        <w:t>demonstrate</w:t>
      </w:r>
      <w:r w:rsidR="000604ED">
        <w:t xml:space="preserve"> how </w:t>
      </w:r>
      <w:r w:rsidR="007747AD">
        <w:t xml:space="preserve">balance </w:t>
      </w:r>
      <w:r w:rsidR="004A1095">
        <w:t>is</w:t>
      </w:r>
      <w:r w:rsidR="007747AD">
        <w:t xml:space="preserve"> constructed, but</w:t>
      </w:r>
      <w:r w:rsidR="00FA650E">
        <w:t xml:space="preserve"> also</w:t>
      </w:r>
      <w:r w:rsidR="00D924A9">
        <w:t xml:space="preserve"> </w:t>
      </w:r>
      <w:r w:rsidR="001C3095">
        <w:t xml:space="preserve">how the </w:t>
      </w:r>
      <w:r w:rsidR="003B0885">
        <w:t>idea</w:t>
      </w:r>
      <w:r w:rsidR="001C3095">
        <w:t xml:space="preserve"> of </w:t>
      </w:r>
      <w:r w:rsidR="000604ED">
        <w:t>compromise</w:t>
      </w:r>
      <w:r w:rsidR="004A1095">
        <w:t xml:space="preserve"> can be manipulated </w:t>
      </w:r>
      <w:r w:rsidR="007747AD">
        <w:t>to s</w:t>
      </w:r>
      <w:r w:rsidR="00A8495F">
        <w:t>kew debate while still giving the</w:t>
      </w:r>
      <w:r w:rsidR="007747AD">
        <w:t xml:space="preserve"> impression that balance is respected.</w:t>
      </w:r>
      <w:r w:rsidR="00D924A9">
        <w:t xml:space="preserve"> In doing so, May</w:t>
      </w:r>
      <w:r w:rsidR="004A1095">
        <w:t xml:space="preserve"> </w:t>
      </w:r>
      <w:r w:rsidR="00A422C3">
        <w:t>additionally employs</w:t>
      </w:r>
      <w:r w:rsidR="00E153E1">
        <w:t xml:space="preserve"> the</w:t>
      </w:r>
      <w:r w:rsidR="004A1095">
        <w:t xml:space="preserve"> </w:t>
      </w:r>
      <w:r w:rsidR="004B4D75">
        <w:t xml:space="preserve">idea </w:t>
      </w:r>
      <w:r w:rsidR="00326AEB">
        <w:t xml:space="preserve">that rights </w:t>
      </w:r>
      <w:r w:rsidR="004A1095">
        <w:t>do not constitute an</w:t>
      </w:r>
      <w:r w:rsidR="00972D8A">
        <w:t xml:space="preserve"> abstract ideal that </w:t>
      </w:r>
      <w:r w:rsidR="004A1095">
        <w:t>can</w:t>
      </w:r>
      <w:r w:rsidR="00972D8A">
        <w:t xml:space="preserve"> be </w:t>
      </w:r>
      <w:r w:rsidR="00326AEB">
        <w:t>subject to</w:t>
      </w:r>
      <w:r w:rsidR="002966E2">
        <w:t xml:space="preserve"> </w:t>
      </w:r>
      <w:r w:rsidR="0089123D">
        <w:t>‘</w:t>
      </w:r>
      <w:r w:rsidR="002966E2">
        <w:t>academic</w:t>
      </w:r>
      <w:r w:rsidR="0089123D">
        <w:t>’</w:t>
      </w:r>
      <w:r w:rsidR="00326AEB">
        <w:t xml:space="preserve"> debate, bu</w:t>
      </w:r>
      <w:r w:rsidR="00E935DE">
        <w:t>t an assessment of reality</w:t>
      </w:r>
      <w:r w:rsidR="0093568A">
        <w:rPr>
          <w:rStyle w:val="FootnoteReference"/>
        </w:rPr>
        <w:footnoteReference w:id="102"/>
      </w:r>
      <w:r w:rsidR="00326AEB">
        <w:t xml:space="preserve">. </w:t>
      </w:r>
      <w:r w:rsidR="00A26F96">
        <w:t>O</w:t>
      </w:r>
      <w:r w:rsidR="00326AEB">
        <w:t xml:space="preserve">nce </w:t>
      </w:r>
      <w:r w:rsidR="00972D8A">
        <w:t>the debate</w:t>
      </w:r>
      <w:r w:rsidR="000F05CB">
        <w:t xml:space="preserve"> became successfully based on concepts of pragmatic policymaking, </w:t>
      </w:r>
      <w:r w:rsidR="00972D8A">
        <w:t>May</w:t>
      </w:r>
      <w:r w:rsidR="000F05CB">
        <w:t xml:space="preserve"> is able to</w:t>
      </w:r>
      <w:r w:rsidR="00326AEB">
        <w:t xml:space="preserve"> again </w:t>
      </w:r>
      <w:r w:rsidR="000F05CB">
        <w:t>refer</w:t>
      </w:r>
      <w:r w:rsidR="004A1095">
        <w:t xml:space="preserve"> to</w:t>
      </w:r>
      <w:r w:rsidR="00972D8A">
        <w:t xml:space="preserve"> high</w:t>
      </w:r>
      <w:r w:rsidR="00326AEB">
        <w:t xml:space="preserve"> threat levels and the </w:t>
      </w:r>
      <w:r w:rsidR="00B27B0F">
        <w:t>necessary prioritisation of</w:t>
      </w:r>
      <w:r w:rsidR="00326AEB">
        <w:t xml:space="preserve"> security already identified:</w:t>
      </w:r>
      <w:r w:rsidR="00D92980">
        <w:t xml:space="preserve"> </w:t>
      </w:r>
      <w:r w:rsidR="002966E2">
        <w:t>‘</w:t>
      </w:r>
      <w:r w:rsidR="002966E2" w:rsidRPr="00D433F0">
        <w:t>All these threats and many more should remind us of an obvious old truth. The world is a dangerous place and the United Kingdom needs the capabilities to defend its int</w:t>
      </w:r>
      <w:r w:rsidR="00D92980">
        <w:t>erests and protect its citizens</w:t>
      </w:r>
      <w:r w:rsidR="002966E2">
        <w:t>’</w:t>
      </w:r>
      <w:r w:rsidR="0093568A">
        <w:rPr>
          <w:rStyle w:val="FootnoteReference"/>
        </w:rPr>
        <w:footnoteReference w:id="103"/>
      </w:r>
      <w:r w:rsidR="00D92980">
        <w:t>.</w:t>
      </w:r>
      <w:r w:rsidR="00EA08FE">
        <w:t xml:space="preserve"> </w:t>
      </w:r>
      <w:r w:rsidR="00E04D48">
        <w:t xml:space="preserve">May appears to be </w:t>
      </w:r>
      <w:r w:rsidR="00C46222">
        <w:t>weighing</w:t>
      </w:r>
      <w:r w:rsidR="003C4D0E">
        <w:t xml:space="preserve"> all sides, but </w:t>
      </w:r>
      <w:r w:rsidR="004A1095">
        <w:t xml:space="preserve">actually invalidates the </w:t>
      </w:r>
      <w:r w:rsidR="00EA08FE">
        <w:t xml:space="preserve">rights debate by manipulating the </w:t>
      </w:r>
      <w:r w:rsidR="00FD3B33">
        <w:t>definition</w:t>
      </w:r>
      <w:r w:rsidR="002006CE">
        <w:t xml:space="preserve"> of balance in </w:t>
      </w:r>
      <w:r w:rsidR="00EA08FE">
        <w:t>favour</w:t>
      </w:r>
      <w:r w:rsidR="002006CE">
        <w:t xml:space="preserve"> of a security-centric conceptualisation of counter-radicalisation</w:t>
      </w:r>
      <w:r w:rsidR="00EA08FE">
        <w:t>.</w:t>
      </w:r>
      <w:r w:rsidR="002E1256">
        <w:t xml:space="preserve"> </w:t>
      </w:r>
    </w:p>
    <w:p w14:paraId="6E1772EA" w14:textId="77777777" w:rsidR="00CD5CE6" w:rsidRDefault="00CD5CE6" w:rsidP="003D7795">
      <w:pPr>
        <w:spacing w:line="480" w:lineRule="auto"/>
        <w:rPr>
          <w:rFonts w:eastAsia="Times New Roman"/>
        </w:rPr>
      </w:pPr>
    </w:p>
    <w:p w14:paraId="14A07ECF" w14:textId="77777777" w:rsidR="00CD5CE6" w:rsidRDefault="00CD5CE6" w:rsidP="003D7795">
      <w:pPr>
        <w:spacing w:line="480" w:lineRule="auto"/>
        <w:rPr>
          <w:rFonts w:eastAsia="Times New Roman"/>
        </w:rPr>
      </w:pPr>
    </w:p>
    <w:p w14:paraId="066DA92C" w14:textId="37FFA093" w:rsidR="00CD5CE6" w:rsidRPr="00CD5CE6" w:rsidRDefault="00CD5CE6" w:rsidP="003D7795">
      <w:pPr>
        <w:spacing w:line="480" w:lineRule="auto"/>
        <w:rPr>
          <w:rFonts w:eastAsia="Times New Roman"/>
          <w:b/>
          <w:i/>
        </w:rPr>
      </w:pPr>
      <w:r w:rsidRPr="00CD5CE6">
        <w:rPr>
          <w:rFonts w:eastAsia="Times New Roman"/>
          <w:b/>
          <w:i/>
        </w:rPr>
        <w:t>Denial of abuse</w:t>
      </w:r>
    </w:p>
    <w:p w14:paraId="766DAB18" w14:textId="0ABB08CA" w:rsidR="00480A56" w:rsidRDefault="00EA08FE" w:rsidP="003D7795">
      <w:pPr>
        <w:spacing w:line="480" w:lineRule="auto"/>
      </w:pPr>
      <w:r>
        <w:rPr>
          <w:rFonts w:eastAsia="Times New Roman"/>
        </w:rPr>
        <w:t>Normati</w:t>
      </w:r>
      <w:r w:rsidR="0056565F">
        <w:rPr>
          <w:rFonts w:eastAsia="Times New Roman"/>
        </w:rPr>
        <w:t>ve invalidation also occurs</w:t>
      </w:r>
      <w:r w:rsidR="00750E2E">
        <w:rPr>
          <w:rFonts w:eastAsia="Times New Roman"/>
        </w:rPr>
        <w:t xml:space="preserve"> as an act of sheer denial.</w:t>
      </w:r>
      <w:r>
        <w:rPr>
          <w:rFonts w:eastAsia="Times New Roman"/>
        </w:rPr>
        <w:t xml:space="preserve"> May refutes that civil liberties have been undermined</w:t>
      </w:r>
      <w:r w:rsidR="00C21A2A">
        <w:rPr>
          <w:rFonts w:eastAsia="Times New Roman"/>
        </w:rPr>
        <w:t xml:space="preserve"> by </w:t>
      </w:r>
      <w:r w:rsidR="00750E2E">
        <w:rPr>
          <w:rFonts w:eastAsia="Times New Roman"/>
        </w:rPr>
        <w:t>counter-radicalisation policies</w:t>
      </w:r>
      <w:r w:rsidR="000603EB">
        <w:rPr>
          <w:rFonts w:eastAsia="Times New Roman"/>
        </w:rPr>
        <w:t>, specifically policies based on the security policy norm</w:t>
      </w:r>
      <w:r>
        <w:rPr>
          <w:rFonts w:eastAsia="Times New Roman"/>
        </w:rPr>
        <w:t>.</w:t>
      </w:r>
      <w:r w:rsidR="000610B3">
        <w:rPr>
          <w:rFonts w:eastAsia="Times New Roman"/>
        </w:rPr>
        <w:t xml:space="preserve"> In relation to Prevent, May </w:t>
      </w:r>
      <w:r w:rsidR="0056565F">
        <w:t>has rejected all allegations of spying as ‘false</w:t>
      </w:r>
      <w:r w:rsidR="000610B3">
        <w:t>’ and has repeat</w:t>
      </w:r>
      <w:r w:rsidR="0056565F">
        <w:t>edly denied the existence of a</w:t>
      </w:r>
      <w:r w:rsidR="000610B3">
        <w:t xml:space="preserve"> m</w:t>
      </w:r>
      <w:r w:rsidR="005C785C">
        <w:t>ass surveillance programme</w:t>
      </w:r>
      <w:r w:rsidR="00B325A6">
        <w:rPr>
          <w:rStyle w:val="FootnoteReference"/>
        </w:rPr>
        <w:footnoteReference w:id="104"/>
      </w:r>
      <w:r w:rsidR="005C785C">
        <w:t>: ‘T</w:t>
      </w:r>
      <w:r w:rsidR="000610B3" w:rsidRPr="00D433F0">
        <w:t>here is no surveillance state</w:t>
      </w:r>
      <w:r w:rsidR="000610B3">
        <w:t>’</w:t>
      </w:r>
      <w:r w:rsidR="00BD3366">
        <w:rPr>
          <w:rStyle w:val="FootnoteReference"/>
        </w:rPr>
        <w:footnoteReference w:id="105"/>
      </w:r>
      <w:r w:rsidR="00BD3366">
        <w:t xml:space="preserve">. </w:t>
      </w:r>
      <w:r w:rsidR="00AB62B5">
        <w:t>She states outright</w:t>
      </w:r>
      <w:r w:rsidR="00AD5F49">
        <w:t xml:space="preserve"> that </w:t>
      </w:r>
      <w:r w:rsidR="00AB62B5">
        <w:t xml:space="preserve">new and proposed </w:t>
      </w:r>
      <w:r w:rsidR="00AD5F49">
        <w:t>surveillance</w:t>
      </w:r>
      <w:r w:rsidR="00641CB7">
        <w:t xml:space="preserve"> </w:t>
      </w:r>
      <w:r w:rsidR="00AB62B5">
        <w:t>laws</w:t>
      </w:r>
      <w:r w:rsidR="00AD5F49">
        <w:t xml:space="preserve"> are</w:t>
      </w:r>
      <w:r w:rsidR="004A06D1">
        <w:t xml:space="preserve"> </w:t>
      </w:r>
      <w:r w:rsidR="00AD5F49">
        <w:t>not about ‘</w:t>
      </w:r>
      <w:r w:rsidR="00AD5F49" w:rsidRPr="00D433F0">
        <w:t>letting the Government snoop on your e-mails</w:t>
      </w:r>
      <w:r w:rsidR="00AD5F49">
        <w:t>’</w:t>
      </w:r>
      <w:r w:rsidR="00641CB7">
        <w:t xml:space="preserve"> or </w:t>
      </w:r>
      <w:r w:rsidR="00243A84">
        <w:t>creating a ‘</w:t>
      </w:r>
      <w:proofErr w:type="spellStart"/>
      <w:r w:rsidR="00243A84">
        <w:t>snooper’s</w:t>
      </w:r>
      <w:proofErr w:type="spellEnd"/>
      <w:r w:rsidR="00243A84">
        <w:t xml:space="preserve"> charter’</w:t>
      </w:r>
      <w:r w:rsidR="00243A84">
        <w:rPr>
          <w:rStyle w:val="FootnoteReference"/>
        </w:rPr>
        <w:footnoteReference w:id="106"/>
      </w:r>
      <w:r w:rsidR="00641CB7">
        <w:t>.</w:t>
      </w:r>
      <w:r w:rsidR="00645656">
        <w:t xml:space="preserve"> </w:t>
      </w:r>
      <w:r w:rsidR="00361047">
        <w:t xml:space="preserve">In addition, May </w:t>
      </w:r>
      <w:r w:rsidR="00AB62B5">
        <w:t>asserts</w:t>
      </w:r>
      <w:r w:rsidR="00361047">
        <w:t xml:space="preserve"> </w:t>
      </w:r>
      <w:r w:rsidR="00EE0E9D">
        <w:t xml:space="preserve">that she </w:t>
      </w:r>
      <w:r w:rsidR="00DA57F2">
        <w:t>and the government have</w:t>
      </w:r>
      <w:r w:rsidR="00EE0E9D">
        <w:t xml:space="preserve"> respected</w:t>
      </w:r>
      <w:r w:rsidR="00AB62B5">
        <w:t xml:space="preserve"> key civil liberties: the Conservatives rejected the cont</w:t>
      </w:r>
      <w:r w:rsidR="004E7426">
        <w:t>roversial ID card scheme and May</w:t>
      </w:r>
      <w:r w:rsidR="00AB62B5">
        <w:t xml:space="preserve"> emphatically condemned the Labour party commitment to </w:t>
      </w:r>
      <w:r w:rsidR="00331124">
        <w:t>‘</w:t>
      </w:r>
      <w:r w:rsidR="00AB62B5">
        <w:t>stop and search</w:t>
      </w:r>
      <w:r w:rsidR="00331124">
        <w:t>’</w:t>
      </w:r>
      <w:r w:rsidR="00AB62B5">
        <w:t xml:space="preserve"> </w:t>
      </w:r>
      <w:r w:rsidR="007D1F25">
        <w:t>at the 2014 Tory Conference. May’s</w:t>
      </w:r>
      <w:r w:rsidR="00AB62B5">
        <w:t xml:space="preserve"> justification for</w:t>
      </w:r>
      <w:r w:rsidR="007D1F25">
        <w:t xml:space="preserve"> her stance on</w:t>
      </w:r>
      <w:r w:rsidR="00AB62B5">
        <w:t xml:space="preserve"> these polici</w:t>
      </w:r>
      <w:r w:rsidR="00331124">
        <w:t xml:space="preserve">es, however, is less </w:t>
      </w:r>
      <w:r w:rsidR="00AB62B5">
        <w:t xml:space="preserve">altruistic </w:t>
      </w:r>
      <w:r w:rsidR="00331124">
        <w:t>than this</w:t>
      </w:r>
      <w:r w:rsidR="00AB62B5">
        <w:t xml:space="preserve"> </w:t>
      </w:r>
      <w:r w:rsidR="007D1F25">
        <w:t>may first appear</w:t>
      </w:r>
      <w:r w:rsidR="00AB62B5">
        <w:t xml:space="preserve">. </w:t>
      </w:r>
      <w:r w:rsidR="00214642">
        <w:t xml:space="preserve">May </w:t>
      </w:r>
      <w:r w:rsidR="009263AE">
        <w:t>explained</w:t>
      </w:r>
      <w:r w:rsidR="00331124">
        <w:t xml:space="preserve"> that</w:t>
      </w:r>
      <w:r w:rsidR="00AB62B5">
        <w:t xml:space="preserve"> </w:t>
      </w:r>
      <w:r w:rsidR="00214642">
        <w:t xml:space="preserve">the Tories opposed </w:t>
      </w:r>
      <w:r w:rsidR="00AB62B5">
        <w:t>ID cards because they</w:t>
      </w:r>
      <w:r w:rsidR="00214642">
        <w:t xml:space="preserve"> were</w:t>
      </w:r>
      <w:r w:rsidR="00407F33">
        <w:t xml:space="preserve"> ‘</w:t>
      </w:r>
      <w:r w:rsidR="00407F33" w:rsidRPr="00D433F0">
        <w:t>disproportionate, expensive and unnecessary</w:t>
      </w:r>
      <w:r w:rsidR="00AB62B5">
        <w:t xml:space="preserve">’ – </w:t>
      </w:r>
      <w:r w:rsidR="00BA0E7A">
        <w:t>less</w:t>
      </w:r>
      <w:r w:rsidR="00214642">
        <w:t xml:space="preserve"> a </w:t>
      </w:r>
      <w:r w:rsidR="00AB62B5">
        <w:t>rights-driven</w:t>
      </w:r>
      <w:r w:rsidR="00214642">
        <w:t xml:space="preserve"> commitment against surveillance</w:t>
      </w:r>
      <w:r w:rsidR="00BA0E7A">
        <w:t xml:space="preserve"> and more an economic appeal to the public purse</w:t>
      </w:r>
      <w:r w:rsidR="0001332C">
        <w:rPr>
          <w:rStyle w:val="FootnoteReference"/>
        </w:rPr>
        <w:footnoteReference w:id="107"/>
      </w:r>
      <w:r w:rsidR="00214642">
        <w:t xml:space="preserve">. Similarly, </w:t>
      </w:r>
      <w:r w:rsidR="005A1965">
        <w:t xml:space="preserve">she </w:t>
      </w:r>
      <w:r w:rsidR="009263AE">
        <w:t>publicly</w:t>
      </w:r>
      <w:r w:rsidR="00A9157A">
        <w:t xml:space="preserve"> opposed</w:t>
      </w:r>
      <w:r w:rsidR="00AB62B5">
        <w:t xml:space="preserve"> stop and search </w:t>
      </w:r>
      <w:r w:rsidR="00A9157A">
        <w:t>because</w:t>
      </w:r>
      <w:r w:rsidR="00AB62B5">
        <w:t xml:space="preserve"> it disproportionately af</w:t>
      </w:r>
      <w:r w:rsidR="00A9157A">
        <w:t>fected black men</w:t>
      </w:r>
      <w:r w:rsidR="005A1965">
        <w:t>.</w:t>
      </w:r>
      <w:r w:rsidR="0009431B">
        <w:t xml:space="preserve"> This claim can be criticised as hypocritical given that Prevent is seen to discriminately target Muslims</w:t>
      </w:r>
      <w:r w:rsidR="00366540">
        <w:t xml:space="preserve"> and that May has continued to uphold stop and search powers against suspected terrorists</w:t>
      </w:r>
      <w:r w:rsidR="008E6BDC">
        <w:t xml:space="preserve"> (under Section 43 of the 2000 Terrorism Act)</w:t>
      </w:r>
      <w:r w:rsidR="007E1E28">
        <w:t xml:space="preserve">. </w:t>
      </w:r>
      <w:r w:rsidR="00480A56">
        <w:t xml:space="preserve">The decision to condemn Labour, however, was strategic – not only as a blow against the opposition, but also because May </w:t>
      </w:r>
      <w:r w:rsidR="001A53C5">
        <w:t xml:space="preserve">had been criticised </w:t>
      </w:r>
      <w:r w:rsidR="009263AE">
        <w:t>after</w:t>
      </w:r>
      <w:r w:rsidR="00480A56">
        <w:t xml:space="preserve"> admitting that as many as 250,000 illegal stop and search procedures had been carried out the previous year</w:t>
      </w:r>
      <w:r w:rsidR="00480A56">
        <w:rPr>
          <w:rStyle w:val="FootnoteReference"/>
        </w:rPr>
        <w:footnoteReference w:id="108"/>
      </w:r>
      <w:r w:rsidR="00480A56">
        <w:t>.</w:t>
      </w:r>
      <w:r w:rsidR="00305B3C">
        <w:t xml:space="preserve"> </w:t>
      </w:r>
      <w:r w:rsidR="005959A1">
        <w:t>Even taking into account May’s commitment to curbing certain forms o</w:t>
      </w:r>
      <w:r w:rsidR="009263AE">
        <w:t>f stop and search, she was</w:t>
      </w:r>
      <w:r w:rsidR="00305B3C">
        <w:t xml:space="preserve"> attempting to</w:t>
      </w:r>
      <w:r w:rsidR="009B5CD6">
        <w:t xml:space="preserve"> rhetorically</w:t>
      </w:r>
      <w:r w:rsidR="00305B3C">
        <w:t xml:space="preserve"> reassert her authority and credibility on a contentious issue.</w:t>
      </w:r>
    </w:p>
    <w:p w14:paraId="2B2C8449" w14:textId="77777777" w:rsidR="0009431B" w:rsidRDefault="0009431B" w:rsidP="003D7795">
      <w:pPr>
        <w:spacing w:line="480" w:lineRule="auto"/>
      </w:pPr>
    </w:p>
    <w:p w14:paraId="13A198B0" w14:textId="2130A806" w:rsidR="00EE154B" w:rsidRDefault="0035236E" w:rsidP="003D7795">
      <w:pPr>
        <w:spacing w:line="480" w:lineRule="auto"/>
      </w:pPr>
      <w:r>
        <w:t>In a further</w:t>
      </w:r>
      <w:r w:rsidR="00D443A6">
        <w:t xml:space="preserve"> example, May </w:t>
      </w:r>
      <w:r w:rsidR="001B3B2D">
        <w:t>commented</w:t>
      </w:r>
      <w:r w:rsidR="00CB1559" w:rsidRPr="00CB1559">
        <w:t xml:space="preserve"> </w:t>
      </w:r>
      <w:r w:rsidR="00CB1559">
        <w:t>after the 2015 Paris attacks</w:t>
      </w:r>
      <w:r w:rsidR="00B57B39">
        <w:rPr>
          <w:rFonts w:eastAsia="Times New Roman"/>
        </w:rPr>
        <w:t>:</w:t>
      </w:r>
      <w:r w:rsidR="00B57B39" w:rsidRPr="00B57B39">
        <w:rPr>
          <w:rFonts w:eastAsia="Times New Roman"/>
        </w:rPr>
        <w:t xml:space="preserve"> </w:t>
      </w:r>
      <w:r w:rsidR="00B57B39">
        <w:rPr>
          <w:rFonts w:eastAsia="Times New Roman"/>
        </w:rPr>
        <w:t>‘</w:t>
      </w:r>
      <w:r w:rsidR="00B57B39" w:rsidRPr="00D433F0">
        <w:rPr>
          <w:rFonts w:eastAsia="Times New Roman"/>
        </w:rPr>
        <w:t>Freedom of the press means that the press should be free to publish</w:t>
      </w:r>
      <w:r w:rsidR="00B57B39">
        <w:rPr>
          <w:rFonts w:eastAsia="Times New Roman"/>
        </w:rPr>
        <w:t xml:space="preserve"> what it chooses within the law’</w:t>
      </w:r>
      <w:r w:rsidR="00C32FFB">
        <w:rPr>
          <w:rStyle w:val="FootnoteReference"/>
          <w:rFonts w:eastAsia="Times New Roman"/>
        </w:rPr>
        <w:footnoteReference w:id="109"/>
      </w:r>
      <w:r w:rsidR="006A720A">
        <w:rPr>
          <w:rFonts w:eastAsia="Times New Roman"/>
        </w:rPr>
        <w:t>. The qualification of</w:t>
      </w:r>
      <w:r w:rsidR="00B57B39">
        <w:rPr>
          <w:rFonts w:eastAsia="Times New Roman"/>
        </w:rPr>
        <w:t xml:space="preserve"> ‘within the la</w:t>
      </w:r>
      <w:r w:rsidR="00E21202">
        <w:rPr>
          <w:rFonts w:eastAsia="Times New Roman"/>
        </w:rPr>
        <w:t>w’</w:t>
      </w:r>
      <w:r w:rsidR="00B57B39">
        <w:rPr>
          <w:rFonts w:eastAsia="Times New Roman"/>
        </w:rPr>
        <w:t xml:space="preserve"> again </w:t>
      </w:r>
      <w:r w:rsidR="00E21202">
        <w:rPr>
          <w:rFonts w:eastAsia="Times New Roman"/>
        </w:rPr>
        <w:t xml:space="preserve">comprises </w:t>
      </w:r>
      <w:r w:rsidR="00B57B39">
        <w:rPr>
          <w:rFonts w:eastAsia="Times New Roman"/>
        </w:rPr>
        <w:t>a</w:t>
      </w:r>
      <w:r w:rsidR="00CB1559">
        <w:rPr>
          <w:rFonts w:eastAsia="Times New Roman"/>
        </w:rPr>
        <w:t xml:space="preserve"> form of normative invalidation</w:t>
      </w:r>
      <w:r w:rsidR="00B57B39">
        <w:rPr>
          <w:rFonts w:eastAsia="Times New Roman"/>
        </w:rPr>
        <w:t xml:space="preserve"> </w:t>
      </w:r>
      <w:r w:rsidR="006A720A">
        <w:rPr>
          <w:rFonts w:eastAsia="Times New Roman"/>
        </w:rPr>
        <w:t xml:space="preserve">in that it does not treat </w:t>
      </w:r>
      <w:r w:rsidR="00CB1559">
        <w:rPr>
          <w:rFonts w:eastAsia="Times New Roman"/>
        </w:rPr>
        <w:t xml:space="preserve">the </w:t>
      </w:r>
      <w:r w:rsidR="006A720A">
        <w:rPr>
          <w:rFonts w:eastAsia="Times New Roman"/>
        </w:rPr>
        <w:t>freedom of the press as an ideal</w:t>
      </w:r>
      <w:r w:rsidR="00C21A2A">
        <w:rPr>
          <w:rFonts w:eastAsia="Times New Roman"/>
        </w:rPr>
        <w:t>,</w:t>
      </w:r>
      <w:r w:rsidR="006A720A">
        <w:rPr>
          <w:rFonts w:eastAsia="Times New Roman"/>
        </w:rPr>
        <w:t xml:space="preserve"> but as applicable only in the context of what legal and security measures will allow.</w:t>
      </w:r>
      <w:r w:rsidR="002D32E1">
        <w:rPr>
          <w:rFonts w:eastAsia="Times New Roman"/>
        </w:rPr>
        <w:t xml:space="preserve"> In this sense, no </w:t>
      </w:r>
      <w:r w:rsidR="00937820">
        <w:rPr>
          <w:rFonts w:eastAsia="Times New Roman"/>
        </w:rPr>
        <w:t>rights have been violated</w:t>
      </w:r>
      <w:r w:rsidR="00CB1559">
        <w:rPr>
          <w:rFonts w:eastAsia="Times New Roman"/>
        </w:rPr>
        <w:t xml:space="preserve"> as the law has been respected</w:t>
      </w:r>
      <w:r w:rsidR="00937820">
        <w:rPr>
          <w:rFonts w:eastAsia="Times New Roman"/>
        </w:rPr>
        <w:t>. Yet the law i</w:t>
      </w:r>
      <w:r w:rsidR="003430EA">
        <w:rPr>
          <w:rFonts w:eastAsia="Times New Roman"/>
        </w:rPr>
        <w:t>s the product of the government</w:t>
      </w:r>
      <w:r w:rsidR="00937820">
        <w:rPr>
          <w:rFonts w:eastAsia="Times New Roman"/>
        </w:rPr>
        <w:t xml:space="preserve"> and this itself can be seen as causing a dimini</w:t>
      </w:r>
      <w:r w:rsidR="00055509">
        <w:rPr>
          <w:rFonts w:eastAsia="Times New Roman"/>
        </w:rPr>
        <w:t xml:space="preserve">shment of </w:t>
      </w:r>
      <w:r w:rsidR="002D32E1">
        <w:rPr>
          <w:rFonts w:eastAsia="Times New Roman"/>
        </w:rPr>
        <w:t xml:space="preserve">rights. </w:t>
      </w:r>
      <w:r w:rsidR="00937820">
        <w:rPr>
          <w:rFonts w:eastAsia="Times New Roman"/>
        </w:rPr>
        <w:t>May</w:t>
      </w:r>
      <w:r w:rsidR="002D32E1">
        <w:rPr>
          <w:rFonts w:eastAsia="Times New Roman"/>
        </w:rPr>
        <w:t xml:space="preserve"> </w:t>
      </w:r>
      <w:proofErr w:type="gramStart"/>
      <w:r w:rsidR="004C6122">
        <w:rPr>
          <w:rFonts w:eastAsia="Times New Roman"/>
        </w:rPr>
        <w:t>herself</w:t>
      </w:r>
      <w:proofErr w:type="gramEnd"/>
      <w:r w:rsidR="004C6122">
        <w:rPr>
          <w:rFonts w:eastAsia="Times New Roman"/>
        </w:rPr>
        <w:t xml:space="preserve"> </w:t>
      </w:r>
      <w:r w:rsidR="00937820">
        <w:rPr>
          <w:rFonts w:eastAsia="Times New Roman"/>
        </w:rPr>
        <w:t>has overseen a number of changes to the law in order to facilitate the introduction of restrictive security policies. For example, the</w:t>
      </w:r>
      <w:r w:rsidR="00B57B39">
        <w:t xml:space="preserve"> government</w:t>
      </w:r>
      <w:r w:rsidR="002D32E1">
        <w:t xml:space="preserve"> amended</w:t>
      </w:r>
      <w:r w:rsidR="00B57B39">
        <w:t xml:space="preserve"> the law ‘</w:t>
      </w:r>
      <w:r w:rsidR="00B57B39" w:rsidRPr="00D433F0">
        <w:t>to make it clear to the courts that article 8 of the Eur</w:t>
      </w:r>
      <w:r w:rsidR="0005101F">
        <w:t>opean convention on human rights</w:t>
      </w:r>
      <w:r w:rsidR="00B57B39" w:rsidRPr="00D433F0">
        <w:t>, the right to respect for a family life, is qual</w:t>
      </w:r>
      <w:r w:rsidR="00B57B39">
        <w:t>ified and not an absolute right,’ specifically as the facilitation of counterterrorism and counter-radicalisation strategies</w:t>
      </w:r>
      <w:r w:rsidR="007E2B17">
        <w:rPr>
          <w:rStyle w:val="FootnoteReference"/>
        </w:rPr>
        <w:footnoteReference w:id="110"/>
      </w:r>
      <w:r w:rsidR="00B57B39">
        <w:t xml:space="preserve">. </w:t>
      </w:r>
      <w:r w:rsidR="00C21A2A">
        <w:t>I</w:t>
      </w:r>
      <w:r w:rsidR="00937820">
        <w:t>n conflating what is l</w:t>
      </w:r>
      <w:r w:rsidR="000937FF">
        <w:t>egal with what is moral, May</w:t>
      </w:r>
      <w:r w:rsidR="00937820">
        <w:t xml:space="preserve"> invalidate</w:t>
      </w:r>
      <w:r w:rsidR="000937FF">
        <w:t>s</w:t>
      </w:r>
      <w:r w:rsidR="00937820">
        <w:t xml:space="preserve"> the civil liberties </w:t>
      </w:r>
      <w:r w:rsidR="00CD5036">
        <w:t>policy norm</w:t>
      </w:r>
      <w:r w:rsidR="00937820">
        <w:t xml:space="preserve"> by </w:t>
      </w:r>
      <w:r w:rsidR="008E1E7B">
        <w:t>asserting</w:t>
      </w:r>
      <w:r w:rsidR="002D32E1">
        <w:t xml:space="preserve"> that </w:t>
      </w:r>
      <w:r w:rsidR="000F3A23">
        <w:t xml:space="preserve">rights have not been affected – </w:t>
      </w:r>
      <w:r w:rsidR="00A57AB1">
        <w:t xml:space="preserve">or at least not </w:t>
      </w:r>
      <w:r w:rsidR="000F3A23">
        <w:t>under</w:t>
      </w:r>
      <w:r w:rsidR="00E96852">
        <w:t xml:space="preserve"> the terms of consideration</w:t>
      </w:r>
      <w:r w:rsidR="000F3A23">
        <w:t xml:space="preserve"> she rhetorically constructs.</w:t>
      </w:r>
      <w:r w:rsidR="00DC4BCF">
        <w:t xml:space="preserve"> </w:t>
      </w:r>
    </w:p>
    <w:p w14:paraId="683B2502" w14:textId="77777777" w:rsidR="00EE154B" w:rsidRDefault="00EE154B" w:rsidP="003D7795">
      <w:pPr>
        <w:spacing w:line="480" w:lineRule="auto"/>
      </w:pPr>
    </w:p>
    <w:p w14:paraId="6C7C576C" w14:textId="36D9AA08" w:rsidR="00F955CF" w:rsidRPr="00E11D4A" w:rsidRDefault="00B56C24" w:rsidP="003D7795">
      <w:pPr>
        <w:spacing w:line="480" w:lineRule="auto"/>
        <w:rPr>
          <w:rFonts w:eastAsia="Times New Roman"/>
        </w:rPr>
      </w:pPr>
      <w:r>
        <w:t>This claim is supported by May’s</w:t>
      </w:r>
      <w:r w:rsidR="002D32E1">
        <w:t xml:space="preserve"> refusal to commit to the</w:t>
      </w:r>
      <w:r w:rsidR="00DC4BCF">
        <w:t xml:space="preserve"> freedom</w:t>
      </w:r>
      <w:r w:rsidR="002D32E1">
        <w:t>s</w:t>
      </w:r>
      <w:r w:rsidR="00DC4BCF">
        <w:t xml:space="preserve"> of</w:t>
      </w:r>
      <w:r w:rsidR="0065215D">
        <w:t xml:space="preserve"> the press and of expression in the same speech following the terror events in Paris.</w:t>
      </w:r>
      <w:r w:rsidR="00A57AB1">
        <w:t xml:space="preserve"> In response</w:t>
      </w:r>
      <w:r w:rsidR="00541D60">
        <w:t xml:space="preserve"> to public protests</w:t>
      </w:r>
      <w:r w:rsidR="00BC17EA">
        <w:t xml:space="preserve"> he</w:t>
      </w:r>
      <w:r w:rsidR="002D32E1">
        <w:t>ld in France</w:t>
      </w:r>
      <w:r w:rsidR="00BC17EA">
        <w:t xml:space="preserve"> after the attacks, May notes </w:t>
      </w:r>
      <w:r w:rsidR="00D443A6">
        <w:t>that the marchers ‘</w:t>
      </w:r>
      <w:r w:rsidR="00D443A6" w:rsidRPr="00D433F0">
        <w:rPr>
          <w:rFonts w:eastAsia="Times New Roman"/>
        </w:rPr>
        <w:t>expressed their support for all those who were standing for freedom of the press an</w:t>
      </w:r>
      <w:r w:rsidR="00D443A6">
        <w:rPr>
          <w:rFonts w:eastAsia="Times New Roman"/>
        </w:rPr>
        <w:t>d the freedoms of our democracy’</w:t>
      </w:r>
      <w:r w:rsidR="00BE04D6">
        <w:rPr>
          <w:rStyle w:val="FootnoteReference"/>
          <w:rFonts w:eastAsia="Times New Roman"/>
        </w:rPr>
        <w:footnoteReference w:id="111"/>
      </w:r>
      <w:r w:rsidR="00D443A6">
        <w:rPr>
          <w:rFonts w:eastAsia="Times New Roman"/>
        </w:rPr>
        <w:t xml:space="preserve">. </w:t>
      </w:r>
      <w:r w:rsidR="000D5B6F">
        <w:rPr>
          <w:rFonts w:eastAsia="Times New Roman"/>
        </w:rPr>
        <w:t>In itself, this is a highl</w:t>
      </w:r>
      <w:r w:rsidR="00182D1C">
        <w:rPr>
          <w:rFonts w:eastAsia="Times New Roman"/>
        </w:rPr>
        <w:t xml:space="preserve">y convenient reference to </w:t>
      </w:r>
      <w:r w:rsidR="000D5B6F">
        <w:rPr>
          <w:rFonts w:eastAsia="Times New Roman"/>
        </w:rPr>
        <w:t>rights and democratic representation at a time when she was accused of undermining such ideals in the UK.</w:t>
      </w:r>
      <w:r w:rsidR="00182D1C">
        <w:rPr>
          <w:rFonts w:eastAsia="Times New Roman"/>
        </w:rPr>
        <w:t xml:space="preserve"> </w:t>
      </w:r>
      <w:r w:rsidR="000D5B6F">
        <w:rPr>
          <w:rFonts w:eastAsia="Times New Roman"/>
        </w:rPr>
        <w:t xml:space="preserve">The comment, however, is indirect. </w:t>
      </w:r>
      <w:r w:rsidR="00D443A6">
        <w:rPr>
          <w:rFonts w:eastAsia="Times New Roman"/>
        </w:rPr>
        <w:t xml:space="preserve">May does not say </w:t>
      </w:r>
      <w:r w:rsidR="00D443A6" w:rsidRPr="000D5B6F">
        <w:rPr>
          <w:rFonts w:eastAsia="Times New Roman"/>
          <w:i/>
        </w:rPr>
        <w:t>she</w:t>
      </w:r>
      <w:r w:rsidR="00D443A6">
        <w:rPr>
          <w:rFonts w:eastAsia="Times New Roman"/>
        </w:rPr>
        <w:t xml:space="preserve"> su</w:t>
      </w:r>
      <w:r w:rsidR="000A241E">
        <w:rPr>
          <w:rFonts w:eastAsia="Times New Roman"/>
        </w:rPr>
        <w:t>pports the call for freedom; she</w:t>
      </w:r>
      <w:r w:rsidR="00D443A6">
        <w:rPr>
          <w:rFonts w:eastAsia="Times New Roman"/>
        </w:rPr>
        <w:t xml:space="preserve"> merely rec</w:t>
      </w:r>
      <w:r w:rsidR="00E11D4A">
        <w:rPr>
          <w:rFonts w:eastAsia="Times New Roman"/>
        </w:rPr>
        <w:t>ogn</w:t>
      </w:r>
      <w:r w:rsidR="003E54A3">
        <w:rPr>
          <w:rFonts w:eastAsia="Times New Roman"/>
        </w:rPr>
        <w:t>ises that other people make the</w:t>
      </w:r>
      <w:r w:rsidR="00D443A6">
        <w:rPr>
          <w:rFonts w:eastAsia="Times New Roman"/>
        </w:rPr>
        <w:t xml:space="preserve"> claim. Moreover, </w:t>
      </w:r>
      <w:r w:rsidR="00E11D4A">
        <w:rPr>
          <w:rFonts w:eastAsia="Times New Roman"/>
        </w:rPr>
        <w:t>she makes no ef</w:t>
      </w:r>
      <w:r w:rsidR="00227922">
        <w:rPr>
          <w:rFonts w:eastAsia="Times New Roman"/>
        </w:rPr>
        <w:t>fort to suggest this is applicable</w:t>
      </w:r>
      <w:r w:rsidR="00E11D4A">
        <w:rPr>
          <w:rFonts w:eastAsia="Times New Roman"/>
        </w:rPr>
        <w:t xml:space="preserve"> to the UK: these are French protestors, </w:t>
      </w:r>
      <w:r w:rsidR="002D32E1">
        <w:rPr>
          <w:rFonts w:eastAsia="Times New Roman"/>
        </w:rPr>
        <w:t>making it easy to reject the relevance of such views to</w:t>
      </w:r>
      <w:r w:rsidR="00D443A6">
        <w:rPr>
          <w:rFonts w:eastAsia="Times New Roman"/>
        </w:rPr>
        <w:t xml:space="preserve"> the</w:t>
      </w:r>
      <w:r w:rsidR="00E11D4A">
        <w:rPr>
          <w:rFonts w:eastAsia="Times New Roman"/>
        </w:rPr>
        <w:t xml:space="preserve"> British</w:t>
      </w:r>
      <w:r w:rsidR="00D443A6">
        <w:rPr>
          <w:rFonts w:eastAsia="Times New Roman"/>
        </w:rPr>
        <w:t xml:space="preserve"> case. </w:t>
      </w:r>
      <w:r w:rsidR="00A57AB1">
        <w:rPr>
          <w:rFonts w:eastAsia="Times New Roman"/>
        </w:rPr>
        <w:t>Consequently, this demonstrates</w:t>
      </w:r>
      <w:r w:rsidR="002D32E1">
        <w:rPr>
          <w:rFonts w:eastAsia="Times New Roman"/>
        </w:rPr>
        <w:t xml:space="preserve"> that a) May did</w:t>
      </w:r>
      <w:r w:rsidR="00A61695">
        <w:rPr>
          <w:rFonts w:eastAsia="Times New Roman"/>
        </w:rPr>
        <w:t xml:space="preserve"> not communicate any genuine and/or personal belief in the freedom</w:t>
      </w:r>
      <w:r w:rsidR="002D32E1">
        <w:rPr>
          <w:rFonts w:eastAsia="Times New Roman"/>
        </w:rPr>
        <w:t>s</w:t>
      </w:r>
      <w:r w:rsidR="00A61695">
        <w:rPr>
          <w:rFonts w:eastAsia="Times New Roman"/>
        </w:rPr>
        <w:t xml:space="preserve"> of</w:t>
      </w:r>
      <w:r w:rsidR="002D32E1">
        <w:rPr>
          <w:rFonts w:eastAsia="Times New Roman"/>
        </w:rPr>
        <w:t xml:space="preserve"> press or</w:t>
      </w:r>
      <w:r w:rsidR="00A61695">
        <w:rPr>
          <w:rFonts w:eastAsia="Times New Roman"/>
        </w:rPr>
        <w:t xml:space="preserve"> expression and b) that her references are indirect and strategic.</w:t>
      </w:r>
      <w:r w:rsidR="002D32E1">
        <w:rPr>
          <w:rFonts w:eastAsia="Times New Roman"/>
        </w:rPr>
        <w:t xml:space="preserve"> May </w:t>
      </w:r>
      <w:r w:rsidR="002D32E1" w:rsidRPr="002D32E1">
        <w:rPr>
          <w:rFonts w:eastAsia="Times New Roman"/>
        </w:rPr>
        <w:t>forms</w:t>
      </w:r>
      <w:r w:rsidR="00AE763E">
        <w:rPr>
          <w:rFonts w:eastAsia="Times New Roman"/>
        </w:rPr>
        <w:t xml:space="preserve"> an illusion of her commitment in order to silence and invalidate the criticisms of those who support </w:t>
      </w:r>
      <w:r w:rsidR="0002453F">
        <w:rPr>
          <w:rFonts w:eastAsia="Times New Roman"/>
        </w:rPr>
        <w:t xml:space="preserve">the </w:t>
      </w:r>
      <w:r w:rsidR="00AE763E">
        <w:rPr>
          <w:rFonts w:eastAsia="Times New Roman"/>
        </w:rPr>
        <w:t>rights</w:t>
      </w:r>
      <w:r w:rsidR="00700CB9">
        <w:rPr>
          <w:rFonts w:eastAsia="Times New Roman"/>
        </w:rPr>
        <w:t xml:space="preserve"> policy norm</w:t>
      </w:r>
      <w:r w:rsidR="00AE763E">
        <w:rPr>
          <w:rFonts w:eastAsia="Times New Roman"/>
        </w:rPr>
        <w:t>, but this</w:t>
      </w:r>
      <w:r w:rsidR="00DA7A8A">
        <w:rPr>
          <w:rFonts w:eastAsia="Times New Roman"/>
        </w:rPr>
        <w:t xml:space="preserve"> rhetoric is</w:t>
      </w:r>
      <w:r w:rsidR="00AE763E">
        <w:rPr>
          <w:rFonts w:eastAsia="Times New Roman"/>
        </w:rPr>
        <w:t xml:space="preserve"> ‘</w:t>
      </w:r>
      <w:r w:rsidR="008655C1">
        <w:rPr>
          <w:rFonts w:eastAsia="Times New Roman"/>
        </w:rPr>
        <w:t>all</w:t>
      </w:r>
      <w:r w:rsidR="000E0B18">
        <w:rPr>
          <w:rFonts w:eastAsia="Times New Roman"/>
        </w:rPr>
        <w:t xml:space="preserve"> talk</w:t>
      </w:r>
      <w:r w:rsidR="00AE763E">
        <w:rPr>
          <w:rFonts w:eastAsia="Times New Roman"/>
        </w:rPr>
        <w:t>’</w:t>
      </w:r>
      <w:r w:rsidR="00640050">
        <w:rPr>
          <w:rFonts w:eastAsia="Times New Roman"/>
        </w:rPr>
        <w:t xml:space="preserve"> and belies </w:t>
      </w:r>
      <w:r w:rsidR="00080E49">
        <w:rPr>
          <w:rFonts w:eastAsia="Times New Roman"/>
        </w:rPr>
        <w:t>exclusive</w:t>
      </w:r>
      <w:r w:rsidR="000E0B18">
        <w:rPr>
          <w:rFonts w:eastAsia="Times New Roman"/>
        </w:rPr>
        <w:t xml:space="preserve"> </w:t>
      </w:r>
      <w:r w:rsidR="005B0CD6">
        <w:rPr>
          <w:rFonts w:eastAsia="Times New Roman"/>
        </w:rPr>
        <w:t xml:space="preserve">policy </w:t>
      </w:r>
      <w:r w:rsidR="000E0B18" w:rsidRPr="000E0B18">
        <w:rPr>
          <w:rFonts w:eastAsia="Times New Roman"/>
        </w:rPr>
        <w:t>faithfulness</w:t>
      </w:r>
      <w:r w:rsidR="000E0B18">
        <w:rPr>
          <w:rFonts w:eastAsia="Times New Roman"/>
        </w:rPr>
        <w:t xml:space="preserve"> to the security-centric approach.</w:t>
      </w:r>
      <w:r w:rsidR="00132DDB">
        <w:rPr>
          <w:rFonts w:eastAsia="Times New Roman"/>
        </w:rPr>
        <w:t xml:space="preserve"> Recognising this </w:t>
      </w:r>
      <w:r w:rsidR="003430EA">
        <w:rPr>
          <w:rFonts w:eastAsia="Times New Roman"/>
        </w:rPr>
        <w:t>distinction</w:t>
      </w:r>
      <w:r w:rsidR="00132DDB">
        <w:rPr>
          <w:rFonts w:eastAsia="Times New Roman"/>
        </w:rPr>
        <w:t xml:space="preserve"> is extremely important as it </w:t>
      </w:r>
      <w:r w:rsidR="0026378C">
        <w:rPr>
          <w:rFonts w:eastAsia="Times New Roman"/>
        </w:rPr>
        <w:t>demonstrates that invalidation is not necessarily expressed as</w:t>
      </w:r>
      <w:r w:rsidR="00132DDB">
        <w:rPr>
          <w:rFonts w:eastAsia="Times New Roman"/>
        </w:rPr>
        <w:t xml:space="preserve"> an outright rejection of a norm, </w:t>
      </w:r>
      <w:r w:rsidR="0026378C">
        <w:rPr>
          <w:rFonts w:eastAsia="Times New Roman"/>
        </w:rPr>
        <w:t xml:space="preserve">not least </w:t>
      </w:r>
      <w:r w:rsidR="00132DDB">
        <w:rPr>
          <w:rFonts w:eastAsia="Times New Roman"/>
        </w:rPr>
        <w:t xml:space="preserve">where doing so </w:t>
      </w:r>
      <w:r w:rsidR="0026378C">
        <w:rPr>
          <w:rFonts w:eastAsia="Times New Roman"/>
        </w:rPr>
        <w:t>could attract criticism. Normative r</w:t>
      </w:r>
      <w:r w:rsidR="00132DDB">
        <w:rPr>
          <w:rFonts w:eastAsia="Times New Roman"/>
        </w:rPr>
        <w:t xml:space="preserve">ejection is a complex and sophisticated process that makes that rejection palatable to an audience, to the extent it may even appear that the actor continues to uphold the ideals of the invalidated norm. </w:t>
      </w:r>
      <w:r w:rsidR="00DE3FB6">
        <w:rPr>
          <w:rFonts w:eastAsia="Times New Roman"/>
        </w:rPr>
        <w:t xml:space="preserve">Clever logic and persuasive speech can give an impression on the surface that invalidation has not taken place in terms of actual policy, when in fact this is the </w:t>
      </w:r>
      <w:r w:rsidR="0026378C">
        <w:rPr>
          <w:rFonts w:eastAsia="Times New Roman"/>
        </w:rPr>
        <w:t xml:space="preserve">very </w:t>
      </w:r>
      <w:r w:rsidR="00DE3FB6">
        <w:rPr>
          <w:rFonts w:eastAsia="Times New Roman"/>
        </w:rPr>
        <w:t xml:space="preserve">act that </w:t>
      </w:r>
      <w:r w:rsidR="0026378C">
        <w:rPr>
          <w:rFonts w:eastAsia="Times New Roman"/>
        </w:rPr>
        <w:t xml:space="preserve">a selected </w:t>
      </w:r>
      <w:r w:rsidR="00DE3FB6">
        <w:rPr>
          <w:rFonts w:eastAsia="Times New Roman"/>
        </w:rPr>
        <w:t xml:space="preserve">rhetoric is designed to cover up. </w:t>
      </w:r>
      <w:r w:rsidR="0026378C">
        <w:rPr>
          <w:rFonts w:eastAsia="Times New Roman"/>
        </w:rPr>
        <w:t>This situation</w:t>
      </w:r>
      <w:r w:rsidR="00DE3FB6">
        <w:rPr>
          <w:rFonts w:eastAsia="Times New Roman"/>
        </w:rPr>
        <w:t xml:space="preserve"> is why is it</w:t>
      </w:r>
      <w:r w:rsidR="0026378C">
        <w:rPr>
          <w:rFonts w:eastAsia="Times New Roman"/>
        </w:rPr>
        <w:t xml:space="preserve"> so</w:t>
      </w:r>
      <w:r w:rsidR="00DE3FB6">
        <w:rPr>
          <w:rFonts w:eastAsia="Times New Roman"/>
        </w:rPr>
        <w:t xml:space="preserve"> important to acknowledge the level of agency </w:t>
      </w:r>
      <w:r w:rsidR="0026378C">
        <w:rPr>
          <w:rFonts w:eastAsia="Times New Roman"/>
        </w:rPr>
        <w:t>that actors possess</w:t>
      </w:r>
      <w:r w:rsidR="00DE3FB6">
        <w:rPr>
          <w:rFonts w:eastAsia="Times New Roman"/>
        </w:rPr>
        <w:t xml:space="preserve"> in terms of rhetorical construction</w:t>
      </w:r>
      <w:r w:rsidR="0026378C">
        <w:rPr>
          <w:rFonts w:eastAsia="Times New Roman"/>
        </w:rPr>
        <w:t>,</w:t>
      </w:r>
      <w:r w:rsidR="00DE3FB6">
        <w:rPr>
          <w:rFonts w:eastAsia="Times New Roman"/>
        </w:rPr>
        <w:t xml:space="preserve"> as it is within this </w:t>
      </w:r>
      <w:r w:rsidR="0026378C">
        <w:rPr>
          <w:rFonts w:eastAsia="Times New Roman"/>
        </w:rPr>
        <w:t>agency-driven rhetorical space</w:t>
      </w:r>
      <w:r w:rsidR="00DE3FB6">
        <w:rPr>
          <w:rFonts w:eastAsia="Times New Roman"/>
        </w:rPr>
        <w:t xml:space="preserve"> that politically manipulative strategies are developed</w:t>
      </w:r>
      <w:r w:rsidR="00F744A5">
        <w:rPr>
          <w:rFonts w:eastAsia="Times New Roman"/>
        </w:rPr>
        <w:t xml:space="preserve"> and communicated to key audiences</w:t>
      </w:r>
      <w:r w:rsidR="00DE3FB6">
        <w:rPr>
          <w:rFonts w:eastAsia="Times New Roman"/>
        </w:rPr>
        <w:t>.</w:t>
      </w:r>
    </w:p>
    <w:p w14:paraId="6A400E48" w14:textId="77777777" w:rsidR="009B2923" w:rsidRDefault="009B2923" w:rsidP="003D7795">
      <w:pPr>
        <w:spacing w:line="480" w:lineRule="auto"/>
        <w:rPr>
          <w:rFonts w:eastAsia="Times New Roman"/>
        </w:rPr>
      </w:pPr>
    </w:p>
    <w:p w14:paraId="6276A88D" w14:textId="77777777" w:rsidR="00D76D18" w:rsidRDefault="00D76D18" w:rsidP="003D7795">
      <w:pPr>
        <w:spacing w:line="480" w:lineRule="auto"/>
        <w:rPr>
          <w:rFonts w:eastAsia="Times New Roman"/>
        </w:rPr>
      </w:pPr>
    </w:p>
    <w:p w14:paraId="3E54A416" w14:textId="77777777" w:rsidR="008749AD" w:rsidRDefault="008749AD" w:rsidP="003D7795">
      <w:pPr>
        <w:spacing w:line="480" w:lineRule="auto"/>
      </w:pPr>
    </w:p>
    <w:p w14:paraId="7D2D0B9A" w14:textId="0E9A8A41" w:rsidR="00D76D18" w:rsidRPr="00840482" w:rsidRDefault="00840482" w:rsidP="003D7795">
      <w:pPr>
        <w:spacing w:line="480" w:lineRule="auto"/>
        <w:rPr>
          <w:b/>
        </w:rPr>
      </w:pPr>
      <w:r w:rsidRPr="00840482">
        <w:rPr>
          <w:b/>
        </w:rPr>
        <w:t>Conclusion</w:t>
      </w:r>
    </w:p>
    <w:p w14:paraId="44230B35" w14:textId="77777777" w:rsidR="00D76D18" w:rsidRDefault="00D76D18" w:rsidP="003D7795">
      <w:pPr>
        <w:spacing w:line="480" w:lineRule="auto"/>
      </w:pPr>
    </w:p>
    <w:p w14:paraId="7F982724" w14:textId="77777777" w:rsidR="003604BE" w:rsidRDefault="003604BE" w:rsidP="003D7795">
      <w:pPr>
        <w:spacing w:line="480" w:lineRule="auto"/>
      </w:pPr>
    </w:p>
    <w:p w14:paraId="3ACD201C" w14:textId="7C381588" w:rsidR="00840482" w:rsidRPr="004C646B" w:rsidRDefault="004C646B" w:rsidP="003D7795">
      <w:pPr>
        <w:spacing w:line="480" w:lineRule="auto"/>
        <w:ind w:left="567"/>
      </w:pPr>
      <w:r w:rsidRPr="00D433F0">
        <w:t>The truth about the way the privacy and security debate has been presented is that it creates myths that hide serious and pressing difficulties</w:t>
      </w:r>
      <w:r w:rsidR="00C12030">
        <w:rPr>
          <w:rStyle w:val="FootnoteReference"/>
        </w:rPr>
        <w:footnoteReference w:id="112"/>
      </w:r>
      <w:r w:rsidR="00C12030">
        <w:t>.</w:t>
      </w:r>
    </w:p>
    <w:p w14:paraId="267E1E63" w14:textId="77777777" w:rsidR="00C12030" w:rsidRDefault="00C12030" w:rsidP="003D7795">
      <w:pPr>
        <w:spacing w:line="480" w:lineRule="auto"/>
      </w:pPr>
    </w:p>
    <w:p w14:paraId="3BF88A53" w14:textId="77777777" w:rsidR="00840482" w:rsidRDefault="00840482" w:rsidP="003D7795">
      <w:pPr>
        <w:spacing w:line="480" w:lineRule="auto"/>
      </w:pPr>
    </w:p>
    <w:p w14:paraId="23F59535" w14:textId="57AE3A72" w:rsidR="000965D7" w:rsidRDefault="00BA0A52" w:rsidP="003D7795">
      <w:pPr>
        <w:spacing w:line="480" w:lineRule="auto"/>
      </w:pPr>
      <w:r>
        <w:rPr>
          <w:rFonts w:eastAsia="Times New Roman"/>
        </w:rPr>
        <w:t>Coun</w:t>
      </w:r>
      <w:r w:rsidR="00635779">
        <w:rPr>
          <w:rFonts w:eastAsia="Times New Roman"/>
        </w:rPr>
        <w:t>ter-radicalisation (</w:t>
      </w:r>
      <w:r w:rsidR="00F66469">
        <w:rPr>
          <w:rFonts w:eastAsia="Times New Roman"/>
        </w:rPr>
        <w:t>as conventionally</w:t>
      </w:r>
      <w:r w:rsidR="00635779">
        <w:rPr>
          <w:rFonts w:eastAsia="Times New Roman"/>
        </w:rPr>
        <w:t xml:space="preserve"> constructed)</w:t>
      </w:r>
      <w:r>
        <w:rPr>
          <w:rFonts w:eastAsia="Times New Roman"/>
        </w:rPr>
        <w:t xml:space="preserve"> </w:t>
      </w:r>
      <w:r w:rsidR="00F66469">
        <w:rPr>
          <w:rFonts w:eastAsia="Times New Roman"/>
        </w:rPr>
        <w:t>involves a decis</w:t>
      </w:r>
      <w:r w:rsidR="008F5B78">
        <w:rPr>
          <w:rFonts w:eastAsia="Times New Roman"/>
        </w:rPr>
        <w:t xml:space="preserve">ion between security and </w:t>
      </w:r>
      <w:r w:rsidR="00817EFB">
        <w:rPr>
          <w:rFonts w:eastAsia="Times New Roman"/>
        </w:rPr>
        <w:t>rights</w:t>
      </w:r>
      <w:r w:rsidR="00F66469">
        <w:rPr>
          <w:rFonts w:eastAsia="Times New Roman"/>
        </w:rPr>
        <w:t xml:space="preserve">. </w:t>
      </w:r>
      <w:r w:rsidR="0017547C">
        <w:rPr>
          <w:rFonts w:eastAsia="Times New Roman"/>
        </w:rPr>
        <w:t xml:space="preserve">To the extent </w:t>
      </w:r>
      <w:r w:rsidR="00084466">
        <w:rPr>
          <w:rFonts w:eastAsia="Times New Roman"/>
        </w:rPr>
        <w:t>t</w:t>
      </w:r>
      <w:r w:rsidR="008F5B78">
        <w:rPr>
          <w:rFonts w:eastAsia="Times New Roman"/>
        </w:rPr>
        <w:t>hat actors</w:t>
      </w:r>
      <w:r w:rsidR="00B03E46">
        <w:rPr>
          <w:rFonts w:eastAsia="Times New Roman"/>
        </w:rPr>
        <w:t xml:space="preserve"> accept</w:t>
      </w:r>
      <w:r w:rsidR="0017547C">
        <w:rPr>
          <w:rFonts w:eastAsia="Times New Roman"/>
        </w:rPr>
        <w:t xml:space="preserve"> </w:t>
      </w:r>
      <w:r w:rsidR="00F66469">
        <w:rPr>
          <w:rFonts w:eastAsia="Times New Roman"/>
        </w:rPr>
        <w:t>these two</w:t>
      </w:r>
      <w:r w:rsidR="00D77BE9">
        <w:rPr>
          <w:rFonts w:eastAsia="Times New Roman"/>
        </w:rPr>
        <w:t xml:space="preserve"> policy-based</w:t>
      </w:r>
      <w:r w:rsidR="00F66469">
        <w:rPr>
          <w:rFonts w:eastAsia="Times New Roman"/>
        </w:rPr>
        <w:t xml:space="preserve"> norms</w:t>
      </w:r>
      <w:r w:rsidR="0017547C">
        <w:rPr>
          <w:rFonts w:eastAsia="Times New Roman"/>
        </w:rPr>
        <w:t xml:space="preserve"> lie in conflict with each other, implementing a </w:t>
      </w:r>
      <w:r w:rsidR="00431936">
        <w:rPr>
          <w:rFonts w:eastAsia="Times New Roman"/>
        </w:rPr>
        <w:t xml:space="preserve">counter-radicalisation </w:t>
      </w:r>
      <w:r w:rsidR="0017547C">
        <w:rPr>
          <w:rFonts w:eastAsia="Times New Roman"/>
        </w:rPr>
        <w:t>strategy that</w:t>
      </w:r>
      <w:r w:rsidR="00F66469">
        <w:rPr>
          <w:rFonts w:eastAsia="Times New Roman"/>
        </w:rPr>
        <w:t xml:space="preserve"> is necessarily intimate and invasive – in that it seeks to get into the very minds of the people it is aimed at – will necessitate</w:t>
      </w:r>
      <w:r w:rsidR="0017547C">
        <w:rPr>
          <w:rFonts w:eastAsia="Times New Roman"/>
        </w:rPr>
        <w:t xml:space="preserve"> </w:t>
      </w:r>
      <w:r w:rsidR="00F66469">
        <w:rPr>
          <w:rFonts w:eastAsia="Times New Roman"/>
        </w:rPr>
        <w:t>controversial choices</w:t>
      </w:r>
      <w:r w:rsidR="0017547C">
        <w:rPr>
          <w:rFonts w:eastAsia="Times New Roman"/>
        </w:rPr>
        <w:t xml:space="preserve"> </w:t>
      </w:r>
      <w:r w:rsidR="002957A6">
        <w:rPr>
          <w:rFonts w:eastAsia="Times New Roman"/>
        </w:rPr>
        <w:t xml:space="preserve">as to </w:t>
      </w:r>
      <w:r w:rsidR="0017547C">
        <w:rPr>
          <w:rFonts w:eastAsia="Times New Roman"/>
        </w:rPr>
        <w:t>how those people are treated.</w:t>
      </w:r>
      <w:r w:rsidR="00084466">
        <w:rPr>
          <w:rFonts w:eastAsia="Times New Roman"/>
        </w:rPr>
        <w:t xml:space="preserve"> Specifically, these decisions </w:t>
      </w:r>
      <w:r w:rsidR="002957A6">
        <w:rPr>
          <w:rFonts w:eastAsia="Times New Roman"/>
        </w:rPr>
        <w:t>concern</w:t>
      </w:r>
      <w:r w:rsidR="00084466">
        <w:rPr>
          <w:rFonts w:eastAsia="Times New Roman"/>
        </w:rPr>
        <w:t xml:space="preserve"> how far their </w:t>
      </w:r>
      <w:r w:rsidR="002957A6">
        <w:rPr>
          <w:rFonts w:eastAsia="Times New Roman"/>
        </w:rPr>
        <w:t>rights</w:t>
      </w:r>
      <w:r w:rsidR="00084466">
        <w:rPr>
          <w:rFonts w:eastAsia="Times New Roman"/>
        </w:rPr>
        <w:t xml:space="preserve"> will be respected in the face of</w:t>
      </w:r>
      <w:r w:rsidR="002957A6">
        <w:rPr>
          <w:rFonts w:eastAsia="Times New Roman"/>
        </w:rPr>
        <w:t xml:space="preserve"> the need to preclude</w:t>
      </w:r>
      <w:r w:rsidR="00F66469">
        <w:rPr>
          <w:rFonts w:eastAsia="Times New Roman"/>
        </w:rPr>
        <w:t xml:space="preserve"> terrorism. </w:t>
      </w:r>
      <w:r w:rsidR="003E75B8">
        <w:rPr>
          <w:rFonts w:eastAsia="Times New Roman"/>
        </w:rPr>
        <w:t xml:space="preserve">This </w:t>
      </w:r>
      <w:r w:rsidR="00F66469">
        <w:rPr>
          <w:rFonts w:eastAsia="Times New Roman"/>
        </w:rPr>
        <w:t>issue</w:t>
      </w:r>
      <w:r w:rsidR="003E75B8">
        <w:rPr>
          <w:rFonts w:eastAsia="Times New Roman"/>
        </w:rPr>
        <w:t xml:space="preserve"> is not just about the </w:t>
      </w:r>
      <w:r w:rsidR="00F66469">
        <w:rPr>
          <w:rFonts w:eastAsia="Times New Roman"/>
        </w:rPr>
        <w:t xml:space="preserve">actual </w:t>
      </w:r>
      <w:r w:rsidR="003E75B8">
        <w:rPr>
          <w:rFonts w:eastAsia="Times New Roman"/>
        </w:rPr>
        <w:t>deci</w:t>
      </w:r>
      <w:r w:rsidR="00431936">
        <w:rPr>
          <w:rFonts w:eastAsia="Times New Roman"/>
        </w:rPr>
        <w:t>sion, however, but</w:t>
      </w:r>
      <w:r w:rsidR="003E75B8">
        <w:rPr>
          <w:rFonts w:eastAsia="Times New Roman"/>
        </w:rPr>
        <w:t xml:space="preserve"> the rhetorical s</w:t>
      </w:r>
      <w:r w:rsidR="00431936">
        <w:rPr>
          <w:rFonts w:eastAsia="Times New Roman"/>
        </w:rPr>
        <w:t>trategy employed</w:t>
      </w:r>
      <w:r w:rsidR="002957A6">
        <w:rPr>
          <w:rFonts w:eastAsia="Times New Roman"/>
        </w:rPr>
        <w:t xml:space="preserve"> to communicate it</w:t>
      </w:r>
      <w:r w:rsidR="003E75B8">
        <w:rPr>
          <w:rFonts w:eastAsia="Times New Roman"/>
        </w:rPr>
        <w:t xml:space="preserve">. </w:t>
      </w:r>
      <w:r w:rsidR="00F66469">
        <w:t>Simply stating</w:t>
      </w:r>
      <w:r w:rsidR="003E75B8">
        <w:t xml:space="preserve"> that on</w:t>
      </w:r>
      <w:r w:rsidR="003C31F6">
        <w:t>e side</w:t>
      </w:r>
      <w:r w:rsidR="002957A6">
        <w:t xml:space="preserve"> of the security/rights</w:t>
      </w:r>
      <w:r w:rsidR="003E75B8">
        <w:t xml:space="preserve"> </w:t>
      </w:r>
      <w:r w:rsidR="007D7B8A">
        <w:t xml:space="preserve">policy </w:t>
      </w:r>
      <w:r w:rsidR="003E75B8">
        <w:t>debate does not apply in a specific case</w:t>
      </w:r>
      <w:r w:rsidR="00F66469">
        <w:t xml:space="preserve"> </w:t>
      </w:r>
      <w:r w:rsidR="003E75B8">
        <w:t>is insufficient for that</w:t>
      </w:r>
      <w:r w:rsidR="00A63F5D">
        <w:t xml:space="preserve"> rhetorical strategy to succeed. Instead, the rejected</w:t>
      </w:r>
      <w:r w:rsidR="0078791D">
        <w:t xml:space="preserve"> policy</w:t>
      </w:r>
      <w:r w:rsidR="00A63F5D">
        <w:t xml:space="preserve"> norm</w:t>
      </w:r>
      <w:r w:rsidR="003E75B8">
        <w:t xml:space="preserve"> must be contextually invalidated and neutralised as a consideration.</w:t>
      </w:r>
      <w:r w:rsidR="00093B75">
        <w:t xml:space="preserve"> This is the concept of normative invalidation.</w:t>
      </w:r>
      <w:r w:rsidR="000965D7">
        <w:t xml:space="preserve"> </w:t>
      </w:r>
      <w:r w:rsidR="00F542DB">
        <w:t>Explicitly, this model comprises</w:t>
      </w:r>
      <w:r w:rsidR="00FE163A">
        <w:t xml:space="preserve"> a deviation from existing understand</w:t>
      </w:r>
      <w:r w:rsidR="00F542DB">
        <w:t>ings of normative dilemma</w:t>
      </w:r>
      <w:r w:rsidR="00FE163A">
        <w:t xml:space="preserve"> (especially </w:t>
      </w:r>
      <w:r w:rsidR="00F90880">
        <w:t xml:space="preserve">where this related to </w:t>
      </w:r>
      <w:r w:rsidR="00FE163A">
        <w:t>security/rights) as a balancing of two different policy viewpoints</w:t>
      </w:r>
      <w:r w:rsidR="003A38D2">
        <w:t xml:space="preserve"> or of norms and self-interest</w:t>
      </w:r>
      <w:r w:rsidR="00FE163A">
        <w:t>. Actors do not pursue a rhe</w:t>
      </w:r>
      <w:r w:rsidR="00D32C8D">
        <w:t>torical ‘compromise,’ but</w:t>
      </w:r>
      <w:r w:rsidR="00FE163A">
        <w:t xml:space="preserve"> eliminate a norm from consideration in the minds of their audience. This is a much more extensive and aggressive strategy than previously assumed.</w:t>
      </w:r>
    </w:p>
    <w:p w14:paraId="381585A2" w14:textId="77777777" w:rsidR="000965D7" w:rsidRDefault="000965D7" w:rsidP="003D7795">
      <w:pPr>
        <w:spacing w:line="480" w:lineRule="auto"/>
      </w:pPr>
    </w:p>
    <w:p w14:paraId="7FB20C17" w14:textId="4B29F4F5" w:rsidR="00250AFB" w:rsidRDefault="00093B75" w:rsidP="003D7795">
      <w:pPr>
        <w:spacing w:line="480" w:lineRule="auto"/>
      </w:pPr>
      <w:r>
        <w:t>Normative invalidation</w:t>
      </w:r>
      <w:r w:rsidR="003E75B8">
        <w:t xml:space="preserve"> is evident </w:t>
      </w:r>
      <w:r w:rsidR="00A63F5D">
        <w:t>in</w:t>
      </w:r>
      <w:r w:rsidR="003E75B8">
        <w:t xml:space="preserve"> May’s rhetoric on </w:t>
      </w:r>
      <w:r w:rsidR="002957A6">
        <w:t xml:space="preserve">the </w:t>
      </w:r>
      <w:r w:rsidR="00A63F5D">
        <w:t>Prevent</w:t>
      </w:r>
      <w:r w:rsidR="002957A6">
        <w:t xml:space="preserve"> Strategy</w:t>
      </w:r>
      <w:r w:rsidR="00A63F5D">
        <w:t>. May has repeatedly employed strategic narratives</w:t>
      </w:r>
      <w:r w:rsidR="003E75B8">
        <w:t xml:space="preserve"> to nullify</w:t>
      </w:r>
      <w:r w:rsidR="00022197">
        <w:t xml:space="preserve"> the claim to</w:t>
      </w:r>
      <w:r w:rsidR="003E75B8">
        <w:t xml:space="preserve"> righ</w:t>
      </w:r>
      <w:r w:rsidR="008A3712">
        <w:t>ts</w:t>
      </w:r>
      <w:r w:rsidR="00A63F5D">
        <w:t xml:space="preserve"> as a rhetorical means</w:t>
      </w:r>
      <w:r w:rsidR="00022197">
        <w:t xml:space="preserve"> of upholding a </w:t>
      </w:r>
      <w:proofErr w:type="spellStart"/>
      <w:r w:rsidR="00022197">
        <w:t>hardline</w:t>
      </w:r>
      <w:proofErr w:type="spellEnd"/>
      <w:r w:rsidR="00022197">
        <w:t xml:space="preserve"> security-centric</w:t>
      </w:r>
      <w:r w:rsidR="003E75B8">
        <w:t xml:space="preserve"> approach. </w:t>
      </w:r>
      <w:r w:rsidR="00431452">
        <w:t>Critically,</w:t>
      </w:r>
      <w:r w:rsidR="00022197">
        <w:t xml:space="preserve"> this article does not</w:t>
      </w:r>
      <w:r w:rsidR="00431452">
        <w:t xml:space="preserve"> make any judgement on the appropriate</w:t>
      </w:r>
      <w:r w:rsidR="00022197">
        <w:t>ness of that policy. Instead, this study is</w:t>
      </w:r>
      <w:r w:rsidR="00431452">
        <w:t xml:space="preserve"> concerned </w:t>
      </w:r>
      <w:r w:rsidR="00B84CF5">
        <w:t>with its</w:t>
      </w:r>
      <w:r w:rsidR="00431452">
        <w:t xml:space="preserve"> rhetor</w:t>
      </w:r>
      <w:r w:rsidR="00B84CF5">
        <w:t>ical construction</w:t>
      </w:r>
      <w:r w:rsidR="00431452">
        <w:t>, specifically</w:t>
      </w:r>
      <w:r w:rsidR="00B84CF5">
        <w:t xml:space="preserve"> the most effective means by which to sell it. May achieves this</w:t>
      </w:r>
      <w:r w:rsidR="003E75B8">
        <w:t xml:space="preserve"> in a var</w:t>
      </w:r>
      <w:r w:rsidR="00A63F5D">
        <w:t>iety of ways –</w:t>
      </w:r>
      <w:r w:rsidR="003E75B8">
        <w:t xml:space="preserve"> from outright denial that rights have been violated, to the qualified construction of rights as </w:t>
      </w:r>
      <w:r w:rsidR="00A63F5D">
        <w:t>relevant</w:t>
      </w:r>
      <w:r w:rsidR="003E75B8">
        <w:t xml:space="preserve"> only</w:t>
      </w:r>
      <w:r w:rsidR="00A63F5D">
        <w:t xml:space="preserve"> to the preservation of</w:t>
      </w:r>
      <w:r w:rsidR="003E75B8">
        <w:t xml:space="preserve"> </w:t>
      </w:r>
      <w:r w:rsidR="00A63F5D">
        <w:t>‘</w:t>
      </w:r>
      <w:r w:rsidR="003E75B8">
        <w:t>British</w:t>
      </w:r>
      <w:r w:rsidR="00A63F5D">
        <w:t xml:space="preserve"> values.’ Whatever the tactic, the intended result is the same: the invalidation of a competing norm in or</w:t>
      </w:r>
      <w:r w:rsidR="002957A6">
        <w:t xml:space="preserve">der to ensure the success of a political </w:t>
      </w:r>
      <w:r w:rsidR="00A63F5D">
        <w:t>strategy</w:t>
      </w:r>
      <w:r w:rsidR="002957A6">
        <w:t xml:space="preserve"> based on the other</w:t>
      </w:r>
      <w:r w:rsidR="00A63F5D">
        <w:t xml:space="preserve">. </w:t>
      </w:r>
      <w:r w:rsidR="003B6590">
        <w:t>Rhetoric removes the potential criticism against a propos</w:t>
      </w:r>
      <w:r w:rsidR="0046402E">
        <w:t>ed course of action</w:t>
      </w:r>
      <w:r w:rsidR="003B6590">
        <w:t xml:space="preserve"> and makes policy as appeal</w:t>
      </w:r>
      <w:r w:rsidR="0046402E">
        <w:t xml:space="preserve">ing to an audience as possible. </w:t>
      </w:r>
      <w:r w:rsidR="003B6590">
        <w:t xml:space="preserve">The way in which invalidation is constructed in this way – that is, it is presented in ways designed to shape an audience’s thinking – also </w:t>
      </w:r>
      <w:r w:rsidR="003E75B8">
        <w:t>demonstrate</w:t>
      </w:r>
      <w:r w:rsidR="00B84CF5">
        <w:t>s</w:t>
      </w:r>
      <w:r w:rsidR="003E75B8">
        <w:t xml:space="preserve"> that a</w:t>
      </w:r>
      <w:r w:rsidR="003E75B8" w:rsidRPr="00BE1403">
        <w:t>ctors a</w:t>
      </w:r>
      <w:r w:rsidR="003E75B8">
        <w:t xml:space="preserve">re not </w:t>
      </w:r>
      <w:r w:rsidR="00A63F5D">
        <w:t xml:space="preserve">entirely constrained by </w:t>
      </w:r>
      <w:r w:rsidR="003E75B8">
        <w:t xml:space="preserve">the </w:t>
      </w:r>
      <w:r w:rsidR="00B84CF5">
        <w:t xml:space="preserve">policy </w:t>
      </w:r>
      <w:r w:rsidR="003E75B8">
        <w:t>norms</w:t>
      </w:r>
      <w:r w:rsidR="003E75B8" w:rsidRPr="00BE1403">
        <w:t xml:space="preserve"> ch</w:t>
      </w:r>
      <w:r w:rsidR="00A63F5D">
        <w:t>aracterising their political environment</w:t>
      </w:r>
      <w:r w:rsidR="003E75B8">
        <w:t xml:space="preserve">. </w:t>
      </w:r>
      <w:r w:rsidR="004C1536">
        <w:t>Norms do dictate actor behaviour, including the rhetoric they employ to</w:t>
      </w:r>
      <w:r w:rsidR="007B28E8">
        <w:t xml:space="preserve"> communicate that behaviour. Yet</w:t>
      </w:r>
      <w:r w:rsidR="004C1536">
        <w:t xml:space="preserve"> this is not the full story. Actors are also </w:t>
      </w:r>
      <w:r w:rsidR="003E75B8" w:rsidRPr="00BE1403">
        <w:t>a</w:t>
      </w:r>
      <w:r w:rsidR="003E75B8">
        <w:t xml:space="preserve">gency-driven agents, who can </w:t>
      </w:r>
      <w:r w:rsidR="004C1536">
        <w:t>exploit pre-exi</w:t>
      </w:r>
      <w:r w:rsidR="007B28E8">
        <w:t>s</w:t>
      </w:r>
      <w:r w:rsidR="004C1536">
        <w:t xml:space="preserve">ting norms for their own interests. </w:t>
      </w:r>
      <w:r w:rsidR="000C23C3">
        <w:t>Crucially, in constructing this model, this article should not be considered as justifying or sanctioning the use of language in this way. In explaining why May has said what she has this is no way a signal of support either of the content of that narrative or the idea that policymakers should exploit norms and language. The conclusion, however, remains the same. Actors</w:t>
      </w:r>
      <w:r w:rsidR="000C23C3" w:rsidRPr="00BE1403">
        <w:t xml:space="preserve"> may play by the rules, but this does not preclude that they can play with the rules also.</w:t>
      </w:r>
    </w:p>
    <w:p w14:paraId="2FE04EDF" w14:textId="77777777" w:rsidR="00A50EB9" w:rsidRPr="00D433F0" w:rsidRDefault="00A50EB9" w:rsidP="003D7795">
      <w:pPr>
        <w:spacing w:line="480" w:lineRule="auto"/>
      </w:pPr>
    </w:p>
    <w:sectPr w:rsidR="00A50EB9" w:rsidRPr="00D433F0" w:rsidSect="005C564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EA4C9" w14:textId="77777777" w:rsidR="002F5A1C" w:rsidRDefault="002F5A1C" w:rsidP="006D31AF">
      <w:r>
        <w:separator/>
      </w:r>
    </w:p>
  </w:endnote>
  <w:endnote w:type="continuationSeparator" w:id="0">
    <w:p w14:paraId="4FF3222E" w14:textId="77777777" w:rsidR="002F5A1C" w:rsidRDefault="002F5A1C" w:rsidP="006D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New Caledonia">
    <w:altName w:val="Times New Roman"/>
    <w:panose1 w:val="00000000000000000000"/>
    <w:charset w:val="4D"/>
    <w:family w:val="roman"/>
    <w:notTrueType/>
    <w:pitch w:val="default"/>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26B28" w14:textId="77777777" w:rsidR="002F5A1C" w:rsidRDefault="002F5A1C" w:rsidP="006D31AF">
      <w:r>
        <w:separator/>
      </w:r>
    </w:p>
  </w:footnote>
  <w:footnote w:type="continuationSeparator" w:id="0">
    <w:p w14:paraId="2411B5BB" w14:textId="77777777" w:rsidR="002F5A1C" w:rsidRDefault="002F5A1C" w:rsidP="006D31AF">
      <w:r>
        <w:continuationSeparator/>
      </w:r>
    </w:p>
  </w:footnote>
  <w:footnote w:id="1">
    <w:p w14:paraId="724D2890" w14:textId="204F8490" w:rsidR="002F5A1C" w:rsidRPr="00236BEC" w:rsidRDefault="002F5A1C" w:rsidP="008071E6">
      <w:pPr>
        <w:pStyle w:val="FootnoteText"/>
        <w:rPr>
          <w:lang w:val="en-US"/>
        </w:rPr>
      </w:pPr>
      <w:r>
        <w:rPr>
          <w:rStyle w:val="FootnoteReference"/>
        </w:rPr>
        <w:footnoteRef/>
      </w:r>
      <w:r>
        <w:t xml:space="preserve"> </w:t>
      </w:r>
      <w:r>
        <w:rPr>
          <w:lang w:val="en-US"/>
        </w:rPr>
        <w:t xml:space="preserve">Ben Quinn, ‘Nursery “raised fears of </w:t>
      </w:r>
      <w:proofErr w:type="spellStart"/>
      <w:r>
        <w:rPr>
          <w:lang w:val="en-US"/>
        </w:rPr>
        <w:t>radicalisation</w:t>
      </w:r>
      <w:proofErr w:type="spellEnd"/>
      <w:r>
        <w:rPr>
          <w:lang w:val="en-US"/>
        </w:rPr>
        <w:t xml:space="preserve"> over boy’s cucumber drawing”’, </w:t>
      </w:r>
      <w:r>
        <w:rPr>
          <w:i/>
          <w:lang w:val="en-US"/>
        </w:rPr>
        <w:t>The Guardian</w:t>
      </w:r>
      <w:r>
        <w:rPr>
          <w:lang w:val="en-US"/>
        </w:rPr>
        <w:t xml:space="preserve"> (March 11 2016), available at:</w:t>
      </w:r>
      <w:r w:rsidRPr="00236BEC">
        <w:t xml:space="preserve"> </w:t>
      </w:r>
      <w:r>
        <w:t>{</w:t>
      </w:r>
      <w:r w:rsidRPr="00CE4B8A">
        <w:rPr>
          <w:lang w:val="en-US"/>
        </w:rPr>
        <w:t>https://www.theguardian.com/uk-news/2016/mar/11/nursery-radicalisation-fears-boys-cucumber-drawing-cooker-bomb</w:t>
      </w:r>
      <w:r>
        <w:rPr>
          <w:lang w:val="en-US"/>
        </w:rPr>
        <w:t>} accessed 16 May 2018.</w:t>
      </w:r>
    </w:p>
  </w:footnote>
  <w:footnote w:id="2">
    <w:p w14:paraId="05E1EBE9" w14:textId="0ABC7019" w:rsidR="002F5A1C" w:rsidRPr="005D7F70" w:rsidRDefault="002F5A1C" w:rsidP="00C002FB">
      <w:pPr>
        <w:rPr>
          <w:sz w:val="20"/>
          <w:szCs w:val="20"/>
          <w:lang w:val="en-US"/>
        </w:rPr>
      </w:pPr>
      <w:r w:rsidRPr="005D7F70">
        <w:rPr>
          <w:rStyle w:val="FootnoteReference"/>
          <w:sz w:val="20"/>
          <w:szCs w:val="20"/>
        </w:rPr>
        <w:footnoteRef/>
      </w:r>
      <w:r w:rsidRPr="005D7F70">
        <w:rPr>
          <w:sz w:val="20"/>
          <w:szCs w:val="20"/>
        </w:rPr>
        <w:t xml:space="preserve"> </w:t>
      </w:r>
      <w:r>
        <w:rPr>
          <w:sz w:val="20"/>
          <w:szCs w:val="20"/>
        </w:rPr>
        <w:t xml:space="preserve">Martha </w:t>
      </w:r>
      <w:proofErr w:type="spellStart"/>
      <w:r>
        <w:rPr>
          <w:sz w:val="20"/>
          <w:szCs w:val="20"/>
          <w:lang w:val="en-US"/>
        </w:rPr>
        <w:t>Finnemore</w:t>
      </w:r>
      <w:proofErr w:type="spellEnd"/>
      <w:r>
        <w:rPr>
          <w:sz w:val="20"/>
          <w:szCs w:val="20"/>
          <w:lang w:val="en-US"/>
        </w:rPr>
        <w:t>,</w:t>
      </w:r>
      <w:r w:rsidRPr="005D7F70">
        <w:rPr>
          <w:sz w:val="20"/>
          <w:szCs w:val="20"/>
          <w:lang w:val="en-US"/>
        </w:rPr>
        <w:t xml:space="preserve"> </w:t>
      </w:r>
      <w:r>
        <w:rPr>
          <w:sz w:val="20"/>
          <w:szCs w:val="20"/>
          <w:lang w:val="en-US"/>
        </w:rPr>
        <w:t>‘</w:t>
      </w:r>
      <w:r w:rsidRPr="005D7F70">
        <w:rPr>
          <w:sz w:val="20"/>
          <w:szCs w:val="20"/>
          <w:lang w:val="en-US"/>
        </w:rPr>
        <w:t>Paradoxes</w:t>
      </w:r>
      <w:r>
        <w:rPr>
          <w:sz w:val="20"/>
          <w:szCs w:val="20"/>
          <w:lang w:val="en-US"/>
        </w:rPr>
        <w:t xml:space="preserve"> in Humanitarian Intervention’, </w:t>
      </w:r>
      <w:proofErr w:type="spellStart"/>
      <w:r>
        <w:rPr>
          <w:sz w:val="20"/>
          <w:szCs w:val="20"/>
          <w:lang w:val="en-US"/>
        </w:rPr>
        <w:t>i</w:t>
      </w:r>
      <w:proofErr w:type="spellEnd"/>
      <w:r>
        <w:rPr>
          <w:sz w:val="20"/>
          <w:szCs w:val="20"/>
        </w:rPr>
        <w:t>n Richard Price</w:t>
      </w:r>
      <w:r w:rsidRPr="005D7F70">
        <w:rPr>
          <w:sz w:val="20"/>
          <w:szCs w:val="20"/>
        </w:rPr>
        <w:t xml:space="preserve"> (ed</w:t>
      </w:r>
      <w:r>
        <w:rPr>
          <w:sz w:val="20"/>
          <w:szCs w:val="20"/>
        </w:rPr>
        <w:t>.</w:t>
      </w:r>
      <w:r w:rsidRPr="005D7F70">
        <w:rPr>
          <w:sz w:val="20"/>
          <w:szCs w:val="20"/>
        </w:rPr>
        <w:t xml:space="preserve">) </w:t>
      </w:r>
      <w:r w:rsidRPr="005D7F70">
        <w:rPr>
          <w:i/>
          <w:sz w:val="20"/>
          <w:szCs w:val="20"/>
        </w:rPr>
        <w:t>Moral Limit and World Politics</w:t>
      </w:r>
      <w:r>
        <w:rPr>
          <w:sz w:val="20"/>
          <w:szCs w:val="20"/>
        </w:rPr>
        <w:t xml:space="preserve"> (</w:t>
      </w:r>
      <w:r w:rsidRPr="005D7F70">
        <w:rPr>
          <w:sz w:val="20"/>
          <w:szCs w:val="20"/>
        </w:rPr>
        <w:t>Cambri</w:t>
      </w:r>
      <w:r>
        <w:rPr>
          <w:sz w:val="20"/>
          <w:szCs w:val="20"/>
        </w:rPr>
        <w:t xml:space="preserve">dge: Cambridge University Press: 2008), </w:t>
      </w:r>
      <w:r w:rsidRPr="005D7F70">
        <w:rPr>
          <w:sz w:val="20"/>
          <w:szCs w:val="20"/>
        </w:rPr>
        <w:t>p. 198.</w:t>
      </w:r>
    </w:p>
  </w:footnote>
  <w:footnote w:id="3">
    <w:p w14:paraId="2F3C377F" w14:textId="39B7AC89" w:rsidR="002F5A1C" w:rsidRPr="00A51DB6" w:rsidRDefault="002F5A1C" w:rsidP="00A51DB6">
      <w:pPr>
        <w:rPr>
          <w:sz w:val="20"/>
          <w:szCs w:val="20"/>
        </w:rPr>
      </w:pPr>
      <w:r w:rsidRPr="00A51DB6">
        <w:rPr>
          <w:rStyle w:val="FootnoteReference"/>
          <w:sz w:val="20"/>
          <w:szCs w:val="20"/>
        </w:rPr>
        <w:footnoteRef/>
      </w:r>
      <w:r w:rsidRPr="00A51DB6">
        <w:rPr>
          <w:sz w:val="20"/>
          <w:szCs w:val="20"/>
        </w:rPr>
        <w:t xml:space="preserve"> To clarify,</w:t>
      </w:r>
      <w:r>
        <w:rPr>
          <w:sz w:val="20"/>
          <w:szCs w:val="20"/>
        </w:rPr>
        <w:t xml:space="preserve"> this article is concerned </w:t>
      </w:r>
      <w:r w:rsidRPr="00A51DB6">
        <w:rPr>
          <w:sz w:val="20"/>
          <w:szCs w:val="20"/>
        </w:rPr>
        <w:t>with the rhetorical construction of Preve</w:t>
      </w:r>
      <w:r>
        <w:rPr>
          <w:sz w:val="20"/>
          <w:szCs w:val="20"/>
        </w:rPr>
        <w:t xml:space="preserve">nt; it is not intended as a judgement on </w:t>
      </w:r>
      <w:r w:rsidRPr="00A51DB6">
        <w:rPr>
          <w:sz w:val="20"/>
          <w:szCs w:val="20"/>
        </w:rPr>
        <w:t xml:space="preserve">the </w:t>
      </w:r>
      <w:r>
        <w:rPr>
          <w:sz w:val="20"/>
          <w:szCs w:val="20"/>
        </w:rPr>
        <w:t>appropriateness of that</w:t>
      </w:r>
      <w:r w:rsidRPr="00A51DB6">
        <w:rPr>
          <w:sz w:val="20"/>
          <w:szCs w:val="20"/>
        </w:rPr>
        <w:t xml:space="preserve"> policy</w:t>
      </w:r>
      <w:r>
        <w:rPr>
          <w:sz w:val="20"/>
          <w:szCs w:val="20"/>
        </w:rPr>
        <w:t xml:space="preserve">, </w:t>
      </w:r>
      <w:r w:rsidRPr="00A51DB6">
        <w:rPr>
          <w:sz w:val="20"/>
          <w:szCs w:val="20"/>
        </w:rPr>
        <w:t xml:space="preserve">although it is acknowledged that this </w:t>
      </w:r>
      <w:r>
        <w:rPr>
          <w:sz w:val="20"/>
          <w:szCs w:val="20"/>
        </w:rPr>
        <w:t>policy</w:t>
      </w:r>
      <w:r w:rsidRPr="00A51DB6">
        <w:rPr>
          <w:sz w:val="20"/>
          <w:szCs w:val="20"/>
        </w:rPr>
        <w:t xml:space="preserve"> is highly controversial and subject to intense criticism.</w:t>
      </w:r>
      <w:r>
        <w:rPr>
          <w:sz w:val="20"/>
          <w:szCs w:val="20"/>
        </w:rPr>
        <w:t xml:space="preserve"> Furthermore, this is not a discussion that relates to judging the appropriateness of policies on other issues of security/rights within UK policy, such as asylum seekers.</w:t>
      </w:r>
    </w:p>
  </w:footnote>
  <w:footnote w:id="4">
    <w:p w14:paraId="13F32206" w14:textId="22A6DBA6" w:rsidR="002F5A1C" w:rsidRPr="005D7F70" w:rsidRDefault="002F5A1C" w:rsidP="002E69AC">
      <w:pPr>
        <w:rPr>
          <w:sz w:val="20"/>
          <w:szCs w:val="20"/>
        </w:rPr>
      </w:pPr>
      <w:r w:rsidRPr="005D7F70">
        <w:rPr>
          <w:rStyle w:val="FootnoteReference"/>
          <w:sz w:val="20"/>
          <w:szCs w:val="20"/>
        </w:rPr>
        <w:footnoteRef/>
      </w:r>
      <w:r w:rsidRPr="005D7F70">
        <w:rPr>
          <w:sz w:val="20"/>
          <w:szCs w:val="20"/>
        </w:rPr>
        <w:t xml:space="preserve"> </w:t>
      </w:r>
      <w:r>
        <w:rPr>
          <w:sz w:val="20"/>
          <w:szCs w:val="20"/>
        </w:rPr>
        <w:t xml:space="preserve">Tim </w:t>
      </w:r>
      <w:proofErr w:type="spellStart"/>
      <w:r>
        <w:rPr>
          <w:sz w:val="20"/>
          <w:szCs w:val="20"/>
        </w:rPr>
        <w:t>Farron</w:t>
      </w:r>
      <w:proofErr w:type="spellEnd"/>
      <w:r>
        <w:rPr>
          <w:sz w:val="20"/>
          <w:szCs w:val="20"/>
        </w:rPr>
        <w:t>, ‘</w:t>
      </w:r>
      <w:r w:rsidRPr="005D7F70">
        <w:rPr>
          <w:sz w:val="20"/>
          <w:szCs w:val="20"/>
        </w:rPr>
        <w:t>Theresa May can’t be trusted to get it ri</w:t>
      </w:r>
      <w:r>
        <w:rPr>
          <w:sz w:val="20"/>
          <w:szCs w:val="20"/>
        </w:rPr>
        <w:t>ght on counter-terrorism policy’,</w:t>
      </w:r>
      <w:r w:rsidRPr="005D7F70">
        <w:rPr>
          <w:sz w:val="20"/>
          <w:szCs w:val="20"/>
        </w:rPr>
        <w:t xml:space="preserve"> </w:t>
      </w:r>
      <w:r w:rsidRPr="005D7F70">
        <w:rPr>
          <w:i/>
          <w:sz w:val="20"/>
          <w:szCs w:val="20"/>
        </w:rPr>
        <w:t>The Guardian</w:t>
      </w:r>
      <w:r w:rsidRPr="005D7F70">
        <w:rPr>
          <w:sz w:val="20"/>
          <w:szCs w:val="20"/>
        </w:rPr>
        <w:t xml:space="preserve"> </w:t>
      </w:r>
      <w:r>
        <w:rPr>
          <w:sz w:val="20"/>
          <w:szCs w:val="20"/>
        </w:rPr>
        <w:t>(</w:t>
      </w:r>
      <w:r w:rsidRPr="005D7F70">
        <w:rPr>
          <w:sz w:val="20"/>
          <w:szCs w:val="20"/>
        </w:rPr>
        <w:t>5 June</w:t>
      </w:r>
      <w:r>
        <w:rPr>
          <w:sz w:val="20"/>
          <w:szCs w:val="20"/>
        </w:rPr>
        <w:t xml:space="preserve"> 2017), available at</w:t>
      </w:r>
      <w:r w:rsidRPr="005D7F70">
        <w:rPr>
          <w:sz w:val="20"/>
          <w:szCs w:val="20"/>
        </w:rPr>
        <w:t xml:space="preserve">: </w:t>
      </w:r>
      <w:r>
        <w:rPr>
          <w:sz w:val="20"/>
          <w:szCs w:val="20"/>
        </w:rPr>
        <w:t>{</w:t>
      </w:r>
      <w:r w:rsidRPr="00CE4B8A">
        <w:rPr>
          <w:sz w:val="20"/>
          <w:szCs w:val="20"/>
        </w:rPr>
        <w:t>https://www.theguardian.com/commentisfree/2017/jun/05/theresa-may-trusted-counter-terrorism-policy</w:t>
      </w:r>
      <w:r>
        <w:rPr>
          <w:sz w:val="20"/>
          <w:szCs w:val="20"/>
        </w:rPr>
        <w:t xml:space="preserve">} </w:t>
      </w:r>
      <w:r w:rsidRPr="00653AA3">
        <w:rPr>
          <w:sz w:val="20"/>
          <w:szCs w:val="20"/>
          <w:lang w:val="en-US"/>
        </w:rPr>
        <w:t>accessed 16 May 2018</w:t>
      </w:r>
      <w:r w:rsidRPr="00653AA3">
        <w:rPr>
          <w:sz w:val="20"/>
          <w:szCs w:val="20"/>
        </w:rPr>
        <w:t>;</w:t>
      </w:r>
      <w:r w:rsidRPr="005D7F70">
        <w:rPr>
          <w:sz w:val="20"/>
          <w:szCs w:val="20"/>
        </w:rPr>
        <w:t xml:space="preserve"> </w:t>
      </w:r>
      <w:r>
        <w:rPr>
          <w:sz w:val="20"/>
          <w:szCs w:val="20"/>
        </w:rPr>
        <w:t>Andrew Grice, ‘</w:t>
      </w:r>
      <w:r w:rsidRPr="005D7F70">
        <w:rPr>
          <w:sz w:val="20"/>
          <w:szCs w:val="20"/>
        </w:rPr>
        <w:t>Theresa May cuts a reassuring figure – but her anti-terrorism plans for the f</w:t>
      </w:r>
      <w:r>
        <w:rPr>
          <w:sz w:val="20"/>
          <w:szCs w:val="20"/>
        </w:rPr>
        <w:t>uture leave a lot to be desired’,</w:t>
      </w:r>
      <w:r w:rsidRPr="005D7F70">
        <w:rPr>
          <w:sz w:val="20"/>
          <w:szCs w:val="20"/>
        </w:rPr>
        <w:t xml:space="preserve"> </w:t>
      </w:r>
      <w:r w:rsidRPr="005D7F70">
        <w:rPr>
          <w:i/>
          <w:sz w:val="20"/>
          <w:szCs w:val="20"/>
        </w:rPr>
        <w:t>The Independent</w:t>
      </w:r>
      <w:r>
        <w:rPr>
          <w:sz w:val="20"/>
          <w:szCs w:val="20"/>
        </w:rPr>
        <w:t xml:space="preserve"> (</w:t>
      </w:r>
      <w:r w:rsidRPr="005D7F70">
        <w:rPr>
          <w:sz w:val="20"/>
          <w:szCs w:val="20"/>
        </w:rPr>
        <w:t>24 May</w:t>
      </w:r>
      <w:r>
        <w:rPr>
          <w:sz w:val="20"/>
          <w:szCs w:val="20"/>
        </w:rPr>
        <w:t xml:space="preserve"> 2017), available at</w:t>
      </w:r>
      <w:r w:rsidRPr="005D7F70">
        <w:rPr>
          <w:sz w:val="20"/>
          <w:szCs w:val="20"/>
        </w:rPr>
        <w:t xml:space="preserve">: </w:t>
      </w:r>
      <w:r>
        <w:rPr>
          <w:sz w:val="20"/>
          <w:szCs w:val="20"/>
        </w:rPr>
        <w:t>{</w:t>
      </w:r>
      <w:r w:rsidRPr="00CE4B8A">
        <w:rPr>
          <w:sz w:val="20"/>
          <w:szCs w:val="20"/>
        </w:rPr>
        <w:t>http://www.independent.co.uk/voices/manchester-attack-salman-abedi-terrorism-prevent-muslims-theresa-may-response-wrong-a7753496.html</w:t>
      </w:r>
      <w:r>
        <w:rPr>
          <w:sz w:val="20"/>
          <w:szCs w:val="20"/>
        </w:rPr>
        <w:t xml:space="preserve">} </w:t>
      </w:r>
      <w:r w:rsidRPr="00653AA3">
        <w:rPr>
          <w:sz w:val="20"/>
          <w:szCs w:val="20"/>
          <w:lang w:val="en-US"/>
        </w:rPr>
        <w:t>accessed 16 May 2018</w:t>
      </w:r>
      <w:r w:rsidRPr="005D7F70">
        <w:rPr>
          <w:sz w:val="20"/>
          <w:szCs w:val="20"/>
        </w:rPr>
        <w:t xml:space="preserve">; </w:t>
      </w:r>
      <w:r>
        <w:rPr>
          <w:sz w:val="20"/>
          <w:szCs w:val="20"/>
        </w:rPr>
        <w:t xml:space="preserve">Jack </w:t>
      </w:r>
      <w:proofErr w:type="spellStart"/>
      <w:r>
        <w:rPr>
          <w:sz w:val="20"/>
          <w:szCs w:val="20"/>
        </w:rPr>
        <w:t>Maidment</w:t>
      </w:r>
      <w:proofErr w:type="spellEnd"/>
      <w:r>
        <w:rPr>
          <w:sz w:val="20"/>
          <w:szCs w:val="20"/>
        </w:rPr>
        <w:t>, ‘</w:t>
      </w:r>
      <w:r w:rsidRPr="005D7F70">
        <w:rPr>
          <w:sz w:val="20"/>
          <w:szCs w:val="20"/>
        </w:rPr>
        <w:t xml:space="preserve">Government’s anti-terror Prevent programme must be strengthened after Manchester attack, says </w:t>
      </w:r>
      <w:r>
        <w:rPr>
          <w:sz w:val="20"/>
          <w:szCs w:val="20"/>
        </w:rPr>
        <w:t>former terror watchdog’,</w:t>
      </w:r>
      <w:r w:rsidRPr="005D7F70">
        <w:rPr>
          <w:sz w:val="20"/>
          <w:szCs w:val="20"/>
        </w:rPr>
        <w:t xml:space="preserve"> </w:t>
      </w:r>
      <w:r w:rsidRPr="005D7F70">
        <w:rPr>
          <w:i/>
          <w:sz w:val="20"/>
          <w:szCs w:val="20"/>
        </w:rPr>
        <w:t>The Telegraph</w:t>
      </w:r>
      <w:r w:rsidRPr="005D7F70">
        <w:rPr>
          <w:sz w:val="20"/>
          <w:szCs w:val="20"/>
        </w:rPr>
        <w:t xml:space="preserve"> </w:t>
      </w:r>
      <w:r>
        <w:rPr>
          <w:sz w:val="20"/>
          <w:szCs w:val="20"/>
        </w:rPr>
        <w:t>(</w:t>
      </w:r>
      <w:r w:rsidRPr="005D7F70">
        <w:rPr>
          <w:sz w:val="20"/>
          <w:szCs w:val="20"/>
        </w:rPr>
        <w:t>24 May</w:t>
      </w:r>
      <w:r>
        <w:rPr>
          <w:sz w:val="20"/>
          <w:szCs w:val="20"/>
        </w:rPr>
        <w:t xml:space="preserve"> 2017), available at</w:t>
      </w:r>
      <w:r w:rsidRPr="005D7F70">
        <w:rPr>
          <w:sz w:val="20"/>
          <w:szCs w:val="20"/>
        </w:rPr>
        <w:t xml:space="preserve">: </w:t>
      </w:r>
      <w:r>
        <w:rPr>
          <w:sz w:val="20"/>
          <w:szCs w:val="20"/>
        </w:rPr>
        <w:t>{</w:t>
      </w:r>
      <w:r w:rsidRPr="00CE4B8A">
        <w:rPr>
          <w:sz w:val="20"/>
          <w:szCs w:val="20"/>
        </w:rPr>
        <w:t>http://www.telegraph.co.uk/news/2017/05/24/governments-anti-terror-prevent-programme-must-strengthened/</w:t>
      </w:r>
      <w:r>
        <w:rPr>
          <w:sz w:val="20"/>
          <w:szCs w:val="20"/>
        </w:rPr>
        <w:t xml:space="preserve">} </w:t>
      </w:r>
      <w:r w:rsidRPr="00653AA3">
        <w:rPr>
          <w:sz w:val="20"/>
          <w:szCs w:val="20"/>
          <w:lang w:val="en-US"/>
        </w:rPr>
        <w:t>accessed 16 May 2018</w:t>
      </w:r>
      <w:r>
        <w:rPr>
          <w:sz w:val="20"/>
          <w:szCs w:val="20"/>
          <w:lang w:val="en-US"/>
        </w:rPr>
        <w:t>.</w:t>
      </w:r>
    </w:p>
  </w:footnote>
  <w:footnote w:id="5">
    <w:p w14:paraId="2C2CDADB" w14:textId="62CCC37F" w:rsidR="002F5A1C" w:rsidRPr="005D7F70" w:rsidRDefault="002F5A1C" w:rsidP="0022763D">
      <w:pPr>
        <w:rPr>
          <w:sz w:val="20"/>
          <w:szCs w:val="20"/>
        </w:rPr>
      </w:pPr>
      <w:r w:rsidRPr="005D7F70">
        <w:rPr>
          <w:rStyle w:val="FootnoteReference"/>
          <w:sz w:val="20"/>
          <w:szCs w:val="20"/>
        </w:rPr>
        <w:footnoteRef/>
      </w:r>
      <w:r w:rsidRPr="005D7F70">
        <w:rPr>
          <w:sz w:val="20"/>
          <w:szCs w:val="20"/>
        </w:rPr>
        <w:t xml:space="preserve"> </w:t>
      </w:r>
      <w:r>
        <w:rPr>
          <w:sz w:val="20"/>
          <w:szCs w:val="20"/>
        </w:rPr>
        <w:t xml:space="preserve">Sewell Chan </w:t>
      </w:r>
      <w:r w:rsidRPr="005D7F70">
        <w:rPr>
          <w:sz w:val="20"/>
          <w:szCs w:val="20"/>
        </w:rPr>
        <w:t xml:space="preserve">and </w:t>
      </w:r>
      <w:r>
        <w:rPr>
          <w:sz w:val="20"/>
          <w:szCs w:val="20"/>
        </w:rPr>
        <w:t>Steven Erlanger, ‘</w:t>
      </w:r>
      <w:r w:rsidRPr="005D7F70">
        <w:rPr>
          <w:sz w:val="20"/>
          <w:szCs w:val="20"/>
        </w:rPr>
        <w:t>Questions on U.K. Policing Mount as 3</w:t>
      </w:r>
      <w:r w:rsidRPr="005D7F70">
        <w:rPr>
          <w:sz w:val="20"/>
          <w:szCs w:val="20"/>
          <w:vertAlign w:val="superscript"/>
        </w:rPr>
        <w:t>rd</w:t>
      </w:r>
      <w:r>
        <w:rPr>
          <w:sz w:val="20"/>
          <w:szCs w:val="20"/>
        </w:rPr>
        <w:t xml:space="preserve"> London Attacker is Identified’,</w:t>
      </w:r>
      <w:r w:rsidRPr="005D7F70">
        <w:rPr>
          <w:sz w:val="20"/>
          <w:szCs w:val="20"/>
        </w:rPr>
        <w:t xml:space="preserve"> </w:t>
      </w:r>
      <w:r w:rsidRPr="005D7F70">
        <w:rPr>
          <w:i/>
          <w:sz w:val="20"/>
          <w:szCs w:val="20"/>
        </w:rPr>
        <w:t>The New York Times</w:t>
      </w:r>
      <w:r w:rsidRPr="005D7F70">
        <w:rPr>
          <w:sz w:val="20"/>
          <w:szCs w:val="20"/>
        </w:rPr>
        <w:t xml:space="preserve"> </w:t>
      </w:r>
      <w:r>
        <w:rPr>
          <w:sz w:val="20"/>
          <w:szCs w:val="20"/>
        </w:rPr>
        <w:t>(</w:t>
      </w:r>
      <w:r w:rsidRPr="005D7F70">
        <w:rPr>
          <w:sz w:val="20"/>
          <w:szCs w:val="20"/>
        </w:rPr>
        <w:t>6 June</w:t>
      </w:r>
      <w:r>
        <w:rPr>
          <w:sz w:val="20"/>
          <w:szCs w:val="20"/>
        </w:rPr>
        <w:t xml:space="preserve"> 2017), available at</w:t>
      </w:r>
      <w:r w:rsidRPr="005D7F70">
        <w:rPr>
          <w:sz w:val="20"/>
          <w:szCs w:val="20"/>
        </w:rPr>
        <w:t xml:space="preserve">: </w:t>
      </w:r>
      <w:r>
        <w:rPr>
          <w:sz w:val="20"/>
          <w:szCs w:val="20"/>
        </w:rPr>
        <w:t>{</w:t>
      </w:r>
      <w:r w:rsidRPr="00CE4B8A">
        <w:rPr>
          <w:sz w:val="20"/>
          <w:szCs w:val="20"/>
        </w:rPr>
        <w:t>https://www.nytimes.com/2017/06/06/world/europe/london-attack-uk.html</w:t>
      </w:r>
      <w:proofErr w:type="gramStart"/>
      <w:r w:rsidRPr="00CE4B8A">
        <w:rPr>
          <w:sz w:val="20"/>
          <w:szCs w:val="20"/>
        </w:rPr>
        <w:t>?_</w:t>
      </w:r>
      <w:proofErr w:type="gramEnd"/>
      <w:r w:rsidRPr="00CE4B8A">
        <w:rPr>
          <w:sz w:val="20"/>
          <w:szCs w:val="20"/>
        </w:rPr>
        <w:t>r=0</w:t>
      </w:r>
      <w:r>
        <w:rPr>
          <w:sz w:val="20"/>
          <w:szCs w:val="20"/>
        </w:rPr>
        <w:t xml:space="preserve">} </w:t>
      </w:r>
      <w:r w:rsidRPr="00653AA3">
        <w:rPr>
          <w:sz w:val="20"/>
          <w:szCs w:val="20"/>
          <w:lang w:val="en-US"/>
        </w:rPr>
        <w:t>accessed 16 May 2018</w:t>
      </w:r>
      <w:r>
        <w:rPr>
          <w:sz w:val="20"/>
          <w:szCs w:val="20"/>
          <w:lang w:val="en-US"/>
        </w:rPr>
        <w:t>.</w:t>
      </w:r>
    </w:p>
  </w:footnote>
  <w:footnote w:id="6">
    <w:p w14:paraId="6569DD6D" w14:textId="10130D69" w:rsidR="002F5A1C" w:rsidRPr="000B18F1" w:rsidRDefault="002F5A1C" w:rsidP="00775F7B">
      <w:pPr>
        <w:pStyle w:val="FootnoteText"/>
        <w:rPr>
          <w:lang w:val="en-US"/>
        </w:rPr>
      </w:pPr>
      <w:r>
        <w:rPr>
          <w:rStyle w:val="FootnoteReference"/>
        </w:rPr>
        <w:footnoteRef/>
      </w:r>
      <w:r>
        <w:t xml:space="preserve"> Counter radicalisation policy is not exclusive to the UK</w:t>
      </w:r>
      <w:r>
        <w:rPr>
          <w:lang w:val="en-US"/>
        </w:rPr>
        <w:t xml:space="preserve">. For excellent accounts comparing British policies to that in France and also within the EU, see: </w:t>
      </w:r>
      <w:proofErr w:type="spellStart"/>
      <w:r>
        <w:rPr>
          <w:lang w:val="en-US"/>
        </w:rPr>
        <w:t>Anastassia</w:t>
      </w:r>
      <w:proofErr w:type="spellEnd"/>
      <w:r>
        <w:rPr>
          <w:lang w:val="en-US"/>
        </w:rPr>
        <w:t xml:space="preserve"> </w:t>
      </w:r>
      <w:proofErr w:type="spellStart"/>
      <w:r>
        <w:rPr>
          <w:lang w:val="en-US"/>
        </w:rPr>
        <w:t>Tsoukala</w:t>
      </w:r>
      <w:proofErr w:type="spellEnd"/>
      <w:r>
        <w:rPr>
          <w:lang w:val="en-US"/>
        </w:rPr>
        <w:t xml:space="preserve">, ‘Democracy Against Security: The Debates About Counterterrorism in the European Parliament, September 2001-June 2003’, </w:t>
      </w:r>
      <w:r>
        <w:rPr>
          <w:i/>
          <w:lang w:val="en-US"/>
        </w:rPr>
        <w:t>Alternatives</w:t>
      </w:r>
      <w:r>
        <w:rPr>
          <w:lang w:val="en-US"/>
        </w:rPr>
        <w:t xml:space="preserve"> 29:4 (2004), pp. 417-39; </w:t>
      </w:r>
      <w:proofErr w:type="spellStart"/>
      <w:r>
        <w:rPr>
          <w:lang w:val="en-US"/>
        </w:rPr>
        <w:t>Anastassia</w:t>
      </w:r>
      <w:proofErr w:type="spellEnd"/>
      <w:r>
        <w:rPr>
          <w:lang w:val="en-US"/>
        </w:rPr>
        <w:t xml:space="preserve"> </w:t>
      </w:r>
      <w:proofErr w:type="spellStart"/>
      <w:r>
        <w:rPr>
          <w:lang w:val="en-US"/>
        </w:rPr>
        <w:t>Tsoukala</w:t>
      </w:r>
      <w:proofErr w:type="spellEnd"/>
      <w:r>
        <w:rPr>
          <w:lang w:val="en-US"/>
        </w:rPr>
        <w:t xml:space="preserve">, ‘Democracy in the Light of Security: British and French Political Discourses on Domestic Counter-Terrorism Policies’, </w:t>
      </w:r>
      <w:r>
        <w:rPr>
          <w:i/>
          <w:lang w:val="en-US"/>
        </w:rPr>
        <w:t>Political Studies</w:t>
      </w:r>
      <w:r>
        <w:rPr>
          <w:lang w:val="en-US"/>
        </w:rPr>
        <w:t xml:space="preserve"> 54:3 (2006), pp. 607-27.</w:t>
      </w:r>
    </w:p>
  </w:footnote>
  <w:footnote w:id="7">
    <w:p w14:paraId="36A34B54" w14:textId="034A8681" w:rsidR="002F5A1C" w:rsidRPr="005D7F70" w:rsidRDefault="002F5A1C" w:rsidP="0022763D">
      <w:pPr>
        <w:rPr>
          <w:sz w:val="20"/>
          <w:szCs w:val="20"/>
        </w:rPr>
      </w:pPr>
      <w:r w:rsidRPr="005D7F70">
        <w:rPr>
          <w:rStyle w:val="FootnoteReference"/>
          <w:sz w:val="20"/>
          <w:szCs w:val="20"/>
        </w:rPr>
        <w:footnoteRef/>
      </w:r>
      <w:r w:rsidRPr="005D7F70">
        <w:rPr>
          <w:sz w:val="20"/>
          <w:szCs w:val="20"/>
        </w:rPr>
        <w:t xml:space="preserve"> </w:t>
      </w:r>
      <w:r>
        <w:rPr>
          <w:sz w:val="20"/>
          <w:szCs w:val="20"/>
        </w:rPr>
        <w:t xml:space="preserve">Rachel </w:t>
      </w:r>
      <w:r w:rsidRPr="005D7F70">
        <w:rPr>
          <w:sz w:val="20"/>
          <w:szCs w:val="20"/>
        </w:rPr>
        <w:t>Briggs</w:t>
      </w:r>
      <w:r>
        <w:rPr>
          <w:sz w:val="20"/>
          <w:szCs w:val="20"/>
        </w:rPr>
        <w:t>, ‘</w:t>
      </w:r>
      <w:r w:rsidRPr="005D7F70">
        <w:rPr>
          <w:sz w:val="20"/>
          <w:szCs w:val="20"/>
        </w:rPr>
        <w:t xml:space="preserve">Community engagement for counterterrorism: </w:t>
      </w:r>
      <w:r>
        <w:rPr>
          <w:sz w:val="20"/>
          <w:szCs w:val="20"/>
        </w:rPr>
        <w:t>lessons from the United Kingdom’,</w:t>
      </w:r>
      <w:r w:rsidRPr="005D7F70">
        <w:rPr>
          <w:sz w:val="20"/>
          <w:szCs w:val="20"/>
        </w:rPr>
        <w:t xml:space="preserve"> </w:t>
      </w:r>
      <w:r w:rsidRPr="005D7F70">
        <w:rPr>
          <w:i/>
          <w:sz w:val="20"/>
          <w:szCs w:val="20"/>
        </w:rPr>
        <w:t>International Affairs</w:t>
      </w:r>
      <w:r>
        <w:rPr>
          <w:sz w:val="20"/>
          <w:szCs w:val="20"/>
        </w:rPr>
        <w:t xml:space="preserve"> 86:</w:t>
      </w:r>
      <w:r w:rsidRPr="005D7F70">
        <w:rPr>
          <w:sz w:val="20"/>
          <w:szCs w:val="20"/>
        </w:rPr>
        <w:t>4</w:t>
      </w:r>
      <w:r>
        <w:rPr>
          <w:sz w:val="20"/>
          <w:szCs w:val="20"/>
        </w:rPr>
        <w:t xml:space="preserve"> (2010), p.</w:t>
      </w:r>
      <w:r w:rsidRPr="005D7F70">
        <w:rPr>
          <w:sz w:val="20"/>
          <w:szCs w:val="20"/>
        </w:rPr>
        <w:t xml:space="preserve"> 971; </w:t>
      </w:r>
      <w:r>
        <w:rPr>
          <w:sz w:val="20"/>
          <w:szCs w:val="20"/>
        </w:rPr>
        <w:t xml:space="preserve">Krzysztof </w:t>
      </w:r>
      <w:proofErr w:type="spellStart"/>
      <w:r>
        <w:rPr>
          <w:sz w:val="20"/>
          <w:szCs w:val="20"/>
        </w:rPr>
        <w:t>Feliks</w:t>
      </w:r>
      <w:proofErr w:type="spellEnd"/>
      <w:r>
        <w:rPr>
          <w:sz w:val="20"/>
          <w:szCs w:val="20"/>
        </w:rPr>
        <w:t xml:space="preserve"> </w:t>
      </w:r>
      <w:proofErr w:type="spellStart"/>
      <w:r>
        <w:rPr>
          <w:sz w:val="20"/>
          <w:szCs w:val="20"/>
        </w:rPr>
        <w:t>Sliwinksi</w:t>
      </w:r>
      <w:proofErr w:type="spellEnd"/>
      <w:r>
        <w:rPr>
          <w:sz w:val="20"/>
          <w:szCs w:val="20"/>
        </w:rPr>
        <w:t>, ‘</w:t>
      </w:r>
      <w:r w:rsidRPr="005D7F70">
        <w:rPr>
          <w:sz w:val="20"/>
          <w:szCs w:val="20"/>
        </w:rPr>
        <w:t>Counter-terrorism – a comprehensive approach. Social mobilisation and civilisation: of security:</w:t>
      </w:r>
      <w:r>
        <w:rPr>
          <w:sz w:val="20"/>
          <w:szCs w:val="20"/>
        </w:rPr>
        <w:t xml:space="preserve"> the case of the United Kingdom’,</w:t>
      </w:r>
      <w:r w:rsidRPr="005D7F70">
        <w:rPr>
          <w:sz w:val="20"/>
          <w:szCs w:val="20"/>
        </w:rPr>
        <w:t xml:space="preserve"> </w:t>
      </w:r>
      <w:r w:rsidRPr="005D7F70">
        <w:rPr>
          <w:i/>
          <w:sz w:val="20"/>
          <w:szCs w:val="20"/>
        </w:rPr>
        <w:t>European Security</w:t>
      </w:r>
      <w:r>
        <w:rPr>
          <w:sz w:val="20"/>
          <w:szCs w:val="20"/>
        </w:rPr>
        <w:t xml:space="preserve"> 22:</w:t>
      </w:r>
      <w:r w:rsidRPr="005D7F70">
        <w:rPr>
          <w:sz w:val="20"/>
          <w:szCs w:val="20"/>
        </w:rPr>
        <w:t>3</w:t>
      </w:r>
      <w:r>
        <w:rPr>
          <w:sz w:val="20"/>
          <w:szCs w:val="20"/>
        </w:rPr>
        <w:t xml:space="preserve"> (2013), p.</w:t>
      </w:r>
      <w:r w:rsidRPr="005D7F70">
        <w:rPr>
          <w:sz w:val="20"/>
          <w:szCs w:val="20"/>
        </w:rPr>
        <w:t xml:space="preserve"> 292.</w:t>
      </w:r>
    </w:p>
  </w:footnote>
  <w:footnote w:id="8">
    <w:p w14:paraId="1CD11D1F" w14:textId="0853C91E" w:rsidR="002F5A1C" w:rsidRPr="005D7F70" w:rsidRDefault="002F5A1C" w:rsidP="0022763D">
      <w:pPr>
        <w:rPr>
          <w:sz w:val="20"/>
          <w:szCs w:val="20"/>
        </w:rPr>
      </w:pPr>
      <w:r w:rsidRPr="005D7F70">
        <w:rPr>
          <w:rStyle w:val="FootnoteReference"/>
          <w:sz w:val="20"/>
          <w:szCs w:val="20"/>
        </w:rPr>
        <w:footnoteRef/>
      </w:r>
      <w:r w:rsidRPr="005D7F70">
        <w:rPr>
          <w:sz w:val="20"/>
          <w:szCs w:val="20"/>
        </w:rPr>
        <w:t xml:space="preserve"> </w:t>
      </w:r>
      <w:r>
        <w:rPr>
          <w:sz w:val="20"/>
          <w:szCs w:val="20"/>
        </w:rPr>
        <w:t>Gwen Griffith-Dickson</w:t>
      </w:r>
      <w:r w:rsidRPr="005D7F70">
        <w:rPr>
          <w:sz w:val="20"/>
          <w:szCs w:val="20"/>
        </w:rPr>
        <w:t xml:space="preserve">, </w:t>
      </w:r>
      <w:r>
        <w:rPr>
          <w:sz w:val="20"/>
          <w:szCs w:val="20"/>
        </w:rPr>
        <w:t>Andrew Dickson</w:t>
      </w:r>
      <w:r w:rsidRPr="005D7F70">
        <w:rPr>
          <w:sz w:val="20"/>
          <w:szCs w:val="20"/>
        </w:rPr>
        <w:t xml:space="preserve">, </w:t>
      </w:r>
      <w:proofErr w:type="spellStart"/>
      <w:r>
        <w:rPr>
          <w:sz w:val="20"/>
          <w:szCs w:val="20"/>
        </w:rPr>
        <w:t>Ivermee</w:t>
      </w:r>
      <w:proofErr w:type="spellEnd"/>
      <w:r>
        <w:rPr>
          <w:sz w:val="20"/>
          <w:szCs w:val="20"/>
        </w:rPr>
        <w:t xml:space="preserve"> Robert, ‘</w:t>
      </w:r>
      <w:r w:rsidRPr="005D7F70">
        <w:rPr>
          <w:sz w:val="20"/>
          <w:szCs w:val="20"/>
        </w:rPr>
        <w:t xml:space="preserve">Counter-extremism and De-radicalisation in </w:t>
      </w:r>
      <w:r>
        <w:rPr>
          <w:sz w:val="20"/>
          <w:szCs w:val="20"/>
        </w:rPr>
        <w:t>the UK: A Contemporary Overview’,</w:t>
      </w:r>
      <w:r w:rsidRPr="005D7F70">
        <w:rPr>
          <w:sz w:val="20"/>
          <w:szCs w:val="20"/>
        </w:rPr>
        <w:t xml:space="preserve"> </w:t>
      </w:r>
      <w:r w:rsidRPr="005D7F70">
        <w:rPr>
          <w:i/>
          <w:sz w:val="20"/>
          <w:szCs w:val="20"/>
        </w:rPr>
        <w:t xml:space="preserve">Journal for </w:t>
      </w:r>
      <w:proofErr w:type="spellStart"/>
      <w:r w:rsidRPr="005D7F70">
        <w:rPr>
          <w:i/>
          <w:sz w:val="20"/>
          <w:szCs w:val="20"/>
        </w:rPr>
        <w:t>Deradicalization</w:t>
      </w:r>
      <w:proofErr w:type="spellEnd"/>
      <w:r w:rsidRPr="005D7F70">
        <w:rPr>
          <w:sz w:val="20"/>
          <w:szCs w:val="20"/>
        </w:rPr>
        <w:t xml:space="preserve"> Winter</w:t>
      </w:r>
      <w:r>
        <w:rPr>
          <w:sz w:val="20"/>
          <w:szCs w:val="20"/>
        </w:rPr>
        <w:t xml:space="preserve"> (2014/15), p. 27;</w:t>
      </w:r>
      <w:r w:rsidRPr="005468D0">
        <w:rPr>
          <w:sz w:val="20"/>
          <w:szCs w:val="20"/>
        </w:rPr>
        <w:t xml:space="preserve"> </w:t>
      </w:r>
      <w:r>
        <w:rPr>
          <w:sz w:val="20"/>
          <w:szCs w:val="20"/>
        </w:rPr>
        <w:t xml:space="preserve">John </w:t>
      </w:r>
      <w:proofErr w:type="spellStart"/>
      <w:r>
        <w:rPr>
          <w:sz w:val="20"/>
          <w:szCs w:val="20"/>
        </w:rPr>
        <w:t>Gearson</w:t>
      </w:r>
      <w:proofErr w:type="spellEnd"/>
      <w:r w:rsidRPr="005D7F70">
        <w:rPr>
          <w:sz w:val="20"/>
          <w:szCs w:val="20"/>
        </w:rPr>
        <w:t xml:space="preserve"> and </w:t>
      </w:r>
      <w:r>
        <w:rPr>
          <w:sz w:val="20"/>
          <w:szCs w:val="20"/>
        </w:rPr>
        <w:t>Hugo Rosemont, ‘</w:t>
      </w:r>
      <w:r w:rsidRPr="005D7F70">
        <w:rPr>
          <w:sz w:val="20"/>
          <w:szCs w:val="20"/>
        </w:rPr>
        <w:t>CONTEST as Strategy: Reassessing Brit</w:t>
      </w:r>
      <w:r>
        <w:rPr>
          <w:sz w:val="20"/>
          <w:szCs w:val="20"/>
        </w:rPr>
        <w:t>ain’s Counterterrorism Approach’,</w:t>
      </w:r>
      <w:r w:rsidRPr="005D7F70">
        <w:rPr>
          <w:sz w:val="20"/>
          <w:szCs w:val="20"/>
        </w:rPr>
        <w:t xml:space="preserve"> </w:t>
      </w:r>
      <w:r w:rsidRPr="005D7F70">
        <w:rPr>
          <w:i/>
          <w:sz w:val="20"/>
          <w:szCs w:val="20"/>
        </w:rPr>
        <w:t>Studies in Conflict and Terrorism</w:t>
      </w:r>
      <w:r>
        <w:rPr>
          <w:sz w:val="20"/>
          <w:szCs w:val="20"/>
        </w:rPr>
        <w:t xml:space="preserve"> 38:</w:t>
      </w:r>
      <w:r w:rsidRPr="005D7F70">
        <w:rPr>
          <w:sz w:val="20"/>
          <w:szCs w:val="20"/>
        </w:rPr>
        <w:t>12</w:t>
      </w:r>
      <w:r>
        <w:rPr>
          <w:sz w:val="20"/>
          <w:szCs w:val="20"/>
        </w:rPr>
        <w:t xml:space="preserve"> (2015), p.</w:t>
      </w:r>
      <w:r w:rsidRPr="005D7F70">
        <w:rPr>
          <w:sz w:val="20"/>
          <w:szCs w:val="20"/>
        </w:rPr>
        <w:t xml:space="preserve"> 1049.</w:t>
      </w:r>
    </w:p>
  </w:footnote>
  <w:footnote w:id="9">
    <w:p w14:paraId="246CE155" w14:textId="3CED3944" w:rsidR="002F5A1C" w:rsidRPr="005D7F70" w:rsidRDefault="002F5A1C" w:rsidP="0022763D">
      <w:pPr>
        <w:rPr>
          <w:sz w:val="20"/>
          <w:szCs w:val="20"/>
        </w:rPr>
      </w:pPr>
      <w:r w:rsidRPr="005D7F70">
        <w:rPr>
          <w:rStyle w:val="FootnoteReference"/>
          <w:sz w:val="20"/>
          <w:szCs w:val="20"/>
        </w:rPr>
        <w:footnoteRef/>
      </w:r>
      <w:r w:rsidRPr="005D7F70">
        <w:rPr>
          <w:sz w:val="20"/>
          <w:szCs w:val="20"/>
        </w:rPr>
        <w:t xml:space="preserve"> </w:t>
      </w:r>
      <w:proofErr w:type="spellStart"/>
      <w:r>
        <w:rPr>
          <w:sz w:val="20"/>
          <w:szCs w:val="20"/>
        </w:rPr>
        <w:t>Arun</w:t>
      </w:r>
      <w:proofErr w:type="spellEnd"/>
      <w:r>
        <w:rPr>
          <w:sz w:val="20"/>
          <w:szCs w:val="20"/>
        </w:rPr>
        <w:t xml:space="preserve"> </w:t>
      </w:r>
      <w:proofErr w:type="spellStart"/>
      <w:r>
        <w:rPr>
          <w:sz w:val="20"/>
          <w:szCs w:val="20"/>
        </w:rPr>
        <w:t>Kundnani</w:t>
      </w:r>
      <w:proofErr w:type="spellEnd"/>
      <w:r>
        <w:rPr>
          <w:sz w:val="20"/>
          <w:szCs w:val="20"/>
        </w:rPr>
        <w:t xml:space="preserve">, </w:t>
      </w:r>
      <w:r w:rsidRPr="00D27168">
        <w:rPr>
          <w:i/>
          <w:sz w:val="20"/>
          <w:szCs w:val="20"/>
        </w:rPr>
        <w:t>A Decade Lost: Rethinking Radicalisation and Extremism</w:t>
      </w:r>
      <w:r>
        <w:rPr>
          <w:sz w:val="20"/>
          <w:szCs w:val="20"/>
        </w:rPr>
        <w:t xml:space="preserve"> (</w:t>
      </w:r>
      <w:r w:rsidRPr="005D7F70">
        <w:rPr>
          <w:sz w:val="20"/>
          <w:szCs w:val="20"/>
        </w:rPr>
        <w:t>Lon</w:t>
      </w:r>
      <w:r>
        <w:rPr>
          <w:sz w:val="20"/>
          <w:szCs w:val="20"/>
        </w:rPr>
        <w:t xml:space="preserve">don: </w:t>
      </w:r>
      <w:proofErr w:type="spellStart"/>
      <w:r>
        <w:rPr>
          <w:sz w:val="20"/>
          <w:szCs w:val="20"/>
        </w:rPr>
        <w:t>Claystone</w:t>
      </w:r>
      <w:proofErr w:type="spellEnd"/>
      <w:r>
        <w:rPr>
          <w:sz w:val="20"/>
          <w:szCs w:val="20"/>
        </w:rPr>
        <w:t>. 2015); Paul Thomas, ‘</w:t>
      </w:r>
      <w:r w:rsidRPr="005D7F70">
        <w:rPr>
          <w:sz w:val="20"/>
          <w:szCs w:val="20"/>
        </w:rPr>
        <w:t>Prevent and Community Cohesion in Britain: The worst of all possible worlds?</w:t>
      </w:r>
      <w:r>
        <w:rPr>
          <w:sz w:val="20"/>
          <w:szCs w:val="20"/>
        </w:rPr>
        <w:t>’ i</w:t>
      </w:r>
      <w:r w:rsidRPr="005D7F70">
        <w:rPr>
          <w:sz w:val="20"/>
          <w:szCs w:val="20"/>
        </w:rPr>
        <w:t xml:space="preserve">n </w:t>
      </w:r>
      <w:r>
        <w:rPr>
          <w:sz w:val="20"/>
          <w:szCs w:val="20"/>
        </w:rPr>
        <w:t>Christopher Baker-</w:t>
      </w:r>
      <w:proofErr w:type="spellStart"/>
      <w:r>
        <w:rPr>
          <w:sz w:val="20"/>
          <w:szCs w:val="20"/>
        </w:rPr>
        <w:t>Beall</w:t>
      </w:r>
      <w:proofErr w:type="spellEnd"/>
      <w:r w:rsidRPr="005D7F70">
        <w:rPr>
          <w:sz w:val="20"/>
          <w:szCs w:val="20"/>
        </w:rPr>
        <w:t xml:space="preserve">, </w:t>
      </w:r>
      <w:r>
        <w:rPr>
          <w:sz w:val="20"/>
          <w:szCs w:val="20"/>
        </w:rPr>
        <w:t>Charlotte Heath-Kelly</w:t>
      </w:r>
      <w:r w:rsidRPr="005D7F70">
        <w:rPr>
          <w:sz w:val="20"/>
          <w:szCs w:val="20"/>
        </w:rPr>
        <w:t xml:space="preserve">, and </w:t>
      </w:r>
      <w:r>
        <w:rPr>
          <w:sz w:val="20"/>
          <w:szCs w:val="20"/>
        </w:rPr>
        <w:t>Lee Jarvis</w:t>
      </w:r>
      <w:r w:rsidRPr="005D7F70">
        <w:rPr>
          <w:sz w:val="20"/>
          <w:szCs w:val="20"/>
        </w:rPr>
        <w:t xml:space="preserve"> (eds</w:t>
      </w:r>
      <w:r>
        <w:rPr>
          <w:sz w:val="20"/>
          <w:szCs w:val="20"/>
        </w:rPr>
        <w:t>.</w:t>
      </w:r>
      <w:r w:rsidRPr="005D7F70">
        <w:rPr>
          <w:sz w:val="20"/>
          <w:szCs w:val="20"/>
        </w:rPr>
        <w:t xml:space="preserve">) </w:t>
      </w:r>
      <w:r w:rsidRPr="005D7F70">
        <w:rPr>
          <w:i/>
          <w:sz w:val="20"/>
          <w:szCs w:val="20"/>
        </w:rPr>
        <w:t>Counter-Radicalisation: Critical Perspectives</w:t>
      </w:r>
      <w:r w:rsidRPr="005D7F70">
        <w:rPr>
          <w:sz w:val="20"/>
          <w:szCs w:val="20"/>
        </w:rPr>
        <w:t xml:space="preserve"> </w:t>
      </w:r>
      <w:r>
        <w:rPr>
          <w:sz w:val="20"/>
          <w:szCs w:val="20"/>
        </w:rPr>
        <w:t>(</w:t>
      </w:r>
      <w:r w:rsidRPr="005D7F70">
        <w:rPr>
          <w:sz w:val="20"/>
          <w:szCs w:val="20"/>
        </w:rPr>
        <w:t>London: Routledge</w:t>
      </w:r>
      <w:r>
        <w:rPr>
          <w:sz w:val="20"/>
          <w:szCs w:val="20"/>
        </w:rPr>
        <w:t>, 2015)</w:t>
      </w:r>
      <w:r w:rsidRPr="005D7F70">
        <w:rPr>
          <w:sz w:val="20"/>
          <w:szCs w:val="20"/>
        </w:rPr>
        <w:t>, pp. 36-53.</w:t>
      </w:r>
    </w:p>
  </w:footnote>
  <w:footnote w:id="10">
    <w:p w14:paraId="213D6471" w14:textId="503DA06E" w:rsidR="002F5A1C" w:rsidRPr="00D14CB7" w:rsidRDefault="002F5A1C" w:rsidP="0022763D">
      <w:pPr>
        <w:rPr>
          <w:sz w:val="20"/>
          <w:szCs w:val="20"/>
        </w:rPr>
      </w:pPr>
      <w:r w:rsidRPr="005D7F70">
        <w:rPr>
          <w:rStyle w:val="FootnoteReference"/>
          <w:sz w:val="20"/>
          <w:szCs w:val="20"/>
        </w:rPr>
        <w:footnoteRef/>
      </w:r>
      <w:r w:rsidRPr="005D7F70">
        <w:rPr>
          <w:sz w:val="20"/>
          <w:szCs w:val="20"/>
        </w:rPr>
        <w:t xml:space="preserve"> </w:t>
      </w:r>
      <w:r>
        <w:rPr>
          <w:sz w:val="20"/>
          <w:szCs w:val="20"/>
        </w:rPr>
        <w:t>Michael Jacobs, ‘</w:t>
      </w:r>
      <w:r w:rsidRPr="00D14CB7">
        <w:rPr>
          <w:sz w:val="20"/>
          <w:szCs w:val="20"/>
        </w:rPr>
        <w:t>Civil Liberties in Britai</w:t>
      </w:r>
      <w:r>
        <w:rPr>
          <w:sz w:val="20"/>
          <w:szCs w:val="20"/>
        </w:rPr>
        <w:t>n’,</w:t>
      </w:r>
      <w:r w:rsidRPr="00D14CB7">
        <w:rPr>
          <w:sz w:val="20"/>
          <w:szCs w:val="20"/>
        </w:rPr>
        <w:t xml:space="preserve"> </w:t>
      </w:r>
      <w:r w:rsidRPr="00D14CB7">
        <w:rPr>
          <w:i/>
          <w:sz w:val="20"/>
          <w:szCs w:val="20"/>
        </w:rPr>
        <w:t>Economic and Political Weekly</w:t>
      </w:r>
      <w:r>
        <w:rPr>
          <w:sz w:val="20"/>
          <w:szCs w:val="20"/>
        </w:rPr>
        <w:t xml:space="preserve"> 20:</w:t>
      </w:r>
      <w:r w:rsidRPr="00D14CB7">
        <w:rPr>
          <w:sz w:val="20"/>
          <w:szCs w:val="20"/>
        </w:rPr>
        <w:t>15</w:t>
      </w:r>
      <w:r>
        <w:rPr>
          <w:sz w:val="20"/>
          <w:szCs w:val="20"/>
        </w:rPr>
        <w:t xml:space="preserve"> (1985), p.</w:t>
      </w:r>
      <w:r w:rsidRPr="00D14CB7">
        <w:rPr>
          <w:sz w:val="20"/>
          <w:szCs w:val="20"/>
        </w:rPr>
        <w:t xml:space="preserve"> 634.</w:t>
      </w:r>
    </w:p>
  </w:footnote>
  <w:footnote w:id="11">
    <w:p w14:paraId="3241E61C" w14:textId="44D571CD" w:rsidR="002F5A1C" w:rsidRPr="005D7F70" w:rsidRDefault="002F5A1C" w:rsidP="0022763D">
      <w:pPr>
        <w:rPr>
          <w:sz w:val="20"/>
          <w:szCs w:val="20"/>
        </w:rPr>
      </w:pPr>
      <w:r w:rsidRPr="00D14CB7">
        <w:rPr>
          <w:rStyle w:val="FootnoteReference"/>
          <w:sz w:val="20"/>
          <w:szCs w:val="20"/>
        </w:rPr>
        <w:footnoteRef/>
      </w:r>
      <w:r w:rsidRPr="00D14CB7">
        <w:rPr>
          <w:sz w:val="20"/>
          <w:szCs w:val="20"/>
        </w:rPr>
        <w:t xml:space="preserve"> </w:t>
      </w:r>
      <w:r>
        <w:rPr>
          <w:sz w:val="20"/>
          <w:szCs w:val="20"/>
        </w:rPr>
        <w:t>Charlotte Heath-Kelly, ‘</w:t>
      </w:r>
      <w:r w:rsidRPr="00D14CB7">
        <w:rPr>
          <w:sz w:val="20"/>
          <w:szCs w:val="20"/>
        </w:rPr>
        <w:t>Can We Laugh Yet? Reading Post-9.11 Counterterrorism Policy as Magical Realism and Open</w:t>
      </w:r>
      <w:r>
        <w:rPr>
          <w:sz w:val="20"/>
          <w:szCs w:val="20"/>
        </w:rPr>
        <w:t>ing a Third-Space of Resistance’,</w:t>
      </w:r>
      <w:r w:rsidRPr="00D14CB7">
        <w:rPr>
          <w:sz w:val="20"/>
          <w:szCs w:val="20"/>
        </w:rPr>
        <w:t xml:space="preserve"> </w:t>
      </w:r>
      <w:r w:rsidRPr="00D14CB7">
        <w:rPr>
          <w:i/>
          <w:sz w:val="20"/>
          <w:szCs w:val="20"/>
        </w:rPr>
        <w:t>European Journal of Criminal Policy Research</w:t>
      </w:r>
      <w:r w:rsidRPr="00D14CB7">
        <w:rPr>
          <w:sz w:val="20"/>
          <w:szCs w:val="20"/>
        </w:rPr>
        <w:t xml:space="preserve"> 18</w:t>
      </w:r>
      <w:r>
        <w:rPr>
          <w:sz w:val="20"/>
          <w:szCs w:val="20"/>
        </w:rPr>
        <w:t xml:space="preserve"> (2012), pp. 343-</w:t>
      </w:r>
      <w:r w:rsidRPr="00D14CB7">
        <w:rPr>
          <w:sz w:val="20"/>
          <w:szCs w:val="20"/>
        </w:rPr>
        <w:t>69.</w:t>
      </w:r>
    </w:p>
  </w:footnote>
  <w:footnote w:id="12">
    <w:p w14:paraId="668DAD39" w14:textId="4FDD814B" w:rsidR="002F5A1C" w:rsidRPr="005D7F70" w:rsidRDefault="002F5A1C" w:rsidP="0022763D">
      <w:pPr>
        <w:rPr>
          <w:sz w:val="20"/>
          <w:szCs w:val="20"/>
        </w:rPr>
      </w:pPr>
      <w:r w:rsidRPr="005D7F70">
        <w:rPr>
          <w:rStyle w:val="FootnoteReference"/>
          <w:sz w:val="20"/>
          <w:szCs w:val="20"/>
        </w:rPr>
        <w:footnoteRef/>
      </w:r>
      <w:r w:rsidRPr="005D7F70">
        <w:rPr>
          <w:sz w:val="20"/>
          <w:szCs w:val="20"/>
        </w:rPr>
        <w:t xml:space="preserve"> </w:t>
      </w:r>
      <w:r>
        <w:rPr>
          <w:sz w:val="20"/>
          <w:szCs w:val="20"/>
        </w:rPr>
        <w:t xml:space="preserve">Charlotte </w:t>
      </w:r>
      <w:proofErr w:type="spellStart"/>
      <w:r w:rsidRPr="005D7F70">
        <w:rPr>
          <w:sz w:val="20"/>
          <w:szCs w:val="20"/>
        </w:rPr>
        <w:t>Chadder</w:t>
      </w:r>
      <w:r>
        <w:rPr>
          <w:sz w:val="20"/>
          <w:szCs w:val="20"/>
        </w:rPr>
        <w:t>ton</w:t>
      </w:r>
      <w:proofErr w:type="spellEnd"/>
      <w:r>
        <w:rPr>
          <w:sz w:val="20"/>
          <w:szCs w:val="20"/>
        </w:rPr>
        <w:t>, ‘</w:t>
      </w:r>
      <w:r w:rsidRPr="005D7F70">
        <w:rPr>
          <w:sz w:val="20"/>
          <w:szCs w:val="20"/>
        </w:rPr>
        <w:t>UK secondary schools under surveillance: what are the implications for race? A Criti</w:t>
      </w:r>
      <w:r>
        <w:rPr>
          <w:sz w:val="20"/>
          <w:szCs w:val="20"/>
        </w:rPr>
        <w:t xml:space="preserve">cal Race and </w:t>
      </w:r>
      <w:proofErr w:type="spellStart"/>
      <w:r>
        <w:rPr>
          <w:sz w:val="20"/>
          <w:szCs w:val="20"/>
        </w:rPr>
        <w:t>Butlerian</w:t>
      </w:r>
      <w:proofErr w:type="spellEnd"/>
      <w:r>
        <w:rPr>
          <w:sz w:val="20"/>
          <w:szCs w:val="20"/>
        </w:rPr>
        <w:t xml:space="preserve"> analysis’,</w:t>
      </w:r>
      <w:r w:rsidRPr="005D7F70">
        <w:rPr>
          <w:sz w:val="20"/>
          <w:szCs w:val="20"/>
        </w:rPr>
        <w:t xml:space="preserve"> </w:t>
      </w:r>
      <w:r w:rsidRPr="005D7F70">
        <w:rPr>
          <w:i/>
          <w:sz w:val="20"/>
          <w:szCs w:val="20"/>
        </w:rPr>
        <w:t>Journal for Critical Education Policy Studies</w:t>
      </w:r>
      <w:r>
        <w:rPr>
          <w:sz w:val="20"/>
          <w:szCs w:val="20"/>
        </w:rPr>
        <w:t xml:space="preserve"> 10:</w:t>
      </w:r>
      <w:r w:rsidRPr="005D7F70">
        <w:rPr>
          <w:sz w:val="20"/>
          <w:szCs w:val="20"/>
        </w:rPr>
        <w:t>1</w:t>
      </w:r>
      <w:r>
        <w:rPr>
          <w:sz w:val="20"/>
          <w:szCs w:val="20"/>
        </w:rPr>
        <w:t xml:space="preserve"> (2012), pp. 76-92; Ian Cram, ‘The “War on Terror”</w:t>
      </w:r>
      <w:r w:rsidRPr="005D7F70">
        <w:rPr>
          <w:sz w:val="20"/>
          <w:szCs w:val="20"/>
        </w:rPr>
        <w:t xml:space="preserve"> on Campus: Some Free Speech Issues around Anti-Radicalization Law a</w:t>
      </w:r>
      <w:r>
        <w:rPr>
          <w:sz w:val="20"/>
          <w:szCs w:val="20"/>
        </w:rPr>
        <w:t>nd Policy in the United Kingdom’,</w:t>
      </w:r>
      <w:r w:rsidRPr="005D7F70">
        <w:rPr>
          <w:sz w:val="20"/>
          <w:szCs w:val="20"/>
        </w:rPr>
        <w:t xml:space="preserve"> </w:t>
      </w:r>
      <w:r w:rsidRPr="005D7F70">
        <w:rPr>
          <w:i/>
          <w:sz w:val="20"/>
          <w:szCs w:val="20"/>
        </w:rPr>
        <w:t xml:space="preserve">Journal for the Study of Radicalism </w:t>
      </w:r>
      <w:r>
        <w:rPr>
          <w:sz w:val="20"/>
          <w:szCs w:val="20"/>
        </w:rPr>
        <w:t>6:</w:t>
      </w:r>
      <w:r w:rsidRPr="005D7F70">
        <w:rPr>
          <w:sz w:val="20"/>
          <w:szCs w:val="20"/>
        </w:rPr>
        <w:t>1</w:t>
      </w:r>
      <w:r>
        <w:rPr>
          <w:sz w:val="20"/>
          <w:szCs w:val="20"/>
        </w:rPr>
        <w:t xml:space="preserve"> (2012), pp. 1-34.</w:t>
      </w:r>
    </w:p>
  </w:footnote>
  <w:footnote w:id="13">
    <w:p w14:paraId="2BE942A3" w14:textId="397629E8" w:rsidR="002F5A1C" w:rsidRPr="005D7F70" w:rsidRDefault="002F5A1C" w:rsidP="006D5410">
      <w:pPr>
        <w:rPr>
          <w:sz w:val="20"/>
          <w:szCs w:val="20"/>
        </w:rPr>
      </w:pPr>
      <w:r w:rsidRPr="005D7F70">
        <w:rPr>
          <w:rStyle w:val="FootnoteReference"/>
          <w:sz w:val="20"/>
          <w:szCs w:val="20"/>
        </w:rPr>
        <w:footnoteRef/>
      </w:r>
      <w:r w:rsidRPr="005D7F70">
        <w:rPr>
          <w:sz w:val="20"/>
          <w:szCs w:val="20"/>
        </w:rPr>
        <w:t xml:space="preserve"> </w:t>
      </w:r>
      <w:r>
        <w:rPr>
          <w:sz w:val="20"/>
          <w:szCs w:val="20"/>
        </w:rPr>
        <w:t>Charlotte Heath-Kelly,</w:t>
      </w:r>
      <w:r w:rsidRPr="005D7F70">
        <w:rPr>
          <w:sz w:val="20"/>
          <w:szCs w:val="20"/>
        </w:rPr>
        <w:t xml:space="preserve"> ‘Algorithmic autoimmunity in the NHS: Radicalisation and th</w:t>
      </w:r>
      <w:r>
        <w:rPr>
          <w:sz w:val="20"/>
          <w:szCs w:val="20"/>
        </w:rPr>
        <w:t>e clinic’,</w:t>
      </w:r>
      <w:r w:rsidRPr="005D7F70">
        <w:rPr>
          <w:sz w:val="20"/>
          <w:szCs w:val="20"/>
        </w:rPr>
        <w:t xml:space="preserve"> </w:t>
      </w:r>
      <w:r w:rsidRPr="005D7F70">
        <w:rPr>
          <w:i/>
          <w:sz w:val="20"/>
          <w:szCs w:val="20"/>
        </w:rPr>
        <w:t>Security Dialogue</w:t>
      </w:r>
      <w:r>
        <w:rPr>
          <w:sz w:val="20"/>
          <w:szCs w:val="20"/>
        </w:rPr>
        <w:t xml:space="preserve"> 48:</w:t>
      </w:r>
      <w:r w:rsidRPr="005D7F70">
        <w:rPr>
          <w:sz w:val="20"/>
          <w:szCs w:val="20"/>
        </w:rPr>
        <w:t>1</w:t>
      </w:r>
      <w:r>
        <w:rPr>
          <w:sz w:val="20"/>
          <w:szCs w:val="20"/>
        </w:rPr>
        <w:t xml:space="preserve"> (2016), pp.</w:t>
      </w:r>
      <w:r w:rsidRPr="005D7F70">
        <w:rPr>
          <w:sz w:val="20"/>
          <w:szCs w:val="20"/>
        </w:rPr>
        <w:t xml:space="preserve"> 29-45; </w:t>
      </w:r>
      <w:r>
        <w:rPr>
          <w:sz w:val="20"/>
          <w:szCs w:val="20"/>
        </w:rPr>
        <w:t>Derek Summerfield, ‘</w:t>
      </w:r>
      <w:r w:rsidRPr="005D7F70">
        <w:rPr>
          <w:sz w:val="20"/>
          <w:szCs w:val="20"/>
        </w:rPr>
        <w:t>Mandating doctors to attend counter-terrorism w</w:t>
      </w:r>
      <w:r>
        <w:rPr>
          <w:sz w:val="20"/>
          <w:szCs w:val="20"/>
        </w:rPr>
        <w:t>orkshops is medically unethical’,</w:t>
      </w:r>
      <w:r w:rsidRPr="005D7F70">
        <w:rPr>
          <w:sz w:val="20"/>
          <w:szCs w:val="20"/>
        </w:rPr>
        <w:t xml:space="preserve"> </w:t>
      </w:r>
      <w:r w:rsidRPr="005D7F70">
        <w:rPr>
          <w:i/>
          <w:sz w:val="20"/>
          <w:szCs w:val="20"/>
        </w:rPr>
        <w:t>British Journal of Psychology Bulletin</w:t>
      </w:r>
      <w:r w:rsidRPr="005D7F70">
        <w:rPr>
          <w:sz w:val="20"/>
          <w:szCs w:val="20"/>
        </w:rPr>
        <w:t xml:space="preserve"> 40</w:t>
      </w:r>
      <w:r>
        <w:rPr>
          <w:sz w:val="20"/>
          <w:szCs w:val="20"/>
        </w:rPr>
        <w:t xml:space="preserve"> (2016), pp. 87-</w:t>
      </w:r>
      <w:r w:rsidRPr="005D7F70">
        <w:rPr>
          <w:sz w:val="20"/>
          <w:szCs w:val="20"/>
        </w:rPr>
        <w:t>8.</w:t>
      </w:r>
    </w:p>
  </w:footnote>
  <w:footnote w:id="14">
    <w:p w14:paraId="5A290279" w14:textId="3C94F9B2" w:rsidR="002F5A1C" w:rsidRPr="009556DD" w:rsidRDefault="002F5A1C" w:rsidP="000D45F9">
      <w:pPr>
        <w:rPr>
          <w:sz w:val="20"/>
          <w:szCs w:val="20"/>
        </w:rPr>
      </w:pPr>
      <w:r w:rsidRPr="009556DD">
        <w:rPr>
          <w:rStyle w:val="FootnoteReference"/>
          <w:sz w:val="20"/>
          <w:szCs w:val="20"/>
        </w:rPr>
        <w:footnoteRef/>
      </w:r>
      <w:r w:rsidRPr="009556DD">
        <w:rPr>
          <w:sz w:val="20"/>
          <w:szCs w:val="20"/>
        </w:rPr>
        <w:t xml:space="preserve"> </w:t>
      </w:r>
      <w:r>
        <w:rPr>
          <w:sz w:val="20"/>
          <w:szCs w:val="20"/>
        </w:rPr>
        <w:t xml:space="preserve">Jude McCulloch </w:t>
      </w:r>
      <w:r w:rsidRPr="009556DD">
        <w:rPr>
          <w:sz w:val="20"/>
          <w:szCs w:val="20"/>
        </w:rPr>
        <w:t xml:space="preserve">and </w:t>
      </w:r>
      <w:r>
        <w:rPr>
          <w:sz w:val="20"/>
          <w:szCs w:val="20"/>
        </w:rPr>
        <w:t>Sharon Pickering, ‘</w:t>
      </w:r>
      <w:r w:rsidRPr="009556DD">
        <w:rPr>
          <w:sz w:val="20"/>
          <w:szCs w:val="20"/>
        </w:rPr>
        <w:t>Pre-Crime and Counter-Terrorism:</w:t>
      </w:r>
      <w:r>
        <w:rPr>
          <w:sz w:val="20"/>
          <w:szCs w:val="20"/>
        </w:rPr>
        <w:t xml:space="preserve"> Imagining Future Crime in the “War on Terror”’,</w:t>
      </w:r>
      <w:r w:rsidRPr="009556DD">
        <w:rPr>
          <w:sz w:val="20"/>
          <w:szCs w:val="20"/>
        </w:rPr>
        <w:t xml:space="preserve"> </w:t>
      </w:r>
      <w:r w:rsidRPr="009556DD">
        <w:rPr>
          <w:i/>
          <w:sz w:val="20"/>
          <w:szCs w:val="20"/>
        </w:rPr>
        <w:t>The British Journal of Criminology</w:t>
      </w:r>
      <w:r>
        <w:rPr>
          <w:sz w:val="20"/>
          <w:szCs w:val="20"/>
        </w:rPr>
        <w:t xml:space="preserve"> 49:</w:t>
      </w:r>
      <w:r w:rsidRPr="009556DD">
        <w:rPr>
          <w:sz w:val="20"/>
          <w:szCs w:val="20"/>
        </w:rPr>
        <w:t>5</w:t>
      </w:r>
      <w:r>
        <w:rPr>
          <w:sz w:val="20"/>
          <w:szCs w:val="20"/>
        </w:rPr>
        <w:t xml:space="preserve"> (2009), pp. 628-</w:t>
      </w:r>
      <w:r w:rsidRPr="009556DD">
        <w:rPr>
          <w:sz w:val="20"/>
          <w:szCs w:val="20"/>
        </w:rPr>
        <w:t xml:space="preserve">45; </w:t>
      </w:r>
      <w:r>
        <w:rPr>
          <w:sz w:val="20"/>
          <w:szCs w:val="20"/>
        </w:rPr>
        <w:t>Kevin A. O’Brien,</w:t>
      </w:r>
      <w:r w:rsidRPr="009556DD">
        <w:rPr>
          <w:sz w:val="20"/>
          <w:szCs w:val="20"/>
        </w:rPr>
        <w:t xml:space="preserve"> </w:t>
      </w:r>
      <w:r>
        <w:rPr>
          <w:sz w:val="20"/>
          <w:szCs w:val="20"/>
        </w:rPr>
        <w:t>‘</w:t>
      </w:r>
      <w:r w:rsidRPr="009556DD">
        <w:rPr>
          <w:sz w:val="20"/>
          <w:szCs w:val="20"/>
        </w:rPr>
        <w:t>Managing national security and law enforcement int</w:t>
      </w:r>
      <w:r>
        <w:rPr>
          <w:sz w:val="20"/>
          <w:szCs w:val="20"/>
        </w:rPr>
        <w:t>elligence in a globalised world’,</w:t>
      </w:r>
      <w:r w:rsidRPr="009556DD">
        <w:rPr>
          <w:sz w:val="20"/>
          <w:szCs w:val="20"/>
        </w:rPr>
        <w:t xml:space="preserve"> </w:t>
      </w:r>
      <w:r w:rsidRPr="009556DD">
        <w:rPr>
          <w:i/>
          <w:sz w:val="20"/>
          <w:szCs w:val="20"/>
        </w:rPr>
        <w:t>Review of International Studies</w:t>
      </w:r>
      <w:r>
        <w:rPr>
          <w:sz w:val="20"/>
          <w:szCs w:val="20"/>
        </w:rPr>
        <w:t xml:space="preserve"> 35:</w:t>
      </w:r>
      <w:r w:rsidRPr="009556DD">
        <w:rPr>
          <w:sz w:val="20"/>
          <w:szCs w:val="20"/>
        </w:rPr>
        <w:t>4</w:t>
      </w:r>
      <w:r>
        <w:rPr>
          <w:sz w:val="20"/>
          <w:szCs w:val="20"/>
        </w:rPr>
        <w:t xml:space="preserve"> (2009), p. 905; </w:t>
      </w:r>
      <w:proofErr w:type="spellStart"/>
      <w:r>
        <w:rPr>
          <w:sz w:val="20"/>
          <w:szCs w:val="20"/>
        </w:rPr>
        <w:t>Raffaello</w:t>
      </w:r>
      <w:proofErr w:type="spellEnd"/>
      <w:r>
        <w:rPr>
          <w:sz w:val="20"/>
          <w:szCs w:val="20"/>
        </w:rPr>
        <w:t xml:space="preserve"> </w:t>
      </w:r>
      <w:proofErr w:type="spellStart"/>
      <w:r>
        <w:rPr>
          <w:sz w:val="20"/>
          <w:szCs w:val="20"/>
        </w:rPr>
        <w:t>Pantucci</w:t>
      </w:r>
      <w:proofErr w:type="spellEnd"/>
      <w:r>
        <w:rPr>
          <w:sz w:val="20"/>
          <w:szCs w:val="20"/>
        </w:rPr>
        <w:t>, ‘</w:t>
      </w:r>
      <w:r w:rsidRPr="005D7F70">
        <w:rPr>
          <w:sz w:val="20"/>
          <w:szCs w:val="20"/>
        </w:rPr>
        <w:t xml:space="preserve">A contest to democracy? How the UK has responded </w:t>
      </w:r>
      <w:r>
        <w:rPr>
          <w:sz w:val="20"/>
          <w:szCs w:val="20"/>
        </w:rPr>
        <w:t>to the current terrorist threat’,</w:t>
      </w:r>
      <w:r w:rsidRPr="005D7F70">
        <w:rPr>
          <w:sz w:val="20"/>
          <w:szCs w:val="20"/>
        </w:rPr>
        <w:t xml:space="preserve"> </w:t>
      </w:r>
      <w:r w:rsidRPr="005D7F70">
        <w:rPr>
          <w:i/>
          <w:sz w:val="20"/>
          <w:szCs w:val="20"/>
        </w:rPr>
        <w:t>Democratization</w:t>
      </w:r>
      <w:r>
        <w:rPr>
          <w:sz w:val="20"/>
          <w:szCs w:val="20"/>
        </w:rPr>
        <w:t xml:space="preserve"> 17:</w:t>
      </w:r>
      <w:r w:rsidRPr="005D7F70">
        <w:rPr>
          <w:sz w:val="20"/>
          <w:szCs w:val="20"/>
        </w:rPr>
        <w:t>2</w:t>
      </w:r>
      <w:r>
        <w:rPr>
          <w:sz w:val="20"/>
          <w:szCs w:val="20"/>
        </w:rPr>
        <w:t xml:space="preserve"> (2010), p. 259</w:t>
      </w:r>
      <w:proofErr w:type="gramStart"/>
      <w:r>
        <w:rPr>
          <w:sz w:val="20"/>
          <w:szCs w:val="20"/>
        </w:rPr>
        <w:t>;</w:t>
      </w:r>
      <w:proofErr w:type="gramEnd"/>
      <w:r w:rsidRPr="009556DD">
        <w:rPr>
          <w:sz w:val="20"/>
          <w:szCs w:val="20"/>
        </w:rPr>
        <w:t xml:space="preserve"> </w:t>
      </w:r>
      <w:r>
        <w:rPr>
          <w:sz w:val="20"/>
          <w:szCs w:val="20"/>
        </w:rPr>
        <w:t xml:space="preserve">Gabe </w:t>
      </w:r>
      <w:proofErr w:type="spellStart"/>
      <w:r>
        <w:rPr>
          <w:sz w:val="20"/>
          <w:szCs w:val="20"/>
        </w:rPr>
        <w:t>Mythen</w:t>
      </w:r>
      <w:proofErr w:type="spellEnd"/>
      <w:r>
        <w:rPr>
          <w:sz w:val="20"/>
          <w:szCs w:val="20"/>
        </w:rPr>
        <w:t>,</w:t>
      </w:r>
      <w:r w:rsidRPr="009556DD">
        <w:rPr>
          <w:sz w:val="20"/>
          <w:szCs w:val="20"/>
        </w:rPr>
        <w:t xml:space="preserve"> ‘No one speaks for us’: security policy, suspected commu</w:t>
      </w:r>
      <w:r>
        <w:rPr>
          <w:sz w:val="20"/>
          <w:szCs w:val="20"/>
        </w:rPr>
        <w:t>nities and the problem of voice’,</w:t>
      </w:r>
      <w:r w:rsidRPr="009556DD">
        <w:rPr>
          <w:sz w:val="20"/>
          <w:szCs w:val="20"/>
        </w:rPr>
        <w:t xml:space="preserve"> </w:t>
      </w:r>
      <w:r w:rsidRPr="009556DD">
        <w:rPr>
          <w:i/>
          <w:sz w:val="20"/>
          <w:szCs w:val="20"/>
        </w:rPr>
        <w:t>Critical Studies on Terrorism</w:t>
      </w:r>
      <w:r>
        <w:rPr>
          <w:sz w:val="20"/>
          <w:szCs w:val="20"/>
        </w:rPr>
        <w:t xml:space="preserve"> 5:</w:t>
      </w:r>
      <w:r w:rsidRPr="009556DD">
        <w:rPr>
          <w:sz w:val="20"/>
          <w:szCs w:val="20"/>
        </w:rPr>
        <w:t>3</w:t>
      </w:r>
      <w:r>
        <w:rPr>
          <w:sz w:val="20"/>
          <w:szCs w:val="20"/>
        </w:rPr>
        <w:t xml:space="preserve"> (2002), p.</w:t>
      </w:r>
      <w:r w:rsidRPr="009556DD">
        <w:rPr>
          <w:sz w:val="20"/>
          <w:szCs w:val="20"/>
        </w:rPr>
        <w:t xml:space="preserve"> 410.</w:t>
      </w:r>
    </w:p>
  </w:footnote>
  <w:footnote w:id="15">
    <w:p w14:paraId="628A2C83" w14:textId="5A1CD856" w:rsidR="002F5A1C" w:rsidRPr="009556DD" w:rsidRDefault="002F5A1C" w:rsidP="00683913">
      <w:pPr>
        <w:rPr>
          <w:sz w:val="20"/>
          <w:szCs w:val="20"/>
        </w:rPr>
      </w:pPr>
      <w:r w:rsidRPr="009556DD">
        <w:rPr>
          <w:rStyle w:val="FootnoteReference"/>
          <w:sz w:val="20"/>
          <w:szCs w:val="20"/>
        </w:rPr>
        <w:footnoteRef/>
      </w:r>
      <w:r>
        <w:rPr>
          <w:sz w:val="20"/>
          <w:szCs w:val="20"/>
        </w:rPr>
        <w:t xml:space="preserve"> Charlotte Heath-Kelly,</w:t>
      </w:r>
      <w:r w:rsidRPr="009556DD">
        <w:rPr>
          <w:sz w:val="20"/>
          <w:szCs w:val="20"/>
        </w:rPr>
        <w:t xml:space="preserve"> </w:t>
      </w:r>
      <w:r>
        <w:rPr>
          <w:sz w:val="20"/>
          <w:szCs w:val="20"/>
        </w:rPr>
        <w:t>‘</w:t>
      </w:r>
      <w:proofErr w:type="gramStart"/>
      <w:r w:rsidRPr="009556DD">
        <w:rPr>
          <w:sz w:val="20"/>
          <w:szCs w:val="20"/>
        </w:rPr>
        <w:t>The</w:t>
      </w:r>
      <w:proofErr w:type="gramEnd"/>
      <w:r w:rsidRPr="009556DD">
        <w:rPr>
          <w:sz w:val="20"/>
          <w:szCs w:val="20"/>
        </w:rPr>
        <w:t xml:space="preserve"> geography of pre-criminal space: epidemiological imaginations of radicalization risk in t</w:t>
      </w:r>
      <w:r>
        <w:rPr>
          <w:sz w:val="20"/>
          <w:szCs w:val="20"/>
        </w:rPr>
        <w:t>he UK Prevent Strategy, 2007-17’,</w:t>
      </w:r>
      <w:r w:rsidRPr="009556DD">
        <w:rPr>
          <w:sz w:val="20"/>
          <w:szCs w:val="20"/>
        </w:rPr>
        <w:t xml:space="preserve"> </w:t>
      </w:r>
      <w:r w:rsidRPr="009556DD">
        <w:rPr>
          <w:i/>
          <w:sz w:val="20"/>
          <w:szCs w:val="20"/>
        </w:rPr>
        <w:t>Critical Studies on Terrorism</w:t>
      </w:r>
      <w:r>
        <w:rPr>
          <w:i/>
          <w:sz w:val="20"/>
          <w:szCs w:val="20"/>
        </w:rPr>
        <w:t xml:space="preserve"> </w:t>
      </w:r>
      <w:r>
        <w:rPr>
          <w:sz w:val="20"/>
          <w:szCs w:val="20"/>
        </w:rPr>
        <w:t>10:2 (2017), pp. 297-319.</w:t>
      </w:r>
    </w:p>
  </w:footnote>
  <w:footnote w:id="16">
    <w:p w14:paraId="071C9FA0" w14:textId="293E8792" w:rsidR="002F5A1C" w:rsidRPr="009556DD" w:rsidRDefault="002F5A1C" w:rsidP="00683913">
      <w:pPr>
        <w:rPr>
          <w:sz w:val="20"/>
          <w:szCs w:val="20"/>
        </w:rPr>
      </w:pPr>
      <w:r w:rsidRPr="009556DD">
        <w:rPr>
          <w:rStyle w:val="FootnoteReference"/>
          <w:sz w:val="20"/>
          <w:szCs w:val="20"/>
        </w:rPr>
        <w:footnoteRef/>
      </w:r>
      <w:r>
        <w:rPr>
          <w:sz w:val="20"/>
          <w:szCs w:val="20"/>
        </w:rPr>
        <w:t xml:space="preserve"> </w:t>
      </w:r>
      <w:proofErr w:type="spellStart"/>
      <w:r>
        <w:rPr>
          <w:sz w:val="20"/>
          <w:szCs w:val="20"/>
        </w:rPr>
        <w:t>Aislinn</w:t>
      </w:r>
      <w:proofErr w:type="spellEnd"/>
      <w:r>
        <w:rPr>
          <w:sz w:val="20"/>
          <w:szCs w:val="20"/>
        </w:rPr>
        <w:t xml:space="preserve"> O’Donnell, ‘</w:t>
      </w:r>
      <w:r w:rsidRPr="009556DD">
        <w:rPr>
          <w:sz w:val="20"/>
          <w:szCs w:val="20"/>
        </w:rPr>
        <w:t>Contagious ideas: vulnerability, epistemic justice and</w:t>
      </w:r>
      <w:r>
        <w:rPr>
          <w:sz w:val="20"/>
          <w:szCs w:val="20"/>
        </w:rPr>
        <w:t xml:space="preserve"> counter-terrorism in education’,</w:t>
      </w:r>
      <w:r w:rsidRPr="009556DD">
        <w:rPr>
          <w:sz w:val="20"/>
          <w:szCs w:val="20"/>
        </w:rPr>
        <w:t xml:space="preserve"> </w:t>
      </w:r>
      <w:r w:rsidRPr="009556DD">
        <w:rPr>
          <w:i/>
          <w:sz w:val="20"/>
          <w:szCs w:val="20"/>
        </w:rPr>
        <w:t>Educational Philosophy and Theory</w:t>
      </w:r>
      <w:r>
        <w:rPr>
          <w:sz w:val="20"/>
          <w:szCs w:val="20"/>
        </w:rPr>
        <w:t xml:space="preserve"> 50:10 (2016), p. </w:t>
      </w:r>
      <w:r w:rsidRPr="009556DD">
        <w:rPr>
          <w:rFonts w:eastAsia="Times New Roman"/>
          <w:sz w:val="20"/>
          <w:szCs w:val="20"/>
        </w:rPr>
        <w:t>12.</w:t>
      </w:r>
    </w:p>
  </w:footnote>
  <w:footnote w:id="17">
    <w:p w14:paraId="30EBFC06" w14:textId="5EE3AF1A" w:rsidR="002F5A1C" w:rsidRPr="009556DD" w:rsidRDefault="002F5A1C" w:rsidP="00D14CB7">
      <w:pPr>
        <w:rPr>
          <w:sz w:val="20"/>
          <w:szCs w:val="20"/>
        </w:rPr>
      </w:pPr>
      <w:r w:rsidRPr="009556DD">
        <w:rPr>
          <w:rStyle w:val="FootnoteReference"/>
          <w:sz w:val="20"/>
          <w:szCs w:val="20"/>
        </w:rPr>
        <w:footnoteRef/>
      </w:r>
      <w:r w:rsidRPr="009556DD">
        <w:rPr>
          <w:sz w:val="20"/>
          <w:szCs w:val="20"/>
        </w:rPr>
        <w:t xml:space="preserve"> </w:t>
      </w:r>
      <w:r>
        <w:rPr>
          <w:sz w:val="20"/>
          <w:szCs w:val="20"/>
        </w:rPr>
        <w:t xml:space="preserve">Charlotte </w:t>
      </w:r>
      <w:r w:rsidRPr="009556DD">
        <w:rPr>
          <w:sz w:val="20"/>
          <w:szCs w:val="20"/>
        </w:rPr>
        <w:t>Heath-Kelly</w:t>
      </w:r>
      <w:r>
        <w:rPr>
          <w:sz w:val="20"/>
          <w:szCs w:val="20"/>
        </w:rPr>
        <w:t>,</w:t>
      </w:r>
      <w:r w:rsidRPr="009556DD">
        <w:rPr>
          <w:sz w:val="20"/>
          <w:szCs w:val="20"/>
        </w:rPr>
        <w:t xml:space="preserve"> </w:t>
      </w:r>
      <w:r>
        <w:rPr>
          <w:sz w:val="20"/>
          <w:szCs w:val="20"/>
        </w:rPr>
        <w:t>‘</w:t>
      </w:r>
      <w:r w:rsidRPr="009556DD">
        <w:rPr>
          <w:sz w:val="20"/>
          <w:szCs w:val="20"/>
        </w:rPr>
        <w:t xml:space="preserve">Reinventing prevention or exposing the gap? </w:t>
      </w:r>
      <w:proofErr w:type="gramStart"/>
      <w:r w:rsidRPr="009556DD">
        <w:rPr>
          <w:sz w:val="20"/>
          <w:szCs w:val="20"/>
        </w:rPr>
        <w:t>False positives in UK terrorism governanc</w:t>
      </w:r>
      <w:r>
        <w:rPr>
          <w:sz w:val="20"/>
          <w:szCs w:val="20"/>
        </w:rPr>
        <w:t>e and the quest for pre-emption’,</w:t>
      </w:r>
      <w:r w:rsidRPr="009556DD">
        <w:rPr>
          <w:sz w:val="20"/>
          <w:szCs w:val="20"/>
        </w:rPr>
        <w:t xml:space="preserve"> </w:t>
      </w:r>
      <w:r w:rsidRPr="009556DD">
        <w:rPr>
          <w:i/>
          <w:sz w:val="20"/>
          <w:szCs w:val="20"/>
        </w:rPr>
        <w:t>Critical Studies on Terrorism</w:t>
      </w:r>
      <w:r>
        <w:rPr>
          <w:sz w:val="20"/>
          <w:szCs w:val="20"/>
        </w:rPr>
        <w:t xml:space="preserve"> 5:</w:t>
      </w:r>
      <w:r w:rsidRPr="009556DD">
        <w:rPr>
          <w:sz w:val="20"/>
          <w:szCs w:val="20"/>
        </w:rPr>
        <w:t>1</w:t>
      </w:r>
      <w:r>
        <w:rPr>
          <w:sz w:val="20"/>
          <w:szCs w:val="20"/>
        </w:rPr>
        <w:t xml:space="preserve"> (2010), pp.</w:t>
      </w:r>
      <w:r w:rsidRPr="009556DD">
        <w:rPr>
          <w:sz w:val="20"/>
          <w:szCs w:val="20"/>
        </w:rPr>
        <w:t xml:space="preserve"> 69-87.</w:t>
      </w:r>
      <w:proofErr w:type="gramEnd"/>
    </w:p>
  </w:footnote>
  <w:footnote w:id="18">
    <w:p w14:paraId="7B9364EA" w14:textId="20E9C471" w:rsidR="002F5A1C" w:rsidRPr="009556DD" w:rsidRDefault="002F5A1C" w:rsidP="00445640">
      <w:pPr>
        <w:rPr>
          <w:sz w:val="20"/>
          <w:szCs w:val="20"/>
        </w:rPr>
      </w:pPr>
      <w:r w:rsidRPr="005D7F70">
        <w:rPr>
          <w:rStyle w:val="FootnoteReference"/>
          <w:sz w:val="20"/>
          <w:szCs w:val="20"/>
        </w:rPr>
        <w:footnoteRef/>
      </w:r>
      <w:r w:rsidRPr="005D7F70">
        <w:rPr>
          <w:sz w:val="20"/>
          <w:szCs w:val="20"/>
        </w:rPr>
        <w:t xml:space="preserve"> </w:t>
      </w:r>
      <w:r>
        <w:rPr>
          <w:sz w:val="20"/>
          <w:szCs w:val="20"/>
        </w:rPr>
        <w:t>In Grice, ‘</w:t>
      </w:r>
      <w:r w:rsidRPr="005D7F70">
        <w:rPr>
          <w:sz w:val="20"/>
          <w:szCs w:val="20"/>
        </w:rPr>
        <w:t>Theresa May cuts a reassuring figure</w:t>
      </w:r>
      <w:r>
        <w:rPr>
          <w:sz w:val="20"/>
          <w:szCs w:val="20"/>
        </w:rPr>
        <w:t>.’</w:t>
      </w:r>
    </w:p>
  </w:footnote>
  <w:footnote w:id="19">
    <w:p w14:paraId="1085F243" w14:textId="7F3ABC00" w:rsidR="002F5A1C" w:rsidRPr="00D274CD" w:rsidRDefault="002F5A1C" w:rsidP="00DE244A">
      <w:pPr>
        <w:rPr>
          <w:sz w:val="20"/>
          <w:szCs w:val="20"/>
        </w:rPr>
      </w:pPr>
      <w:r w:rsidRPr="00D274CD">
        <w:rPr>
          <w:rStyle w:val="FootnoteReference"/>
          <w:sz w:val="20"/>
          <w:szCs w:val="20"/>
        </w:rPr>
        <w:footnoteRef/>
      </w:r>
      <w:r w:rsidRPr="00D274CD">
        <w:rPr>
          <w:sz w:val="20"/>
          <w:szCs w:val="20"/>
        </w:rPr>
        <w:t xml:space="preserve"> </w:t>
      </w:r>
      <w:proofErr w:type="gramStart"/>
      <w:r>
        <w:rPr>
          <w:sz w:val="20"/>
          <w:szCs w:val="20"/>
        </w:rPr>
        <w:t>Anthony D. Romero, ‘</w:t>
      </w:r>
      <w:r w:rsidRPr="00D274CD">
        <w:rPr>
          <w:sz w:val="20"/>
          <w:szCs w:val="20"/>
        </w:rPr>
        <w:t>In Defense of Liberty at a</w:t>
      </w:r>
      <w:r>
        <w:rPr>
          <w:sz w:val="20"/>
          <w:szCs w:val="20"/>
        </w:rPr>
        <w:t xml:space="preserve"> Time of National Emergency’,</w:t>
      </w:r>
      <w:r w:rsidRPr="00D274CD">
        <w:rPr>
          <w:sz w:val="20"/>
          <w:szCs w:val="20"/>
        </w:rPr>
        <w:t xml:space="preserve"> </w:t>
      </w:r>
      <w:r w:rsidRPr="00D274CD">
        <w:rPr>
          <w:i/>
          <w:sz w:val="20"/>
          <w:szCs w:val="20"/>
        </w:rPr>
        <w:t>Human Rights</w:t>
      </w:r>
      <w:r w:rsidRPr="00D274CD">
        <w:rPr>
          <w:sz w:val="20"/>
          <w:szCs w:val="20"/>
        </w:rPr>
        <w:t xml:space="preserve"> 29</w:t>
      </w:r>
      <w:r>
        <w:rPr>
          <w:sz w:val="20"/>
          <w:szCs w:val="20"/>
        </w:rPr>
        <w:t>:1 (2002), pp.</w:t>
      </w:r>
      <w:r w:rsidRPr="00D274CD">
        <w:rPr>
          <w:sz w:val="20"/>
          <w:szCs w:val="20"/>
        </w:rPr>
        <w:t xml:space="preserve"> 16-17</w:t>
      </w:r>
      <w:r>
        <w:rPr>
          <w:sz w:val="20"/>
          <w:szCs w:val="20"/>
        </w:rPr>
        <w:t>, 24-25.</w:t>
      </w:r>
      <w:proofErr w:type="gramEnd"/>
    </w:p>
  </w:footnote>
  <w:footnote w:id="20">
    <w:p w14:paraId="6677F852" w14:textId="69F48BC7" w:rsidR="002F5A1C" w:rsidRPr="00B61248" w:rsidRDefault="002F5A1C" w:rsidP="008A7160">
      <w:pPr>
        <w:pStyle w:val="FootnoteText"/>
        <w:rPr>
          <w:szCs w:val="20"/>
          <w:lang w:val="en-US"/>
        </w:rPr>
      </w:pPr>
      <w:r w:rsidRPr="00B61248">
        <w:rPr>
          <w:rStyle w:val="FootnoteReference"/>
          <w:szCs w:val="20"/>
        </w:rPr>
        <w:footnoteRef/>
      </w:r>
      <w:r>
        <w:rPr>
          <w:szCs w:val="20"/>
        </w:rPr>
        <w:t xml:space="preserve"> Annika</w:t>
      </w:r>
      <w:r w:rsidRPr="00B61248">
        <w:rPr>
          <w:szCs w:val="20"/>
        </w:rPr>
        <w:t xml:space="preserve"> </w:t>
      </w:r>
      <w:proofErr w:type="spellStart"/>
      <w:r>
        <w:rPr>
          <w:szCs w:val="20"/>
          <w:lang w:val="en-US"/>
        </w:rPr>
        <w:t>Bjorkdahl</w:t>
      </w:r>
      <w:proofErr w:type="spellEnd"/>
      <w:r>
        <w:rPr>
          <w:szCs w:val="20"/>
          <w:lang w:val="en-US"/>
        </w:rPr>
        <w:t>,</w:t>
      </w:r>
      <w:r w:rsidRPr="00B61248">
        <w:rPr>
          <w:szCs w:val="20"/>
          <w:lang w:val="en-US"/>
        </w:rPr>
        <w:t xml:space="preserve"> ‘Norms in International Relations: Some Conceptual and Methodological Reflections’, </w:t>
      </w:r>
      <w:r w:rsidRPr="006A70F7">
        <w:rPr>
          <w:i/>
          <w:szCs w:val="20"/>
          <w:lang w:val="en-US"/>
        </w:rPr>
        <w:t>Cambridge Review of International Affairs</w:t>
      </w:r>
      <w:r>
        <w:rPr>
          <w:szCs w:val="20"/>
          <w:lang w:val="en-US"/>
        </w:rPr>
        <w:t xml:space="preserve"> 15:</w:t>
      </w:r>
      <w:r w:rsidRPr="00B61248">
        <w:rPr>
          <w:szCs w:val="20"/>
          <w:lang w:val="en-US"/>
        </w:rPr>
        <w:t>1</w:t>
      </w:r>
      <w:r>
        <w:rPr>
          <w:szCs w:val="20"/>
          <w:lang w:val="en-US"/>
        </w:rPr>
        <w:t xml:space="preserve"> (2002), p.</w:t>
      </w:r>
      <w:r w:rsidRPr="00B61248">
        <w:rPr>
          <w:szCs w:val="20"/>
          <w:lang w:val="en-US"/>
        </w:rPr>
        <w:t xml:space="preserve"> 13</w:t>
      </w:r>
      <w:r>
        <w:rPr>
          <w:szCs w:val="20"/>
          <w:lang w:val="en-US"/>
        </w:rPr>
        <w:t>.</w:t>
      </w:r>
    </w:p>
  </w:footnote>
  <w:footnote w:id="21">
    <w:p w14:paraId="237E3CD4" w14:textId="0B4B440A" w:rsidR="002F5A1C" w:rsidRPr="000B2216" w:rsidRDefault="002F5A1C" w:rsidP="008A7160">
      <w:pPr>
        <w:pStyle w:val="FootnoteText"/>
        <w:rPr>
          <w:bCs/>
          <w:szCs w:val="20"/>
          <w:lang w:val="en-US" w:bidi="en-US"/>
        </w:rPr>
      </w:pPr>
      <w:r w:rsidRPr="00B61248">
        <w:rPr>
          <w:rStyle w:val="FootnoteReference"/>
          <w:szCs w:val="20"/>
        </w:rPr>
        <w:footnoteRef/>
      </w:r>
      <w:r>
        <w:rPr>
          <w:szCs w:val="20"/>
        </w:rPr>
        <w:t xml:space="preserve"> Peter </w:t>
      </w:r>
      <w:proofErr w:type="spellStart"/>
      <w:r>
        <w:rPr>
          <w:szCs w:val="20"/>
        </w:rPr>
        <w:t>Katzenstein</w:t>
      </w:r>
      <w:proofErr w:type="spellEnd"/>
      <w:r>
        <w:rPr>
          <w:szCs w:val="20"/>
        </w:rPr>
        <w:t>,</w:t>
      </w:r>
      <w:r w:rsidRPr="00B61248">
        <w:rPr>
          <w:szCs w:val="20"/>
        </w:rPr>
        <w:t xml:space="preserve"> ‘Introduction: Alternative Perspectives on National Security’, </w:t>
      </w:r>
      <w:r w:rsidRPr="00B61248">
        <w:rPr>
          <w:szCs w:val="20"/>
          <w:lang w:val="en-US" w:bidi="en-US"/>
        </w:rPr>
        <w:t xml:space="preserve">in Peter </w:t>
      </w:r>
      <w:proofErr w:type="spellStart"/>
      <w:r w:rsidRPr="00B61248">
        <w:rPr>
          <w:szCs w:val="20"/>
          <w:lang w:val="en-US" w:bidi="en-US"/>
        </w:rPr>
        <w:t>Katzenstein</w:t>
      </w:r>
      <w:proofErr w:type="spellEnd"/>
      <w:r w:rsidRPr="00B61248">
        <w:rPr>
          <w:szCs w:val="20"/>
          <w:lang w:val="en-US" w:bidi="en-US"/>
        </w:rPr>
        <w:t xml:space="preserve"> (ed</w:t>
      </w:r>
      <w:r>
        <w:rPr>
          <w:szCs w:val="20"/>
          <w:lang w:val="en-US" w:bidi="en-US"/>
        </w:rPr>
        <w:t>.</w:t>
      </w:r>
      <w:r w:rsidRPr="00B61248">
        <w:rPr>
          <w:szCs w:val="20"/>
          <w:lang w:val="en-US" w:bidi="en-US"/>
        </w:rPr>
        <w:t>)</w:t>
      </w:r>
      <w:r>
        <w:rPr>
          <w:szCs w:val="20"/>
          <w:lang w:val="en-US" w:bidi="en-US"/>
        </w:rPr>
        <w:t>,</w:t>
      </w:r>
      <w:r w:rsidRPr="00B61248">
        <w:rPr>
          <w:szCs w:val="20"/>
          <w:lang w:val="en-US" w:bidi="en-US"/>
        </w:rPr>
        <w:t xml:space="preserve"> </w:t>
      </w:r>
      <w:r w:rsidRPr="006A70F7">
        <w:rPr>
          <w:i/>
          <w:szCs w:val="20"/>
          <w:lang w:val="en-US" w:bidi="en-US"/>
        </w:rPr>
        <w:t>The Culture of National Security: Norms and Identity in World Politics</w:t>
      </w:r>
      <w:r w:rsidRPr="00B61248">
        <w:rPr>
          <w:szCs w:val="20"/>
          <w:lang w:val="en-US" w:bidi="en-US"/>
        </w:rPr>
        <w:t xml:space="preserve"> (New York: Columbia University Press</w:t>
      </w:r>
      <w:r>
        <w:rPr>
          <w:szCs w:val="20"/>
          <w:lang w:val="en-US" w:bidi="en-US"/>
        </w:rPr>
        <w:t>, 1996</w:t>
      </w:r>
      <w:r w:rsidRPr="00B61248">
        <w:rPr>
          <w:szCs w:val="20"/>
          <w:lang w:val="en-US" w:bidi="en-US"/>
        </w:rPr>
        <w:t>)</w:t>
      </w:r>
      <w:r>
        <w:rPr>
          <w:bCs/>
          <w:szCs w:val="20"/>
          <w:lang w:val="en-US" w:bidi="en-US"/>
        </w:rPr>
        <w:t>, p.</w:t>
      </w:r>
      <w:r w:rsidRPr="00B61248">
        <w:rPr>
          <w:bCs/>
          <w:szCs w:val="20"/>
          <w:lang w:val="en-US" w:bidi="en-US"/>
        </w:rPr>
        <w:t xml:space="preserve"> 5.</w:t>
      </w:r>
      <w:r>
        <w:rPr>
          <w:bCs/>
          <w:szCs w:val="20"/>
          <w:lang w:val="en-US" w:bidi="en-US"/>
        </w:rPr>
        <w:t xml:space="preserve"> The concept of ‘proper’ behavior is also employed by Martha </w:t>
      </w:r>
      <w:proofErr w:type="spellStart"/>
      <w:r>
        <w:rPr>
          <w:bCs/>
          <w:szCs w:val="20"/>
          <w:lang w:val="en-US" w:bidi="en-US"/>
        </w:rPr>
        <w:t>Finnemore</w:t>
      </w:r>
      <w:proofErr w:type="spellEnd"/>
      <w:r>
        <w:rPr>
          <w:bCs/>
          <w:szCs w:val="20"/>
          <w:lang w:val="en-US" w:bidi="en-US"/>
        </w:rPr>
        <w:t xml:space="preserve"> and Kathryn </w:t>
      </w:r>
      <w:proofErr w:type="spellStart"/>
      <w:r>
        <w:rPr>
          <w:bCs/>
          <w:szCs w:val="20"/>
          <w:lang w:val="en-US" w:bidi="en-US"/>
        </w:rPr>
        <w:t>Sikkink</w:t>
      </w:r>
      <w:proofErr w:type="spellEnd"/>
      <w:r>
        <w:rPr>
          <w:bCs/>
          <w:szCs w:val="20"/>
          <w:lang w:val="en-US" w:bidi="en-US"/>
        </w:rPr>
        <w:t xml:space="preserve">, ‘International Norm Dynamics and Political Change’, </w:t>
      </w:r>
      <w:r w:rsidRPr="0043000B">
        <w:rPr>
          <w:bCs/>
          <w:i/>
          <w:szCs w:val="20"/>
          <w:lang w:val="en-US" w:bidi="en-US"/>
        </w:rPr>
        <w:t>International Organization</w:t>
      </w:r>
      <w:r>
        <w:rPr>
          <w:bCs/>
          <w:szCs w:val="20"/>
          <w:lang w:val="en-US" w:bidi="en-US"/>
        </w:rPr>
        <w:t xml:space="preserve"> 52:4 (1998), p. 891.</w:t>
      </w:r>
    </w:p>
  </w:footnote>
  <w:footnote w:id="22">
    <w:p w14:paraId="2EE78CA2" w14:textId="4321E896" w:rsidR="002F5A1C" w:rsidRPr="00870BC9" w:rsidRDefault="002F5A1C">
      <w:pPr>
        <w:pStyle w:val="FootnoteText"/>
        <w:rPr>
          <w:lang w:val="en-US"/>
        </w:rPr>
      </w:pPr>
      <w:r>
        <w:rPr>
          <w:rStyle w:val="FootnoteReference"/>
        </w:rPr>
        <w:footnoteRef/>
      </w:r>
      <w:r>
        <w:t xml:space="preserve"> </w:t>
      </w:r>
      <w:proofErr w:type="spellStart"/>
      <w:r>
        <w:rPr>
          <w:lang w:val="en-US"/>
        </w:rPr>
        <w:t>Tsoukala</w:t>
      </w:r>
      <w:proofErr w:type="spellEnd"/>
      <w:r>
        <w:rPr>
          <w:lang w:val="en-US"/>
        </w:rPr>
        <w:t>, ‘Light of Security.’</w:t>
      </w:r>
    </w:p>
  </w:footnote>
  <w:footnote w:id="23">
    <w:p w14:paraId="55B0112B" w14:textId="24E2102E" w:rsidR="002F5A1C" w:rsidRPr="00870BC9" w:rsidRDefault="002F5A1C" w:rsidP="00870BC9">
      <w:pPr>
        <w:rPr>
          <w:color w:val="262626"/>
          <w:sz w:val="20"/>
          <w:szCs w:val="20"/>
          <w:lang w:eastAsia="ja-JP"/>
        </w:rPr>
      </w:pPr>
      <w:r w:rsidRPr="00870BC9">
        <w:rPr>
          <w:rStyle w:val="FootnoteReference"/>
          <w:sz w:val="20"/>
          <w:szCs w:val="20"/>
        </w:rPr>
        <w:footnoteRef/>
      </w:r>
      <w:r w:rsidRPr="00870BC9">
        <w:rPr>
          <w:sz w:val="20"/>
          <w:szCs w:val="20"/>
        </w:rPr>
        <w:t xml:space="preserve"> </w:t>
      </w:r>
      <w:r>
        <w:rPr>
          <w:sz w:val="20"/>
          <w:szCs w:val="20"/>
        </w:rPr>
        <w:t xml:space="preserve">Michel </w:t>
      </w:r>
      <w:r>
        <w:rPr>
          <w:color w:val="262626"/>
          <w:sz w:val="20"/>
          <w:szCs w:val="20"/>
          <w:lang w:eastAsia="ja-JP"/>
        </w:rPr>
        <w:t>Foucault,</w:t>
      </w:r>
      <w:r w:rsidRPr="00870BC9">
        <w:rPr>
          <w:color w:val="262626"/>
          <w:sz w:val="20"/>
          <w:szCs w:val="20"/>
          <w:lang w:eastAsia="ja-JP"/>
        </w:rPr>
        <w:t xml:space="preserve"> </w:t>
      </w:r>
      <w:r>
        <w:rPr>
          <w:color w:val="262626"/>
          <w:sz w:val="20"/>
          <w:szCs w:val="20"/>
          <w:lang w:eastAsia="ja-JP"/>
        </w:rPr>
        <w:t>‘</w:t>
      </w:r>
      <w:r w:rsidRPr="00870BC9">
        <w:rPr>
          <w:color w:val="262626"/>
          <w:sz w:val="20"/>
          <w:szCs w:val="20"/>
          <w:lang w:eastAsia="ja-JP"/>
        </w:rPr>
        <w:t>The Co</w:t>
      </w:r>
      <w:r>
        <w:rPr>
          <w:color w:val="262626"/>
          <w:sz w:val="20"/>
          <w:szCs w:val="20"/>
          <w:lang w:eastAsia="ja-JP"/>
        </w:rPr>
        <w:t>ncern for Truth’, in</w:t>
      </w:r>
      <w:r w:rsidRPr="00870BC9">
        <w:rPr>
          <w:color w:val="262626"/>
          <w:sz w:val="20"/>
          <w:szCs w:val="20"/>
          <w:lang w:eastAsia="ja-JP"/>
        </w:rPr>
        <w:t xml:space="preserve"> </w:t>
      </w:r>
      <w:proofErr w:type="spellStart"/>
      <w:r w:rsidRPr="00870BC9">
        <w:rPr>
          <w:color w:val="262626"/>
          <w:sz w:val="20"/>
          <w:szCs w:val="20"/>
          <w:lang w:eastAsia="ja-JP"/>
        </w:rPr>
        <w:t>Kriztman</w:t>
      </w:r>
      <w:proofErr w:type="spellEnd"/>
      <w:r w:rsidRPr="00870BC9">
        <w:rPr>
          <w:color w:val="262626"/>
          <w:sz w:val="20"/>
          <w:szCs w:val="20"/>
          <w:lang w:eastAsia="ja-JP"/>
        </w:rPr>
        <w:t xml:space="preserve"> Lawrence (ed.) </w:t>
      </w:r>
      <w:r w:rsidRPr="00870BC9">
        <w:rPr>
          <w:i/>
          <w:color w:val="262626"/>
          <w:sz w:val="20"/>
          <w:szCs w:val="20"/>
          <w:lang w:eastAsia="ja-JP"/>
        </w:rPr>
        <w:t>Politics, Philosophy, Culture: Interviews and Other Writings 1977-1984</w:t>
      </w:r>
      <w:r>
        <w:rPr>
          <w:color w:val="262626"/>
          <w:sz w:val="20"/>
          <w:szCs w:val="20"/>
          <w:lang w:eastAsia="ja-JP"/>
        </w:rPr>
        <w:t xml:space="preserve"> (London: Routledge, 1988), pp.</w:t>
      </w:r>
      <w:r w:rsidRPr="00870BC9">
        <w:rPr>
          <w:color w:val="262626"/>
          <w:sz w:val="20"/>
          <w:szCs w:val="20"/>
          <w:lang w:eastAsia="ja-JP"/>
        </w:rPr>
        <w:t xml:space="preserve"> 255-70.</w:t>
      </w:r>
    </w:p>
  </w:footnote>
  <w:footnote w:id="24">
    <w:p w14:paraId="0C4024C3" w14:textId="7D36A865" w:rsidR="002F5A1C" w:rsidRPr="00D274CD" w:rsidRDefault="002F5A1C" w:rsidP="005C4170">
      <w:pPr>
        <w:rPr>
          <w:sz w:val="20"/>
          <w:szCs w:val="20"/>
        </w:rPr>
      </w:pPr>
      <w:r w:rsidRPr="00D274CD">
        <w:rPr>
          <w:rStyle w:val="FootnoteReference"/>
          <w:sz w:val="20"/>
          <w:szCs w:val="20"/>
        </w:rPr>
        <w:footnoteRef/>
      </w:r>
      <w:r w:rsidRPr="00D274CD">
        <w:rPr>
          <w:sz w:val="20"/>
          <w:szCs w:val="20"/>
        </w:rPr>
        <w:t xml:space="preserve"> </w:t>
      </w:r>
      <w:proofErr w:type="spellStart"/>
      <w:r>
        <w:rPr>
          <w:sz w:val="20"/>
          <w:szCs w:val="20"/>
        </w:rPr>
        <w:t>Solon</w:t>
      </w:r>
      <w:proofErr w:type="spellEnd"/>
      <w:r>
        <w:rPr>
          <w:sz w:val="20"/>
          <w:szCs w:val="20"/>
        </w:rPr>
        <w:t xml:space="preserve"> Solomon, ‘</w:t>
      </w:r>
      <w:proofErr w:type="gramStart"/>
      <w:r w:rsidRPr="00D274CD">
        <w:rPr>
          <w:sz w:val="20"/>
          <w:szCs w:val="20"/>
        </w:rPr>
        <w:t>From</w:t>
      </w:r>
      <w:proofErr w:type="gramEnd"/>
      <w:r w:rsidRPr="00D274CD">
        <w:rPr>
          <w:sz w:val="20"/>
          <w:szCs w:val="20"/>
        </w:rPr>
        <w:t xml:space="preserve"> the barrier to refugee law: national security’s transformation from a balancing right to a background element in the real</w:t>
      </w:r>
      <w:r>
        <w:rPr>
          <w:sz w:val="20"/>
          <w:szCs w:val="20"/>
        </w:rPr>
        <w:t>ms of Israeli constitutionalism’,</w:t>
      </w:r>
      <w:r w:rsidRPr="00D274CD">
        <w:rPr>
          <w:sz w:val="20"/>
          <w:szCs w:val="20"/>
        </w:rPr>
        <w:t xml:space="preserve"> </w:t>
      </w:r>
      <w:r w:rsidRPr="00D274CD">
        <w:rPr>
          <w:i/>
          <w:sz w:val="20"/>
          <w:szCs w:val="20"/>
        </w:rPr>
        <w:t>The International Journal of Human Rights</w:t>
      </w:r>
      <w:r>
        <w:rPr>
          <w:sz w:val="20"/>
          <w:szCs w:val="20"/>
        </w:rPr>
        <w:t xml:space="preserve"> 19:</w:t>
      </w:r>
      <w:r w:rsidRPr="00D274CD">
        <w:rPr>
          <w:sz w:val="20"/>
          <w:szCs w:val="20"/>
        </w:rPr>
        <w:t>4</w:t>
      </w:r>
      <w:r>
        <w:rPr>
          <w:sz w:val="20"/>
          <w:szCs w:val="20"/>
        </w:rPr>
        <w:t xml:space="preserve"> (2015), p.</w:t>
      </w:r>
      <w:r w:rsidRPr="00D274CD">
        <w:rPr>
          <w:sz w:val="20"/>
          <w:szCs w:val="20"/>
        </w:rPr>
        <w:t xml:space="preserve"> 447.</w:t>
      </w:r>
    </w:p>
  </w:footnote>
  <w:footnote w:id="25">
    <w:p w14:paraId="2CE260F2" w14:textId="06E48B8D" w:rsidR="002F5A1C" w:rsidRPr="005C4170" w:rsidRDefault="002F5A1C">
      <w:pPr>
        <w:pStyle w:val="FootnoteText"/>
        <w:rPr>
          <w:lang w:val="en-US"/>
        </w:rPr>
      </w:pPr>
      <w:r>
        <w:rPr>
          <w:rStyle w:val="FootnoteReference"/>
        </w:rPr>
        <w:footnoteRef/>
      </w:r>
      <w:r>
        <w:t xml:space="preserve"> </w:t>
      </w:r>
      <w:proofErr w:type="spellStart"/>
      <w:r>
        <w:t>Sliwinkski</w:t>
      </w:r>
      <w:proofErr w:type="spellEnd"/>
      <w:r>
        <w:t>, ‘</w:t>
      </w:r>
      <w:r w:rsidRPr="005D7F70">
        <w:rPr>
          <w:szCs w:val="20"/>
        </w:rPr>
        <w:t>Counter-terrorism</w:t>
      </w:r>
      <w:r>
        <w:rPr>
          <w:szCs w:val="20"/>
        </w:rPr>
        <w:t>’,</w:t>
      </w:r>
      <w:r>
        <w:t xml:space="preserve"> p. 288.</w:t>
      </w:r>
    </w:p>
  </w:footnote>
  <w:footnote w:id="26">
    <w:p w14:paraId="17E4BB05" w14:textId="307C8C29" w:rsidR="002F5A1C" w:rsidRPr="00D251C0" w:rsidRDefault="002F5A1C" w:rsidP="00842E8C">
      <w:pPr>
        <w:rPr>
          <w:sz w:val="20"/>
          <w:szCs w:val="20"/>
        </w:rPr>
      </w:pPr>
      <w:r w:rsidRPr="00D251C0">
        <w:rPr>
          <w:rStyle w:val="FootnoteReference"/>
          <w:sz w:val="20"/>
          <w:szCs w:val="20"/>
        </w:rPr>
        <w:footnoteRef/>
      </w:r>
      <w:r w:rsidRPr="00D251C0">
        <w:rPr>
          <w:sz w:val="20"/>
          <w:szCs w:val="20"/>
        </w:rPr>
        <w:t xml:space="preserve"> </w:t>
      </w:r>
      <w:r>
        <w:rPr>
          <w:sz w:val="20"/>
          <w:szCs w:val="20"/>
        </w:rPr>
        <w:t>Leonard B. Weinberg</w:t>
      </w:r>
      <w:r w:rsidRPr="00D251C0">
        <w:rPr>
          <w:sz w:val="20"/>
          <w:szCs w:val="20"/>
        </w:rPr>
        <w:t xml:space="preserve">, </w:t>
      </w:r>
      <w:r>
        <w:rPr>
          <w:sz w:val="20"/>
          <w:szCs w:val="20"/>
        </w:rPr>
        <w:t>William L. Eubank</w:t>
      </w:r>
      <w:r w:rsidRPr="00D251C0">
        <w:rPr>
          <w:sz w:val="20"/>
          <w:szCs w:val="20"/>
        </w:rPr>
        <w:t xml:space="preserve">, and </w:t>
      </w:r>
      <w:r>
        <w:rPr>
          <w:sz w:val="20"/>
          <w:szCs w:val="20"/>
        </w:rPr>
        <w:t>Elizabeth A. Francis, ‘</w:t>
      </w:r>
      <w:r w:rsidRPr="00D251C0">
        <w:rPr>
          <w:sz w:val="20"/>
          <w:szCs w:val="20"/>
        </w:rPr>
        <w:t>The Cost of Terrorism: The Relationship Between International Terr</w:t>
      </w:r>
      <w:r>
        <w:rPr>
          <w:sz w:val="20"/>
          <w:szCs w:val="20"/>
        </w:rPr>
        <w:t>orism and Democratic Governance’,</w:t>
      </w:r>
      <w:r w:rsidRPr="00D251C0">
        <w:rPr>
          <w:sz w:val="20"/>
          <w:szCs w:val="20"/>
        </w:rPr>
        <w:t xml:space="preserve"> </w:t>
      </w:r>
      <w:r w:rsidRPr="00D251C0">
        <w:rPr>
          <w:i/>
          <w:sz w:val="20"/>
          <w:szCs w:val="20"/>
        </w:rPr>
        <w:t>Terrorism and Political Violence</w:t>
      </w:r>
      <w:r>
        <w:rPr>
          <w:sz w:val="20"/>
          <w:szCs w:val="20"/>
        </w:rPr>
        <w:t xml:space="preserve"> 20:</w:t>
      </w:r>
      <w:r w:rsidRPr="00D251C0">
        <w:rPr>
          <w:sz w:val="20"/>
          <w:szCs w:val="20"/>
        </w:rPr>
        <w:t>2</w:t>
      </w:r>
      <w:r>
        <w:rPr>
          <w:sz w:val="20"/>
          <w:szCs w:val="20"/>
        </w:rPr>
        <w:t xml:space="preserve"> (2008), pp. 257-</w:t>
      </w:r>
      <w:r w:rsidRPr="00D251C0">
        <w:rPr>
          <w:sz w:val="20"/>
          <w:szCs w:val="20"/>
        </w:rPr>
        <w:t xml:space="preserve">70; </w:t>
      </w:r>
      <w:r>
        <w:rPr>
          <w:sz w:val="20"/>
          <w:szCs w:val="20"/>
        </w:rPr>
        <w:t>James A. Piazza</w:t>
      </w:r>
      <w:r w:rsidRPr="00D251C0">
        <w:rPr>
          <w:sz w:val="20"/>
          <w:szCs w:val="20"/>
        </w:rPr>
        <w:t xml:space="preserve"> and </w:t>
      </w:r>
      <w:r>
        <w:rPr>
          <w:sz w:val="20"/>
          <w:szCs w:val="20"/>
        </w:rPr>
        <w:t>James I. Walsh, ‘</w:t>
      </w:r>
      <w:r w:rsidRPr="00D251C0">
        <w:rPr>
          <w:sz w:val="20"/>
          <w:szCs w:val="20"/>
        </w:rPr>
        <w:t>Transn</w:t>
      </w:r>
      <w:r>
        <w:rPr>
          <w:sz w:val="20"/>
          <w:szCs w:val="20"/>
        </w:rPr>
        <w:t>ational Terror and Human Rights’,</w:t>
      </w:r>
      <w:r w:rsidRPr="00D251C0">
        <w:rPr>
          <w:sz w:val="20"/>
          <w:szCs w:val="20"/>
        </w:rPr>
        <w:t xml:space="preserve"> </w:t>
      </w:r>
      <w:r w:rsidRPr="00D251C0">
        <w:rPr>
          <w:i/>
          <w:sz w:val="20"/>
          <w:szCs w:val="20"/>
        </w:rPr>
        <w:t>International Studies Quarterly</w:t>
      </w:r>
      <w:r>
        <w:rPr>
          <w:sz w:val="20"/>
          <w:szCs w:val="20"/>
        </w:rPr>
        <w:t xml:space="preserve"> 53:</w:t>
      </w:r>
      <w:r w:rsidRPr="00D251C0">
        <w:rPr>
          <w:sz w:val="20"/>
          <w:szCs w:val="20"/>
        </w:rPr>
        <w:t>1</w:t>
      </w:r>
      <w:r>
        <w:rPr>
          <w:sz w:val="20"/>
          <w:szCs w:val="20"/>
        </w:rPr>
        <w:t xml:space="preserve"> (2009), pp.</w:t>
      </w:r>
      <w:r w:rsidRPr="00D251C0">
        <w:rPr>
          <w:sz w:val="20"/>
          <w:szCs w:val="20"/>
        </w:rPr>
        <w:t xml:space="preserve"> 12</w:t>
      </w:r>
      <w:r>
        <w:rPr>
          <w:sz w:val="20"/>
          <w:szCs w:val="20"/>
        </w:rPr>
        <w:t>5-</w:t>
      </w:r>
      <w:r w:rsidRPr="00D251C0">
        <w:rPr>
          <w:sz w:val="20"/>
          <w:szCs w:val="20"/>
        </w:rPr>
        <w:t xml:space="preserve">48; </w:t>
      </w:r>
      <w:r>
        <w:rPr>
          <w:sz w:val="20"/>
          <w:szCs w:val="20"/>
        </w:rPr>
        <w:t xml:space="preserve">Axel </w:t>
      </w:r>
      <w:proofErr w:type="spellStart"/>
      <w:r>
        <w:rPr>
          <w:sz w:val="20"/>
          <w:szCs w:val="20"/>
        </w:rPr>
        <w:t>Dreher</w:t>
      </w:r>
      <w:proofErr w:type="spellEnd"/>
      <w:r w:rsidRPr="00D251C0">
        <w:rPr>
          <w:sz w:val="20"/>
          <w:szCs w:val="20"/>
        </w:rPr>
        <w:t xml:space="preserve">, </w:t>
      </w:r>
      <w:r>
        <w:rPr>
          <w:sz w:val="20"/>
          <w:szCs w:val="20"/>
        </w:rPr>
        <w:t xml:space="preserve">Martin </w:t>
      </w:r>
      <w:proofErr w:type="spellStart"/>
      <w:r>
        <w:rPr>
          <w:sz w:val="20"/>
          <w:szCs w:val="20"/>
        </w:rPr>
        <w:t>Gassebner</w:t>
      </w:r>
      <w:proofErr w:type="spellEnd"/>
      <w:r w:rsidRPr="00D251C0">
        <w:rPr>
          <w:sz w:val="20"/>
          <w:szCs w:val="20"/>
        </w:rPr>
        <w:t xml:space="preserve">, and </w:t>
      </w:r>
      <w:r>
        <w:rPr>
          <w:sz w:val="20"/>
          <w:szCs w:val="20"/>
        </w:rPr>
        <w:t xml:space="preserve">Lars-H. </w:t>
      </w:r>
      <w:proofErr w:type="spellStart"/>
      <w:r>
        <w:rPr>
          <w:sz w:val="20"/>
          <w:szCs w:val="20"/>
        </w:rPr>
        <w:t>Simers</w:t>
      </w:r>
      <w:proofErr w:type="spellEnd"/>
      <w:r>
        <w:rPr>
          <w:sz w:val="20"/>
          <w:szCs w:val="20"/>
        </w:rPr>
        <w:t>,</w:t>
      </w:r>
      <w:r w:rsidRPr="00D251C0">
        <w:rPr>
          <w:sz w:val="20"/>
          <w:szCs w:val="20"/>
        </w:rPr>
        <w:t xml:space="preserve"> ‘Does Terrorism Threaten Human R</w:t>
      </w:r>
      <w:r>
        <w:rPr>
          <w:sz w:val="20"/>
          <w:szCs w:val="20"/>
        </w:rPr>
        <w:t>ights? Evidence from Panel Data’,</w:t>
      </w:r>
      <w:r w:rsidRPr="00D251C0">
        <w:rPr>
          <w:sz w:val="20"/>
          <w:szCs w:val="20"/>
        </w:rPr>
        <w:t xml:space="preserve"> </w:t>
      </w:r>
      <w:r w:rsidRPr="00D251C0">
        <w:rPr>
          <w:i/>
          <w:sz w:val="20"/>
          <w:szCs w:val="20"/>
        </w:rPr>
        <w:t>The Journal of Law &amp; Economics</w:t>
      </w:r>
      <w:r>
        <w:rPr>
          <w:sz w:val="20"/>
          <w:szCs w:val="20"/>
        </w:rPr>
        <w:t xml:space="preserve"> 53:</w:t>
      </w:r>
      <w:r w:rsidRPr="00D251C0">
        <w:rPr>
          <w:sz w:val="20"/>
          <w:szCs w:val="20"/>
        </w:rPr>
        <w:t>1</w:t>
      </w:r>
      <w:r>
        <w:rPr>
          <w:sz w:val="20"/>
          <w:szCs w:val="20"/>
        </w:rPr>
        <w:t xml:space="preserve"> (2010), pp.</w:t>
      </w:r>
      <w:r w:rsidRPr="00D251C0">
        <w:rPr>
          <w:sz w:val="20"/>
          <w:szCs w:val="20"/>
        </w:rPr>
        <w:t xml:space="preserve"> 65-93.</w:t>
      </w:r>
    </w:p>
  </w:footnote>
  <w:footnote w:id="27">
    <w:p w14:paraId="3098A82E" w14:textId="08CA5786" w:rsidR="002F5A1C" w:rsidRPr="00AD1BF4" w:rsidRDefault="002F5A1C" w:rsidP="00D274CD">
      <w:pPr>
        <w:rPr>
          <w:sz w:val="20"/>
          <w:szCs w:val="20"/>
        </w:rPr>
      </w:pPr>
      <w:r w:rsidRPr="00A50C57">
        <w:rPr>
          <w:rStyle w:val="FootnoteReference"/>
          <w:sz w:val="20"/>
          <w:szCs w:val="20"/>
        </w:rPr>
        <w:footnoteRef/>
      </w:r>
      <w:r w:rsidRPr="00A50C57">
        <w:rPr>
          <w:sz w:val="20"/>
          <w:szCs w:val="20"/>
        </w:rPr>
        <w:t xml:space="preserve"> </w:t>
      </w:r>
      <w:proofErr w:type="spellStart"/>
      <w:r w:rsidRPr="004D78C8">
        <w:rPr>
          <w:sz w:val="20"/>
          <w:szCs w:val="20"/>
          <w:lang w:val="en-US"/>
        </w:rPr>
        <w:t>Tsoukala</w:t>
      </w:r>
      <w:proofErr w:type="spellEnd"/>
      <w:r>
        <w:rPr>
          <w:sz w:val="20"/>
          <w:szCs w:val="20"/>
          <w:lang w:val="en-US"/>
        </w:rPr>
        <w:t>,</w:t>
      </w:r>
      <w:r w:rsidRPr="004D78C8">
        <w:rPr>
          <w:sz w:val="20"/>
          <w:szCs w:val="20"/>
          <w:lang w:val="en-US"/>
        </w:rPr>
        <w:t xml:space="preserve"> ‘Light of Security’; </w:t>
      </w:r>
      <w:proofErr w:type="spellStart"/>
      <w:r w:rsidRPr="004D78C8">
        <w:rPr>
          <w:sz w:val="20"/>
          <w:szCs w:val="20"/>
          <w:lang w:val="en-US"/>
        </w:rPr>
        <w:t>Anatassia</w:t>
      </w:r>
      <w:proofErr w:type="spellEnd"/>
      <w:r>
        <w:rPr>
          <w:sz w:val="20"/>
          <w:szCs w:val="20"/>
          <w:lang w:val="en-US"/>
        </w:rPr>
        <w:t xml:space="preserve"> </w:t>
      </w:r>
      <w:proofErr w:type="spellStart"/>
      <w:r>
        <w:rPr>
          <w:sz w:val="20"/>
          <w:szCs w:val="20"/>
          <w:lang w:val="en-US"/>
        </w:rPr>
        <w:t>Tsoukala</w:t>
      </w:r>
      <w:proofErr w:type="spellEnd"/>
      <w:r>
        <w:rPr>
          <w:sz w:val="20"/>
          <w:szCs w:val="20"/>
          <w:lang w:val="en-US"/>
        </w:rPr>
        <w:t xml:space="preserve">, </w:t>
      </w:r>
      <w:r w:rsidRPr="0086004C">
        <w:rPr>
          <w:sz w:val="20"/>
          <w:szCs w:val="20"/>
          <w:lang w:val="en-US"/>
        </w:rPr>
        <w:t>‘Defining</w:t>
      </w:r>
      <w:r>
        <w:rPr>
          <w:sz w:val="20"/>
          <w:szCs w:val="20"/>
          <w:lang w:val="en-US"/>
        </w:rPr>
        <w:t xml:space="preserve"> the terrorist threat in the post-September 11 era’, in Didier </w:t>
      </w:r>
      <w:proofErr w:type="spellStart"/>
      <w:r>
        <w:rPr>
          <w:sz w:val="20"/>
          <w:szCs w:val="20"/>
          <w:lang w:val="en-US"/>
        </w:rPr>
        <w:t>Bigo</w:t>
      </w:r>
      <w:proofErr w:type="spellEnd"/>
      <w:r>
        <w:rPr>
          <w:sz w:val="20"/>
          <w:szCs w:val="20"/>
          <w:lang w:val="en-US"/>
        </w:rPr>
        <w:t xml:space="preserve"> and </w:t>
      </w:r>
      <w:proofErr w:type="spellStart"/>
      <w:r>
        <w:rPr>
          <w:sz w:val="20"/>
          <w:szCs w:val="20"/>
          <w:lang w:val="en-US"/>
        </w:rPr>
        <w:t>Anatassia</w:t>
      </w:r>
      <w:proofErr w:type="spellEnd"/>
      <w:r>
        <w:rPr>
          <w:sz w:val="20"/>
          <w:szCs w:val="20"/>
          <w:lang w:val="en-US"/>
        </w:rPr>
        <w:t xml:space="preserve"> </w:t>
      </w:r>
      <w:proofErr w:type="spellStart"/>
      <w:r>
        <w:rPr>
          <w:sz w:val="20"/>
          <w:szCs w:val="20"/>
          <w:lang w:val="en-US"/>
        </w:rPr>
        <w:t>Tsoukala</w:t>
      </w:r>
      <w:proofErr w:type="spellEnd"/>
      <w:r>
        <w:rPr>
          <w:sz w:val="20"/>
          <w:szCs w:val="20"/>
          <w:lang w:val="en-US"/>
        </w:rPr>
        <w:t xml:space="preserve"> (eds.) </w:t>
      </w:r>
      <w:r>
        <w:rPr>
          <w:i/>
          <w:sz w:val="20"/>
          <w:szCs w:val="20"/>
          <w:lang w:val="en-US"/>
        </w:rPr>
        <w:t xml:space="preserve">Terror, Insecurity and Liberty: Illiberal Practices of Liberal Regimes after 9/11 </w:t>
      </w:r>
      <w:r>
        <w:rPr>
          <w:sz w:val="20"/>
          <w:szCs w:val="20"/>
          <w:lang w:val="en-US"/>
        </w:rPr>
        <w:t xml:space="preserve">(London: Routledge, 2008), pp. 49-99; </w:t>
      </w:r>
      <w:r w:rsidRPr="0086004C">
        <w:rPr>
          <w:sz w:val="20"/>
          <w:szCs w:val="20"/>
        </w:rPr>
        <w:t>D</w:t>
      </w:r>
      <w:r>
        <w:rPr>
          <w:sz w:val="20"/>
          <w:szCs w:val="20"/>
        </w:rPr>
        <w:t>ora</w:t>
      </w:r>
      <w:r w:rsidRPr="0086004C">
        <w:rPr>
          <w:sz w:val="20"/>
          <w:szCs w:val="20"/>
        </w:rPr>
        <w:t xml:space="preserve"> </w:t>
      </w:r>
      <w:proofErr w:type="spellStart"/>
      <w:r w:rsidRPr="0086004C">
        <w:rPr>
          <w:sz w:val="20"/>
          <w:szCs w:val="20"/>
        </w:rPr>
        <w:t>Kostakopoulou</w:t>
      </w:r>
      <w:proofErr w:type="spellEnd"/>
      <w:r w:rsidRPr="0086004C">
        <w:rPr>
          <w:sz w:val="20"/>
          <w:szCs w:val="20"/>
        </w:rPr>
        <w:t xml:space="preserve">, ‘How to Do Things with Security Post 9/11’, </w:t>
      </w:r>
      <w:r w:rsidRPr="0086004C">
        <w:rPr>
          <w:i/>
          <w:sz w:val="20"/>
          <w:szCs w:val="20"/>
        </w:rPr>
        <w:t>Oxford Journal of Legal Studies</w:t>
      </w:r>
      <w:r w:rsidRPr="0086004C">
        <w:rPr>
          <w:sz w:val="20"/>
          <w:szCs w:val="20"/>
        </w:rPr>
        <w:t xml:space="preserve"> 28:2 (2008), p.</w:t>
      </w:r>
      <w:r w:rsidRPr="00AD1BF4">
        <w:rPr>
          <w:sz w:val="20"/>
          <w:szCs w:val="20"/>
        </w:rPr>
        <w:t xml:space="preserve"> 319; </w:t>
      </w:r>
      <w:r>
        <w:rPr>
          <w:sz w:val="20"/>
          <w:szCs w:val="20"/>
        </w:rPr>
        <w:t>Peter Rogers, ‘</w:t>
      </w:r>
      <w:r w:rsidRPr="00AD1BF4">
        <w:rPr>
          <w:sz w:val="20"/>
          <w:szCs w:val="20"/>
        </w:rPr>
        <w:t>Contesting and Preventing Terrorism: On the Development of UK Strategic Policy on Radicali</w:t>
      </w:r>
      <w:r>
        <w:rPr>
          <w:sz w:val="20"/>
          <w:szCs w:val="20"/>
        </w:rPr>
        <w:t>sation and Community Resilience’,</w:t>
      </w:r>
      <w:r w:rsidRPr="00AD1BF4">
        <w:rPr>
          <w:sz w:val="20"/>
          <w:szCs w:val="20"/>
        </w:rPr>
        <w:t xml:space="preserve"> </w:t>
      </w:r>
      <w:r w:rsidRPr="00AD1BF4">
        <w:rPr>
          <w:i/>
          <w:sz w:val="20"/>
          <w:szCs w:val="20"/>
        </w:rPr>
        <w:t>Journal of Policing, Intelligence and Counter Terrorism</w:t>
      </w:r>
      <w:r>
        <w:rPr>
          <w:sz w:val="20"/>
          <w:szCs w:val="20"/>
        </w:rPr>
        <w:t xml:space="preserve"> 3:</w:t>
      </w:r>
      <w:r w:rsidRPr="00AD1BF4">
        <w:rPr>
          <w:sz w:val="20"/>
          <w:szCs w:val="20"/>
        </w:rPr>
        <w:t>2</w:t>
      </w:r>
      <w:r>
        <w:rPr>
          <w:sz w:val="20"/>
          <w:szCs w:val="20"/>
        </w:rPr>
        <w:t xml:space="preserve"> (2008</w:t>
      </w:r>
      <w:r w:rsidRPr="00AD1BF4">
        <w:rPr>
          <w:sz w:val="20"/>
          <w:szCs w:val="20"/>
        </w:rPr>
        <w:t>)</w:t>
      </w:r>
      <w:r>
        <w:rPr>
          <w:sz w:val="20"/>
          <w:szCs w:val="20"/>
        </w:rPr>
        <w:t>, p.</w:t>
      </w:r>
      <w:r w:rsidRPr="00AD1BF4">
        <w:rPr>
          <w:sz w:val="20"/>
          <w:szCs w:val="20"/>
        </w:rPr>
        <w:t xml:space="preserve"> 38.</w:t>
      </w:r>
    </w:p>
  </w:footnote>
  <w:footnote w:id="28">
    <w:p w14:paraId="386A2831" w14:textId="21156AA5" w:rsidR="002F5A1C" w:rsidRPr="00AD1BF4" w:rsidRDefault="002F5A1C" w:rsidP="00D274CD">
      <w:pPr>
        <w:rPr>
          <w:sz w:val="20"/>
          <w:szCs w:val="20"/>
        </w:rPr>
      </w:pPr>
      <w:r w:rsidRPr="00AD1BF4">
        <w:rPr>
          <w:rStyle w:val="FootnoteReference"/>
          <w:sz w:val="20"/>
          <w:szCs w:val="20"/>
        </w:rPr>
        <w:footnoteRef/>
      </w:r>
      <w:r w:rsidRPr="00AD1BF4">
        <w:rPr>
          <w:sz w:val="20"/>
          <w:szCs w:val="20"/>
        </w:rPr>
        <w:t xml:space="preserve"> </w:t>
      </w:r>
      <w:r>
        <w:rPr>
          <w:sz w:val="20"/>
          <w:szCs w:val="20"/>
        </w:rPr>
        <w:t xml:space="preserve">William </w:t>
      </w:r>
      <w:proofErr w:type="spellStart"/>
      <w:r>
        <w:rPr>
          <w:sz w:val="20"/>
          <w:szCs w:val="20"/>
        </w:rPr>
        <w:t>Stuntz</w:t>
      </w:r>
      <w:proofErr w:type="spellEnd"/>
      <w:r>
        <w:rPr>
          <w:sz w:val="20"/>
          <w:szCs w:val="20"/>
        </w:rPr>
        <w:t>, ‘</w:t>
      </w:r>
      <w:r w:rsidRPr="00AD1BF4">
        <w:rPr>
          <w:sz w:val="20"/>
          <w:szCs w:val="20"/>
        </w:rPr>
        <w:t>Secret Service: The liberal case against individual priv</w:t>
      </w:r>
      <w:r>
        <w:rPr>
          <w:sz w:val="20"/>
          <w:szCs w:val="20"/>
        </w:rPr>
        <w:t>acy and government transparency’,</w:t>
      </w:r>
      <w:r w:rsidRPr="00AD1BF4">
        <w:rPr>
          <w:sz w:val="20"/>
          <w:szCs w:val="20"/>
        </w:rPr>
        <w:t xml:space="preserve"> </w:t>
      </w:r>
      <w:r w:rsidRPr="00AD1BF4">
        <w:rPr>
          <w:i/>
          <w:sz w:val="20"/>
          <w:szCs w:val="20"/>
        </w:rPr>
        <w:t>The New Republic</w:t>
      </w:r>
      <w:r>
        <w:rPr>
          <w:sz w:val="20"/>
          <w:szCs w:val="20"/>
        </w:rPr>
        <w:t xml:space="preserve"> (</w:t>
      </w:r>
      <w:r w:rsidRPr="00AD1BF4">
        <w:rPr>
          <w:sz w:val="20"/>
          <w:szCs w:val="20"/>
        </w:rPr>
        <w:t>17 April</w:t>
      </w:r>
      <w:r>
        <w:rPr>
          <w:sz w:val="20"/>
          <w:szCs w:val="20"/>
        </w:rPr>
        <w:t xml:space="preserve"> 2006), p.</w:t>
      </w:r>
      <w:r w:rsidRPr="00AD1BF4">
        <w:rPr>
          <w:sz w:val="20"/>
          <w:szCs w:val="20"/>
        </w:rPr>
        <w:t xml:space="preserve"> 12.</w:t>
      </w:r>
    </w:p>
  </w:footnote>
  <w:footnote w:id="29">
    <w:p w14:paraId="23D896CB" w14:textId="58DDC29A" w:rsidR="002F5A1C" w:rsidRPr="00AD1BF4" w:rsidRDefault="002F5A1C" w:rsidP="00AD1BF4">
      <w:pPr>
        <w:rPr>
          <w:sz w:val="20"/>
          <w:szCs w:val="20"/>
        </w:rPr>
      </w:pPr>
      <w:r w:rsidRPr="00AD1BF4">
        <w:rPr>
          <w:rStyle w:val="FootnoteReference"/>
          <w:sz w:val="20"/>
          <w:szCs w:val="20"/>
        </w:rPr>
        <w:footnoteRef/>
      </w:r>
      <w:r w:rsidRPr="00AD1BF4">
        <w:rPr>
          <w:sz w:val="20"/>
          <w:szCs w:val="20"/>
        </w:rPr>
        <w:t xml:space="preserve"> </w:t>
      </w:r>
      <w:proofErr w:type="spellStart"/>
      <w:r w:rsidRPr="004D78C8">
        <w:rPr>
          <w:sz w:val="20"/>
          <w:szCs w:val="20"/>
          <w:lang w:val="en-US"/>
        </w:rPr>
        <w:t>Tsoukala</w:t>
      </w:r>
      <w:proofErr w:type="spellEnd"/>
      <w:r w:rsidRPr="004D78C8">
        <w:rPr>
          <w:sz w:val="20"/>
          <w:szCs w:val="20"/>
          <w:lang w:val="en-US"/>
        </w:rPr>
        <w:t xml:space="preserve">, ‘Democracy Against Security’; </w:t>
      </w:r>
      <w:proofErr w:type="spellStart"/>
      <w:r w:rsidRPr="004D78C8">
        <w:rPr>
          <w:sz w:val="20"/>
          <w:szCs w:val="20"/>
          <w:lang w:val="en-US"/>
        </w:rPr>
        <w:t>Tsoukala</w:t>
      </w:r>
      <w:proofErr w:type="spellEnd"/>
      <w:r>
        <w:rPr>
          <w:sz w:val="20"/>
          <w:szCs w:val="20"/>
          <w:lang w:val="en-US"/>
        </w:rPr>
        <w:t>, ‘</w:t>
      </w:r>
      <w:r w:rsidRPr="004D78C8">
        <w:rPr>
          <w:sz w:val="20"/>
          <w:szCs w:val="20"/>
          <w:lang w:val="en-US"/>
        </w:rPr>
        <w:t>Light of Security’</w:t>
      </w:r>
      <w:r>
        <w:rPr>
          <w:sz w:val="20"/>
          <w:szCs w:val="20"/>
          <w:lang w:val="en-US"/>
        </w:rPr>
        <w:t xml:space="preserve">; </w:t>
      </w:r>
      <w:r>
        <w:rPr>
          <w:sz w:val="20"/>
          <w:szCs w:val="20"/>
        </w:rPr>
        <w:t xml:space="preserve">Stefano </w:t>
      </w:r>
      <w:proofErr w:type="spellStart"/>
      <w:r>
        <w:rPr>
          <w:sz w:val="20"/>
          <w:szCs w:val="20"/>
        </w:rPr>
        <w:t>Bonino</w:t>
      </w:r>
      <w:proofErr w:type="spellEnd"/>
      <w:r>
        <w:rPr>
          <w:sz w:val="20"/>
          <w:szCs w:val="20"/>
        </w:rPr>
        <w:t>, ‘</w:t>
      </w:r>
      <w:r w:rsidRPr="00AD1BF4">
        <w:rPr>
          <w:sz w:val="20"/>
          <w:szCs w:val="20"/>
        </w:rPr>
        <w:t>Preventing-</w:t>
      </w:r>
      <w:proofErr w:type="spellStart"/>
      <w:r w:rsidRPr="00AD1BF4">
        <w:rPr>
          <w:sz w:val="20"/>
          <w:szCs w:val="20"/>
        </w:rPr>
        <w:t>ing</w:t>
      </w:r>
      <w:proofErr w:type="spellEnd"/>
      <w:r w:rsidRPr="00AD1BF4">
        <w:rPr>
          <w:sz w:val="20"/>
          <w:szCs w:val="20"/>
        </w:rPr>
        <w:t xml:space="preserve"> </w:t>
      </w:r>
      <w:proofErr w:type="spellStart"/>
      <w:r w:rsidRPr="00AD1BF4">
        <w:rPr>
          <w:sz w:val="20"/>
          <w:szCs w:val="20"/>
        </w:rPr>
        <w:t>Muslimness</w:t>
      </w:r>
      <w:proofErr w:type="spellEnd"/>
      <w:r w:rsidRPr="00AD1BF4">
        <w:rPr>
          <w:sz w:val="20"/>
          <w:szCs w:val="20"/>
        </w:rPr>
        <w:t xml:space="preserve"> in Britain: The Normalisation of Exception</w:t>
      </w:r>
      <w:r>
        <w:rPr>
          <w:sz w:val="20"/>
          <w:szCs w:val="20"/>
        </w:rPr>
        <w:t>al Measures to Combat Terrorism’,</w:t>
      </w:r>
      <w:r w:rsidRPr="00AD1BF4">
        <w:rPr>
          <w:sz w:val="20"/>
          <w:szCs w:val="20"/>
        </w:rPr>
        <w:t xml:space="preserve"> </w:t>
      </w:r>
      <w:r w:rsidRPr="00AD1BF4">
        <w:rPr>
          <w:i/>
          <w:sz w:val="20"/>
          <w:szCs w:val="20"/>
        </w:rPr>
        <w:t>Journal of Muslim Minority Affairs</w:t>
      </w:r>
      <w:r>
        <w:rPr>
          <w:sz w:val="20"/>
          <w:szCs w:val="20"/>
        </w:rPr>
        <w:t xml:space="preserve"> 33:</w:t>
      </w:r>
      <w:r w:rsidRPr="00AD1BF4">
        <w:rPr>
          <w:sz w:val="20"/>
          <w:szCs w:val="20"/>
        </w:rPr>
        <w:t>3</w:t>
      </w:r>
      <w:r>
        <w:rPr>
          <w:sz w:val="20"/>
          <w:szCs w:val="20"/>
        </w:rPr>
        <w:t xml:space="preserve"> (2013), pp.</w:t>
      </w:r>
      <w:r w:rsidRPr="00AD1BF4">
        <w:rPr>
          <w:sz w:val="20"/>
          <w:szCs w:val="20"/>
        </w:rPr>
        <w:t xml:space="preserve"> 385-400.</w:t>
      </w:r>
    </w:p>
  </w:footnote>
  <w:footnote w:id="30">
    <w:p w14:paraId="404F3E85" w14:textId="00B39B14" w:rsidR="002F5A1C" w:rsidRPr="00AD1BF4" w:rsidRDefault="002F5A1C" w:rsidP="00AD1BF4">
      <w:r w:rsidRPr="00AD1BF4">
        <w:rPr>
          <w:rStyle w:val="FootnoteReference"/>
          <w:sz w:val="20"/>
          <w:szCs w:val="20"/>
        </w:rPr>
        <w:footnoteRef/>
      </w:r>
      <w:r w:rsidRPr="00AD1BF4">
        <w:rPr>
          <w:sz w:val="20"/>
          <w:szCs w:val="20"/>
        </w:rPr>
        <w:t xml:space="preserve"> </w:t>
      </w:r>
      <w:proofErr w:type="spellStart"/>
      <w:r>
        <w:rPr>
          <w:sz w:val="20"/>
          <w:szCs w:val="20"/>
        </w:rPr>
        <w:t>Colm</w:t>
      </w:r>
      <w:proofErr w:type="spellEnd"/>
      <w:r>
        <w:rPr>
          <w:sz w:val="20"/>
          <w:szCs w:val="20"/>
        </w:rPr>
        <w:t xml:space="preserve"> </w:t>
      </w:r>
      <w:proofErr w:type="spellStart"/>
      <w:r>
        <w:rPr>
          <w:sz w:val="20"/>
          <w:szCs w:val="20"/>
        </w:rPr>
        <w:t>O’Cinneide</w:t>
      </w:r>
      <w:proofErr w:type="spellEnd"/>
      <w:r>
        <w:rPr>
          <w:sz w:val="20"/>
          <w:szCs w:val="20"/>
        </w:rPr>
        <w:t>,</w:t>
      </w:r>
      <w:r w:rsidRPr="00AD1BF4">
        <w:rPr>
          <w:sz w:val="20"/>
          <w:szCs w:val="20"/>
        </w:rPr>
        <w:t xml:space="preserve"> </w:t>
      </w:r>
      <w:r>
        <w:rPr>
          <w:sz w:val="20"/>
          <w:szCs w:val="20"/>
        </w:rPr>
        <w:t>‘</w:t>
      </w:r>
      <w:r w:rsidRPr="00AD1BF4">
        <w:rPr>
          <w:sz w:val="20"/>
          <w:szCs w:val="20"/>
        </w:rPr>
        <w:t>Strapped to the Mast: The Siren Song of Dreadful Necessity, the United Kingdom, Human Rights</w:t>
      </w:r>
      <w:r>
        <w:rPr>
          <w:sz w:val="20"/>
          <w:szCs w:val="20"/>
        </w:rPr>
        <w:t xml:space="preserve"> Act and the Terrorist Threat’, i</w:t>
      </w:r>
      <w:r w:rsidRPr="00AD1BF4">
        <w:rPr>
          <w:sz w:val="20"/>
          <w:szCs w:val="20"/>
        </w:rPr>
        <w:t xml:space="preserve">n </w:t>
      </w:r>
      <w:r>
        <w:rPr>
          <w:sz w:val="20"/>
          <w:szCs w:val="20"/>
        </w:rPr>
        <w:t xml:space="preserve">Miriam </w:t>
      </w:r>
      <w:proofErr w:type="spellStart"/>
      <w:r>
        <w:rPr>
          <w:sz w:val="20"/>
          <w:szCs w:val="20"/>
        </w:rPr>
        <w:t>Gani</w:t>
      </w:r>
      <w:proofErr w:type="spellEnd"/>
      <w:r w:rsidRPr="00AD1BF4">
        <w:rPr>
          <w:sz w:val="20"/>
          <w:szCs w:val="20"/>
        </w:rPr>
        <w:t xml:space="preserve"> and </w:t>
      </w:r>
      <w:r>
        <w:rPr>
          <w:sz w:val="20"/>
          <w:szCs w:val="20"/>
        </w:rPr>
        <w:t>Penelope Mathew</w:t>
      </w:r>
      <w:r w:rsidRPr="00AD1BF4">
        <w:rPr>
          <w:sz w:val="20"/>
          <w:szCs w:val="20"/>
        </w:rPr>
        <w:t xml:space="preserve"> (eds</w:t>
      </w:r>
      <w:r>
        <w:rPr>
          <w:sz w:val="20"/>
          <w:szCs w:val="20"/>
        </w:rPr>
        <w:t>.</w:t>
      </w:r>
      <w:r w:rsidRPr="00AD1BF4">
        <w:rPr>
          <w:sz w:val="20"/>
          <w:szCs w:val="20"/>
        </w:rPr>
        <w:t xml:space="preserve">) </w:t>
      </w:r>
      <w:r w:rsidRPr="00AD1BF4">
        <w:rPr>
          <w:i/>
          <w:sz w:val="20"/>
          <w:szCs w:val="20"/>
        </w:rPr>
        <w:t>Fresh Per</w:t>
      </w:r>
      <w:r>
        <w:rPr>
          <w:i/>
          <w:sz w:val="20"/>
          <w:szCs w:val="20"/>
        </w:rPr>
        <w:t>spectives on the ‘War on Terror</w:t>
      </w:r>
      <w:r w:rsidRPr="00AD1BF4">
        <w:rPr>
          <w:i/>
          <w:sz w:val="20"/>
          <w:szCs w:val="20"/>
        </w:rPr>
        <w:t>’</w:t>
      </w:r>
      <w:r w:rsidRPr="00AD1BF4">
        <w:rPr>
          <w:sz w:val="20"/>
          <w:szCs w:val="20"/>
        </w:rPr>
        <w:t xml:space="preserve"> </w:t>
      </w:r>
      <w:r>
        <w:rPr>
          <w:sz w:val="20"/>
          <w:szCs w:val="20"/>
        </w:rPr>
        <w:t>(</w:t>
      </w:r>
      <w:r w:rsidRPr="00AD1BF4">
        <w:rPr>
          <w:sz w:val="20"/>
          <w:szCs w:val="20"/>
        </w:rPr>
        <w:t>Canberra: ANU Press</w:t>
      </w:r>
      <w:r>
        <w:rPr>
          <w:sz w:val="20"/>
          <w:szCs w:val="20"/>
        </w:rPr>
        <w:t>, 2008), pp. 327-</w:t>
      </w:r>
      <w:r w:rsidRPr="00AD1BF4">
        <w:rPr>
          <w:sz w:val="20"/>
          <w:szCs w:val="20"/>
        </w:rPr>
        <w:t>60.</w:t>
      </w:r>
    </w:p>
  </w:footnote>
  <w:footnote w:id="31">
    <w:p w14:paraId="41758431" w14:textId="30DAFDE0" w:rsidR="002F5A1C" w:rsidRPr="00D251C0" w:rsidRDefault="002F5A1C" w:rsidP="00D251C0">
      <w:pPr>
        <w:rPr>
          <w:sz w:val="20"/>
          <w:szCs w:val="20"/>
        </w:rPr>
      </w:pPr>
      <w:r w:rsidRPr="00D251C0">
        <w:rPr>
          <w:rStyle w:val="FootnoteReference"/>
          <w:sz w:val="20"/>
          <w:szCs w:val="20"/>
        </w:rPr>
        <w:footnoteRef/>
      </w:r>
      <w:r w:rsidRPr="00D251C0">
        <w:rPr>
          <w:sz w:val="20"/>
          <w:szCs w:val="20"/>
        </w:rPr>
        <w:t xml:space="preserve"> </w:t>
      </w:r>
      <w:r>
        <w:rPr>
          <w:sz w:val="20"/>
          <w:szCs w:val="20"/>
        </w:rPr>
        <w:t xml:space="preserve">M. </w:t>
      </w:r>
      <w:proofErr w:type="spellStart"/>
      <w:r>
        <w:rPr>
          <w:sz w:val="20"/>
          <w:szCs w:val="20"/>
        </w:rPr>
        <w:t>Shamsul</w:t>
      </w:r>
      <w:proofErr w:type="spellEnd"/>
      <w:r>
        <w:rPr>
          <w:sz w:val="20"/>
          <w:szCs w:val="20"/>
        </w:rPr>
        <w:t xml:space="preserve"> </w:t>
      </w:r>
      <w:proofErr w:type="spellStart"/>
      <w:r>
        <w:rPr>
          <w:sz w:val="20"/>
          <w:szCs w:val="20"/>
        </w:rPr>
        <w:t>Haque</w:t>
      </w:r>
      <w:proofErr w:type="spellEnd"/>
      <w:r>
        <w:rPr>
          <w:sz w:val="20"/>
          <w:szCs w:val="20"/>
        </w:rPr>
        <w:t>, ‘</w:t>
      </w:r>
      <w:r w:rsidRPr="00D251C0">
        <w:rPr>
          <w:sz w:val="20"/>
          <w:szCs w:val="20"/>
        </w:rPr>
        <w:t>Government Responses to Terrorism: Critical Views of Their Impacts on P</w:t>
      </w:r>
      <w:r>
        <w:rPr>
          <w:sz w:val="20"/>
          <w:szCs w:val="20"/>
        </w:rPr>
        <w:t>eople and Public Administration’,</w:t>
      </w:r>
      <w:r w:rsidRPr="00D251C0">
        <w:rPr>
          <w:sz w:val="20"/>
          <w:szCs w:val="20"/>
        </w:rPr>
        <w:t xml:space="preserve"> </w:t>
      </w:r>
      <w:r w:rsidRPr="00D251C0">
        <w:rPr>
          <w:i/>
          <w:sz w:val="20"/>
          <w:szCs w:val="20"/>
        </w:rPr>
        <w:t>Public Administration Review</w:t>
      </w:r>
      <w:r>
        <w:rPr>
          <w:sz w:val="20"/>
          <w:szCs w:val="20"/>
        </w:rPr>
        <w:t xml:space="preserve"> 62 (2002), p.</w:t>
      </w:r>
      <w:r w:rsidRPr="00D251C0">
        <w:rPr>
          <w:sz w:val="20"/>
          <w:szCs w:val="20"/>
        </w:rPr>
        <w:t xml:space="preserve"> 178.</w:t>
      </w:r>
    </w:p>
  </w:footnote>
  <w:footnote w:id="32">
    <w:p w14:paraId="4387AD01" w14:textId="67A4E198" w:rsidR="002F5A1C" w:rsidRPr="00D251C0" w:rsidRDefault="002F5A1C" w:rsidP="004A70DE">
      <w:pPr>
        <w:pStyle w:val="FootnoteText"/>
        <w:rPr>
          <w:lang w:val="en-US"/>
        </w:rPr>
      </w:pPr>
      <w:r>
        <w:rPr>
          <w:rStyle w:val="FootnoteReference"/>
        </w:rPr>
        <w:footnoteRef/>
      </w:r>
      <w:r>
        <w:t xml:space="preserve"> M. V. Naidu, ‘National Security and Civil Liberties: Definitions and Delimitations in Theory and Practice’, </w:t>
      </w:r>
      <w:r>
        <w:rPr>
          <w:i/>
        </w:rPr>
        <w:t>Peace Research</w:t>
      </w:r>
      <w:r>
        <w:t xml:space="preserve"> 23:2/3 (1991), p. 1.</w:t>
      </w:r>
    </w:p>
  </w:footnote>
  <w:footnote w:id="33">
    <w:p w14:paraId="00E80ED7" w14:textId="1F417723" w:rsidR="002F5A1C" w:rsidRPr="00D251C0" w:rsidRDefault="002F5A1C" w:rsidP="00D251C0">
      <w:pPr>
        <w:rPr>
          <w:sz w:val="20"/>
          <w:szCs w:val="20"/>
        </w:rPr>
      </w:pPr>
      <w:r w:rsidRPr="00D251C0">
        <w:rPr>
          <w:rStyle w:val="FootnoteReference"/>
          <w:sz w:val="20"/>
          <w:szCs w:val="20"/>
        </w:rPr>
        <w:footnoteRef/>
      </w:r>
      <w:r w:rsidRPr="00D251C0">
        <w:rPr>
          <w:sz w:val="20"/>
          <w:szCs w:val="20"/>
        </w:rPr>
        <w:t xml:space="preserve"> </w:t>
      </w:r>
      <w:r>
        <w:rPr>
          <w:sz w:val="20"/>
          <w:szCs w:val="20"/>
        </w:rPr>
        <w:t xml:space="preserve">Robert H. </w:t>
      </w:r>
      <w:proofErr w:type="spellStart"/>
      <w:r>
        <w:rPr>
          <w:sz w:val="20"/>
          <w:szCs w:val="20"/>
        </w:rPr>
        <w:t>Kupperman</w:t>
      </w:r>
      <w:proofErr w:type="spellEnd"/>
      <w:r>
        <w:rPr>
          <w:sz w:val="20"/>
          <w:szCs w:val="20"/>
        </w:rPr>
        <w:t>, ‘On Terror and Civil Liberties’,</w:t>
      </w:r>
      <w:r w:rsidRPr="00D251C0">
        <w:rPr>
          <w:sz w:val="20"/>
          <w:szCs w:val="20"/>
        </w:rPr>
        <w:t xml:space="preserve"> </w:t>
      </w:r>
      <w:r w:rsidRPr="00D251C0">
        <w:rPr>
          <w:i/>
          <w:sz w:val="20"/>
          <w:szCs w:val="20"/>
        </w:rPr>
        <w:t>Harvard International Review</w:t>
      </w:r>
      <w:r>
        <w:rPr>
          <w:sz w:val="20"/>
          <w:szCs w:val="20"/>
        </w:rPr>
        <w:t xml:space="preserve"> 7:</w:t>
      </w:r>
      <w:r w:rsidRPr="00D251C0">
        <w:rPr>
          <w:sz w:val="20"/>
          <w:szCs w:val="20"/>
        </w:rPr>
        <w:t>6</w:t>
      </w:r>
      <w:r>
        <w:rPr>
          <w:sz w:val="20"/>
          <w:szCs w:val="20"/>
        </w:rPr>
        <w:t xml:space="preserve"> (1985), p. 16; </w:t>
      </w:r>
      <w:proofErr w:type="spellStart"/>
      <w:r>
        <w:rPr>
          <w:sz w:val="20"/>
          <w:szCs w:val="20"/>
        </w:rPr>
        <w:t>Karima</w:t>
      </w:r>
      <w:proofErr w:type="spellEnd"/>
      <w:r>
        <w:rPr>
          <w:sz w:val="20"/>
          <w:szCs w:val="20"/>
        </w:rPr>
        <w:t xml:space="preserve"> </w:t>
      </w:r>
      <w:proofErr w:type="spellStart"/>
      <w:r>
        <w:rPr>
          <w:sz w:val="20"/>
          <w:szCs w:val="20"/>
        </w:rPr>
        <w:t>Bennoune</w:t>
      </w:r>
      <w:proofErr w:type="spellEnd"/>
      <w:r>
        <w:rPr>
          <w:sz w:val="20"/>
          <w:szCs w:val="20"/>
        </w:rPr>
        <w:t>,</w:t>
      </w:r>
      <w:r w:rsidRPr="00D251C0">
        <w:rPr>
          <w:sz w:val="20"/>
          <w:szCs w:val="20"/>
        </w:rPr>
        <w:t xml:space="preserve"> ‘</w:t>
      </w:r>
      <w:r>
        <w:rPr>
          <w:sz w:val="20"/>
          <w:szCs w:val="20"/>
        </w:rPr>
        <w:t>“To Respect and to Ensure”</w:t>
      </w:r>
      <w:r w:rsidRPr="00D251C0">
        <w:rPr>
          <w:sz w:val="20"/>
          <w:szCs w:val="20"/>
        </w:rPr>
        <w:t xml:space="preserve">: Reconciling International Human Rights Obligations in </w:t>
      </w:r>
      <w:r>
        <w:rPr>
          <w:sz w:val="20"/>
          <w:szCs w:val="20"/>
        </w:rPr>
        <w:t>a Time of Terror’,</w:t>
      </w:r>
      <w:r w:rsidRPr="00D251C0">
        <w:rPr>
          <w:sz w:val="20"/>
          <w:szCs w:val="20"/>
        </w:rPr>
        <w:t xml:space="preserve"> </w:t>
      </w:r>
      <w:r w:rsidRPr="00D251C0">
        <w:rPr>
          <w:i/>
          <w:sz w:val="20"/>
          <w:szCs w:val="20"/>
        </w:rPr>
        <w:t>Proceedings of the Annual Meeting (American Society of International Law)</w:t>
      </w:r>
      <w:r w:rsidRPr="00D251C0">
        <w:rPr>
          <w:sz w:val="20"/>
          <w:szCs w:val="20"/>
        </w:rPr>
        <w:t xml:space="preserve"> 97</w:t>
      </w:r>
      <w:r>
        <w:rPr>
          <w:sz w:val="20"/>
          <w:szCs w:val="20"/>
        </w:rPr>
        <w:t xml:space="preserve"> (2003), p.</w:t>
      </w:r>
      <w:r w:rsidRPr="00D251C0">
        <w:rPr>
          <w:sz w:val="20"/>
          <w:szCs w:val="20"/>
        </w:rPr>
        <w:t xml:space="preserve"> 23.</w:t>
      </w:r>
    </w:p>
  </w:footnote>
  <w:footnote w:id="34">
    <w:p w14:paraId="00F53553" w14:textId="26849C04" w:rsidR="002F5A1C" w:rsidRPr="00433AF5" w:rsidRDefault="002F5A1C" w:rsidP="001F28F3">
      <w:pPr>
        <w:rPr>
          <w:sz w:val="20"/>
          <w:szCs w:val="20"/>
        </w:rPr>
      </w:pPr>
      <w:r w:rsidRPr="00433AF5">
        <w:rPr>
          <w:rStyle w:val="FootnoteReference"/>
          <w:sz w:val="20"/>
          <w:szCs w:val="20"/>
        </w:rPr>
        <w:footnoteRef/>
      </w:r>
      <w:r w:rsidRPr="00433AF5">
        <w:rPr>
          <w:sz w:val="20"/>
          <w:szCs w:val="20"/>
        </w:rPr>
        <w:t xml:space="preserve"> </w:t>
      </w:r>
      <w:r>
        <w:rPr>
          <w:sz w:val="20"/>
          <w:szCs w:val="20"/>
        </w:rPr>
        <w:t>Brian Levin, ‘</w:t>
      </w:r>
      <w:r w:rsidRPr="00433AF5">
        <w:rPr>
          <w:sz w:val="20"/>
          <w:szCs w:val="20"/>
        </w:rPr>
        <w:t xml:space="preserve">Precarious Balance between Civil Liberties and National Security: </w:t>
      </w:r>
      <w:r>
        <w:rPr>
          <w:sz w:val="20"/>
          <w:szCs w:val="20"/>
        </w:rPr>
        <w:t>A Historical Perspective’,</w:t>
      </w:r>
      <w:r w:rsidRPr="00433AF5">
        <w:rPr>
          <w:sz w:val="20"/>
          <w:szCs w:val="20"/>
        </w:rPr>
        <w:t xml:space="preserve"> </w:t>
      </w:r>
      <w:r w:rsidRPr="00433AF5">
        <w:rPr>
          <w:i/>
          <w:sz w:val="20"/>
          <w:szCs w:val="20"/>
        </w:rPr>
        <w:t>Humboldt Journal of Social Relations</w:t>
      </w:r>
      <w:r>
        <w:rPr>
          <w:sz w:val="20"/>
          <w:szCs w:val="20"/>
        </w:rPr>
        <w:t xml:space="preserve"> 27:</w:t>
      </w:r>
      <w:r w:rsidRPr="00433AF5">
        <w:rPr>
          <w:sz w:val="20"/>
          <w:szCs w:val="20"/>
        </w:rPr>
        <w:t>2</w:t>
      </w:r>
      <w:r>
        <w:rPr>
          <w:sz w:val="20"/>
          <w:szCs w:val="20"/>
        </w:rPr>
        <w:t xml:space="preserve"> (2003), p.</w:t>
      </w:r>
      <w:r w:rsidRPr="00433AF5">
        <w:rPr>
          <w:sz w:val="20"/>
          <w:szCs w:val="20"/>
        </w:rPr>
        <w:t xml:space="preserve"> 18; </w:t>
      </w:r>
      <w:r>
        <w:rPr>
          <w:sz w:val="20"/>
          <w:szCs w:val="20"/>
        </w:rPr>
        <w:t xml:space="preserve">Michael </w:t>
      </w:r>
      <w:proofErr w:type="spellStart"/>
      <w:r>
        <w:rPr>
          <w:sz w:val="20"/>
          <w:szCs w:val="20"/>
        </w:rPr>
        <w:t>Ignatieff</w:t>
      </w:r>
      <w:proofErr w:type="spellEnd"/>
      <w:r>
        <w:rPr>
          <w:sz w:val="20"/>
          <w:szCs w:val="20"/>
        </w:rPr>
        <w:t>,</w:t>
      </w:r>
      <w:r w:rsidRPr="00433AF5">
        <w:rPr>
          <w:sz w:val="20"/>
          <w:szCs w:val="20"/>
        </w:rPr>
        <w:t xml:space="preserve"> </w:t>
      </w:r>
      <w:r w:rsidRPr="00433AF5">
        <w:rPr>
          <w:i/>
          <w:sz w:val="20"/>
          <w:szCs w:val="20"/>
        </w:rPr>
        <w:t>The Lesser Evil: Political Ethics in an Age of Terror</w:t>
      </w:r>
      <w:r>
        <w:rPr>
          <w:sz w:val="20"/>
          <w:szCs w:val="20"/>
        </w:rPr>
        <w:t xml:space="preserve"> (</w:t>
      </w:r>
      <w:r w:rsidRPr="00433AF5">
        <w:rPr>
          <w:sz w:val="20"/>
          <w:szCs w:val="20"/>
        </w:rPr>
        <w:t>Princeton: Princeton University Press</w:t>
      </w:r>
      <w:r>
        <w:rPr>
          <w:sz w:val="20"/>
          <w:szCs w:val="20"/>
        </w:rPr>
        <w:t>, 2004)</w:t>
      </w:r>
      <w:r w:rsidRPr="00433AF5">
        <w:rPr>
          <w:sz w:val="20"/>
          <w:szCs w:val="20"/>
        </w:rPr>
        <w:t xml:space="preserve">; </w:t>
      </w:r>
      <w:r>
        <w:rPr>
          <w:sz w:val="20"/>
          <w:szCs w:val="20"/>
        </w:rPr>
        <w:t xml:space="preserve">Volker </w:t>
      </w:r>
      <w:proofErr w:type="spellStart"/>
      <w:r>
        <w:rPr>
          <w:sz w:val="20"/>
          <w:szCs w:val="20"/>
        </w:rPr>
        <w:t>Roben</w:t>
      </w:r>
      <w:proofErr w:type="spellEnd"/>
      <w:r>
        <w:rPr>
          <w:sz w:val="20"/>
          <w:szCs w:val="20"/>
        </w:rPr>
        <w:t>,</w:t>
      </w:r>
      <w:r w:rsidRPr="00433AF5">
        <w:rPr>
          <w:sz w:val="20"/>
          <w:szCs w:val="20"/>
        </w:rPr>
        <w:t xml:space="preserve"> </w:t>
      </w:r>
      <w:r>
        <w:rPr>
          <w:sz w:val="20"/>
          <w:szCs w:val="20"/>
        </w:rPr>
        <w:t>‘</w:t>
      </w:r>
      <w:r w:rsidRPr="00433AF5">
        <w:rPr>
          <w:sz w:val="20"/>
          <w:szCs w:val="20"/>
        </w:rPr>
        <w:t>The Role of International Conventional and General International Law in the Fight ag</w:t>
      </w:r>
      <w:r>
        <w:rPr>
          <w:sz w:val="20"/>
          <w:szCs w:val="20"/>
        </w:rPr>
        <w:t>ainst International Terrorism’, i</w:t>
      </w:r>
      <w:r w:rsidRPr="00433AF5">
        <w:rPr>
          <w:sz w:val="20"/>
          <w:szCs w:val="20"/>
        </w:rPr>
        <w:t xml:space="preserve">n </w:t>
      </w:r>
      <w:r>
        <w:rPr>
          <w:sz w:val="20"/>
          <w:szCs w:val="20"/>
        </w:rPr>
        <w:t>Christian Walter</w:t>
      </w:r>
      <w:r w:rsidRPr="00433AF5">
        <w:rPr>
          <w:sz w:val="20"/>
          <w:szCs w:val="20"/>
        </w:rPr>
        <w:t xml:space="preserve">, </w:t>
      </w:r>
      <w:proofErr w:type="spellStart"/>
      <w:r>
        <w:rPr>
          <w:sz w:val="20"/>
          <w:szCs w:val="20"/>
        </w:rPr>
        <w:t>Silja</w:t>
      </w:r>
      <w:proofErr w:type="spellEnd"/>
      <w:r>
        <w:rPr>
          <w:sz w:val="20"/>
          <w:szCs w:val="20"/>
        </w:rPr>
        <w:t xml:space="preserve"> </w:t>
      </w:r>
      <w:proofErr w:type="spellStart"/>
      <w:r>
        <w:rPr>
          <w:sz w:val="20"/>
          <w:szCs w:val="20"/>
        </w:rPr>
        <w:t>Voneky</w:t>
      </w:r>
      <w:proofErr w:type="spellEnd"/>
      <w:r w:rsidRPr="00433AF5">
        <w:rPr>
          <w:sz w:val="20"/>
          <w:szCs w:val="20"/>
        </w:rPr>
        <w:t xml:space="preserve">, </w:t>
      </w:r>
      <w:r>
        <w:rPr>
          <w:sz w:val="20"/>
          <w:szCs w:val="20"/>
        </w:rPr>
        <w:t xml:space="preserve">Volker </w:t>
      </w:r>
      <w:proofErr w:type="spellStart"/>
      <w:r>
        <w:rPr>
          <w:sz w:val="20"/>
          <w:szCs w:val="20"/>
        </w:rPr>
        <w:t>Roben</w:t>
      </w:r>
      <w:proofErr w:type="spellEnd"/>
      <w:r w:rsidRPr="00433AF5">
        <w:rPr>
          <w:sz w:val="20"/>
          <w:szCs w:val="20"/>
        </w:rPr>
        <w:t xml:space="preserve">, and </w:t>
      </w:r>
      <w:r>
        <w:rPr>
          <w:sz w:val="20"/>
          <w:szCs w:val="20"/>
        </w:rPr>
        <w:t xml:space="preserve">Frank </w:t>
      </w:r>
      <w:proofErr w:type="spellStart"/>
      <w:r>
        <w:rPr>
          <w:sz w:val="20"/>
          <w:szCs w:val="20"/>
        </w:rPr>
        <w:t>Schorkopf</w:t>
      </w:r>
      <w:proofErr w:type="spellEnd"/>
      <w:r w:rsidRPr="00433AF5">
        <w:rPr>
          <w:sz w:val="20"/>
          <w:szCs w:val="20"/>
        </w:rPr>
        <w:t xml:space="preserve"> (</w:t>
      </w:r>
      <w:proofErr w:type="spellStart"/>
      <w:r w:rsidRPr="00433AF5">
        <w:rPr>
          <w:sz w:val="20"/>
          <w:szCs w:val="20"/>
        </w:rPr>
        <w:t>eds</w:t>
      </w:r>
      <w:proofErr w:type="spellEnd"/>
      <w:r w:rsidRPr="00433AF5">
        <w:rPr>
          <w:sz w:val="20"/>
          <w:szCs w:val="20"/>
        </w:rPr>
        <w:t xml:space="preserve">) </w:t>
      </w:r>
      <w:r w:rsidRPr="00433AF5">
        <w:rPr>
          <w:i/>
          <w:sz w:val="20"/>
          <w:szCs w:val="20"/>
        </w:rPr>
        <w:t>Terrorism as a Challenge for National and International Law: Security versus Liberty?</w:t>
      </w:r>
      <w:r w:rsidRPr="00433AF5">
        <w:rPr>
          <w:sz w:val="20"/>
          <w:szCs w:val="20"/>
        </w:rPr>
        <w:t xml:space="preserve"> </w:t>
      </w:r>
      <w:r>
        <w:rPr>
          <w:sz w:val="20"/>
          <w:szCs w:val="20"/>
        </w:rPr>
        <w:t>(</w:t>
      </w:r>
      <w:r w:rsidRPr="00433AF5">
        <w:rPr>
          <w:sz w:val="20"/>
          <w:szCs w:val="20"/>
        </w:rPr>
        <w:t>Berlin: Springer</w:t>
      </w:r>
      <w:r>
        <w:rPr>
          <w:sz w:val="20"/>
          <w:szCs w:val="20"/>
        </w:rPr>
        <w:t>, 2004)</w:t>
      </w:r>
      <w:r w:rsidRPr="00433AF5">
        <w:rPr>
          <w:sz w:val="20"/>
          <w:szCs w:val="20"/>
        </w:rPr>
        <w:t xml:space="preserve">, p 821; </w:t>
      </w:r>
      <w:r>
        <w:rPr>
          <w:sz w:val="20"/>
          <w:szCs w:val="20"/>
        </w:rPr>
        <w:t xml:space="preserve">Michelle Louise </w:t>
      </w:r>
      <w:proofErr w:type="spellStart"/>
      <w:r>
        <w:rPr>
          <w:sz w:val="20"/>
          <w:szCs w:val="20"/>
        </w:rPr>
        <w:t>Atkin</w:t>
      </w:r>
      <w:proofErr w:type="spellEnd"/>
      <w:r>
        <w:rPr>
          <w:sz w:val="20"/>
          <w:szCs w:val="20"/>
        </w:rPr>
        <w:t xml:space="preserve">, </w:t>
      </w:r>
      <w:r w:rsidRPr="00433AF5">
        <w:rPr>
          <w:i/>
          <w:sz w:val="20"/>
          <w:szCs w:val="20"/>
        </w:rPr>
        <w:t>Balancing Liberty and Security: An Ethical Study of U.S. Foreign Intelligence Surveillance 2001-2009</w:t>
      </w:r>
      <w:r>
        <w:rPr>
          <w:sz w:val="20"/>
          <w:szCs w:val="20"/>
        </w:rPr>
        <w:t xml:space="preserve"> (</w:t>
      </w:r>
      <w:r w:rsidRPr="00433AF5">
        <w:rPr>
          <w:sz w:val="20"/>
          <w:szCs w:val="20"/>
        </w:rPr>
        <w:t xml:space="preserve">New York: </w:t>
      </w:r>
      <w:proofErr w:type="spellStart"/>
      <w:r w:rsidRPr="00433AF5">
        <w:rPr>
          <w:sz w:val="20"/>
          <w:szCs w:val="20"/>
        </w:rPr>
        <w:t>Rowman</w:t>
      </w:r>
      <w:proofErr w:type="spellEnd"/>
      <w:r w:rsidRPr="00433AF5">
        <w:rPr>
          <w:sz w:val="20"/>
          <w:szCs w:val="20"/>
        </w:rPr>
        <w:t xml:space="preserve"> and Littlefield</w:t>
      </w:r>
      <w:r>
        <w:rPr>
          <w:sz w:val="20"/>
          <w:szCs w:val="20"/>
        </w:rPr>
        <w:t>, 2013)</w:t>
      </w:r>
      <w:r w:rsidRPr="00433AF5">
        <w:rPr>
          <w:sz w:val="20"/>
          <w:szCs w:val="20"/>
        </w:rPr>
        <w:t>.</w:t>
      </w:r>
    </w:p>
  </w:footnote>
  <w:footnote w:id="35">
    <w:p w14:paraId="357ABF20" w14:textId="7268B2BE" w:rsidR="002F5A1C" w:rsidRPr="00547CD5" w:rsidRDefault="002F5A1C" w:rsidP="003C3334">
      <w:pPr>
        <w:rPr>
          <w:sz w:val="20"/>
          <w:szCs w:val="20"/>
        </w:rPr>
      </w:pPr>
      <w:r w:rsidRPr="00433AF5">
        <w:rPr>
          <w:rStyle w:val="FootnoteReference"/>
          <w:sz w:val="20"/>
          <w:szCs w:val="20"/>
        </w:rPr>
        <w:footnoteRef/>
      </w:r>
      <w:r w:rsidRPr="00433AF5">
        <w:rPr>
          <w:sz w:val="20"/>
          <w:szCs w:val="20"/>
        </w:rPr>
        <w:t xml:space="preserve"> </w:t>
      </w:r>
      <w:r>
        <w:rPr>
          <w:sz w:val="20"/>
          <w:szCs w:val="20"/>
        </w:rPr>
        <w:t>James L. Gibson</w:t>
      </w:r>
      <w:r w:rsidRPr="00433AF5">
        <w:rPr>
          <w:sz w:val="20"/>
          <w:szCs w:val="20"/>
        </w:rPr>
        <w:t xml:space="preserve"> and </w:t>
      </w:r>
      <w:r>
        <w:rPr>
          <w:sz w:val="20"/>
          <w:szCs w:val="20"/>
        </w:rPr>
        <w:t>Richard D. Bingham,</w:t>
      </w:r>
      <w:r w:rsidRPr="00433AF5">
        <w:rPr>
          <w:sz w:val="20"/>
          <w:szCs w:val="20"/>
        </w:rPr>
        <w:t xml:space="preserve"> </w:t>
      </w:r>
      <w:r w:rsidRPr="00433AF5">
        <w:rPr>
          <w:i/>
          <w:sz w:val="20"/>
          <w:szCs w:val="20"/>
        </w:rPr>
        <w:t>Civil Liberties and Nazis: The Skokie Free Speech Controversy</w:t>
      </w:r>
      <w:r w:rsidRPr="00433AF5">
        <w:rPr>
          <w:sz w:val="20"/>
          <w:szCs w:val="20"/>
        </w:rPr>
        <w:t xml:space="preserve"> </w:t>
      </w:r>
      <w:r>
        <w:rPr>
          <w:sz w:val="20"/>
          <w:szCs w:val="20"/>
        </w:rPr>
        <w:t xml:space="preserve">(New York: </w:t>
      </w:r>
      <w:proofErr w:type="spellStart"/>
      <w:r>
        <w:rPr>
          <w:sz w:val="20"/>
          <w:szCs w:val="20"/>
        </w:rPr>
        <w:t>Praeger</w:t>
      </w:r>
      <w:proofErr w:type="spellEnd"/>
      <w:r>
        <w:rPr>
          <w:sz w:val="20"/>
          <w:szCs w:val="20"/>
        </w:rPr>
        <w:t>, 1985), pp. 108-0</w:t>
      </w:r>
      <w:r w:rsidRPr="00433AF5">
        <w:rPr>
          <w:sz w:val="20"/>
          <w:szCs w:val="20"/>
        </w:rPr>
        <w:t xml:space="preserve">9; </w:t>
      </w:r>
      <w:r>
        <w:rPr>
          <w:sz w:val="20"/>
          <w:szCs w:val="20"/>
        </w:rPr>
        <w:t xml:space="preserve">A. G. </w:t>
      </w:r>
      <w:proofErr w:type="spellStart"/>
      <w:r>
        <w:rPr>
          <w:sz w:val="20"/>
          <w:szCs w:val="20"/>
        </w:rPr>
        <w:t>Noorani</w:t>
      </w:r>
      <w:proofErr w:type="spellEnd"/>
      <w:r>
        <w:rPr>
          <w:sz w:val="20"/>
          <w:szCs w:val="20"/>
        </w:rPr>
        <w:t>,</w:t>
      </w:r>
      <w:r w:rsidRPr="00433AF5">
        <w:rPr>
          <w:sz w:val="20"/>
          <w:szCs w:val="20"/>
        </w:rPr>
        <w:t xml:space="preserve"> </w:t>
      </w:r>
      <w:r>
        <w:rPr>
          <w:sz w:val="20"/>
          <w:szCs w:val="20"/>
        </w:rPr>
        <w:t>‘</w:t>
      </w:r>
      <w:r w:rsidRPr="00433AF5">
        <w:rPr>
          <w:sz w:val="20"/>
          <w:szCs w:val="20"/>
        </w:rPr>
        <w:t>Terrorism and Human</w:t>
      </w:r>
      <w:r>
        <w:rPr>
          <w:sz w:val="20"/>
          <w:szCs w:val="20"/>
        </w:rPr>
        <w:t xml:space="preserve"> Rights’,</w:t>
      </w:r>
      <w:r w:rsidRPr="00433AF5">
        <w:rPr>
          <w:sz w:val="20"/>
          <w:szCs w:val="20"/>
        </w:rPr>
        <w:t xml:space="preserve"> </w:t>
      </w:r>
      <w:r w:rsidRPr="00433AF5">
        <w:rPr>
          <w:i/>
          <w:sz w:val="20"/>
          <w:szCs w:val="20"/>
        </w:rPr>
        <w:t>Economic and Political Weekly</w:t>
      </w:r>
      <w:r>
        <w:rPr>
          <w:sz w:val="20"/>
          <w:szCs w:val="20"/>
        </w:rPr>
        <w:t xml:space="preserve"> 25:</w:t>
      </w:r>
      <w:r w:rsidRPr="00433AF5">
        <w:rPr>
          <w:sz w:val="20"/>
          <w:szCs w:val="20"/>
        </w:rPr>
        <w:t>30</w:t>
      </w:r>
      <w:r>
        <w:rPr>
          <w:sz w:val="20"/>
          <w:szCs w:val="20"/>
        </w:rPr>
        <w:t xml:space="preserve"> (1990), p.</w:t>
      </w:r>
      <w:r w:rsidRPr="00433AF5">
        <w:rPr>
          <w:sz w:val="20"/>
          <w:szCs w:val="20"/>
        </w:rPr>
        <w:t xml:space="preserve"> 1621; </w:t>
      </w:r>
      <w:r>
        <w:rPr>
          <w:sz w:val="20"/>
          <w:szCs w:val="20"/>
        </w:rPr>
        <w:t xml:space="preserve">Andrew W. Neal, </w:t>
      </w:r>
      <w:r w:rsidRPr="00433AF5">
        <w:rPr>
          <w:i/>
          <w:sz w:val="20"/>
          <w:szCs w:val="20"/>
        </w:rPr>
        <w:t xml:space="preserve">Exceptionalism and the Politics of Counter-Terrorism: Liberty, Security and the </w:t>
      </w:r>
      <w:r w:rsidRPr="00547CD5">
        <w:rPr>
          <w:i/>
          <w:sz w:val="20"/>
          <w:szCs w:val="20"/>
        </w:rPr>
        <w:t>War on Terror</w:t>
      </w:r>
      <w:r>
        <w:rPr>
          <w:sz w:val="20"/>
          <w:szCs w:val="20"/>
        </w:rPr>
        <w:t xml:space="preserve"> (London: Routledge, 2010), p.</w:t>
      </w:r>
      <w:r w:rsidRPr="00547CD5">
        <w:rPr>
          <w:sz w:val="20"/>
          <w:szCs w:val="20"/>
        </w:rPr>
        <w:t xml:space="preserve"> 1; </w:t>
      </w:r>
      <w:proofErr w:type="spellStart"/>
      <w:r>
        <w:rPr>
          <w:sz w:val="20"/>
          <w:szCs w:val="20"/>
        </w:rPr>
        <w:t>Conor</w:t>
      </w:r>
      <w:proofErr w:type="spellEnd"/>
      <w:r>
        <w:rPr>
          <w:sz w:val="20"/>
          <w:szCs w:val="20"/>
        </w:rPr>
        <w:t xml:space="preserve"> </w:t>
      </w:r>
      <w:proofErr w:type="spellStart"/>
      <w:r>
        <w:rPr>
          <w:sz w:val="20"/>
          <w:szCs w:val="20"/>
        </w:rPr>
        <w:t>Gearty</w:t>
      </w:r>
      <w:proofErr w:type="spellEnd"/>
      <w:r>
        <w:rPr>
          <w:sz w:val="20"/>
          <w:szCs w:val="20"/>
        </w:rPr>
        <w:t>,</w:t>
      </w:r>
      <w:r w:rsidRPr="00547CD5">
        <w:rPr>
          <w:sz w:val="20"/>
          <w:szCs w:val="20"/>
        </w:rPr>
        <w:t xml:space="preserve"> </w:t>
      </w:r>
      <w:r w:rsidRPr="00547CD5">
        <w:rPr>
          <w:i/>
          <w:sz w:val="20"/>
          <w:szCs w:val="20"/>
        </w:rPr>
        <w:t>Liberty and Security</w:t>
      </w:r>
      <w:r>
        <w:rPr>
          <w:sz w:val="20"/>
          <w:szCs w:val="20"/>
        </w:rPr>
        <w:t xml:space="preserve"> (Cambridge: Polity Press, 2013), p.</w:t>
      </w:r>
      <w:r w:rsidRPr="00547CD5">
        <w:rPr>
          <w:sz w:val="20"/>
          <w:szCs w:val="20"/>
        </w:rPr>
        <w:t xml:space="preserve"> 2.</w:t>
      </w:r>
    </w:p>
  </w:footnote>
  <w:footnote w:id="36">
    <w:p w14:paraId="27C32131" w14:textId="2EBF2AC3" w:rsidR="002F5A1C" w:rsidRPr="00547CD5" w:rsidRDefault="002F5A1C" w:rsidP="00433AF5">
      <w:pPr>
        <w:rPr>
          <w:sz w:val="20"/>
          <w:szCs w:val="20"/>
        </w:rPr>
      </w:pPr>
      <w:r w:rsidRPr="00547CD5">
        <w:rPr>
          <w:rStyle w:val="FootnoteReference"/>
          <w:sz w:val="20"/>
          <w:szCs w:val="20"/>
        </w:rPr>
        <w:footnoteRef/>
      </w:r>
      <w:r w:rsidRPr="00547CD5">
        <w:rPr>
          <w:sz w:val="20"/>
          <w:szCs w:val="20"/>
        </w:rPr>
        <w:t xml:space="preserve"> </w:t>
      </w:r>
      <w:r>
        <w:rPr>
          <w:sz w:val="20"/>
          <w:szCs w:val="20"/>
        </w:rPr>
        <w:t xml:space="preserve">Darren W. </w:t>
      </w:r>
      <w:r w:rsidRPr="00547CD5">
        <w:rPr>
          <w:sz w:val="20"/>
          <w:szCs w:val="20"/>
        </w:rPr>
        <w:t>Dav</w:t>
      </w:r>
      <w:r>
        <w:rPr>
          <w:sz w:val="20"/>
          <w:szCs w:val="20"/>
        </w:rPr>
        <w:t>is,</w:t>
      </w:r>
      <w:r w:rsidRPr="00547CD5">
        <w:rPr>
          <w:sz w:val="20"/>
          <w:szCs w:val="20"/>
        </w:rPr>
        <w:t xml:space="preserve"> </w:t>
      </w:r>
      <w:r w:rsidRPr="00547CD5">
        <w:rPr>
          <w:i/>
          <w:sz w:val="20"/>
          <w:szCs w:val="20"/>
        </w:rPr>
        <w:t>Negative Liberty: Public Opinion and the Terrorist Attacks on America</w:t>
      </w:r>
      <w:r w:rsidRPr="00547CD5">
        <w:rPr>
          <w:sz w:val="20"/>
          <w:szCs w:val="20"/>
        </w:rPr>
        <w:t xml:space="preserve"> </w:t>
      </w:r>
      <w:r>
        <w:rPr>
          <w:sz w:val="20"/>
          <w:szCs w:val="20"/>
        </w:rPr>
        <w:t>(New York: Russell Sage, 2007), p.</w:t>
      </w:r>
      <w:r w:rsidRPr="00547CD5">
        <w:rPr>
          <w:sz w:val="20"/>
          <w:szCs w:val="20"/>
        </w:rPr>
        <w:t xml:space="preserve"> 31.</w:t>
      </w:r>
    </w:p>
  </w:footnote>
  <w:footnote w:id="37">
    <w:p w14:paraId="1983F06A" w14:textId="2D6963C3" w:rsidR="002F5A1C" w:rsidRPr="00547CD5" w:rsidRDefault="002F5A1C" w:rsidP="00433AF5">
      <w:pPr>
        <w:rPr>
          <w:sz w:val="20"/>
          <w:szCs w:val="20"/>
        </w:rPr>
      </w:pPr>
      <w:r w:rsidRPr="00547CD5">
        <w:rPr>
          <w:rStyle w:val="FootnoteReference"/>
          <w:sz w:val="20"/>
          <w:szCs w:val="20"/>
        </w:rPr>
        <w:footnoteRef/>
      </w:r>
      <w:r w:rsidRPr="00547CD5">
        <w:rPr>
          <w:sz w:val="20"/>
          <w:szCs w:val="20"/>
        </w:rPr>
        <w:t xml:space="preserve"> </w:t>
      </w:r>
      <w:r>
        <w:rPr>
          <w:sz w:val="20"/>
          <w:szCs w:val="20"/>
        </w:rPr>
        <w:t>Ian Leigh, ‘</w:t>
      </w:r>
      <w:r w:rsidRPr="00547CD5">
        <w:rPr>
          <w:sz w:val="20"/>
          <w:szCs w:val="20"/>
        </w:rPr>
        <w:t>Changing the rules of the game: Some necessary legal reforms</w:t>
      </w:r>
      <w:r>
        <w:rPr>
          <w:sz w:val="20"/>
          <w:szCs w:val="20"/>
        </w:rPr>
        <w:t xml:space="preserve"> to United Kingdom intelligence’,</w:t>
      </w:r>
      <w:r w:rsidRPr="00547CD5">
        <w:rPr>
          <w:sz w:val="20"/>
          <w:szCs w:val="20"/>
        </w:rPr>
        <w:t xml:space="preserve"> </w:t>
      </w:r>
      <w:r w:rsidRPr="00547CD5">
        <w:rPr>
          <w:i/>
          <w:sz w:val="20"/>
          <w:szCs w:val="20"/>
        </w:rPr>
        <w:t>Review of International Studies</w:t>
      </w:r>
      <w:r w:rsidRPr="00547CD5">
        <w:rPr>
          <w:sz w:val="20"/>
          <w:szCs w:val="20"/>
        </w:rPr>
        <w:t xml:space="preserve"> 35</w:t>
      </w:r>
      <w:r>
        <w:rPr>
          <w:sz w:val="20"/>
          <w:szCs w:val="20"/>
        </w:rPr>
        <w:t>:</w:t>
      </w:r>
      <w:r w:rsidRPr="00547CD5">
        <w:rPr>
          <w:sz w:val="20"/>
          <w:szCs w:val="20"/>
        </w:rPr>
        <w:t>4</w:t>
      </w:r>
      <w:r>
        <w:rPr>
          <w:sz w:val="20"/>
          <w:szCs w:val="20"/>
        </w:rPr>
        <w:t xml:space="preserve"> (2009), p.</w:t>
      </w:r>
      <w:r w:rsidRPr="00547CD5">
        <w:rPr>
          <w:sz w:val="20"/>
          <w:szCs w:val="20"/>
        </w:rPr>
        <w:t xml:space="preserve"> 943.</w:t>
      </w:r>
    </w:p>
  </w:footnote>
  <w:footnote w:id="38">
    <w:p w14:paraId="169F9A94" w14:textId="487E3F8E" w:rsidR="002F5A1C" w:rsidRPr="00547CD5" w:rsidRDefault="002F5A1C" w:rsidP="00433AF5">
      <w:pPr>
        <w:rPr>
          <w:sz w:val="20"/>
          <w:szCs w:val="20"/>
        </w:rPr>
      </w:pPr>
      <w:r w:rsidRPr="00547CD5">
        <w:rPr>
          <w:rStyle w:val="FootnoteReference"/>
          <w:sz w:val="20"/>
          <w:szCs w:val="20"/>
        </w:rPr>
        <w:footnoteRef/>
      </w:r>
      <w:r w:rsidRPr="00547CD5">
        <w:rPr>
          <w:sz w:val="20"/>
          <w:szCs w:val="20"/>
        </w:rPr>
        <w:t xml:space="preserve"> </w:t>
      </w:r>
      <w:r>
        <w:rPr>
          <w:sz w:val="20"/>
          <w:szCs w:val="20"/>
        </w:rPr>
        <w:t xml:space="preserve">Daniel J. </w:t>
      </w:r>
      <w:proofErr w:type="spellStart"/>
      <w:r>
        <w:rPr>
          <w:sz w:val="20"/>
          <w:szCs w:val="20"/>
        </w:rPr>
        <w:t>Solove</w:t>
      </w:r>
      <w:proofErr w:type="spellEnd"/>
      <w:r>
        <w:rPr>
          <w:sz w:val="20"/>
          <w:szCs w:val="20"/>
        </w:rPr>
        <w:t>, ‘</w:t>
      </w:r>
      <w:r w:rsidRPr="00547CD5">
        <w:rPr>
          <w:sz w:val="20"/>
          <w:szCs w:val="20"/>
        </w:rPr>
        <w:t xml:space="preserve">Data Mining </w:t>
      </w:r>
      <w:r>
        <w:rPr>
          <w:sz w:val="20"/>
          <w:szCs w:val="20"/>
        </w:rPr>
        <w:t>and the Security-Liberty Debate’,</w:t>
      </w:r>
      <w:r w:rsidRPr="00547CD5">
        <w:rPr>
          <w:sz w:val="20"/>
          <w:szCs w:val="20"/>
        </w:rPr>
        <w:t xml:space="preserve"> </w:t>
      </w:r>
      <w:r w:rsidRPr="00547CD5">
        <w:rPr>
          <w:i/>
          <w:sz w:val="20"/>
          <w:szCs w:val="20"/>
        </w:rPr>
        <w:t>The University of Chicago Law Review</w:t>
      </w:r>
      <w:r>
        <w:rPr>
          <w:sz w:val="20"/>
          <w:szCs w:val="20"/>
        </w:rPr>
        <w:t xml:space="preserve"> 75:</w:t>
      </w:r>
      <w:r w:rsidRPr="00547CD5">
        <w:rPr>
          <w:sz w:val="20"/>
          <w:szCs w:val="20"/>
        </w:rPr>
        <w:t>1</w:t>
      </w:r>
      <w:r>
        <w:rPr>
          <w:sz w:val="20"/>
          <w:szCs w:val="20"/>
        </w:rPr>
        <w:t xml:space="preserve"> (2008), p.</w:t>
      </w:r>
      <w:r w:rsidRPr="00547CD5">
        <w:rPr>
          <w:sz w:val="20"/>
          <w:szCs w:val="20"/>
        </w:rPr>
        <w:t xml:space="preserve"> 345.</w:t>
      </w:r>
    </w:p>
  </w:footnote>
  <w:footnote w:id="39">
    <w:p w14:paraId="30BB9DEB" w14:textId="65A38250" w:rsidR="002F5A1C" w:rsidRPr="00547CD5" w:rsidRDefault="002F5A1C" w:rsidP="00433AF5">
      <w:pPr>
        <w:rPr>
          <w:sz w:val="20"/>
          <w:szCs w:val="20"/>
        </w:rPr>
      </w:pPr>
      <w:r w:rsidRPr="00547CD5">
        <w:rPr>
          <w:rStyle w:val="FootnoteReference"/>
          <w:sz w:val="20"/>
          <w:szCs w:val="20"/>
        </w:rPr>
        <w:footnoteRef/>
      </w:r>
      <w:r w:rsidRPr="00547CD5">
        <w:rPr>
          <w:sz w:val="20"/>
          <w:szCs w:val="20"/>
        </w:rPr>
        <w:t xml:space="preserve"> </w:t>
      </w:r>
      <w:r>
        <w:rPr>
          <w:sz w:val="20"/>
          <w:szCs w:val="20"/>
        </w:rPr>
        <w:t>Stuart S. Taylor, ‘</w:t>
      </w:r>
      <w:r w:rsidRPr="00547CD5">
        <w:rPr>
          <w:sz w:val="20"/>
          <w:szCs w:val="20"/>
        </w:rPr>
        <w:t>Rights, Liberties, and Security: Recalibrating</w:t>
      </w:r>
      <w:r>
        <w:rPr>
          <w:sz w:val="20"/>
          <w:szCs w:val="20"/>
        </w:rPr>
        <w:t xml:space="preserve"> the Balance after September 11’,</w:t>
      </w:r>
      <w:r w:rsidRPr="00547CD5">
        <w:rPr>
          <w:sz w:val="20"/>
          <w:szCs w:val="20"/>
        </w:rPr>
        <w:t xml:space="preserve"> </w:t>
      </w:r>
      <w:r w:rsidRPr="00547CD5">
        <w:rPr>
          <w:i/>
          <w:sz w:val="20"/>
          <w:szCs w:val="20"/>
        </w:rPr>
        <w:t>The Brooking Review</w:t>
      </w:r>
      <w:r>
        <w:rPr>
          <w:sz w:val="20"/>
          <w:szCs w:val="20"/>
        </w:rPr>
        <w:t xml:space="preserve"> 21:</w:t>
      </w:r>
      <w:r w:rsidRPr="00547CD5">
        <w:rPr>
          <w:sz w:val="20"/>
          <w:szCs w:val="20"/>
        </w:rPr>
        <w:t>1</w:t>
      </w:r>
      <w:r>
        <w:rPr>
          <w:sz w:val="20"/>
          <w:szCs w:val="20"/>
        </w:rPr>
        <w:t xml:space="preserve"> (2003), p.</w:t>
      </w:r>
      <w:r w:rsidRPr="00547CD5">
        <w:rPr>
          <w:sz w:val="20"/>
          <w:szCs w:val="20"/>
        </w:rPr>
        <w:t xml:space="preserve"> 25-31.</w:t>
      </w:r>
    </w:p>
  </w:footnote>
  <w:footnote w:id="40">
    <w:p w14:paraId="48005659" w14:textId="56B4E141" w:rsidR="002F5A1C" w:rsidRPr="00547CD5" w:rsidRDefault="002F5A1C" w:rsidP="00433AF5">
      <w:pPr>
        <w:rPr>
          <w:sz w:val="20"/>
          <w:szCs w:val="20"/>
        </w:rPr>
      </w:pPr>
      <w:r w:rsidRPr="00547CD5">
        <w:rPr>
          <w:rStyle w:val="FootnoteReference"/>
          <w:sz w:val="20"/>
          <w:szCs w:val="20"/>
        </w:rPr>
        <w:footnoteRef/>
      </w:r>
      <w:r>
        <w:rPr>
          <w:sz w:val="20"/>
          <w:szCs w:val="20"/>
        </w:rPr>
        <w:t xml:space="preserve"> Ivor J. Goddard, ‘</w:t>
      </w:r>
      <w:r w:rsidRPr="00547CD5">
        <w:rPr>
          <w:sz w:val="20"/>
          <w:szCs w:val="20"/>
        </w:rPr>
        <w:t xml:space="preserve">Editorial: Liberty </w:t>
      </w:r>
      <w:r>
        <w:rPr>
          <w:sz w:val="20"/>
          <w:szCs w:val="20"/>
        </w:rPr>
        <w:t>and security: the Faustian Pact’,</w:t>
      </w:r>
      <w:r w:rsidRPr="00547CD5">
        <w:rPr>
          <w:sz w:val="20"/>
          <w:szCs w:val="20"/>
        </w:rPr>
        <w:t xml:space="preserve"> </w:t>
      </w:r>
      <w:r w:rsidRPr="00547CD5">
        <w:rPr>
          <w:i/>
          <w:sz w:val="20"/>
          <w:szCs w:val="20"/>
        </w:rPr>
        <w:t>Journal of the Royal Statistical Society</w:t>
      </w:r>
      <w:r>
        <w:rPr>
          <w:sz w:val="20"/>
          <w:szCs w:val="20"/>
        </w:rPr>
        <w:t xml:space="preserve"> 173:</w:t>
      </w:r>
      <w:r w:rsidRPr="00547CD5">
        <w:rPr>
          <w:sz w:val="20"/>
          <w:szCs w:val="20"/>
        </w:rPr>
        <w:t>2</w:t>
      </w:r>
      <w:r>
        <w:rPr>
          <w:sz w:val="20"/>
          <w:szCs w:val="20"/>
        </w:rPr>
        <w:t xml:space="preserve"> (2010), pp.</w:t>
      </w:r>
      <w:r w:rsidRPr="00547CD5">
        <w:rPr>
          <w:sz w:val="20"/>
          <w:szCs w:val="20"/>
        </w:rPr>
        <w:t xml:space="preserve"> 279-281.</w:t>
      </w:r>
    </w:p>
  </w:footnote>
  <w:footnote w:id="41">
    <w:p w14:paraId="2B20BADF" w14:textId="359E0541" w:rsidR="002F5A1C" w:rsidRPr="00547CD5" w:rsidRDefault="002F5A1C" w:rsidP="00547CD5">
      <w:pPr>
        <w:rPr>
          <w:sz w:val="20"/>
          <w:szCs w:val="20"/>
        </w:rPr>
      </w:pPr>
      <w:r w:rsidRPr="00547CD5">
        <w:rPr>
          <w:rStyle w:val="FootnoteReference"/>
          <w:sz w:val="20"/>
          <w:szCs w:val="20"/>
        </w:rPr>
        <w:footnoteRef/>
      </w:r>
      <w:r w:rsidRPr="00547CD5">
        <w:rPr>
          <w:sz w:val="20"/>
          <w:szCs w:val="20"/>
        </w:rPr>
        <w:t xml:space="preserve"> </w:t>
      </w:r>
      <w:r>
        <w:rPr>
          <w:sz w:val="20"/>
          <w:szCs w:val="20"/>
        </w:rPr>
        <w:t xml:space="preserve">David </w:t>
      </w:r>
      <w:proofErr w:type="spellStart"/>
      <w:r>
        <w:rPr>
          <w:sz w:val="20"/>
          <w:szCs w:val="20"/>
        </w:rPr>
        <w:t>Luban</w:t>
      </w:r>
      <w:proofErr w:type="spellEnd"/>
      <w:r>
        <w:rPr>
          <w:sz w:val="20"/>
          <w:szCs w:val="20"/>
        </w:rPr>
        <w:t>, ‘</w:t>
      </w:r>
      <w:r w:rsidRPr="00547CD5">
        <w:rPr>
          <w:sz w:val="20"/>
          <w:szCs w:val="20"/>
        </w:rPr>
        <w:t>Eight Fallaci</w:t>
      </w:r>
      <w:r>
        <w:rPr>
          <w:sz w:val="20"/>
          <w:szCs w:val="20"/>
        </w:rPr>
        <w:t>es About Liberty and Security’, i</w:t>
      </w:r>
      <w:r w:rsidRPr="00547CD5">
        <w:rPr>
          <w:sz w:val="20"/>
          <w:szCs w:val="20"/>
        </w:rPr>
        <w:t xml:space="preserve">n </w:t>
      </w:r>
      <w:r>
        <w:rPr>
          <w:sz w:val="20"/>
          <w:szCs w:val="20"/>
        </w:rPr>
        <w:t xml:space="preserve">Richard Ashby Wilson </w:t>
      </w:r>
      <w:r w:rsidRPr="00547CD5">
        <w:rPr>
          <w:sz w:val="20"/>
          <w:szCs w:val="20"/>
        </w:rPr>
        <w:t>(ed</w:t>
      </w:r>
      <w:r>
        <w:rPr>
          <w:sz w:val="20"/>
          <w:szCs w:val="20"/>
        </w:rPr>
        <w:t>.</w:t>
      </w:r>
      <w:r w:rsidRPr="00547CD5">
        <w:rPr>
          <w:sz w:val="20"/>
          <w:szCs w:val="20"/>
        </w:rPr>
        <w:t xml:space="preserve">) </w:t>
      </w:r>
      <w:r w:rsidRPr="00547CD5">
        <w:rPr>
          <w:i/>
          <w:sz w:val="20"/>
          <w:szCs w:val="20"/>
        </w:rPr>
        <w:t>Human Rights in the ‘War on Terror</w:t>
      </w:r>
      <w:r>
        <w:rPr>
          <w:i/>
          <w:sz w:val="20"/>
          <w:szCs w:val="20"/>
        </w:rPr>
        <w:t xml:space="preserve">’ </w:t>
      </w:r>
      <w:r w:rsidRPr="00416200">
        <w:rPr>
          <w:sz w:val="20"/>
          <w:szCs w:val="20"/>
        </w:rPr>
        <w:t>(</w:t>
      </w:r>
      <w:r w:rsidRPr="00547CD5">
        <w:rPr>
          <w:sz w:val="20"/>
          <w:szCs w:val="20"/>
        </w:rPr>
        <w:t>Cambridge: Cambridge University Press</w:t>
      </w:r>
      <w:r>
        <w:rPr>
          <w:sz w:val="20"/>
          <w:szCs w:val="20"/>
        </w:rPr>
        <w:t>, 2005)</w:t>
      </w:r>
      <w:r w:rsidRPr="00547CD5">
        <w:rPr>
          <w:sz w:val="20"/>
          <w:szCs w:val="20"/>
        </w:rPr>
        <w:t xml:space="preserve">, pp. 242; </w:t>
      </w:r>
      <w:proofErr w:type="spellStart"/>
      <w:r>
        <w:rPr>
          <w:sz w:val="20"/>
          <w:szCs w:val="20"/>
        </w:rPr>
        <w:t>Tsoukala</w:t>
      </w:r>
      <w:proofErr w:type="spellEnd"/>
      <w:r>
        <w:rPr>
          <w:sz w:val="20"/>
          <w:szCs w:val="20"/>
        </w:rPr>
        <w:t xml:space="preserve"> (2006); Mark </w:t>
      </w:r>
      <w:proofErr w:type="spellStart"/>
      <w:r w:rsidRPr="00547CD5">
        <w:rPr>
          <w:sz w:val="20"/>
          <w:szCs w:val="20"/>
        </w:rPr>
        <w:t>Neocleous</w:t>
      </w:r>
      <w:proofErr w:type="spellEnd"/>
      <w:r>
        <w:rPr>
          <w:sz w:val="20"/>
          <w:szCs w:val="20"/>
        </w:rPr>
        <w:t xml:space="preserve">, </w:t>
      </w:r>
      <w:r w:rsidRPr="00547CD5">
        <w:rPr>
          <w:i/>
          <w:sz w:val="20"/>
          <w:szCs w:val="20"/>
        </w:rPr>
        <w:t>Critique of Security</w:t>
      </w:r>
      <w:r>
        <w:rPr>
          <w:sz w:val="20"/>
          <w:szCs w:val="20"/>
        </w:rPr>
        <w:t xml:space="preserve"> (</w:t>
      </w:r>
      <w:r w:rsidRPr="00547CD5">
        <w:rPr>
          <w:sz w:val="20"/>
          <w:szCs w:val="20"/>
        </w:rPr>
        <w:t>Edinburgh: Edinburgh University Press</w:t>
      </w:r>
      <w:r>
        <w:rPr>
          <w:sz w:val="20"/>
          <w:szCs w:val="20"/>
        </w:rPr>
        <w:t xml:space="preserve">, 2008), p. 12; </w:t>
      </w:r>
      <w:proofErr w:type="spellStart"/>
      <w:r>
        <w:rPr>
          <w:sz w:val="20"/>
          <w:szCs w:val="20"/>
        </w:rPr>
        <w:t>Myriam</w:t>
      </w:r>
      <w:proofErr w:type="spellEnd"/>
      <w:r>
        <w:rPr>
          <w:sz w:val="20"/>
          <w:szCs w:val="20"/>
        </w:rPr>
        <w:t xml:space="preserve"> Feinberg,</w:t>
      </w:r>
      <w:r w:rsidRPr="00547CD5">
        <w:rPr>
          <w:sz w:val="20"/>
          <w:szCs w:val="20"/>
        </w:rPr>
        <w:t xml:space="preserve"> </w:t>
      </w:r>
      <w:r>
        <w:rPr>
          <w:sz w:val="20"/>
          <w:szCs w:val="20"/>
        </w:rPr>
        <w:t>‘</w:t>
      </w:r>
      <w:r w:rsidRPr="00547CD5">
        <w:rPr>
          <w:sz w:val="20"/>
          <w:szCs w:val="20"/>
        </w:rPr>
        <w:t xml:space="preserve">International counterterrorism – national security and human rights: conflicts </w:t>
      </w:r>
      <w:r>
        <w:rPr>
          <w:sz w:val="20"/>
          <w:szCs w:val="20"/>
        </w:rPr>
        <w:t>of norms or checks and balances’,</w:t>
      </w:r>
      <w:r w:rsidRPr="00547CD5">
        <w:rPr>
          <w:sz w:val="20"/>
          <w:szCs w:val="20"/>
        </w:rPr>
        <w:t xml:space="preserve"> </w:t>
      </w:r>
      <w:r w:rsidRPr="00547CD5">
        <w:rPr>
          <w:i/>
          <w:sz w:val="20"/>
          <w:szCs w:val="20"/>
        </w:rPr>
        <w:t>The International Journal of Human Rights</w:t>
      </w:r>
      <w:r>
        <w:rPr>
          <w:sz w:val="20"/>
          <w:szCs w:val="20"/>
        </w:rPr>
        <w:t xml:space="preserve"> 19:</w:t>
      </w:r>
      <w:r w:rsidRPr="00547CD5">
        <w:rPr>
          <w:sz w:val="20"/>
          <w:szCs w:val="20"/>
        </w:rPr>
        <w:t>4</w:t>
      </w:r>
      <w:r>
        <w:rPr>
          <w:sz w:val="20"/>
          <w:szCs w:val="20"/>
        </w:rPr>
        <w:t xml:space="preserve"> (2015), pp.</w:t>
      </w:r>
      <w:r w:rsidRPr="00547CD5">
        <w:rPr>
          <w:sz w:val="20"/>
          <w:szCs w:val="20"/>
        </w:rPr>
        <w:t xml:space="preserve"> 388-407.</w:t>
      </w:r>
    </w:p>
  </w:footnote>
  <w:footnote w:id="42">
    <w:p w14:paraId="758CA089" w14:textId="5172C4D9" w:rsidR="002F5A1C" w:rsidRPr="00547CD5" w:rsidRDefault="002F5A1C" w:rsidP="00F0682D">
      <w:pPr>
        <w:rPr>
          <w:sz w:val="20"/>
          <w:szCs w:val="20"/>
        </w:rPr>
      </w:pPr>
      <w:r w:rsidRPr="00547CD5">
        <w:rPr>
          <w:rStyle w:val="FootnoteReference"/>
          <w:sz w:val="20"/>
          <w:szCs w:val="20"/>
        </w:rPr>
        <w:footnoteRef/>
      </w:r>
      <w:r>
        <w:rPr>
          <w:sz w:val="20"/>
          <w:szCs w:val="20"/>
        </w:rPr>
        <w:t xml:space="preserve"> </w:t>
      </w:r>
      <w:proofErr w:type="gramStart"/>
      <w:r>
        <w:rPr>
          <w:sz w:val="20"/>
          <w:szCs w:val="20"/>
        </w:rPr>
        <w:t>Dan Squires, ‘</w:t>
      </w:r>
      <w:r w:rsidRPr="00547CD5">
        <w:rPr>
          <w:sz w:val="20"/>
          <w:szCs w:val="20"/>
        </w:rPr>
        <w:t xml:space="preserve">Terrorism </w:t>
      </w:r>
      <w:r>
        <w:rPr>
          <w:sz w:val="20"/>
          <w:szCs w:val="20"/>
        </w:rPr>
        <w:t>and pre-emptive civil processes’,</w:t>
      </w:r>
      <w:r w:rsidRPr="00547CD5">
        <w:rPr>
          <w:sz w:val="20"/>
          <w:szCs w:val="20"/>
        </w:rPr>
        <w:t xml:space="preserve"> </w:t>
      </w:r>
      <w:r w:rsidRPr="00547CD5">
        <w:rPr>
          <w:i/>
          <w:sz w:val="20"/>
          <w:szCs w:val="20"/>
        </w:rPr>
        <w:t>The International Journal of Human Rights</w:t>
      </w:r>
      <w:r>
        <w:rPr>
          <w:sz w:val="20"/>
          <w:szCs w:val="20"/>
        </w:rPr>
        <w:t xml:space="preserve"> 20:</w:t>
      </w:r>
      <w:r w:rsidRPr="00547CD5">
        <w:rPr>
          <w:sz w:val="20"/>
          <w:szCs w:val="20"/>
        </w:rPr>
        <w:t>5</w:t>
      </w:r>
      <w:r>
        <w:rPr>
          <w:sz w:val="20"/>
          <w:szCs w:val="20"/>
        </w:rPr>
        <w:t xml:space="preserve"> (2016), p.</w:t>
      </w:r>
      <w:r w:rsidRPr="00547CD5">
        <w:rPr>
          <w:sz w:val="20"/>
          <w:szCs w:val="20"/>
        </w:rPr>
        <w:t xml:space="preserve"> 685.</w:t>
      </w:r>
      <w:proofErr w:type="gramEnd"/>
    </w:p>
  </w:footnote>
  <w:footnote w:id="43">
    <w:p w14:paraId="488CB575" w14:textId="265E8614" w:rsidR="002F5A1C" w:rsidRPr="00547CD5" w:rsidRDefault="002F5A1C" w:rsidP="00547CD5">
      <w:pPr>
        <w:rPr>
          <w:sz w:val="20"/>
          <w:szCs w:val="20"/>
        </w:rPr>
      </w:pPr>
      <w:r w:rsidRPr="00547CD5">
        <w:rPr>
          <w:rStyle w:val="FootnoteReference"/>
          <w:sz w:val="20"/>
          <w:szCs w:val="20"/>
        </w:rPr>
        <w:footnoteRef/>
      </w:r>
      <w:r w:rsidRPr="00547CD5">
        <w:rPr>
          <w:sz w:val="20"/>
          <w:szCs w:val="20"/>
        </w:rPr>
        <w:t xml:space="preserve"> </w:t>
      </w:r>
      <w:r>
        <w:rPr>
          <w:sz w:val="20"/>
          <w:szCs w:val="20"/>
        </w:rPr>
        <w:t>Stephen Holmes, ‘</w:t>
      </w:r>
      <w:r w:rsidRPr="00547CD5">
        <w:rPr>
          <w:sz w:val="20"/>
          <w:szCs w:val="20"/>
        </w:rPr>
        <w:t>In Case of Emergency: Misunderstanding</w:t>
      </w:r>
      <w:r>
        <w:rPr>
          <w:sz w:val="20"/>
          <w:szCs w:val="20"/>
        </w:rPr>
        <w:t xml:space="preserve"> </w:t>
      </w:r>
      <w:proofErr w:type="spellStart"/>
      <w:r>
        <w:rPr>
          <w:sz w:val="20"/>
          <w:szCs w:val="20"/>
        </w:rPr>
        <w:t>Tradeoffs</w:t>
      </w:r>
      <w:proofErr w:type="spellEnd"/>
      <w:r>
        <w:rPr>
          <w:sz w:val="20"/>
          <w:szCs w:val="20"/>
        </w:rPr>
        <w:t xml:space="preserve"> in the War on Terror’,</w:t>
      </w:r>
      <w:r w:rsidRPr="00547CD5">
        <w:rPr>
          <w:sz w:val="20"/>
          <w:szCs w:val="20"/>
        </w:rPr>
        <w:t xml:space="preserve"> </w:t>
      </w:r>
      <w:r w:rsidRPr="00547CD5">
        <w:rPr>
          <w:i/>
          <w:sz w:val="20"/>
          <w:szCs w:val="20"/>
        </w:rPr>
        <w:t>California Law Review</w:t>
      </w:r>
      <w:r>
        <w:rPr>
          <w:sz w:val="20"/>
          <w:szCs w:val="20"/>
        </w:rPr>
        <w:t xml:space="preserve"> 97:</w:t>
      </w:r>
      <w:r w:rsidRPr="00547CD5">
        <w:rPr>
          <w:sz w:val="20"/>
          <w:szCs w:val="20"/>
        </w:rPr>
        <w:t>2</w:t>
      </w:r>
      <w:r>
        <w:rPr>
          <w:sz w:val="20"/>
          <w:szCs w:val="20"/>
        </w:rPr>
        <w:t xml:space="preserve"> (2009), p.</w:t>
      </w:r>
      <w:r w:rsidRPr="00547CD5">
        <w:rPr>
          <w:sz w:val="20"/>
          <w:szCs w:val="20"/>
        </w:rPr>
        <w:t xml:space="preserve"> 313. See also: </w:t>
      </w:r>
      <w:r>
        <w:rPr>
          <w:sz w:val="20"/>
          <w:szCs w:val="20"/>
        </w:rPr>
        <w:t>Nancy V. Baker ‘</w:t>
      </w:r>
      <w:r w:rsidRPr="00547CD5">
        <w:rPr>
          <w:sz w:val="20"/>
          <w:szCs w:val="20"/>
        </w:rPr>
        <w:t xml:space="preserve">National </w:t>
      </w:r>
      <w:r>
        <w:rPr>
          <w:sz w:val="20"/>
          <w:szCs w:val="20"/>
        </w:rPr>
        <w:t>Security versus Civil Liberties’,</w:t>
      </w:r>
      <w:r w:rsidRPr="00547CD5">
        <w:rPr>
          <w:sz w:val="20"/>
          <w:szCs w:val="20"/>
        </w:rPr>
        <w:t xml:space="preserve"> </w:t>
      </w:r>
      <w:r w:rsidRPr="00547CD5">
        <w:rPr>
          <w:i/>
          <w:sz w:val="20"/>
          <w:szCs w:val="20"/>
        </w:rPr>
        <w:t>Presidential Studies Quarterly</w:t>
      </w:r>
      <w:r>
        <w:rPr>
          <w:sz w:val="20"/>
          <w:szCs w:val="20"/>
        </w:rPr>
        <w:t xml:space="preserve"> 33:</w:t>
      </w:r>
      <w:r w:rsidRPr="00547CD5">
        <w:rPr>
          <w:sz w:val="20"/>
          <w:szCs w:val="20"/>
        </w:rPr>
        <w:t>3</w:t>
      </w:r>
      <w:r>
        <w:rPr>
          <w:sz w:val="20"/>
          <w:szCs w:val="20"/>
        </w:rPr>
        <w:t xml:space="preserve"> (2003), p.</w:t>
      </w:r>
      <w:r w:rsidRPr="00547CD5">
        <w:rPr>
          <w:sz w:val="20"/>
          <w:szCs w:val="20"/>
        </w:rPr>
        <w:t xml:space="preserve"> 547</w:t>
      </w:r>
      <w:proofErr w:type="gramStart"/>
      <w:r w:rsidRPr="00547CD5">
        <w:rPr>
          <w:sz w:val="20"/>
          <w:szCs w:val="20"/>
        </w:rPr>
        <w:t>;</w:t>
      </w:r>
      <w:proofErr w:type="gramEnd"/>
      <w:r w:rsidRPr="00547CD5">
        <w:rPr>
          <w:sz w:val="20"/>
          <w:szCs w:val="20"/>
        </w:rPr>
        <w:t xml:space="preserve"> </w:t>
      </w:r>
      <w:r>
        <w:rPr>
          <w:sz w:val="20"/>
          <w:szCs w:val="20"/>
        </w:rPr>
        <w:t xml:space="preserve">Claudia </w:t>
      </w:r>
      <w:proofErr w:type="spellStart"/>
      <w:r>
        <w:rPr>
          <w:sz w:val="20"/>
          <w:szCs w:val="20"/>
        </w:rPr>
        <w:t>Aradau</w:t>
      </w:r>
      <w:proofErr w:type="spellEnd"/>
      <w:r>
        <w:rPr>
          <w:sz w:val="20"/>
          <w:szCs w:val="20"/>
        </w:rPr>
        <w:t>, ‘</w:t>
      </w:r>
      <w:r w:rsidRPr="00547CD5">
        <w:rPr>
          <w:sz w:val="20"/>
          <w:szCs w:val="20"/>
        </w:rPr>
        <w:t>Forget Equality? Security and Li</w:t>
      </w:r>
      <w:r>
        <w:rPr>
          <w:sz w:val="20"/>
          <w:szCs w:val="20"/>
        </w:rPr>
        <w:t>berty in the ‘War on Terror</w:t>
      </w:r>
      <w:r w:rsidRPr="00547CD5">
        <w:rPr>
          <w:sz w:val="20"/>
          <w:szCs w:val="20"/>
        </w:rPr>
        <w:t>’</w:t>
      </w:r>
      <w:r>
        <w:rPr>
          <w:sz w:val="20"/>
          <w:szCs w:val="20"/>
        </w:rPr>
        <w:t>,</w:t>
      </w:r>
      <w:r w:rsidRPr="00547CD5">
        <w:rPr>
          <w:sz w:val="20"/>
          <w:szCs w:val="20"/>
        </w:rPr>
        <w:t xml:space="preserve"> </w:t>
      </w:r>
      <w:r w:rsidRPr="00547CD5">
        <w:rPr>
          <w:i/>
          <w:sz w:val="20"/>
          <w:szCs w:val="20"/>
        </w:rPr>
        <w:t>Alternatives</w:t>
      </w:r>
      <w:r>
        <w:rPr>
          <w:sz w:val="20"/>
          <w:szCs w:val="20"/>
        </w:rPr>
        <w:t xml:space="preserve"> 33:</w:t>
      </w:r>
      <w:r w:rsidRPr="00547CD5">
        <w:rPr>
          <w:sz w:val="20"/>
          <w:szCs w:val="20"/>
        </w:rPr>
        <w:t>3</w:t>
      </w:r>
      <w:r>
        <w:rPr>
          <w:sz w:val="20"/>
          <w:szCs w:val="20"/>
        </w:rPr>
        <w:t xml:space="preserve"> (2008), p.</w:t>
      </w:r>
      <w:r w:rsidRPr="00547CD5">
        <w:rPr>
          <w:sz w:val="20"/>
          <w:szCs w:val="20"/>
        </w:rPr>
        <w:t xml:space="preserve"> 293.</w:t>
      </w:r>
    </w:p>
  </w:footnote>
  <w:footnote w:id="44">
    <w:p w14:paraId="43E1C3D4" w14:textId="2B2B5FA2" w:rsidR="002F5A1C" w:rsidRPr="00787096" w:rsidRDefault="002F5A1C" w:rsidP="00787096">
      <w:pPr>
        <w:rPr>
          <w:sz w:val="20"/>
          <w:szCs w:val="20"/>
        </w:rPr>
      </w:pPr>
      <w:r w:rsidRPr="00787096">
        <w:rPr>
          <w:rStyle w:val="FootnoteReference"/>
          <w:sz w:val="20"/>
          <w:szCs w:val="20"/>
        </w:rPr>
        <w:footnoteRef/>
      </w:r>
      <w:r w:rsidRPr="00787096">
        <w:rPr>
          <w:sz w:val="20"/>
          <w:szCs w:val="20"/>
        </w:rPr>
        <w:t xml:space="preserve"> </w:t>
      </w:r>
      <w:r>
        <w:rPr>
          <w:sz w:val="20"/>
          <w:szCs w:val="20"/>
        </w:rPr>
        <w:t>Myron Weiner, ‘</w:t>
      </w:r>
      <w:r w:rsidRPr="00787096">
        <w:rPr>
          <w:sz w:val="20"/>
          <w:szCs w:val="20"/>
        </w:rPr>
        <w:t>The Clash of Norm</w:t>
      </w:r>
      <w:r>
        <w:rPr>
          <w:sz w:val="20"/>
          <w:szCs w:val="20"/>
        </w:rPr>
        <w:t>s: Dilemmas in Refugee Policies’,</w:t>
      </w:r>
      <w:r w:rsidRPr="00787096">
        <w:rPr>
          <w:sz w:val="20"/>
          <w:szCs w:val="20"/>
        </w:rPr>
        <w:t xml:space="preserve"> </w:t>
      </w:r>
      <w:r w:rsidRPr="00787096">
        <w:rPr>
          <w:i/>
          <w:sz w:val="20"/>
          <w:szCs w:val="20"/>
        </w:rPr>
        <w:t xml:space="preserve">Journal of Refugee Studies </w:t>
      </w:r>
      <w:r>
        <w:rPr>
          <w:sz w:val="20"/>
          <w:szCs w:val="20"/>
        </w:rPr>
        <w:t>11:</w:t>
      </w:r>
      <w:r w:rsidRPr="00787096">
        <w:rPr>
          <w:sz w:val="20"/>
          <w:szCs w:val="20"/>
        </w:rPr>
        <w:t>4</w:t>
      </w:r>
      <w:r>
        <w:rPr>
          <w:sz w:val="20"/>
          <w:szCs w:val="20"/>
        </w:rPr>
        <w:t xml:space="preserve"> (1998), pp. 433-</w:t>
      </w:r>
      <w:r w:rsidRPr="00787096">
        <w:rPr>
          <w:sz w:val="20"/>
          <w:szCs w:val="20"/>
        </w:rPr>
        <w:t>53</w:t>
      </w:r>
      <w:proofErr w:type="gramStart"/>
      <w:r w:rsidRPr="00787096">
        <w:rPr>
          <w:sz w:val="20"/>
          <w:szCs w:val="20"/>
        </w:rPr>
        <w:t>;</w:t>
      </w:r>
      <w:proofErr w:type="gramEnd"/>
      <w:r w:rsidRPr="00787096">
        <w:rPr>
          <w:sz w:val="20"/>
          <w:szCs w:val="20"/>
        </w:rPr>
        <w:t xml:space="preserve"> </w:t>
      </w:r>
      <w:r>
        <w:rPr>
          <w:sz w:val="20"/>
          <w:szCs w:val="20"/>
        </w:rPr>
        <w:t>Vaughn P. Shannon, ‘</w:t>
      </w:r>
      <w:r w:rsidRPr="00787096">
        <w:rPr>
          <w:sz w:val="20"/>
          <w:szCs w:val="20"/>
        </w:rPr>
        <w:t>Norms Are What States Make of Them: The Politic</w:t>
      </w:r>
      <w:r>
        <w:rPr>
          <w:sz w:val="20"/>
          <w:szCs w:val="20"/>
        </w:rPr>
        <w:t>al Psychology of Norm Violation’</w:t>
      </w:r>
      <w:r w:rsidRPr="00787096">
        <w:rPr>
          <w:sz w:val="20"/>
          <w:szCs w:val="20"/>
        </w:rPr>
        <w:t xml:space="preserve"> </w:t>
      </w:r>
      <w:r w:rsidRPr="00787096">
        <w:rPr>
          <w:i/>
          <w:sz w:val="20"/>
          <w:szCs w:val="20"/>
        </w:rPr>
        <w:t>International Studies Quarterly</w:t>
      </w:r>
      <w:r>
        <w:rPr>
          <w:sz w:val="20"/>
          <w:szCs w:val="20"/>
        </w:rPr>
        <w:t xml:space="preserve"> 44:</w:t>
      </w:r>
      <w:r w:rsidRPr="00787096">
        <w:rPr>
          <w:sz w:val="20"/>
          <w:szCs w:val="20"/>
        </w:rPr>
        <w:t>2</w:t>
      </w:r>
      <w:r>
        <w:rPr>
          <w:sz w:val="20"/>
          <w:szCs w:val="20"/>
        </w:rPr>
        <w:t xml:space="preserve"> (2000), pp.</w:t>
      </w:r>
      <w:r w:rsidRPr="00787096">
        <w:rPr>
          <w:sz w:val="20"/>
          <w:szCs w:val="20"/>
        </w:rPr>
        <w:t xml:space="preserve"> 293-316.</w:t>
      </w:r>
    </w:p>
  </w:footnote>
  <w:footnote w:id="45">
    <w:p w14:paraId="12B0CDCD" w14:textId="1E54C4AB" w:rsidR="002F5A1C" w:rsidRPr="00787096" w:rsidRDefault="002F5A1C" w:rsidP="00787096">
      <w:pPr>
        <w:rPr>
          <w:sz w:val="20"/>
          <w:szCs w:val="20"/>
        </w:rPr>
      </w:pPr>
      <w:r w:rsidRPr="00787096">
        <w:rPr>
          <w:rStyle w:val="FootnoteReference"/>
          <w:sz w:val="20"/>
          <w:szCs w:val="20"/>
        </w:rPr>
        <w:footnoteRef/>
      </w:r>
      <w:r w:rsidRPr="00787096">
        <w:rPr>
          <w:sz w:val="20"/>
          <w:szCs w:val="20"/>
        </w:rPr>
        <w:t xml:space="preserve"> </w:t>
      </w:r>
      <w:r>
        <w:rPr>
          <w:sz w:val="20"/>
          <w:szCs w:val="20"/>
        </w:rPr>
        <w:t xml:space="preserve">Marshall </w:t>
      </w:r>
      <w:r>
        <w:rPr>
          <w:sz w:val="20"/>
          <w:szCs w:val="20"/>
          <w:lang w:val="en-US"/>
        </w:rPr>
        <w:t>Cohen, ‘</w:t>
      </w:r>
      <w:r w:rsidRPr="00787096">
        <w:rPr>
          <w:sz w:val="20"/>
          <w:szCs w:val="20"/>
          <w:lang w:val="en-US"/>
        </w:rPr>
        <w:t>Moral Skeptic</w:t>
      </w:r>
      <w:r>
        <w:rPr>
          <w:sz w:val="20"/>
          <w:szCs w:val="20"/>
          <w:lang w:val="en-US"/>
        </w:rPr>
        <w:t>ism and International Relations’,</w:t>
      </w:r>
      <w:r w:rsidRPr="00787096">
        <w:rPr>
          <w:sz w:val="20"/>
          <w:szCs w:val="20"/>
          <w:lang w:val="en-US"/>
        </w:rPr>
        <w:t xml:space="preserve"> </w:t>
      </w:r>
      <w:r w:rsidRPr="00787096">
        <w:rPr>
          <w:i/>
          <w:sz w:val="20"/>
          <w:szCs w:val="20"/>
          <w:lang w:val="en-US"/>
        </w:rPr>
        <w:t xml:space="preserve">Philosophy and Public Affairs </w:t>
      </w:r>
      <w:r>
        <w:rPr>
          <w:sz w:val="20"/>
          <w:szCs w:val="20"/>
          <w:lang w:val="en-US"/>
        </w:rPr>
        <w:t>13:</w:t>
      </w:r>
      <w:r w:rsidRPr="00787096">
        <w:rPr>
          <w:sz w:val="20"/>
          <w:szCs w:val="20"/>
          <w:lang w:val="en-US"/>
        </w:rPr>
        <w:t>4</w:t>
      </w:r>
      <w:r>
        <w:rPr>
          <w:sz w:val="20"/>
          <w:szCs w:val="20"/>
          <w:lang w:val="en-US"/>
        </w:rPr>
        <w:t xml:space="preserve"> (1984), pp.</w:t>
      </w:r>
      <w:r w:rsidRPr="00787096">
        <w:rPr>
          <w:sz w:val="20"/>
          <w:szCs w:val="20"/>
          <w:lang w:val="en-US"/>
        </w:rPr>
        <w:t xml:space="preserve"> 299-346; </w:t>
      </w:r>
      <w:r>
        <w:rPr>
          <w:sz w:val="20"/>
          <w:szCs w:val="20"/>
          <w:lang w:val="en-US"/>
        </w:rPr>
        <w:t>Paul Dixon,</w:t>
      </w:r>
      <w:r w:rsidRPr="00787096">
        <w:rPr>
          <w:sz w:val="20"/>
          <w:szCs w:val="20"/>
          <w:lang w:val="en-US"/>
        </w:rPr>
        <w:t xml:space="preserve"> ‘There is Nothing Politically Right that is Morally Wrong’? Beyond Realism and Idealism in the</w:t>
      </w:r>
      <w:r>
        <w:rPr>
          <w:sz w:val="20"/>
          <w:szCs w:val="20"/>
          <w:lang w:val="en-US"/>
        </w:rPr>
        <w:t xml:space="preserve"> Northern Ireland Peace Process’,</w:t>
      </w:r>
      <w:r w:rsidRPr="00787096">
        <w:rPr>
          <w:sz w:val="20"/>
          <w:szCs w:val="20"/>
          <w:lang w:val="en-US"/>
        </w:rPr>
        <w:t xml:space="preserve"> </w:t>
      </w:r>
      <w:r w:rsidRPr="00787096">
        <w:rPr>
          <w:i/>
          <w:sz w:val="20"/>
          <w:szCs w:val="20"/>
          <w:lang w:val="en-US"/>
        </w:rPr>
        <w:t xml:space="preserve">Irish Political Studies </w:t>
      </w:r>
      <w:r>
        <w:rPr>
          <w:sz w:val="20"/>
          <w:szCs w:val="20"/>
          <w:lang w:val="en-US"/>
        </w:rPr>
        <w:t>29:</w:t>
      </w:r>
      <w:r w:rsidRPr="00787096">
        <w:rPr>
          <w:sz w:val="20"/>
          <w:szCs w:val="20"/>
          <w:lang w:val="en-US"/>
        </w:rPr>
        <w:t>2</w:t>
      </w:r>
      <w:r>
        <w:rPr>
          <w:sz w:val="20"/>
          <w:szCs w:val="20"/>
          <w:lang w:val="en-US"/>
        </w:rPr>
        <w:t xml:space="preserve"> (2004), pp.</w:t>
      </w:r>
      <w:r w:rsidRPr="00787096">
        <w:rPr>
          <w:sz w:val="20"/>
          <w:szCs w:val="20"/>
          <w:lang w:val="en-US"/>
        </w:rPr>
        <w:t xml:space="preserve"> 236-257</w:t>
      </w:r>
      <w:proofErr w:type="gramStart"/>
      <w:r w:rsidRPr="00787096">
        <w:rPr>
          <w:sz w:val="20"/>
          <w:szCs w:val="20"/>
          <w:lang w:val="en-US"/>
        </w:rPr>
        <w:t>;</w:t>
      </w:r>
      <w:proofErr w:type="gramEnd"/>
      <w:r w:rsidRPr="00787096">
        <w:rPr>
          <w:sz w:val="20"/>
          <w:szCs w:val="20"/>
          <w:lang w:val="en-US"/>
        </w:rPr>
        <w:t xml:space="preserve"> </w:t>
      </w:r>
      <w:proofErr w:type="spellStart"/>
      <w:r>
        <w:rPr>
          <w:sz w:val="20"/>
          <w:szCs w:val="20"/>
          <w:lang w:val="en-US"/>
        </w:rPr>
        <w:t>Jannika</w:t>
      </w:r>
      <w:proofErr w:type="spellEnd"/>
      <w:r>
        <w:rPr>
          <w:sz w:val="20"/>
          <w:szCs w:val="20"/>
          <w:lang w:val="en-US"/>
        </w:rPr>
        <w:t xml:space="preserve"> </w:t>
      </w:r>
      <w:proofErr w:type="spellStart"/>
      <w:r>
        <w:rPr>
          <w:sz w:val="20"/>
          <w:szCs w:val="20"/>
          <w:lang w:val="en-US"/>
        </w:rPr>
        <w:t>Brostrom</w:t>
      </w:r>
      <w:proofErr w:type="spellEnd"/>
      <w:r>
        <w:rPr>
          <w:sz w:val="20"/>
          <w:szCs w:val="20"/>
          <w:lang w:val="en-US"/>
        </w:rPr>
        <w:t>, ‘</w:t>
      </w:r>
      <w:r w:rsidRPr="00787096">
        <w:rPr>
          <w:sz w:val="20"/>
          <w:szCs w:val="20"/>
          <w:lang w:val="en-US"/>
        </w:rPr>
        <w:t>Morality and th</w:t>
      </w:r>
      <w:r>
        <w:rPr>
          <w:sz w:val="20"/>
          <w:szCs w:val="20"/>
          <w:lang w:val="en-US"/>
        </w:rPr>
        <w:t>e national interest: towards a “moral realist” research agenda’,</w:t>
      </w:r>
      <w:r w:rsidRPr="00787096">
        <w:rPr>
          <w:sz w:val="20"/>
          <w:szCs w:val="20"/>
          <w:lang w:val="en-US"/>
        </w:rPr>
        <w:t xml:space="preserve"> </w:t>
      </w:r>
      <w:r w:rsidRPr="00787096">
        <w:rPr>
          <w:i/>
          <w:sz w:val="20"/>
          <w:szCs w:val="20"/>
          <w:lang w:val="en-US"/>
        </w:rPr>
        <w:t>Cambridge Review of International Affairs</w:t>
      </w:r>
      <w:r>
        <w:rPr>
          <w:sz w:val="20"/>
          <w:szCs w:val="20"/>
          <w:lang w:val="en-US"/>
        </w:rPr>
        <w:t xml:space="preserve"> 29:4 (2015).</w:t>
      </w:r>
    </w:p>
  </w:footnote>
  <w:footnote w:id="46">
    <w:p w14:paraId="39B3ED2B" w14:textId="4899409D" w:rsidR="002F5A1C" w:rsidRPr="00787096" w:rsidRDefault="002F5A1C" w:rsidP="00787096">
      <w:pPr>
        <w:rPr>
          <w:sz w:val="20"/>
          <w:szCs w:val="20"/>
          <w:lang w:val="en-US"/>
        </w:rPr>
      </w:pPr>
      <w:r w:rsidRPr="00787096">
        <w:rPr>
          <w:rStyle w:val="FootnoteReference"/>
          <w:sz w:val="20"/>
          <w:szCs w:val="20"/>
        </w:rPr>
        <w:footnoteRef/>
      </w:r>
      <w:r w:rsidRPr="00787096">
        <w:rPr>
          <w:sz w:val="20"/>
          <w:szCs w:val="20"/>
        </w:rPr>
        <w:t xml:space="preserve"> </w:t>
      </w:r>
      <w:r>
        <w:rPr>
          <w:sz w:val="20"/>
          <w:szCs w:val="20"/>
        </w:rPr>
        <w:t xml:space="preserve">Stephen D. </w:t>
      </w:r>
      <w:r>
        <w:rPr>
          <w:sz w:val="20"/>
          <w:szCs w:val="20"/>
          <w:lang w:val="en-US"/>
        </w:rPr>
        <w:t>Krasner,</w:t>
      </w:r>
      <w:r w:rsidRPr="00787096">
        <w:rPr>
          <w:sz w:val="20"/>
          <w:szCs w:val="20"/>
          <w:lang w:val="en-US"/>
        </w:rPr>
        <w:t xml:space="preserve"> </w:t>
      </w:r>
      <w:r w:rsidRPr="00787096">
        <w:rPr>
          <w:i/>
          <w:sz w:val="20"/>
          <w:szCs w:val="20"/>
          <w:lang w:val="en-US"/>
        </w:rPr>
        <w:t>Sovereignty: Organized Hypocrisy</w:t>
      </w:r>
      <w:r>
        <w:rPr>
          <w:sz w:val="20"/>
          <w:szCs w:val="20"/>
          <w:lang w:val="en-US"/>
        </w:rPr>
        <w:t xml:space="preserve"> (</w:t>
      </w:r>
      <w:r w:rsidRPr="00787096">
        <w:rPr>
          <w:sz w:val="20"/>
          <w:szCs w:val="20"/>
          <w:lang w:val="en-US"/>
        </w:rPr>
        <w:t>Princeton: Princeton University Press</w:t>
      </w:r>
      <w:r>
        <w:rPr>
          <w:sz w:val="20"/>
          <w:szCs w:val="20"/>
          <w:lang w:val="en-US"/>
        </w:rPr>
        <w:t>, 1999)</w:t>
      </w:r>
      <w:r w:rsidRPr="00787096">
        <w:rPr>
          <w:sz w:val="20"/>
          <w:szCs w:val="20"/>
          <w:lang w:val="en-US"/>
        </w:rPr>
        <w:t xml:space="preserve">; </w:t>
      </w:r>
      <w:r>
        <w:rPr>
          <w:sz w:val="20"/>
          <w:szCs w:val="20"/>
          <w:lang w:val="en-US"/>
        </w:rPr>
        <w:t>Luke Glanville, ‘</w:t>
      </w:r>
      <w:r w:rsidRPr="00787096">
        <w:rPr>
          <w:sz w:val="20"/>
          <w:szCs w:val="20"/>
          <w:lang w:val="en-US"/>
        </w:rPr>
        <w:t>Norms, Interest</w:t>
      </w:r>
      <w:r>
        <w:rPr>
          <w:sz w:val="20"/>
          <w:szCs w:val="20"/>
          <w:lang w:val="en-US"/>
        </w:rPr>
        <w:t>s and Humanitarian Intervention’,</w:t>
      </w:r>
      <w:r w:rsidRPr="00787096">
        <w:rPr>
          <w:sz w:val="20"/>
          <w:szCs w:val="20"/>
          <w:lang w:val="en-US"/>
        </w:rPr>
        <w:t xml:space="preserve"> </w:t>
      </w:r>
      <w:r w:rsidRPr="00787096">
        <w:rPr>
          <w:i/>
          <w:sz w:val="20"/>
          <w:szCs w:val="20"/>
          <w:lang w:val="en-US"/>
        </w:rPr>
        <w:t>Global Change, Peace &amp; Security</w:t>
      </w:r>
      <w:r>
        <w:rPr>
          <w:sz w:val="20"/>
          <w:szCs w:val="20"/>
          <w:lang w:val="en-US"/>
        </w:rPr>
        <w:t xml:space="preserve"> 18:</w:t>
      </w:r>
      <w:r w:rsidRPr="00787096">
        <w:rPr>
          <w:sz w:val="20"/>
          <w:szCs w:val="20"/>
          <w:lang w:val="en-US"/>
        </w:rPr>
        <w:t>3</w:t>
      </w:r>
      <w:r>
        <w:rPr>
          <w:sz w:val="20"/>
          <w:szCs w:val="20"/>
          <w:lang w:val="en-US"/>
        </w:rPr>
        <w:t xml:space="preserve"> (2006), p.</w:t>
      </w:r>
      <w:r w:rsidRPr="00787096">
        <w:rPr>
          <w:sz w:val="20"/>
          <w:szCs w:val="20"/>
          <w:lang w:val="en-US"/>
        </w:rPr>
        <w:t xml:space="preserve"> 158.</w:t>
      </w:r>
    </w:p>
  </w:footnote>
  <w:footnote w:id="47">
    <w:p w14:paraId="7E8B7303" w14:textId="4113E2D5" w:rsidR="002F5A1C" w:rsidRPr="00066F1E" w:rsidRDefault="002F5A1C" w:rsidP="00012FCC">
      <w:pPr>
        <w:rPr>
          <w:sz w:val="20"/>
          <w:szCs w:val="20"/>
        </w:rPr>
      </w:pPr>
      <w:r w:rsidRPr="00012FCC">
        <w:rPr>
          <w:rStyle w:val="FootnoteReference"/>
          <w:sz w:val="20"/>
          <w:szCs w:val="20"/>
        </w:rPr>
        <w:footnoteRef/>
      </w:r>
      <w:r w:rsidRPr="00012FCC">
        <w:rPr>
          <w:sz w:val="20"/>
          <w:szCs w:val="20"/>
        </w:rPr>
        <w:t xml:space="preserve"> </w:t>
      </w:r>
      <w:r>
        <w:rPr>
          <w:sz w:val="20"/>
          <w:szCs w:val="20"/>
        </w:rPr>
        <w:t xml:space="preserve">Roxanne Lynn </w:t>
      </w:r>
      <w:r>
        <w:rPr>
          <w:rFonts w:cs="Helvetica"/>
          <w:sz w:val="20"/>
          <w:szCs w:val="20"/>
          <w:lang w:val="en-US" w:bidi="en-US"/>
        </w:rPr>
        <w:t>Doty,</w:t>
      </w:r>
      <w:r w:rsidRPr="00012FCC">
        <w:rPr>
          <w:rFonts w:cs="Helvetica"/>
          <w:sz w:val="20"/>
          <w:szCs w:val="20"/>
          <w:lang w:val="en-US" w:bidi="en-US"/>
        </w:rPr>
        <w:t xml:space="preserve"> </w:t>
      </w:r>
      <w:r w:rsidRPr="00012FCC">
        <w:rPr>
          <w:i/>
          <w:sz w:val="20"/>
          <w:szCs w:val="20"/>
        </w:rPr>
        <w:t xml:space="preserve">Imperial </w:t>
      </w:r>
      <w:r w:rsidRPr="00066F1E">
        <w:rPr>
          <w:i/>
          <w:sz w:val="20"/>
          <w:szCs w:val="20"/>
        </w:rPr>
        <w:t>Encounters: The Politics of Representation in North-South Relations</w:t>
      </w:r>
      <w:r w:rsidRPr="00066F1E">
        <w:rPr>
          <w:sz w:val="20"/>
          <w:szCs w:val="20"/>
        </w:rPr>
        <w:t xml:space="preserve"> </w:t>
      </w:r>
      <w:r>
        <w:rPr>
          <w:sz w:val="20"/>
          <w:szCs w:val="20"/>
        </w:rPr>
        <w:t>(</w:t>
      </w:r>
      <w:r w:rsidRPr="00066F1E">
        <w:rPr>
          <w:sz w:val="20"/>
          <w:szCs w:val="20"/>
        </w:rPr>
        <w:t>Minneapolis: University of Minnesota Press</w:t>
      </w:r>
      <w:r>
        <w:rPr>
          <w:sz w:val="20"/>
          <w:szCs w:val="20"/>
        </w:rPr>
        <w:t>, 1996)</w:t>
      </w:r>
      <w:r w:rsidRPr="00066F1E">
        <w:rPr>
          <w:sz w:val="20"/>
          <w:szCs w:val="20"/>
        </w:rPr>
        <w:t>;</w:t>
      </w:r>
      <w:r w:rsidRPr="00066F1E">
        <w:rPr>
          <w:rFonts w:cs="Helvetica"/>
          <w:sz w:val="20"/>
          <w:szCs w:val="20"/>
          <w:lang w:val="en-US" w:bidi="en-US"/>
        </w:rPr>
        <w:t xml:space="preserve"> </w:t>
      </w:r>
      <w:r>
        <w:rPr>
          <w:rFonts w:cs="Helvetica"/>
          <w:sz w:val="20"/>
          <w:szCs w:val="20"/>
          <w:lang w:val="en-US" w:bidi="en-US"/>
        </w:rPr>
        <w:t>Jennifer Milliken, ‘</w:t>
      </w:r>
      <w:r w:rsidRPr="00066F1E">
        <w:rPr>
          <w:sz w:val="20"/>
          <w:szCs w:val="20"/>
        </w:rPr>
        <w:t>The Study of Discourse in International Relations: A C</w:t>
      </w:r>
      <w:r>
        <w:rPr>
          <w:sz w:val="20"/>
          <w:szCs w:val="20"/>
        </w:rPr>
        <w:t>ritique of Research and Methods’,</w:t>
      </w:r>
      <w:r w:rsidRPr="00066F1E">
        <w:rPr>
          <w:sz w:val="20"/>
          <w:szCs w:val="20"/>
        </w:rPr>
        <w:t xml:space="preserve"> </w:t>
      </w:r>
      <w:r w:rsidRPr="00066F1E">
        <w:rPr>
          <w:i/>
          <w:sz w:val="20"/>
          <w:szCs w:val="20"/>
        </w:rPr>
        <w:t>European Journal of International Relations</w:t>
      </w:r>
      <w:r>
        <w:rPr>
          <w:sz w:val="20"/>
          <w:szCs w:val="20"/>
        </w:rPr>
        <w:t xml:space="preserve"> 5:</w:t>
      </w:r>
      <w:r w:rsidRPr="00066F1E">
        <w:rPr>
          <w:sz w:val="20"/>
          <w:szCs w:val="20"/>
        </w:rPr>
        <w:t>2</w:t>
      </w:r>
      <w:r>
        <w:rPr>
          <w:sz w:val="20"/>
          <w:szCs w:val="20"/>
        </w:rPr>
        <w:t xml:space="preserve"> (1999), pp. 225-</w:t>
      </w:r>
      <w:r w:rsidRPr="00066F1E">
        <w:rPr>
          <w:sz w:val="20"/>
          <w:szCs w:val="20"/>
        </w:rPr>
        <w:t xml:space="preserve">54; </w:t>
      </w:r>
      <w:proofErr w:type="spellStart"/>
      <w:r>
        <w:rPr>
          <w:sz w:val="20"/>
          <w:szCs w:val="20"/>
        </w:rPr>
        <w:t>Lene</w:t>
      </w:r>
      <w:proofErr w:type="spellEnd"/>
      <w:r>
        <w:rPr>
          <w:sz w:val="20"/>
          <w:szCs w:val="20"/>
        </w:rPr>
        <w:t xml:space="preserve"> </w:t>
      </w:r>
      <w:r>
        <w:rPr>
          <w:sz w:val="20"/>
          <w:szCs w:val="20"/>
          <w:lang w:val="en-US" w:bidi="en-US"/>
        </w:rPr>
        <w:t>Hansen,</w:t>
      </w:r>
      <w:r w:rsidRPr="00066F1E">
        <w:rPr>
          <w:sz w:val="20"/>
          <w:szCs w:val="20"/>
          <w:lang w:val="en-US" w:bidi="en-US"/>
        </w:rPr>
        <w:t xml:space="preserve"> </w:t>
      </w:r>
      <w:r w:rsidRPr="00066F1E">
        <w:rPr>
          <w:i/>
          <w:sz w:val="20"/>
          <w:szCs w:val="20"/>
        </w:rPr>
        <w:t>Security as Practice: Discourse Analysis and the Bosnian War</w:t>
      </w:r>
      <w:r>
        <w:rPr>
          <w:sz w:val="20"/>
          <w:szCs w:val="20"/>
          <w:lang w:val="en-US" w:bidi="en-US"/>
        </w:rPr>
        <w:t xml:space="preserve"> (</w:t>
      </w:r>
      <w:r w:rsidRPr="00066F1E">
        <w:rPr>
          <w:sz w:val="20"/>
          <w:szCs w:val="20"/>
          <w:lang w:val="en-US" w:bidi="en-US"/>
        </w:rPr>
        <w:t>London: Routledge</w:t>
      </w:r>
      <w:r>
        <w:rPr>
          <w:sz w:val="20"/>
          <w:szCs w:val="20"/>
          <w:lang w:val="en-US" w:bidi="en-US"/>
        </w:rPr>
        <w:t>, 2006)</w:t>
      </w:r>
      <w:r w:rsidRPr="00066F1E">
        <w:rPr>
          <w:sz w:val="20"/>
          <w:szCs w:val="20"/>
          <w:lang w:val="en-US" w:bidi="en-US"/>
        </w:rPr>
        <w:t xml:space="preserve">; </w:t>
      </w:r>
      <w:r>
        <w:rPr>
          <w:sz w:val="20"/>
          <w:szCs w:val="20"/>
          <w:lang w:val="en-US" w:bidi="en-US"/>
        </w:rPr>
        <w:t xml:space="preserve">Charlotte </w:t>
      </w:r>
      <w:r>
        <w:rPr>
          <w:sz w:val="20"/>
          <w:szCs w:val="20"/>
        </w:rPr>
        <w:t>Epstein,</w:t>
      </w:r>
      <w:r w:rsidRPr="00066F1E">
        <w:rPr>
          <w:sz w:val="20"/>
          <w:szCs w:val="20"/>
        </w:rPr>
        <w:t xml:space="preserve"> </w:t>
      </w:r>
      <w:r w:rsidRPr="00066F1E">
        <w:rPr>
          <w:i/>
          <w:sz w:val="20"/>
          <w:szCs w:val="20"/>
        </w:rPr>
        <w:t>The Power of Words in International Relations: Birth of an Anti-Whaling Discourse</w:t>
      </w:r>
      <w:r>
        <w:rPr>
          <w:sz w:val="20"/>
          <w:szCs w:val="20"/>
        </w:rPr>
        <w:t xml:space="preserve"> (</w:t>
      </w:r>
      <w:r w:rsidRPr="00066F1E">
        <w:rPr>
          <w:sz w:val="20"/>
          <w:szCs w:val="20"/>
        </w:rPr>
        <w:t>Cambridge MA: MIT Press</w:t>
      </w:r>
      <w:r>
        <w:rPr>
          <w:sz w:val="20"/>
          <w:szCs w:val="20"/>
        </w:rPr>
        <w:t>, 2008)</w:t>
      </w:r>
      <w:r w:rsidRPr="00066F1E">
        <w:rPr>
          <w:sz w:val="20"/>
          <w:szCs w:val="20"/>
        </w:rPr>
        <w:t xml:space="preserve">; </w:t>
      </w:r>
      <w:r>
        <w:rPr>
          <w:sz w:val="20"/>
          <w:szCs w:val="20"/>
        </w:rPr>
        <w:t xml:space="preserve">Charlotte </w:t>
      </w:r>
      <w:r w:rsidRPr="00066F1E">
        <w:rPr>
          <w:sz w:val="20"/>
          <w:szCs w:val="20"/>
        </w:rPr>
        <w:t>E</w:t>
      </w:r>
      <w:r>
        <w:rPr>
          <w:sz w:val="20"/>
          <w:szCs w:val="20"/>
        </w:rPr>
        <w:t>pstein, ‘</w:t>
      </w:r>
      <w:r w:rsidRPr="00066F1E">
        <w:rPr>
          <w:sz w:val="20"/>
          <w:szCs w:val="20"/>
        </w:rPr>
        <w:t>Theorizing Agency in Hobbes’ Wake: The Rational Actor, the Self, or the Speaking Subject?</w:t>
      </w:r>
      <w:r>
        <w:rPr>
          <w:sz w:val="20"/>
          <w:szCs w:val="20"/>
        </w:rPr>
        <w:t>’</w:t>
      </w:r>
      <w:r w:rsidRPr="00066F1E">
        <w:rPr>
          <w:sz w:val="20"/>
          <w:szCs w:val="20"/>
        </w:rPr>
        <w:t xml:space="preserve"> </w:t>
      </w:r>
      <w:proofErr w:type="gramStart"/>
      <w:r w:rsidRPr="00066F1E">
        <w:rPr>
          <w:i/>
          <w:sz w:val="20"/>
          <w:szCs w:val="20"/>
        </w:rPr>
        <w:t>International Organization</w:t>
      </w:r>
      <w:r>
        <w:rPr>
          <w:sz w:val="20"/>
          <w:szCs w:val="20"/>
        </w:rPr>
        <w:t xml:space="preserve"> 67:</w:t>
      </w:r>
      <w:r w:rsidRPr="00066F1E">
        <w:rPr>
          <w:sz w:val="20"/>
          <w:szCs w:val="20"/>
        </w:rPr>
        <w:t>2</w:t>
      </w:r>
      <w:r>
        <w:rPr>
          <w:sz w:val="20"/>
          <w:szCs w:val="20"/>
        </w:rPr>
        <w:t xml:space="preserve"> (2013), pp.</w:t>
      </w:r>
      <w:r w:rsidRPr="00066F1E">
        <w:rPr>
          <w:sz w:val="20"/>
          <w:szCs w:val="20"/>
        </w:rPr>
        <w:t xml:space="preserve"> 287-316; </w:t>
      </w:r>
      <w:r>
        <w:rPr>
          <w:sz w:val="20"/>
          <w:szCs w:val="20"/>
        </w:rPr>
        <w:t xml:space="preserve">Ron R. Krebs, </w:t>
      </w:r>
      <w:r w:rsidRPr="00066F1E">
        <w:rPr>
          <w:i/>
          <w:sz w:val="20"/>
          <w:szCs w:val="20"/>
        </w:rPr>
        <w:t>Narrative and the Making of US National Security</w:t>
      </w:r>
      <w:r>
        <w:rPr>
          <w:sz w:val="20"/>
          <w:szCs w:val="20"/>
        </w:rPr>
        <w:t xml:space="preserve"> (</w:t>
      </w:r>
      <w:r w:rsidRPr="00066F1E">
        <w:rPr>
          <w:sz w:val="20"/>
          <w:szCs w:val="20"/>
        </w:rPr>
        <w:t>Cambridge: Cambridge University Press</w:t>
      </w:r>
      <w:r>
        <w:rPr>
          <w:sz w:val="20"/>
          <w:szCs w:val="20"/>
        </w:rPr>
        <w:t>, 2015)</w:t>
      </w:r>
      <w:r w:rsidRPr="00066F1E">
        <w:rPr>
          <w:sz w:val="20"/>
          <w:szCs w:val="20"/>
        </w:rPr>
        <w:t>.</w:t>
      </w:r>
      <w:proofErr w:type="gramEnd"/>
    </w:p>
  </w:footnote>
  <w:footnote w:id="48">
    <w:p w14:paraId="670843C1" w14:textId="0640E5F2" w:rsidR="002F5A1C" w:rsidRPr="00066F1E" w:rsidRDefault="002F5A1C" w:rsidP="00012FCC">
      <w:pPr>
        <w:rPr>
          <w:sz w:val="20"/>
          <w:szCs w:val="20"/>
        </w:rPr>
      </w:pPr>
      <w:r w:rsidRPr="00066F1E">
        <w:rPr>
          <w:rStyle w:val="FootnoteReference"/>
          <w:sz w:val="20"/>
          <w:szCs w:val="20"/>
        </w:rPr>
        <w:footnoteRef/>
      </w:r>
      <w:r w:rsidRPr="00066F1E">
        <w:rPr>
          <w:sz w:val="20"/>
          <w:szCs w:val="20"/>
        </w:rPr>
        <w:t xml:space="preserve"> </w:t>
      </w:r>
      <w:r>
        <w:rPr>
          <w:sz w:val="20"/>
          <w:szCs w:val="20"/>
        </w:rPr>
        <w:t xml:space="preserve">Ron R. </w:t>
      </w:r>
      <w:r>
        <w:rPr>
          <w:sz w:val="20"/>
          <w:szCs w:val="20"/>
          <w:lang w:val="en-US"/>
        </w:rPr>
        <w:t xml:space="preserve">Krebs </w:t>
      </w:r>
      <w:r w:rsidRPr="00066F1E">
        <w:rPr>
          <w:sz w:val="20"/>
          <w:szCs w:val="20"/>
          <w:lang w:val="en-US"/>
        </w:rPr>
        <w:t xml:space="preserve">and </w:t>
      </w:r>
      <w:r>
        <w:rPr>
          <w:sz w:val="20"/>
          <w:szCs w:val="20"/>
          <w:lang w:val="en-US"/>
        </w:rPr>
        <w:t>Patrick Thaddeus Jackson, ‘</w:t>
      </w:r>
      <w:r w:rsidRPr="00066F1E">
        <w:rPr>
          <w:sz w:val="20"/>
          <w:szCs w:val="20"/>
          <w:lang w:val="en-US"/>
        </w:rPr>
        <w:t xml:space="preserve">Twisting Tongues and Twisting Arms: </w:t>
      </w:r>
      <w:r>
        <w:rPr>
          <w:sz w:val="20"/>
          <w:szCs w:val="20"/>
          <w:lang w:val="en-US"/>
        </w:rPr>
        <w:t>The Power of Political Rhetoric’,</w:t>
      </w:r>
      <w:r w:rsidRPr="00066F1E">
        <w:rPr>
          <w:sz w:val="20"/>
          <w:szCs w:val="20"/>
          <w:lang w:val="en-US"/>
        </w:rPr>
        <w:t xml:space="preserve"> </w:t>
      </w:r>
      <w:r w:rsidRPr="00066F1E">
        <w:rPr>
          <w:i/>
          <w:sz w:val="20"/>
          <w:szCs w:val="20"/>
          <w:lang w:val="en-US"/>
        </w:rPr>
        <w:t>European Journal of International Relations</w:t>
      </w:r>
      <w:r>
        <w:rPr>
          <w:sz w:val="20"/>
          <w:szCs w:val="20"/>
          <w:lang w:val="en-US"/>
        </w:rPr>
        <w:t xml:space="preserve"> 13:</w:t>
      </w:r>
      <w:r w:rsidRPr="00066F1E">
        <w:rPr>
          <w:sz w:val="20"/>
          <w:szCs w:val="20"/>
          <w:lang w:val="en-US"/>
        </w:rPr>
        <w:t>1</w:t>
      </w:r>
      <w:r>
        <w:rPr>
          <w:sz w:val="20"/>
          <w:szCs w:val="20"/>
          <w:lang w:val="en-US"/>
        </w:rPr>
        <w:t xml:space="preserve"> (2007), pp.</w:t>
      </w:r>
      <w:r w:rsidRPr="00066F1E">
        <w:rPr>
          <w:sz w:val="20"/>
          <w:szCs w:val="20"/>
          <w:lang w:val="en-US"/>
        </w:rPr>
        <w:t xml:space="preserve"> 35-66.</w:t>
      </w:r>
    </w:p>
  </w:footnote>
  <w:footnote w:id="49">
    <w:p w14:paraId="5658F049" w14:textId="39796FBE" w:rsidR="002F5A1C" w:rsidRPr="007D3D2E" w:rsidRDefault="002F5A1C">
      <w:pPr>
        <w:pStyle w:val="FootnoteText"/>
        <w:rPr>
          <w:lang w:val="en-US"/>
        </w:rPr>
      </w:pPr>
      <w:r>
        <w:rPr>
          <w:rStyle w:val="FootnoteReference"/>
        </w:rPr>
        <w:footnoteRef/>
      </w:r>
      <w:r>
        <w:t xml:space="preserve"> </w:t>
      </w:r>
      <w:r>
        <w:rPr>
          <w:lang w:val="en-US"/>
        </w:rPr>
        <w:t xml:space="preserve">E.g. Richard Jackson, </w:t>
      </w:r>
      <w:r w:rsidRPr="005C5DC3">
        <w:rPr>
          <w:i/>
          <w:lang w:val="en-US"/>
        </w:rPr>
        <w:t>Writing the War on Terrorism: Language, Politics and Counter-Terrorism</w:t>
      </w:r>
      <w:r>
        <w:rPr>
          <w:lang w:val="en-US"/>
        </w:rPr>
        <w:t xml:space="preserve"> (Manchester: Manchester University Press, 2005); Adam Hodges and Chad </w:t>
      </w:r>
      <w:proofErr w:type="spellStart"/>
      <w:r>
        <w:rPr>
          <w:lang w:val="en-US"/>
        </w:rPr>
        <w:t>Nilep</w:t>
      </w:r>
      <w:proofErr w:type="spellEnd"/>
      <w:r>
        <w:rPr>
          <w:lang w:val="en-US"/>
        </w:rPr>
        <w:t xml:space="preserve"> (eds.), Discourse, War and Terrorism (Amsterdam: John </w:t>
      </w:r>
      <w:proofErr w:type="spellStart"/>
      <w:r>
        <w:rPr>
          <w:lang w:val="en-US"/>
        </w:rPr>
        <w:t>Benjamins</w:t>
      </w:r>
      <w:proofErr w:type="spellEnd"/>
      <w:r>
        <w:rPr>
          <w:lang w:val="en-US"/>
        </w:rPr>
        <w:t xml:space="preserve"> Publishing Company, 2007); Adam Hodges, </w:t>
      </w:r>
      <w:r w:rsidRPr="008046E5">
        <w:rPr>
          <w:i/>
          <w:lang w:val="en-US"/>
        </w:rPr>
        <w:t xml:space="preserve">The “War on Terror” Narrative: Discourse and </w:t>
      </w:r>
      <w:proofErr w:type="spellStart"/>
      <w:r w:rsidRPr="008046E5">
        <w:rPr>
          <w:i/>
          <w:lang w:val="en-US"/>
        </w:rPr>
        <w:t>Intertextuality</w:t>
      </w:r>
      <w:proofErr w:type="spellEnd"/>
      <w:r w:rsidRPr="008046E5">
        <w:rPr>
          <w:i/>
          <w:lang w:val="en-US"/>
        </w:rPr>
        <w:t xml:space="preserve"> in the Construction and Contestation of Sociopolitical Reality </w:t>
      </w:r>
      <w:r>
        <w:rPr>
          <w:lang w:val="en-US"/>
        </w:rPr>
        <w:t>(Oxford: Oxford University Press, 2011).</w:t>
      </w:r>
    </w:p>
  </w:footnote>
  <w:footnote w:id="50">
    <w:p w14:paraId="1D0D438E" w14:textId="3718A430" w:rsidR="002F5A1C" w:rsidRPr="00066F1E" w:rsidRDefault="002F5A1C" w:rsidP="006D0D93">
      <w:pPr>
        <w:rPr>
          <w:sz w:val="20"/>
          <w:szCs w:val="20"/>
        </w:rPr>
      </w:pPr>
      <w:r w:rsidRPr="00066F1E">
        <w:rPr>
          <w:rStyle w:val="FootnoteReference"/>
          <w:sz w:val="20"/>
          <w:szCs w:val="20"/>
        </w:rPr>
        <w:footnoteRef/>
      </w:r>
      <w:r w:rsidRPr="00066F1E">
        <w:rPr>
          <w:sz w:val="20"/>
          <w:szCs w:val="20"/>
        </w:rPr>
        <w:t xml:space="preserve"> </w:t>
      </w:r>
      <w:proofErr w:type="spellStart"/>
      <w:r>
        <w:rPr>
          <w:sz w:val="20"/>
          <w:szCs w:val="20"/>
        </w:rPr>
        <w:t>Alister</w:t>
      </w:r>
      <w:proofErr w:type="spellEnd"/>
      <w:r>
        <w:rPr>
          <w:sz w:val="20"/>
          <w:szCs w:val="20"/>
        </w:rPr>
        <w:t xml:space="preserve"> </w:t>
      </w:r>
      <w:proofErr w:type="spellStart"/>
      <w:r>
        <w:rPr>
          <w:sz w:val="20"/>
          <w:szCs w:val="20"/>
        </w:rPr>
        <w:t>Miskimmon</w:t>
      </w:r>
      <w:proofErr w:type="spellEnd"/>
      <w:r w:rsidRPr="00066F1E">
        <w:rPr>
          <w:sz w:val="20"/>
          <w:szCs w:val="20"/>
        </w:rPr>
        <w:t xml:space="preserve">, </w:t>
      </w:r>
      <w:r>
        <w:rPr>
          <w:sz w:val="20"/>
          <w:szCs w:val="20"/>
        </w:rPr>
        <w:t xml:space="preserve">Ben </w:t>
      </w:r>
      <w:proofErr w:type="spellStart"/>
      <w:r>
        <w:rPr>
          <w:sz w:val="20"/>
          <w:szCs w:val="20"/>
        </w:rPr>
        <w:t>O’Loughlin</w:t>
      </w:r>
      <w:proofErr w:type="spellEnd"/>
      <w:r w:rsidRPr="00066F1E">
        <w:rPr>
          <w:sz w:val="20"/>
          <w:szCs w:val="20"/>
        </w:rPr>
        <w:t xml:space="preserve">, and </w:t>
      </w:r>
      <w:r>
        <w:rPr>
          <w:sz w:val="20"/>
          <w:szCs w:val="20"/>
        </w:rPr>
        <w:t xml:space="preserve">Laura Roselle, </w:t>
      </w:r>
      <w:r w:rsidRPr="00066F1E">
        <w:rPr>
          <w:i/>
          <w:sz w:val="20"/>
          <w:szCs w:val="20"/>
        </w:rPr>
        <w:t>Strategic Narratives: Communication Power and the New World Order</w:t>
      </w:r>
      <w:r>
        <w:rPr>
          <w:sz w:val="20"/>
          <w:szCs w:val="20"/>
        </w:rPr>
        <w:t xml:space="preserve"> (New York: Routledge, 2013), p.</w:t>
      </w:r>
      <w:r w:rsidRPr="00066F1E">
        <w:rPr>
          <w:sz w:val="20"/>
          <w:szCs w:val="20"/>
        </w:rPr>
        <w:t xml:space="preserve"> 2.</w:t>
      </w:r>
    </w:p>
  </w:footnote>
  <w:footnote w:id="51">
    <w:p w14:paraId="622AB77D" w14:textId="475F97B5" w:rsidR="002F5A1C" w:rsidRPr="00066F1E" w:rsidRDefault="002F5A1C" w:rsidP="006D0D93">
      <w:pPr>
        <w:rPr>
          <w:sz w:val="20"/>
          <w:szCs w:val="20"/>
        </w:rPr>
      </w:pPr>
      <w:r w:rsidRPr="00066F1E">
        <w:rPr>
          <w:rStyle w:val="FootnoteReference"/>
          <w:sz w:val="20"/>
          <w:szCs w:val="20"/>
        </w:rPr>
        <w:footnoteRef/>
      </w:r>
      <w:r w:rsidRPr="00066F1E">
        <w:rPr>
          <w:sz w:val="20"/>
          <w:szCs w:val="20"/>
        </w:rPr>
        <w:t xml:space="preserve"> </w:t>
      </w:r>
      <w:r>
        <w:rPr>
          <w:sz w:val="20"/>
          <w:szCs w:val="20"/>
        </w:rPr>
        <w:t>Lawrence Freedman, ‘</w:t>
      </w:r>
      <w:r w:rsidRPr="00066F1E">
        <w:rPr>
          <w:sz w:val="20"/>
          <w:szCs w:val="20"/>
        </w:rPr>
        <w:t>The Tran</w:t>
      </w:r>
      <w:r>
        <w:rPr>
          <w:sz w:val="20"/>
          <w:szCs w:val="20"/>
        </w:rPr>
        <w:t>sformation of Strategic Affairs’,</w:t>
      </w:r>
      <w:r w:rsidRPr="00066F1E">
        <w:rPr>
          <w:sz w:val="20"/>
          <w:szCs w:val="20"/>
        </w:rPr>
        <w:t xml:space="preserve"> </w:t>
      </w:r>
      <w:r w:rsidRPr="00066F1E">
        <w:rPr>
          <w:i/>
          <w:sz w:val="20"/>
          <w:szCs w:val="20"/>
        </w:rPr>
        <w:t>The Adelphi Papers</w:t>
      </w:r>
      <w:r>
        <w:rPr>
          <w:sz w:val="20"/>
          <w:szCs w:val="20"/>
        </w:rPr>
        <w:t xml:space="preserve"> 45:</w:t>
      </w:r>
      <w:r w:rsidRPr="00066F1E">
        <w:rPr>
          <w:sz w:val="20"/>
          <w:szCs w:val="20"/>
        </w:rPr>
        <w:t>379</w:t>
      </w:r>
      <w:r>
        <w:rPr>
          <w:sz w:val="20"/>
          <w:szCs w:val="20"/>
        </w:rPr>
        <w:t xml:space="preserve"> (2006), p.</w:t>
      </w:r>
      <w:r w:rsidRPr="00066F1E">
        <w:rPr>
          <w:sz w:val="20"/>
          <w:szCs w:val="20"/>
        </w:rPr>
        <w:t xml:space="preserve"> 2.</w:t>
      </w:r>
    </w:p>
  </w:footnote>
  <w:footnote w:id="52">
    <w:p w14:paraId="5CDF268C" w14:textId="1A4676A8" w:rsidR="002F5A1C" w:rsidRPr="00066F1E" w:rsidRDefault="002F5A1C" w:rsidP="006D0D93">
      <w:pPr>
        <w:rPr>
          <w:sz w:val="20"/>
          <w:szCs w:val="20"/>
        </w:rPr>
      </w:pPr>
      <w:r w:rsidRPr="00066F1E">
        <w:rPr>
          <w:rStyle w:val="FootnoteReference"/>
          <w:sz w:val="20"/>
          <w:szCs w:val="20"/>
        </w:rPr>
        <w:footnoteRef/>
      </w:r>
      <w:r w:rsidRPr="00066F1E">
        <w:rPr>
          <w:sz w:val="20"/>
          <w:szCs w:val="20"/>
        </w:rPr>
        <w:t xml:space="preserve"> </w:t>
      </w:r>
      <w:r>
        <w:rPr>
          <w:sz w:val="20"/>
          <w:szCs w:val="20"/>
        </w:rPr>
        <w:t xml:space="preserve">John </w:t>
      </w:r>
      <w:proofErr w:type="spellStart"/>
      <w:r>
        <w:rPr>
          <w:sz w:val="20"/>
          <w:szCs w:val="20"/>
        </w:rPr>
        <w:t>Arquilla</w:t>
      </w:r>
      <w:proofErr w:type="spellEnd"/>
      <w:r>
        <w:rPr>
          <w:sz w:val="20"/>
          <w:szCs w:val="20"/>
        </w:rPr>
        <w:t xml:space="preserve"> </w:t>
      </w:r>
      <w:r w:rsidRPr="00066F1E">
        <w:rPr>
          <w:sz w:val="20"/>
          <w:szCs w:val="20"/>
        </w:rPr>
        <w:t xml:space="preserve">and </w:t>
      </w:r>
      <w:r>
        <w:rPr>
          <w:sz w:val="20"/>
          <w:szCs w:val="20"/>
        </w:rPr>
        <w:t xml:space="preserve">David </w:t>
      </w:r>
      <w:proofErr w:type="spellStart"/>
      <w:r>
        <w:rPr>
          <w:sz w:val="20"/>
          <w:szCs w:val="20"/>
        </w:rPr>
        <w:t>Rondfelt</w:t>
      </w:r>
      <w:proofErr w:type="spellEnd"/>
      <w:r>
        <w:rPr>
          <w:sz w:val="20"/>
          <w:szCs w:val="20"/>
        </w:rPr>
        <w:t>,</w:t>
      </w:r>
      <w:r w:rsidRPr="00066F1E">
        <w:rPr>
          <w:sz w:val="20"/>
          <w:szCs w:val="20"/>
        </w:rPr>
        <w:t xml:space="preserve"> </w:t>
      </w:r>
      <w:r>
        <w:rPr>
          <w:sz w:val="20"/>
          <w:szCs w:val="20"/>
        </w:rPr>
        <w:t>‘</w:t>
      </w:r>
      <w:r w:rsidRPr="00066F1E">
        <w:rPr>
          <w:sz w:val="20"/>
          <w:szCs w:val="20"/>
        </w:rPr>
        <w:t xml:space="preserve">What </w:t>
      </w:r>
      <w:r>
        <w:rPr>
          <w:sz w:val="20"/>
          <w:szCs w:val="20"/>
        </w:rPr>
        <w:t xml:space="preserve">Next for Networks and </w:t>
      </w:r>
      <w:proofErr w:type="spellStart"/>
      <w:r>
        <w:rPr>
          <w:sz w:val="20"/>
          <w:szCs w:val="20"/>
        </w:rPr>
        <w:t>Netwars</w:t>
      </w:r>
      <w:proofErr w:type="spellEnd"/>
      <w:r>
        <w:rPr>
          <w:sz w:val="20"/>
          <w:szCs w:val="20"/>
        </w:rPr>
        <w:t>’ i</w:t>
      </w:r>
      <w:r w:rsidRPr="00066F1E">
        <w:rPr>
          <w:sz w:val="20"/>
          <w:szCs w:val="20"/>
        </w:rPr>
        <w:t xml:space="preserve">n </w:t>
      </w:r>
      <w:r>
        <w:rPr>
          <w:sz w:val="20"/>
          <w:szCs w:val="20"/>
        </w:rPr>
        <w:t xml:space="preserve">John </w:t>
      </w:r>
      <w:proofErr w:type="spellStart"/>
      <w:r>
        <w:rPr>
          <w:sz w:val="20"/>
          <w:szCs w:val="20"/>
        </w:rPr>
        <w:t>Arquilla</w:t>
      </w:r>
      <w:proofErr w:type="spellEnd"/>
      <w:r>
        <w:rPr>
          <w:sz w:val="20"/>
          <w:szCs w:val="20"/>
        </w:rPr>
        <w:t xml:space="preserve"> </w:t>
      </w:r>
      <w:r w:rsidRPr="00066F1E">
        <w:rPr>
          <w:sz w:val="20"/>
          <w:szCs w:val="20"/>
        </w:rPr>
        <w:t xml:space="preserve">and </w:t>
      </w:r>
      <w:r>
        <w:rPr>
          <w:sz w:val="20"/>
          <w:szCs w:val="20"/>
        </w:rPr>
        <w:t xml:space="preserve">David </w:t>
      </w:r>
      <w:proofErr w:type="spellStart"/>
      <w:r>
        <w:rPr>
          <w:sz w:val="20"/>
          <w:szCs w:val="20"/>
        </w:rPr>
        <w:t>Rondfelt</w:t>
      </w:r>
      <w:proofErr w:type="spellEnd"/>
      <w:r>
        <w:rPr>
          <w:sz w:val="20"/>
          <w:szCs w:val="20"/>
        </w:rPr>
        <w:t xml:space="preserve"> </w:t>
      </w:r>
      <w:r w:rsidRPr="00066F1E">
        <w:rPr>
          <w:sz w:val="20"/>
          <w:szCs w:val="20"/>
        </w:rPr>
        <w:t>(</w:t>
      </w:r>
      <w:proofErr w:type="spellStart"/>
      <w:r w:rsidRPr="00066F1E">
        <w:rPr>
          <w:sz w:val="20"/>
          <w:szCs w:val="20"/>
        </w:rPr>
        <w:t>eds</w:t>
      </w:r>
      <w:proofErr w:type="spellEnd"/>
      <w:r w:rsidRPr="00066F1E">
        <w:rPr>
          <w:sz w:val="20"/>
          <w:szCs w:val="20"/>
        </w:rPr>
        <w:t xml:space="preserve">) </w:t>
      </w:r>
      <w:r w:rsidRPr="00066F1E">
        <w:rPr>
          <w:i/>
          <w:sz w:val="20"/>
          <w:szCs w:val="20"/>
        </w:rPr>
        <w:t xml:space="preserve">Networks and </w:t>
      </w:r>
      <w:proofErr w:type="spellStart"/>
      <w:r w:rsidRPr="00066F1E">
        <w:rPr>
          <w:i/>
          <w:sz w:val="20"/>
          <w:szCs w:val="20"/>
        </w:rPr>
        <w:t>Netwars</w:t>
      </w:r>
      <w:proofErr w:type="spellEnd"/>
      <w:r w:rsidRPr="00066F1E">
        <w:rPr>
          <w:i/>
          <w:sz w:val="20"/>
          <w:szCs w:val="20"/>
        </w:rPr>
        <w:t>: The Future of Terror, Crime and Militancy</w:t>
      </w:r>
      <w:r>
        <w:rPr>
          <w:sz w:val="20"/>
          <w:szCs w:val="20"/>
        </w:rPr>
        <w:t xml:space="preserve"> (</w:t>
      </w:r>
      <w:r w:rsidRPr="00066F1E">
        <w:rPr>
          <w:sz w:val="20"/>
          <w:szCs w:val="20"/>
        </w:rPr>
        <w:t>Santa Monica CA: RAND,</w:t>
      </w:r>
      <w:r>
        <w:rPr>
          <w:sz w:val="20"/>
          <w:szCs w:val="20"/>
        </w:rPr>
        <w:t xml:space="preserve"> 2001),</w:t>
      </w:r>
      <w:r w:rsidRPr="00066F1E">
        <w:rPr>
          <w:sz w:val="20"/>
          <w:szCs w:val="20"/>
        </w:rPr>
        <w:t xml:space="preserve"> pp. 328.</w:t>
      </w:r>
    </w:p>
  </w:footnote>
  <w:footnote w:id="53">
    <w:p w14:paraId="3F095305" w14:textId="1D0A04AE" w:rsidR="002F5A1C" w:rsidRPr="00066F1E" w:rsidRDefault="002F5A1C">
      <w:pPr>
        <w:pStyle w:val="FootnoteText"/>
        <w:rPr>
          <w:szCs w:val="20"/>
          <w:lang w:val="en-US"/>
        </w:rPr>
      </w:pPr>
      <w:r w:rsidRPr="00066F1E">
        <w:rPr>
          <w:rStyle w:val="FootnoteReference"/>
          <w:szCs w:val="20"/>
        </w:rPr>
        <w:footnoteRef/>
      </w:r>
      <w:r w:rsidRPr="00066F1E">
        <w:rPr>
          <w:szCs w:val="20"/>
        </w:rPr>
        <w:t xml:space="preserve"> </w:t>
      </w:r>
      <w:proofErr w:type="spellStart"/>
      <w:r w:rsidRPr="00066F1E">
        <w:rPr>
          <w:szCs w:val="20"/>
        </w:rPr>
        <w:t>Misk</w:t>
      </w:r>
      <w:r>
        <w:rPr>
          <w:szCs w:val="20"/>
        </w:rPr>
        <w:t>immon</w:t>
      </w:r>
      <w:proofErr w:type="spellEnd"/>
      <w:r>
        <w:rPr>
          <w:szCs w:val="20"/>
        </w:rPr>
        <w:t xml:space="preserve">, </w:t>
      </w:r>
      <w:proofErr w:type="spellStart"/>
      <w:r>
        <w:rPr>
          <w:szCs w:val="20"/>
        </w:rPr>
        <w:t>O’Loughlin</w:t>
      </w:r>
      <w:proofErr w:type="spellEnd"/>
      <w:r>
        <w:rPr>
          <w:szCs w:val="20"/>
        </w:rPr>
        <w:t xml:space="preserve">, and Roselle, </w:t>
      </w:r>
      <w:r w:rsidRPr="00FB506C">
        <w:rPr>
          <w:i/>
          <w:szCs w:val="20"/>
        </w:rPr>
        <w:t>Strategic Narratives</w:t>
      </w:r>
      <w:r>
        <w:rPr>
          <w:szCs w:val="20"/>
        </w:rPr>
        <w:t>, p.</w:t>
      </w:r>
      <w:r w:rsidRPr="00066F1E">
        <w:rPr>
          <w:szCs w:val="20"/>
        </w:rPr>
        <w:t xml:space="preserve"> 3.</w:t>
      </w:r>
    </w:p>
  </w:footnote>
  <w:footnote w:id="54">
    <w:p w14:paraId="1F389992" w14:textId="4992BDB5" w:rsidR="002F5A1C" w:rsidRPr="006D0D93" w:rsidRDefault="002F5A1C" w:rsidP="006D0D93">
      <w:r w:rsidRPr="00066F1E">
        <w:rPr>
          <w:rStyle w:val="FootnoteReference"/>
          <w:sz w:val="20"/>
          <w:szCs w:val="20"/>
        </w:rPr>
        <w:footnoteRef/>
      </w:r>
      <w:r w:rsidRPr="00066F1E">
        <w:rPr>
          <w:sz w:val="20"/>
          <w:szCs w:val="20"/>
        </w:rPr>
        <w:t xml:space="preserve"> </w:t>
      </w:r>
      <w:r>
        <w:rPr>
          <w:sz w:val="20"/>
          <w:szCs w:val="20"/>
        </w:rPr>
        <w:t xml:space="preserve">Per M. </w:t>
      </w:r>
      <w:proofErr w:type="spellStart"/>
      <w:r w:rsidRPr="00066F1E">
        <w:rPr>
          <w:sz w:val="20"/>
          <w:szCs w:val="20"/>
        </w:rPr>
        <w:t>No</w:t>
      </w:r>
      <w:r>
        <w:rPr>
          <w:sz w:val="20"/>
          <w:szCs w:val="20"/>
        </w:rPr>
        <w:t>rheim-Martinsen</w:t>
      </w:r>
      <w:proofErr w:type="spellEnd"/>
      <w:r>
        <w:rPr>
          <w:sz w:val="20"/>
          <w:szCs w:val="20"/>
        </w:rPr>
        <w:t>, ‘</w:t>
      </w:r>
      <w:r w:rsidRPr="00066F1E">
        <w:rPr>
          <w:sz w:val="20"/>
          <w:szCs w:val="20"/>
        </w:rPr>
        <w:t>EU Strategic Culture: When the Means Becomes the End</w:t>
      </w:r>
      <w:r>
        <w:rPr>
          <w:sz w:val="20"/>
          <w:szCs w:val="20"/>
        </w:rPr>
        <w:t>’</w:t>
      </w:r>
      <w:r w:rsidRPr="00066F1E">
        <w:rPr>
          <w:i/>
          <w:sz w:val="20"/>
          <w:szCs w:val="20"/>
        </w:rPr>
        <w:t xml:space="preserve"> Contemporary Security Policy</w:t>
      </w:r>
      <w:r>
        <w:rPr>
          <w:sz w:val="20"/>
          <w:szCs w:val="20"/>
        </w:rPr>
        <w:t xml:space="preserve"> 32:</w:t>
      </w:r>
      <w:r w:rsidRPr="00066F1E">
        <w:rPr>
          <w:sz w:val="20"/>
          <w:szCs w:val="20"/>
        </w:rPr>
        <w:t>3</w:t>
      </w:r>
      <w:r>
        <w:rPr>
          <w:sz w:val="20"/>
          <w:szCs w:val="20"/>
        </w:rPr>
        <w:t xml:space="preserve"> (2011), p.</w:t>
      </w:r>
      <w:r w:rsidRPr="00066F1E">
        <w:rPr>
          <w:sz w:val="20"/>
          <w:szCs w:val="20"/>
        </w:rPr>
        <w:t xml:space="preserve"> 521.</w:t>
      </w:r>
    </w:p>
  </w:footnote>
  <w:footnote w:id="55">
    <w:p w14:paraId="1B17482F" w14:textId="034D5F2E" w:rsidR="002F5A1C" w:rsidRPr="008C4473" w:rsidRDefault="002F5A1C" w:rsidP="008C4473">
      <w:pPr>
        <w:rPr>
          <w:sz w:val="20"/>
          <w:szCs w:val="20"/>
          <w:lang w:val="en-US"/>
        </w:rPr>
      </w:pPr>
      <w:r w:rsidRPr="008C4473">
        <w:rPr>
          <w:rStyle w:val="FootnoteReference"/>
          <w:sz w:val="20"/>
          <w:szCs w:val="20"/>
        </w:rPr>
        <w:footnoteRef/>
      </w:r>
      <w:r w:rsidRPr="008C4473">
        <w:rPr>
          <w:sz w:val="20"/>
          <w:szCs w:val="20"/>
        </w:rPr>
        <w:t xml:space="preserve"> </w:t>
      </w:r>
      <w:r>
        <w:rPr>
          <w:sz w:val="20"/>
          <w:szCs w:val="20"/>
        </w:rPr>
        <w:t xml:space="preserve">Michelle </w:t>
      </w:r>
      <w:r>
        <w:rPr>
          <w:sz w:val="20"/>
          <w:szCs w:val="20"/>
          <w:lang w:val="en-US"/>
        </w:rPr>
        <w:t>Bentley,</w:t>
      </w:r>
      <w:r w:rsidRPr="008C4473">
        <w:rPr>
          <w:sz w:val="20"/>
          <w:szCs w:val="20"/>
          <w:lang w:val="en-US"/>
        </w:rPr>
        <w:t xml:space="preserve"> </w:t>
      </w:r>
      <w:r w:rsidRPr="008C4473">
        <w:rPr>
          <w:i/>
          <w:sz w:val="20"/>
          <w:szCs w:val="20"/>
          <w:lang w:val="en-US"/>
        </w:rPr>
        <w:t>Weapons of Mass Destruction and US Foreign Policy: The Strategic Use of a Concept</w:t>
      </w:r>
      <w:r>
        <w:rPr>
          <w:sz w:val="20"/>
          <w:szCs w:val="20"/>
          <w:lang w:val="en-US"/>
        </w:rPr>
        <w:t xml:space="preserve"> (</w:t>
      </w:r>
      <w:r w:rsidRPr="008C4473">
        <w:rPr>
          <w:sz w:val="20"/>
          <w:szCs w:val="20"/>
          <w:lang w:val="en-US"/>
        </w:rPr>
        <w:t>London: Routledge</w:t>
      </w:r>
      <w:r>
        <w:rPr>
          <w:sz w:val="20"/>
          <w:szCs w:val="20"/>
          <w:lang w:val="en-US"/>
        </w:rPr>
        <w:t>, 2014)</w:t>
      </w:r>
      <w:proofErr w:type="gramStart"/>
      <w:r w:rsidRPr="008C4473">
        <w:rPr>
          <w:sz w:val="20"/>
          <w:szCs w:val="20"/>
          <w:lang w:val="en-US"/>
        </w:rPr>
        <w:t>;</w:t>
      </w:r>
      <w:proofErr w:type="gramEnd"/>
      <w:r w:rsidRPr="008C4473">
        <w:rPr>
          <w:sz w:val="20"/>
          <w:szCs w:val="20"/>
          <w:lang w:val="en-US"/>
        </w:rPr>
        <w:t xml:space="preserve"> </w:t>
      </w:r>
      <w:r>
        <w:rPr>
          <w:sz w:val="20"/>
          <w:szCs w:val="20"/>
          <w:lang w:val="en-US"/>
        </w:rPr>
        <w:t xml:space="preserve">Michelle </w:t>
      </w:r>
      <w:r w:rsidRPr="008C4473">
        <w:rPr>
          <w:sz w:val="20"/>
          <w:szCs w:val="20"/>
          <w:lang w:val="en-US"/>
        </w:rPr>
        <w:t>Bentley</w:t>
      </w:r>
      <w:r>
        <w:rPr>
          <w:sz w:val="20"/>
          <w:szCs w:val="20"/>
          <w:lang w:val="en-US"/>
        </w:rPr>
        <w:t>,</w:t>
      </w:r>
      <w:r w:rsidRPr="008C4473">
        <w:rPr>
          <w:sz w:val="20"/>
          <w:szCs w:val="20"/>
          <w:lang w:val="en-US"/>
        </w:rPr>
        <w:t xml:space="preserve"> </w:t>
      </w:r>
      <w:r w:rsidRPr="008C4473">
        <w:rPr>
          <w:i/>
          <w:sz w:val="20"/>
          <w:szCs w:val="20"/>
          <w:lang w:val="en-US"/>
        </w:rPr>
        <w:t>Syria and the Chemical Weapons Taboo: Exploiting the Forbidden</w:t>
      </w:r>
      <w:r>
        <w:rPr>
          <w:sz w:val="20"/>
          <w:szCs w:val="20"/>
          <w:lang w:val="en-US"/>
        </w:rPr>
        <w:t xml:space="preserve"> (</w:t>
      </w:r>
      <w:r w:rsidRPr="008C4473">
        <w:rPr>
          <w:sz w:val="20"/>
          <w:szCs w:val="20"/>
          <w:lang w:val="en-US"/>
        </w:rPr>
        <w:t>Manchester: Manchester University Press</w:t>
      </w:r>
      <w:r>
        <w:rPr>
          <w:sz w:val="20"/>
          <w:szCs w:val="20"/>
          <w:lang w:val="en-US"/>
        </w:rPr>
        <w:t>, 2016)</w:t>
      </w:r>
      <w:r w:rsidRPr="008C4473">
        <w:rPr>
          <w:sz w:val="20"/>
          <w:szCs w:val="20"/>
          <w:lang w:val="en-US"/>
        </w:rPr>
        <w:t>.</w:t>
      </w:r>
    </w:p>
  </w:footnote>
  <w:footnote w:id="56">
    <w:p w14:paraId="535A6207" w14:textId="58FF23EE" w:rsidR="002F5A1C" w:rsidRPr="008C4473" w:rsidRDefault="002F5A1C" w:rsidP="008C4473">
      <w:pPr>
        <w:rPr>
          <w:lang w:val="en-US" w:bidi="en-US"/>
        </w:rPr>
      </w:pPr>
      <w:r w:rsidRPr="008C4473">
        <w:rPr>
          <w:rStyle w:val="FootnoteReference"/>
          <w:sz w:val="20"/>
          <w:szCs w:val="20"/>
        </w:rPr>
        <w:footnoteRef/>
      </w:r>
      <w:r w:rsidRPr="008C4473">
        <w:rPr>
          <w:sz w:val="20"/>
          <w:szCs w:val="20"/>
        </w:rPr>
        <w:t xml:space="preserve"> </w:t>
      </w:r>
      <w:r>
        <w:rPr>
          <w:sz w:val="20"/>
          <w:szCs w:val="20"/>
        </w:rPr>
        <w:t xml:space="preserve">Quentin </w:t>
      </w:r>
      <w:r>
        <w:rPr>
          <w:sz w:val="20"/>
          <w:szCs w:val="20"/>
          <w:lang w:val="en-US" w:bidi="en-US"/>
        </w:rPr>
        <w:t>Skinner, ‘</w:t>
      </w:r>
      <w:r w:rsidRPr="008C4473">
        <w:rPr>
          <w:sz w:val="20"/>
          <w:szCs w:val="20"/>
          <w:lang w:val="en-US" w:bidi="en-US"/>
        </w:rPr>
        <w:t>Meaning and Unders</w:t>
      </w:r>
      <w:r>
        <w:rPr>
          <w:sz w:val="20"/>
          <w:szCs w:val="20"/>
          <w:lang w:val="en-US" w:bidi="en-US"/>
        </w:rPr>
        <w:t>tanding in the History of Ideas’,</w:t>
      </w:r>
      <w:r w:rsidRPr="008C4473">
        <w:rPr>
          <w:sz w:val="20"/>
          <w:szCs w:val="20"/>
          <w:lang w:val="en-US" w:bidi="en-US"/>
        </w:rPr>
        <w:t xml:space="preserve"> </w:t>
      </w:r>
      <w:r w:rsidRPr="008C4473">
        <w:rPr>
          <w:i/>
          <w:sz w:val="20"/>
          <w:szCs w:val="20"/>
          <w:lang w:val="en-US" w:bidi="en-US"/>
        </w:rPr>
        <w:t>History and Theory</w:t>
      </w:r>
      <w:r w:rsidRPr="008C4473">
        <w:rPr>
          <w:sz w:val="20"/>
          <w:szCs w:val="20"/>
          <w:lang w:val="en-US" w:bidi="en-US"/>
        </w:rPr>
        <w:t xml:space="preserve"> </w:t>
      </w:r>
      <w:r w:rsidRPr="008C4473">
        <w:rPr>
          <w:bCs/>
          <w:sz w:val="20"/>
          <w:szCs w:val="20"/>
          <w:lang w:val="en-US" w:bidi="en-US"/>
        </w:rPr>
        <w:t>8</w:t>
      </w:r>
      <w:r>
        <w:rPr>
          <w:sz w:val="20"/>
          <w:szCs w:val="20"/>
          <w:lang w:val="en-US" w:bidi="en-US"/>
        </w:rPr>
        <w:t>:</w:t>
      </w:r>
      <w:r w:rsidRPr="008C4473">
        <w:rPr>
          <w:sz w:val="20"/>
          <w:szCs w:val="20"/>
          <w:lang w:val="en-US" w:bidi="en-US"/>
        </w:rPr>
        <w:t>1</w:t>
      </w:r>
      <w:r>
        <w:rPr>
          <w:sz w:val="20"/>
          <w:szCs w:val="20"/>
          <w:lang w:val="en-US" w:bidi="en-US"/>
        </w:rPr>
        <w:t xml:space="preserve"> (1969), p.</w:t>
      </w:r>
      <w:r w:rsidRPr="008C4473">
        <w:rPr>
          <w:sz w:val="20"/>
          <w:szCs w:val="20"/>
          <w:lang w:val="en-US" w:bidi="en-US"/>
        </w:rPr>
        <w:t xml:space="preserve"> 49; </w:t>
      </w:r>
      <w:r>
        <w:rPr>
          <w:sz w:val="20"/>
          <w:szCs w:val="20"/>
          <w:lang w:val="en-US" w:bidi="en-US"/>
        </w:rPr>
        <w:t>Quentin Skinner, ‘</w:t>
      </w:r>
      <w:r w:rsidRPr="008C4473">
        <w:rPr>
          <w:sz w:val="20"/>
          <w:szCs w:val="20"/>
          <w:lang w:val="en-US" w:bidi="en-US"/>
        </w:rPr>
        <w:t>Conventions and the Understandin</w:t>
      </w:r>
      <w:r>
        <w:rPr>
          <w:sz w:val="20"/>
          <w:szCs w:val="20"/>
          <w:lang w:val="en-US" w:bidi="en-US"/>
        </w:rPr>
        <w:t>g of Speech Acts’,</w:t>
      </w:r>
      <w:r w:rsidRPr="008C4473">
        <w:rPr>
          <w:sz w:val="20"/>
          <w:szCs w:val="20"/>
          <w:lang w:val="en-US" w:bidi="en-US"/>
        </w:rPr>
        <w:t xml:space="preserve"> </w:t>
      </w:r>
      <w:r w:rsidRPr="008C4473">
        <w:rPr>
          <w:i/>
          <w:sz w:val="20"/>
          <w:szCs w:val="20"/>
          <w:lang w:val="en-US" w:bidi="en-US"/>
        </w:rPr>
        <w:t>The Philosophical Quarterly</w:t>
      </w:r>
      <w:r w:rsidRPr="008C4473">
        <w:rPr>
          <w:sz w:val="20"/>
          <w:szCs w:val="20"/>
          <w:lang w:val="en-US" w:bidi="en-US"/>
        </w:rPr>
        <w:t xml:space="preserve"> </w:t>
      </w:r>
      <w:r w:rsidRPr="008C4473">
        <w:rPr>
          <w:bCs/>
          <w:sz w:val="20"/>
          <w:szCs w:val="20"/>
          <w:lang w:val="en-US" w:bidi="en-US"/>
        </w:rPr>
        <w:t>20</w:t>
      </w:r>
      <w:r>
        <w:rPr>
          <w:sz w:val="20"/>
          <w:szCs w:val="20"/>
          <w:lang w:val="en-US" w:bidi="en-US"/>
        </w:rPr>
        <w:t>:</w:t>
      </w:r>
      <w:r w:rsidRPr="008C4473">
        <w:rPr>
          <w:sz w:val="20"/>
          <w:szCs w:val="20"/>
          <w:lang w:val="en-US" w:bidi="en-US"/>
        </w:rPr>
        <w:t>79</w:t>
      </w:r>
      <w:r>
        <w:rPr>
          <w:sz w:val="20"/>
          <w:szCs w:val="20"/>
          <w:lang w:val="en-US" w:bidi="en-US"/>
        </w:rPr>
        <w:t xml:space="preserve"> (1970), pp.</w:t>
      </w:r>
      <w:r w:rsidRPr="008C4473">
        <w:rPr>
          <w:sz w:val="20"/>
          <w:szCs w:val="20"/>
          <w:lang w:val="en-US" w:bidi="en-US"/>
        </w:rPr>
        <w:t xml:space="preserve"> 118-138; </w:t>
      </w:r>
      <w:r>
        <w:rPr>
          <w:sz w:val="20"/>
          <w:szCs w:val="20"/>
          <w:lang w:val="en-US" w:bidi="en-US"/>
        </w:rPr>
        <w:t>Quentin Skinner, ‘</w:t>
      </w:r>
      <w:r w:rsidRPr="008C4473">
        <w:rPr>
          <w:sz w:val="20"/>
          <w:szCs w:val="20"/>
          <w:lang w:val="en-US" w:bidi="en-US"/>
        </w:rPr>
        <w:t>Herme</w:t>
      </w:r>
      <w:r>
        <w:rPr>
          <w:sz w:val="20"/>
          <w:szCs w:val="20"/>
          <w:lang w:val="en-US" w:bidi="en-US"/>
        </w:rPr>
        <w:t>neutics and the Role of History’,</w:t>
      </w:r>
      <w:r w:rsidRPr="008C4473">
        <w:rPr>
          <w:sz w:val="20"/>
          <w:szCs w:val="20"/>
          <w:lang w:val="en-US" w:bidi="en-US"/>
        </w:rPr>
        <w:t xml:space="preserve"> </w:t>
      </w:r>
      <w:r w:rsidRPr="008C4473">
        <w:rPr>
          <w:i/>
          <w:sz w:val="20"/>
          <w:szCs w:val="20"/>
          <w:lang w:val="en-US" w:bidi="en-US"/>
        </w:rPr>
        <w:t>New Literary History</w:t>
      </w:r>
      <w:r w:rsidRPr="008C4473">
        <w:rPr>
          <w:sz w:val="20"/>
          <w:szCs w:val="20"/>
          <w:lang w:val="en-US" w:bidi="en-US"/>
        </w:rPr>
        <w:t xml:space="preserve"> </w:t>
      </w:r>
      <w:r w:rsidRPr="008C4473">
        <w:rPr>
          <w:bCs/>
          <w:sz w:val="20"/>
          <w:szCs w:val="20"/>
          <w:lang w:val="en-US" w:bidi="en-US"/>
        </w:rPr>
        <w:t>7</w:t>
      </w:r>
      <w:r>
        <w:rPr>
          <w:sz w:val="20"/>
          <w:szCs w:val="20"/>
          <w:lang w:val="en-US" w:bidi="en-US"/>
        </w:rPr>
        <w:t>:</w:t>
      </w:r>
      <w:r w:rsidRPr="008C4473">
        <w:rPr>
          <w:sz w:val="20"/>
          <w:szCs w:val="20"/>
          <w:lang w:val="en-US" w:bidi="en-US"/>
        </w:rPr>
        <w:t>1</w:t>
      </w:r>
      <w:r>
        <w:rPr>
          <w:sz w:val="20"/>
          <w:szCs w:val="20"/>
          <w:lang w:val="en-US" w:bidi="en-US"/>
        </w:rPr>
        <w:t xml:space="preserve"> (1975</w:t>
      </w:r>
      <w:r w:rsidRPr="008C4473">
        <w:rPr>
          <w:sz w:val="20"/>
          <w:szCs w:val="20"/>
          <w:lang w:val="en-US" w:bidi="en-US"/>
        </w:rPr>
        <w:t xml:space="preserve">): 226; </w:t>
      </w:r>
      <w:r>
        <w:rPr>
          <w:sz w:val="20"/>
          <w:szCs w:val="20"/>
          <w:lang w:val="en-US" w:bidi="en-US"/>
        </w:rPr>
        <w:t>Quentin Skinner,</w:t>
      </w:r>
      <w:r w:rsidRPr="008C4473">
        <w:rPr>
          <w:sz w:val="20"/>
          <w:szCs w:val="20"/>
          <w:lang w:val="en-US" w:bidi="en-US"/>
        </w:rPr>
        <w:t xml:space="preserve"> </w:t>
      </w:r>
      <w:r>
        <w:rPr>
          <w:sz w:val="20"/>
          <w:szCs w:val="20"/>
          <w:lang w:val="en-US" w:bidi="en-US"/>
        </w:rPr>
        <w:t>‘</w:t>
      </w:r>
      <w:r w:rsidRPr="008C4473">
        <w:rPr>
          <w:sz w:val="20"/>
          <w:szCs w:val="20"/>
          <w:lang w:val="en-US" w:bidi="en-US"/>
        </w:rPr>
        <w:t>Introduc</w:t>
      </w:r>
      <w:r>
        <w:rPr>
          <w:sz w:val="20"/>
          <w:szCs w:val="20"/>
          <w:lang w:val="en-US" w:bidi="en-US"/>
        </w:rPr>
        <w:t>tion: Seeing Things Their Way’, i</w:t>
      </w:r>
      <w:r w:rsidRPr="008C4473">
        <w:rPr>
          <w:sz w:val="20"/>
          <w:szCs w:val="20"/>
          <w:lang w:val="en-US" w:bidi="en-US"/>
        </w:rPr>
        <w:t xml:space="preserve">n </w:t>
      </w:r>
      <w:r>
        <w:rPr>
          <w:sz w:val="20"/>
          <w:szCs w:val="20"/>
          <w:lang w:val="en-US" w:bidi="en-US"/>
        </w:rPr>
        <w:t xml:space="preserve">Quentin Skinner </w:t>
      </w:r>
      <w:r w:rsidRPr="008C4473">
        <w:rPr>
          <w:sz w:val="20"/>
          <w:szCs w:val="20"/>
          <w:lang w:val="en-US" w:bidi="en-US"/>
        </w:rPr>
        <w:t xml:space="preserve">(ed.) </w:t>
      </w:r>
      <w:r w:rsidRPr="008C4473">
        <w:rPr>
          <w:i/>
          <w:sz w:val="20"/>
          <w:szCs w:val="20"/>
          <w:lang w:val="en-US" w:bidi="en-US"/>
        </w:rPr>
        <w:t>Visions of Politics: Volume 1</w:t>
      </w:r>
      <w:r>
        <w:rPr>
          <w:sz w:val="20"/>
          <w:szCs w:val="20"/>
          <w:lang w:val="en-US" w:bidi="en-US"/>
        </w:rPr>
        <w:t xml:space="preserve"> (</w:t>
      </w:r>
      <w:r w:rsidRPr="008C4473">
        <w:rPr>
          <w:sz w:val="20"/>
          <w:szCs w:val="20"/>
          <w:lang w:val="en-US" w:bidi="en-US"/>
        </w:rPr>
        <w:t>Cambridge: Cambridge University Press</w:t>
      </w:r>
      <w:r>
        <w:rPr>
          <w:sz w:val="20"/>
          <w:szCs w:val="20"/>
          <w:lang w:val="en-US" w:bidi="en-US"/>
        </w:rPr>
        <w:t>, 2002)</w:t>
      </w:r>
      <w:r w:rsidRPr="008C4473">
        <w:rPr>
          <w:sz w:val="20"/>
          <w:szCs w:val="20"/>
          <w:lang w:val="en-US" w:bidi="en-US"/>
        </w:rPr>
        <w:t>, p 7.</w:t>
      </w:r>
    </w:p>
  </w:footnote>
  <w:footnote w:id="57">
    <w:p w14:paraId="2724889C" w14:textId="0C1A625E" w:rsidR="002F5A1C" w:rsidRPr="00AE7287" w:rsidRDefault="002F5A1C" w:rsidP="00AE7287">
      <w:pPr>
        <w:rPr>
          <w:sz w:val="20"/>
          <w:szCs w:val="20"/>
        </w:rPr>
      </w:pPr>
      <w:r w:rsidRPr="00AE7287">
        <w:rPr>
          <w:rStyle w:val="FootnoteReference"/>
          <w:sz w:val="20"/>
          <w:szCs w:val="20"/>
        </w:rPr>
        <w:footnoteRef/>
      </w:r>
      <w:r w:rsidRPr="00AE7287">
        <w:rPr>
          <w:sz w:val="20"/>
          <w:szCs w:val="20"/>
        </w:rPr>
        <w:t xml:space="preserve"> </w:t>
      </w:r>
      <w:r>
        <w:rPr>
          <w:sz w:val="20"/>
          <w:szCs w:val="20"/>
        </w:rPr>
        <w:t xml:space="preserve">Karma </w:t>
      </w:r>
      <w:proofErr w:type="spellStart"/>
      <w:r>
        <w:rPr>
          <w:sz w:val="20"/>
          <w:szCs w:val="20"/>
        </w:rPr>
        <w:t>Nabulsi</w:t>
      </w:r>
      <w:proofErr w:type="spellEnd"/>
      <w:r>
        <w:rPr>
          <w:sz w:val="20"/>
          <w:szCs w:val="20"/>
        </w:rPr>
        <w:t>, ‘</w:t>
      </w:r>
      <w:r w:rsidRPr="00AE7287">
        <w:rPr>
          <w:sz w:val="20"/>
          <w:szCs w:val="20"/>
        </w:rPr>
        <w:t>Theresa May’s Prevent bill is ex</w:t>
      </w:r>
      <w:r>
        <w:rPr>
          <w:sz w:val="20"/>
          <w:szCs w:val="20"/>
        </w:rPr>
        <w:t>tremism in the name of security’,</w:t>
      </w:r>
      <w:r w:rsidRPr="00AE7287">
        <w:rPr>
          <w:sz w:val="20"/>
          <w:szCs w:val="20"/>
        </w:rPr>
        <w:t xml:space="preserve"> </w:t>
      </w:r>
      <w:proofErr w:type="spellStart"/>
      <w:r w:rsidRPr="00AE7287">
        <w:rPr>
          <w:i/>
          <w:sz w:val="20"/>
          <w:szCs w:val="20"/>
        </w:rPr>
        <w:t>openDemocracy</w:t>
      </w:r>
      <w:proofErr w:type="spellEnd"/>
      <w:r w:rsidRPr="00AE7287">
        <w:rPr>
          <w:i/>
          <w:sz w:val="20"/>
          <w:szCs w:val="20"/>
        </w:rPr>
        <w:t xml:space="preserve"> UK</w:t>
      </w:r>
      <w:r w:rsidRPr="00AE7287">
        <w:rPr>
          <w:sz w:val="20"/>
          <w:szCs w:val="20"/>
        </w:rPr>
        <w:t xml:space="preserve"> </w:t>
      </w:r>
      <w:r>
        <w:rPr>
          <w:sz w:val="20"/>
          <w:szCs w:val="20"/>
        </w:rPr>
        <w:t>(</w:t>
      </w:r>
      <w:r w:rsidRPr="00AE7287">
        <w:rPr>
          <w:sz w:val="20"/>
          <w:szCs w:val="20"/>
        </w:rPr>
        <w:t>9 February</w:t>
      </w:r>
      <w:r>
        <w:rPr>
          <w:sz w:val="20"/>
          <w:szCs w:val="20"/>
        </w:rPr>
        <w:t xml:space="preserve"> 2015), available at</w:t>
      </w:r>
      <w:r w:rsidRPr="00AE7287">
        <w:rPr>
          <w:sz w:val="20"/>
          <w:szCs w:val="20"/>
        </w:rPr>
        <w:t xml:space="preserve">: </w:t>
      </w:r>
      <w:r>
        <w:rPr>
          <w:sz w:val="20"/>
          <w:szCs w:val="20"/>
        </w:rPr>
        <w:t>{</w:t>
      </w:r>
      <w:r w:rsidRPr="00CE4B8A">
        <w:rPr>
          <w:sz w:val="20"/>
          <w:szCs w:val="20"/>
        </w:rPr>
        <w:t>https://www.opendemocracy.net/ourkingdom/karma-nabulsi/theresa-may%e2%80%99s-prevent-bill-is-extremism-in-name-of-security</w:t>
      </w:r>
      <w:r>
        <w:rPr>
          <w:sz w:val="20"/>
          <w:szCs w:val="20"/>
        </w:rPr>
        <w:t xml:space="preserve">} </w:t>
      </w:r>
      <w:r w:rsidRPr="00653AA3">
        <w:rPr>
          <w:sz w:val="20"/>
          <w:szCs w:val="20"/>
          <w:lang w:val="en-US"/>
        </w:rPr>
        <w:t>accessed 16 May 2018</w:t>
      </w:r>
      <w:r w:rsidRPr="00AE7287">
        <w:rPr>
          <w:sz w:val="20"/>
          <w:szCs w:val="20"/>
        </w:rPr>
        <w:t xml:space="preserve">; </w:t>
      </w:r>
      <w:r>
        <w:rPr>
          <w:sz w:val="20"/>
          <w:szCs w:val="20"/>
        </w:rPr>
        <w:t xml:space="preserve">Fiona De </w:t>
      </w:r>
      <w:proofErr w:type="spellStart"/>
      <w:r>
        <w:rPr>
          <w:sz w:val="20"/>
          <w:szCs w:val="20"/>
        </w:rPr>
        <w:t>Londras</w:t>
      </w:r>
      <w:proofErr w:type="spellEnd"/>
      <w:r>
        <w:rPr>
          <w:sz w:val="20"/>
          <w:szCs w:val="20"/>
        </w:rPr>
        <w:t>, ‘</w:t>
      </w:r>
      <w:r w:rsidRPr="00AE7287">
        <w:rPr>
          <w:sz w:val="20"/>
          <w:szCs w:val="20"/>
        </w:rPr>
        <w:t xml:space="preserve">Tearing up human rights law </w:t>
      </w:r>
      <w:r>
        <w:rPr>
          <w:sz w:val="20"/>
          <w:szCs w:val="20"/>
        </w:rPr>
        <w:t>won’t protect us from terrorism.’</w:t>
      </w:r>
      <w:r w:rsidRPr="00AE7287">
        <w:rPr>
          <w:sz w:val="20"/>
          <w:szCs w:val="20"/>
        </w:rPr>
        <w:t xml:space="preserve"> </w:t>
      </w:r>
      <w:r w:rsidRPr="00AE7287">
        <w:rPr>
          <w:i/>
          <w:sz w:val="20"/>
          <w:szCs w:val="20"/>
        </w:rPr>
        <w:t>The Conversation</w:t>
      </w:r>
      <w:r w:rsidRPr="00AE7287">
        <w:rPr>
          <w:sz w:val="20"/>
          <w:szCs w:val="20"/>
        </w:rPr>
        <w:t xml:space="preserve"> </w:t>
      </w:r>
      <w:r>
        <w:rPr>
          <w:sz w:val="20"/>
          <w:szCs w:val="20"/>
        </w:rPr>
        <w:t>(</w:t>
      </w:r>
      <w:r w:rsidRPr="00AE7287">
        <w:rPr>
          <w:sz w:val="20"/>
          <w:szCs w:val="20"/>
        </w:rPr>
        <w:t>7 June</w:t>
      </w:r>
      <w:r>
        <w:rPr>
          <w:sz w:val="20"/>
          <w:szCs w:val="20"/>
        </w:rPr>
        <w:t xml:space="preserve"> 2017), available at</w:t>
      </w:r>
      <w:r w:rsidRPr="00AE7287">
        <w:rPr>
          <w:sz w:val="20"/>
          <w:szCs w:val="20"/>
        </w:rPr>
        <w:t xml:space="preserve">: </w:t>
      </w:r>
      <w:r>
        <w:rPr>
          <w:sz w:val="20"/>
          <w:szCs w:val="20"/>
        </w:rPr>
        <w:t>{</w:t>
      </w:r>
      <w:r w:rsidRPr="00CE4B8A">
        <w:rPr>
          <w:sz w:val="20"/>
          <w:szCs w:val="20"/>
        </w:rPr>
        <w:t>https://theconversation.com/tearing-up-human-rights-law-wont-protect-us-from-terrorism-79044</w:t>
      </w:r>
      <w:r>
        <w:rPr>
          <w:sz w:val="20"/>
          <w:szCs w:val="20"/>
        </w:rPr>
        <w:t xml:space="preserve">} </w:t>
      </w:r>
      <w:r w:rsidRPr="00653AA3">
        <w:rPr>
          <w:sz w:val="20"/>
          <w:szCs w:val="20"/>
          <w:lang w:val="en-US"/>
        </w:rPr>
        <w:t>accessed 16 May 2018</w:t>
      </w:r>
      <w:r>
        <w:rPr>
          <w:sz w:val="20"/>
          <w:szCs w:val="20"/>
          <w:lang w:val="en-US"/>
        </w:rPr>
        <w:t>.</w:t>
      </w:r>
    </w:p>
  </w:footnote>
  <w:footnote w:id="58">
    <w:p w14:paraId="79F3E2AB" w14:textId="1E5383EA" w:rsidR="002F5A1C" w:rsidRPr="00AE7287" w:rsidRDefault="002F5A1C" w:rsidP="00AE7287">
      <w:pPr>
        <w:rPr>
          <w:sz w:val="20"/>
          <w:szCs w:val="20"/>
        </w:rPr>
      </w:pPr>
      <w:r w:rsidRPr="00AE7287">
        <w:rPr>
          <w:rStyle w:val="FootnoteReference"/>
          <w:sz w:val="20"/>
          <w:szCs w:val="20"/>
        </w:rPr>
        <w:footnoteRef/>
      </w:r>
      <w:r>
        <w:rPr>
          <w:sz w:val="20"/>
          <w:szCs w:val="20"/>
        </w:rPr>
        <w:t xml:space="preserve"> Theresa May ‘</w:t>
      </w:r>
      <w:r w:rsidRPr="00AE7287">
        <w:rPr>
          <w:sz w:val="20"/>
          <w:szCs w:val="20"/>
        </w:rPr>
        <w:t>Terrorism: Hom</w:t>
      </w:r>
      <w:r>
        <w:rPr>
          <w:sz w:val="20"/>
          <w:szCs w:val="20"/>
        </w:rPr>
        <w:t>e Secretary’s CONTEST speech’,</w:t>
      </w:r>
      <w:r w:rsidRPr="00AE7287">
        <w:rPr>
          <w:sz w:val="20"/>
          <w:szCs w:val="20"/>
        </w:rPr>
        <w:t xml:space="preserve"> </w:t>
      </w:r>
      <w:r w:rsidRPr="00AE7287">
        <w:rPr>
          <w:i/>
          <w:sz w:val="20"/>
          <w:szCs w:val="20"/>
        </w:rPr>
        <w:t>gov.uk</w:t>
      </w:r>
      <w:r w:rsidRPr="00AE7287">
        <w:rPr>
          <w:sz w:val="20"/>
          <w:szCs w:val="20"/>
        </w:rPr>
        <w:t xml:space="preserve"> </w:t>
      </w:r>
      <w:r>
        <w:rPr>
          <w:sz w:val="20"/>
          <w:szCs w:val="20"/>
        </w:rPr>
        <w:t>(</w:t>
      </w:r>
      <w:r w:rsidRPr="00AE7287">
        <w:rPr>
          <w:sz w:val="20"/>
          <w:szCs w:val="20"/>
        </w:rPr>
        <w:t>12 July</w:t>
      </w:r>
      <w:r>
        <w:rPr>
          <w:sz w:val="20"/>
          <w:szCs w:val="20"/>
        </w:rPr>
        <w:t xml:space="preserve"> 2011), available at</w:t>
      </w:r>
      <w:r w:rsidRPr="00AE7287">
        <w:rPr>
          <w:sz w:val="20"/>
          <w:szCs w:val="20"/>
        </w:rPr>
        <w:t xml:space="preserve">: </w:t>
      </w:r>
      <w:r>
        <w:rPr>
          <w:sz w:val="20"/>
          <w:szCs w:val="20"/>
        </w:rPr>
        <w:t>{</w:t>
      </w:r>
      <w:r w:rsidRPr="00CE4B8A">
        <w:rPr>
          <w:sz w:val="20"/>
          <w:szCs w:val="20"/>
        </w:rPr>
        <w:t>https://www.gov.uk/government/speeches/terrorism-home-secretarys-contest-speech</w:t>
      </w:r>
      <w:r>
        <w:rPr>
          <w:sz w:val="20"/>
          <w:szCs w:val="20"/>
        </w:rPr>
        <w:t xml:space="preserve">} </w:t>
      </w:r>
      <w:r w:rsidRPr="00653AA3">
        <w:rPr>
          <w:sz w:val="20"/>
          <w:szCs w:val="20"/>
          <w:lang w:val="en-US"/>
        </w:rPr>
        <w:t>accessed 16 May 2018</w:t>
      </w:r>
      <w:r>
        <w:rPr>
          <w:sz w:val="20"/>
          <w:szCs w:val="20"/>
          <w:lang w:val="en-US"/>
        </w:rPr>
        <w:t>.</w:t>
      </w:r>
    </w:p>
  </w:footnote>
  <w:footnote w:id="59">
    <w:p w14:paraId="1CE587DD" w14:textId="4730C536" w:rsidR="002F5A1C" w:rsidRPr="00AE7287" w:rsidRDefault="002F5A1C" w:rsidP="00AE7287">
      <w:pPr>
        <w:rPr>
          <w:sz w:val="20"/>
          <w:szCs w:val="20"/>
        </w:rPr>
      </w:pPr>
      <w:r w:rsidRPr="00AE7287">
        <w:rPr>
          <w:rStyle w:val="FootnoteReference"/>
          <w:sz w:val="20"/>
          <w:szCs w:val="20"/>
        </w:rPr>
        <w:footnoteRef/>
      </w:r>
      <w:r w:rsidRPr="00AE7287">
        <w:rPr>
          <w:sz w:val="20"/>
          <w:szCs w:val="20"/>
        </w:rPr>
        <w:t xml:space="preserve"> </w:t>
      </w:r>
      <w:r>
        <w:rPr>
          <w:sz w:val="20"/>
          <w:szCs w:val="20"/>
        </w:rPr>
        <w:t xml:space="preserve">Theresa </w:t>
      </w:r>
      <w:r w:rsidRPr="00AE7287">
        <w:rPr>
          <w:sz w:val="20"/>
          <w:szCs w:val="20"/>
          <w:lang w:val="en-US"/>
        </w:rPr>
        <w:t>May in</w:t>
      </w:r>
      <w:r w:rsidRPr="00AE7287">
        <w:rPr>
          <w:sz w:val="20"/>
          <w:szCs w:val="20"/>
        </w:rPr>
        <w:t xml:space="preserve"> </w:t>
      </w:r>
      <w:r>
        <w:rPr>
          <w:sz w:val="20"/>
          <w:szCs w:val="20"/>
        </w:rPr>
        <w:t>Rowena Mason</w:t>
      </w:r>
      <w:r w:rsidRPr="00AE7287">
        <w:rPr>
          <w:sz w:val="20"/>
          <w:szCs w:val="20"/>
        </w:rPr>
        <w:t xml:space="preserve"> and </w:t>
      </w:r>
      <w:proofErr w:type="spellStart"/>
      <w:r>
        <w:rPr>
          <w:sz w:val="20"/>
          <w:szCs w:val="20"/>
        </w:rPr>
        <w:t>Vikram</w:t>
      </w:r>
      <w:proofErr w:type="spellEnd"/>
      <w:r>
        <w:rPr>
          <w:sz w:val="20"/>
          <w:szCs w:val="20"/>
        </w:rPr>
        <w:t xml:space="preserve"> Dodd, ‘</w:t>
      </w:r>
      <w:r w:rsidRPr="00AE7287">
        <w:rPr>
          <w:sz w:val="20"/>
          <w:szCs w:val="20"/>
        </w:rPr>
        <w:t>May: I’ll rip up human rights laws tha</w:t>
      </w:r>
      <w:r>
        <w:rPr>
          <w:sz w:val="20"/>
          <w:szCs w:val="20"/>
        </w:rPr>
        <w:t>t impede new terror legislation’,</w:t>
      </w:r>
      <w:r w:rsidRPr="00AE7287">
        <w:rPr>
          <w:sz w:val="20"/>
          <w:szCs w:val="20"/>
        </w:rPr>
        <w:t xml:space="preserve"> </w:t>
      </w:r>
      <w:r w:rsidRPr="00AE7287">
        <w:rPr>
          <w:i/>
          <w:sz w:val="20"/>
          <w:szCs w:val="20"/>
        </w:rPr>
        <w:t>The Guardian</w:t>
      </w:r>
      <w:r w:rsidRPr="00AE7287">
        <w:rPr>
          <w:sz w:val="20"/>
          <w:szCs w:val="20"/>
        </w:rPr>
        <w:t xml:space="preserve"> </w:t>
      </w:r>
      <w:r>
        <w:rPr>
          <w:sz w:val="20"/>
          <w:szCs w:val="20"/>
        </w:rPr>
        <w:t>(</w:t>
      </w:r>
      <w:r w:rsidRPr="00AE7287">
        <w:rPr>
          <w:sz w:val="20"/>
          <w:szCs w:val="20"/>
        </w:rPr>
        <w:t>6 June</w:t>
      </w:r>
      <w:r>
        <w:rPr>
          <w:sz w:val="20"/>
          <w:szCs w:val="20"/>
        </w:rPr>
        <w:t xml:space="preserve"> 2017), available at</w:t>
      </w:r>
      <w:r w:rsidRPr="00AE7287">
        <w:rPr>
          <w:sz w:val="20"/>
          <w:szCs w:val="20"/>
        </w:rPr>
        <w:t xml:space="preserve">: </w:t>
      </w:r>
      <w:r>
        <w:rPr>
          <w:sz w:val="20"/>
          <w:szCs w:val="20"/>
        </w:rPr>
        <w:t>{</w:t>
      </w:r>
      <w:r w:rsidRPr="00CE4B8A">
        <w:rPr>
          <w:sz w:val="20"/>
          <w:szCs w:val="20"/>
        </w:rPr>
        <w:t>https://www.theguardian.com/politics/2017/jun/06/theresa-may-rip-up-human-rights-laws-impede-new-terror-legislation</w:t>
      </w:r>
      <w:r>
        <w:rPr>
          <w:sz w:val="20"/>
          <w:szCs w:val="20"/>
        </w:rPr>
        <w:t xml:space="preserve">} </w:t>
      </w:r>
      <w:r w:rsidRPr="00653AA3">
        <w:rPr>
          <w:sz w:val="20"/>
          <w:szCs w:val="20"/>
          <w:lang w:val="en-US"/>
        </w:rPr>
        <w:t>accessed 16 May 2018</w:t>
      </w:r>
      <w:r>
        <w:rPr>
          <w:sz w:val="20"/>
          <w:szCs w:val="20"/>
          <w:lang w:val="en-US"/>
        </w:rPr>
        <w:t>.</w:t>
      </w:r>
    </w:p>
  </w:footnote>
  <w:footnote w:id="60">
    <w:p w14:paraId="38A9FC34" w14:textId="041D8769" w:rsidR="002F5A1C" w:rsidRPr="00F40970" w:rsidRDefault="002F5A1C">
      <w:pPr>
        <w:pStyle w:val="FootnoteText"/>
        <w:rPr>
          <w:lang w:val="en-US"/>
        </w:rPr>
      </w:pPr>
      <w:r>
        <w:rPr>
          <w:rStyle w:val="FootnoteReference"/>
        </w:rPr>
        <w:footnoteRef/>
      </w:r>
      <w:r>
        <w:t xml:space="preserve"> </w:t>
      </w:r>
      <w:r>
        <w:rPr>
          <w:lang w:val="en-US"/>
        </w:rPr>
        <w:t xml:space="preserve">Jon Stone, ‘Theresa May: London terror attack shows Britain too tolerant of extremism’, </w:t>
      </w:r>
      <w:r>
        <w:rPr>
          <w:i/>
          <w:lang w:val="en-US"/>
        </w:rPr>
        <w:t>The Independent</w:t>
      </w:r>
      <w:r>
        <w:rPr>
          <w:lang w:val="en-US"/>
        </w:rPr>
        <w:t xml:space="preserve"> (4 June 2017), available at:</w:t>
      </w:r>
      <w:r w:rsidRPr="00F40970">
        <w:t xml:space="preserve"> </w:t>
      </w:r>
      <w:r>
        <w:t>{</w:t>
      </w:r>
      <w:r w:rsidRPr="00CE4B8A">
        <w:rPr>
          <w:lang w:val="en-US"/>
        </w:rPr>
        <w:t>http://www.independent.co.uk/news/uk/politics/london-bridge-terror-attack-theresa-may-tolerance-of-extremism-terrorism-islam-a7771836.html</w:t>
      </w:r>
      <w:r>
        <w:rPr>
          <w:lang w:val="en-US"/>
        </w:rPr>
        <w:t xml:space="preserve">} </w:t>
      </w:r>
      <w:r w:rsidRPr="00653AA3">
        <w:rPr>
          <w:szCs w:val="20"/>
          <w:lang w:val="en-US"/>
        </w:rPr>
        <w:t>accessed 16 May 2018</w:t>
      </w:r>
      <w:r>
        <w:rPr>
          <w:szCs w:val="20"/>
          <w:lang w:val="en-US"/>
        </w:rPr>
        <w:t>.</w:t>
      </w:r>
    </w:p>
  </w:footnote>
  <w:footnote w:id="61">
    <w:p w14:paraId="50E925F1" w14:textId="4BF39AB2" w:rsidR="002F5A1C" w:rsidRPr="00AE7287" w:rsidRDefault="002F5A1C" w:rsidP="00AE7287">
      <w:r w:rsidRPr="00AE7287">
        <w:rPr>
          <w:rStyle w:val="FootnoteReference"/>
          <w:sz w:val="20"/>
          <w:szCs w:val="20"/>
        </w:rPr>
        <w:footnoteRef/>
      </w:r>
      <w:r w:rsidRPr="00AE7287">
        <w:rPr>
          <w:sz w:val="20"/>
          <w:szCs w:val="20"/>
        </w:rPr>
        <w:t xml:space="preserve"> </w:t>
      </w:r>
      <w:r>
        <w:rPr>
          <w:sz w:val="20"/>
          <w:szCs w:val="20"/>
        </w:rPr>
        <w:t>George Eaton,</w:t>
      </w:r>
      <w:r w:rsidRPr="00AE7287">
        <w:rPr>
          <w:sz w:val="20"/>
          <w:szCs w:val="20"/>
        </w:rPr>
        <w:t xml:space="preserve"> </w:t>
      </w:r>
      <w:r>
        <w:rPr>
          <w:sz w:val="20"/>
          <w:szCs w:val="20"/>
        </w:rPr>
        <w:t>‘</w:t>
      </w:r>
      <w:r w:rsidRPr="00AE7287">
        <w:rPr>
          <w:sz w:val="20"/>
          <w:szCs w:val="20"/>
        </w:rPr>
        <w:t xml:space="preserve">Theresa May’s police </w:t>
      </w:r>
      <w:r>
        <w:rPr>
          <w:sz w:val="20"/>
          <w:szCs w:val="20"/>
        </w:rPr>
        <w:t>cuts have returned to haunt her’,</w:t>
      </w:r>
      <w:r w:rsidRPr="00AE7287">
        <w:rPr>
          <w:sz w:val="20"/>
          <w:szCs w:val="20"/>
        </w:rPr>
        <w:t xml:space="preserve"> </w:t>
      </w:r>
      <w:r w:rsidRPr="00AE7287">
        <w:rPr>
          <w:i/>
          <w:sz w:val="20"/>
          <w:szCs w:val="20"/>
        </w:rPr>
        <w:t>New Statesman</w:t>
      </w:r>
      <w:r w:rsidRPr="00AE7287">
        <w:rPr>
          <w:sz w:val="20"/>
          <w:szCs w:val="20"/>
        </w:rPr>
        <w:t xml:space="preserve"> </w:t>
      </w:r>
      <w:r>
        <w:rPr>
          <w:sz w:val="20"/>
          <w:szCs w:val="20"/>
        </w:rPr>
        <w:t>(</w:t>
      </w:r>
      <w:r w:rsidRPr="00AE7287">
        <w:rPr>
          <w:sz w:val="20"/>
          <w:szCs w:val="20"/>
        </w:rPr>
        <w:t>5 June</w:t>
      </w:r>
      <w:r>
        <w:rPr>
          <w:sz w:val="20"/>
          <w:szCs w:val="20"/>
        </w:rPr>
        <w:t xml:space="preserve"> 2017), available at</w:t>
      </w:r>
      <w:r w:rsidRPr="00AE7287">
        <w:rPr>
          <w:sz w:val="20"/>
          <w:szCs w:val="20"/>
        </w:rPr>
        <w:t xml:space="preserve">: </w:t>
      </w:r>
      <w:r>
        <w:rPr>
          <w:sz w:val="20"/>
          <w:szCs w:val="20"/>
        </w:rPr>
        <w:t>{</w:t>
      </w:r>
      <w:r w:rsidRPr="00CE4B8A">
        <w:rPr>
          <w:sz w:val="20"/>
          <w:szCs w:val="20"/>
        </w:rPr>
        <w:t>http://www.newstatesman.com/politics/june2017/2017/06/theresa-mays-police-cuts-have-returned-haunt-her</w:t>
      </w:r>
      <w:r>
        <w:rPr>
          <w:sz w:val="20"/>
          <w:szCs w:val="20"/>
        </w:rPr>
        <w:t xml:space="preserve">} </w:t>
      </w:r>
      <w:r w:rsidRPr="00653AA3">
        <w:rPr>
          <w:sz w:val="20"/>
          <w:szCs w:val="20"/>
          <w:lang w:val="en-US"/>
        </w:rPr>
        <w:t>accessed 16 May 2018</w:t>
      </w:r>
      <w:r>
        <w:rPr>
          <w:sz w:val="20"/>
          <w:szCs w:val="20"/>
          <w:lang w:val="en-US"/>
        </w:rPr>
        <w:t>.</w:t>
      </w:r>
    </w:p>
  </w:footnote>
  <w:footnote w:id="62">
    <w:p w14:paraId="7786A43D" w14:textId="772B85E1" w:rsidR="002F5A1C" w:rsidRPr="00AE7287" w:rsidRDefault="002F5A1C" w:rsidP="00AE7287">
      <w:r w:rsidRPr="00AE7287">
        <w:rPr>
          <w:rStyle w:val="FootnoteReference"/>
          <w:sz w:val="20"/>
          <w:szCs w:val="20"/>
        </w:rPr>
        <w:footnoteRef/>
      </w:r>
      <w:r w:rsidRPr="00AE7287">
        <w:rPr>
          <w:sz w:val="20"/>
          <w:szCs w:val="20"/>
        </w:rPr>
        <w:t xml:space="preserve"> </w:t>
      </w:r>
      <w:r>
        <w:rPr>
          <w:sz w:val="20"/>
          <w:szCs w:val="20"/>
        </w:rPr>
        <w:t>Will Gore, ‘</w:t>
      </w:r>
      <w:r w:rsidRPr="00AE7287">
        <w:rPr>
          <w:sz w:val="20"/>
          <w:szCs w:val="20"/>
        </w:rPr>
        <w:t xml:space="preserve">Theresa May’s “strong and stable” mantra looks weaker than ever in face of an MI5 security review’, </w:t>
      </w:r>
      <w:r w:rsidRPr="00AE7287">
        <w:rPr>
          <w:i/>
          <w:sz w:val="20"/>
          <w:szCs w:val="20"/>
        </w:rPr>
        <w:t>The Independent</w:t>
      </w:r>
      <w:r w:rsidRPr="00AE7287">
        <w:rPr>
          <w:sz w:val="20"/>
          <w:szCs w:val="20"/>
        </w:rPr>
        <w:t xml:space="preserve"> </w:t>
      </w:r>
      <w:r>
        <w:rPr>
          <w:sz w:val="20"/>
          <w:szCs w:val="20"/>
        </w:rPr>
        <w:t>(</w:t>
      </w:r>
      <w:r w:rsidRPr="00AE7287">
        <w:rPr>
          <w:sz w:val="20"/>
          <w:szCs w:val="20"/>
        </w:rPr>
        <w:t>29 May</w:t>
      </w:r>
      <w:r>
        <w:rPr>
          <w:sz w:val="20"/>
          <w:szCs w:val="20"/>
        </w:rPr>
        <w:t xml:space="preserve"> 2017), available at</w:t>
      </w:r>
      <w:r w:rsidRPr="00AE7287">
        <w:rPr>
          <w:sz w:val="20"/>
          <w:szCs w:val="20"/>
        </w:rPr>
        <w:t xml:space="preserve">: </w:t>
      </w:r>
      <w:r>
        <w:rPr>
          <w:sz w:val="20"/>
          <w:szCs w:val="20"/>
        </w:rPr>
        <w:t>{</w:t>
      </w:r>
      <w:r w:rsidRPr="00CE4B8A">
        <w:rPr>
          <w:sz w:val="20"/>
          <w:szCs w:val="20"/>
        </w:rPr>
        <w:t>http://www.independent.co.uk/voices/mi5-security-review-manchester-attack-salman-abedi-terrorism-theresa-may-strong-and-stable-a7761921.html</w:t>
      </w:r>
      <w:r>
        <w:rPr>
          <w:sz w:val="20"/>
          <w:szCs w:val="20"/>
        </w:rPr>
        <w:t xml:space="preserve">} </w:t>
      </w:r>
      <w:r w:rsidRPr="00653AA3">
        <w:rPr>
          <w:sz w:val="20"/>
          <w:szCs w:val="20"/>
          <w:lang w:val="en-US"/>
        </w:rPr>
        <w:t>accessed 16 May 2018</w:t>
      </w:r>
      <w:r>
        <w:rPr>
          <w:sz w:val="20"/>
          <w:szCs w:val="20"/>
          <w:lang w:val="en-US"/>
        </w:rPr>
        <w:t>.</w:t>
      </w:r>
    </w:p>
  </w:footnote>
  <w:footnote w:id="63">
    <w:p w14:paraId="089F05AA" w14:textId="499D95E7" w:rsidR="002F5A1C" w:rsidRPr="00884FA9" w:rsidRDefault="002F5A1C" w:rsidP="00803139">
      <w:pPr>
        <w:pStyle w:val="FootnoteText"/>
        <w:rPr>
          <w:lang w:val="en-US"/>
        </w:rPr>
      </w:pPr>
      <w:r>
        <w:rPr>
          <w:rStyle w:val="FootnoteReference"/>
        </w:rPr>
        <w:footnoteRef/>
      </w:r>
      <w:r>
        <w:t xml:space="preserve"> </w:t>
      </w:r>
      <w:r>
        <w:rPr>
          <w:szCs w:val="20"/>
        </w:rPr>
        <w:t>Theresa May, ‘</w:t>
      </w:r>
      <w:r w:rsidRPr="00AF2285">
        <w:rPr>
          <w:szCs w:val="20"/>
        </w:rPr>
        <w:t>Home Secretary: We must wo</w:t>
      </w:r>
      <w:r>
        <w:rPr>
          <w:szCs w:val="20"/>
        </w:rPr>
        <w:t>rk together to defeat terrorism’</w:t>
      </w:r>
      <w:r w:rsidRPr="00AF2285">
        <w:rPr>
          <w:szCs w:val="20"/>
        </w:rPr>
        <w:t xml:space="preserve"> </w:t>
      </w:r>
      <w:r w:rsidRPr="00AF2285">
        <w:rPr>
          <w:i/>
          <w:szCs w:val="20"/>
        </w:rPr>
        <w:t>gov.uk</w:t>
      </w:r>
      <w:r w:rsidRPr="00AF2285">
        <w:rPr>
          <w:szCs w:val="20"/>
        </w:rPr>
        <w:t xml:space="preserve"> </w:t>
      </w:r>
      <w:r>
        <w:rPr>
          <w:szCs w:val="20"/>
        </w:rPr>
        <w:t>(</w:t>
      </w:r>
      <w:r w:rsidRPr="00AF2285">
        <w:rPr>
          <w:szCs w:val="20"/>
        </w:rPr>
        <w:t>18 June</w:t>
      </w:r>
      <w:r>
        <w:rPr>
          <w:szCs w:val="20"/>
        </w:rPr>
        <w:t xml:space="preserve"> 2015), available at</w:t>
      </w:r>
      <w:r w:rsidRPr="00AF2285">
        <w:rPr>
          <w:szCs w:val="20"/>
        </w:rPr>
        <w:t xml:space="preserve">: </w:t>
      </w:r>
      <w:r>
        <w:rPr>
          <w:szCs w:val="20"/>
        </w:rPr>
        <w:t>{</w:t>
      </w:r>
      <w:r w:rsidRPr="00CE4B8A">
        <w:rPr>
          <w:szCs w:val="20"/>
        </w:rPr>
        <w:t>https://www.gov.uk/government/speeches/home-secretary-we-must-work-together-to-defeat-terrorism</w:t>
      </w:r>
      <w:r>
        <w:rPr>
          <w:szCs w:val="20"/>
        </w:rPr>
        <w:t xml:space="preserve">} </w:t>
      </w:r>
      <w:r w:rsidRPr="00653AA3">
        <w:rPr>
          <w:szCs w:val="20"/>
          <w:lang w:val="en-US"/>
        </w:rPr>
        <w:t>accessed 16 May 2018</w:t>
      </w:r>
      <w:r>
        <w:rPr>
          <w:szCs w:val="20"/>
          <w:lang w:val="en-US"/>
        </w:rPr>
        <w:t>.</w:t>
      </w:r>
    </w:p>
  </w:footnote>
  <w:footnote w:id="64">
    <w:p w14:paraId="57A908F2" w14:textId="5908F6E7" w:rsidR="002F5A1C" w:rsidRPr="00884FA9" w:rsidRDefault="002F5A1C" w:rsidP="00803139">
      <w:pPr>
        <w:pStyle w:val="FootnoteText"/>
        <w:rPr>
          <w:lang w:val="en-US"/>
        </w:rPr>
      </w:pPr>
      <w:r>
        <w:rPr>
          <w:rStyle w:val="FootnoteReference"/>
        </w:rPr>
        <w:footnoteRef/>
      </w:r>
      <w:r>
        <w:t xml:space="preserve"> </w:t>
      </w:r>
      <w:r>
        <w:rPr>
          <w:szCs w:val="20"/>
        </w:rPr>
        <w:t>Theresa May,</w:t>
      </w:r>
      <w:r w:rsidRPr="002E2784">
        <w:rPr>
          <w:szCs w:val="20"/>
        </w:rPr>
        <w:t xml:space="preserve"> </w:t>
      </w:r>
      <w:r>
        <w:rPr>
          <w:szCs w:val="20"/>
        </w:rPr>
        <w:t>‘</w:t>
      </w:r>
      <w:r w:rsidRPr="002E2784">
        <w:rPr>
          <w:szCs w:val="20"/>
        </w:rPr>
        <w:t>Speech to the Con</w:t>
      </w:r>
      <w:r>
        <w:rPr>
          <w:szCs w:val="20"/>
        </w:rPr>
        <w:t>servative Party Conference 2014’,</w:t>
      </w:r>
      <w:r w:rsidRPr="002E2784">
        <w:rPr>
          <w:szCs w:val="20"/>
        </w:rPr>
        <w:t xml:space="preserve"> </w:t>
      </w:r>
      <w:r w:rsidRPr="002E2784">
        <w:rPr>
          <w:i/>
          <w:szCs w:val="20"/>
        </w:rPr>
        <w:t>Conservatives.com</w:t>
      </w:r>
      <w:r w:rsidRPr="002E2784">
        <w:rPr>
          <w:szCs w:val="20"/>
        </w:rPr>
        <w:t xml:space="preserve"> </w:t>
      </w:r>
      <w:r>
        <w:rPr>
          <w:szCs w:val="20"/>
        </w:rPr>
        <w:t>(</w:t>
      </w:r>
      <w:r w:rsidRPr="002E2784">
        <w:rPr>
          <w:szCs w:val="20"/>
        </w:rPr>
        <w:t>30 September</w:t>
      </w:r>
      <w:r>
        <w:rPr>
          <w:szCs w:val="20"/>
        </w:rPr>
        <w:t xml:space="preserve"> 2014), available at</w:t>
      </w:r>
      <w:r w:rsidRPr="002E2784">
        <w:rPr>
          <w:szCs w:val="20"/>
        </w:rPr>
        <w:t xml:space="preserve">: </w:t>
      </w:r>
      <w:r>
        <w:rPr>
          <w:szCs w:val="20"/>
        </w:rPr>
        <w:t>{</w:t>
      </w:r>
      <w:r w:rsidRPr="00CE4B8A">
        <w:rPr>
          <w:szCs w:val="20"/>
        </w:rPr>
        <w:t>http://press.conservatives.com/post/98799073410/theresa-may-speech-to-conservative-party</w:t>
      </w:r>
      <w:r>
        <w:rPr>
          <w:szCs w:val="20"/>
        </w:rPr>
        <w:t xml:space="preserve">} </w:t>
      </w:r>
      <w:r w:rsidRPr="00653AA3">
        <w:rPr>
          <w:szCs w:val="20"/>
          <w:lang w:val="en-US"/>
        </w:rPr>
        <w:t>accessed 16 May 2018</w:t>
      </w:r>
    </w:p>
  </w:footnote>
  <w:footnote w:id="65">
    <w:p w14:paraId="0AC922FB" w14:textId="0BDF70EC" w:rsidR="002F5A1C" w:rsidRPr="00884FA9" w:rsidRDefault="002F5A1C" w:rsidP="00803139">
      <w:pPr>
        <w:pStyle w:val="FootnoteText"/>
        <w:rPr>
          <w:lang w:val="en-US"/>
        </w:rPr>
      </w:pPr>
      <w:r>
        <w:rPr>
          <w:rStyle w:val="FootnoteReference"/>
        </w:rPr>
        <w:footnoteRef/>
      </w:r>
      <w:r>
        <w:t xml:space="preserve"> </w:t>
      </w:r>
      <w:r>
        <w:rPr>
          <w:szCs w:val="20"/>
        </w:rPr>
        <w:t xml:space="preserve">Theresa May, ‘Prevent Strategy’, </w:t>
      </w:r>
      <w:r w:rsidRPr="000C5C96">
        <w:rPr>
          <w:i/>
          <w:szCs w:val="20"/>
        </w:rPr>
        <w:t xml:space="preserve">House of Commons </w:t>
      </w:r>
      <w:proofErr w:type="spellStart"/>
      <w:r w:rsidRPr="000C5C96">
        <w:rPr>
          <w:i/>
          <w:szCs w:val="20"/>
        </w:rPr>
        <w:t>Hansard</w:t>
      </w:r>
      <w:proofErr w:type="spellEnd"/>
      <w:r w:rsidRPr="000C5C96">
        <w:rPr>
          <w:szCs w:val="20"/>
        </w:rPr>
        <w:t xml:space="preserve"> 5</w:t>
      </w:r>
      <w:r>
        <w:rPr>
          <w:szCs w:val="20"/>
        </w:rPr>
        <w:t>29 (</w:t>
      </w:r>
      <w:r w:rsidRPr="000C5C96">
        <w:rPr>
          <w:szCs w:val="20"/>
        </w:rPr>
        <w:t>June 7</w:t>
      </w:r>
      <w:r>
        <w:rPr>
          <w:szCs w:val="20"/>
        </w:rPr>
        <w:t xml:space="preserve"> 2011).</w:t>
      </w:r>
    </w:p>
  </w:footnote>
  <w:footnote w:id="66">
    <w:p w14:paraId="614F9C59" w14:textId="76DC7E87" w:rsidR="002F5A1C" w:rsidRPr="00E609DF" w:rsidRDefault="002F5A1C" w:rsidP="00803139">
      <w:pPr>
        <w:pStyle w:val="FootnoteText"/>
        <w:rPr>
          <w:lang w:val="en-US"/>
        </w:rPr>
      </w:pPr>
      <w:r>
        <w:rPr>
          <w:rStyle w:val="FootnoteReference"/>
        </w:rPr>
        <w:footnoteRef/>
      </w:r>
      <w:r>
        <w:t xml:space="preserve"> </w:t>
      </w:r>
      <w:r>
        <w:rPr>
          <w:szCs w:val="20"/>
        </w:rPr>
        <w:t>Theresa May,</w:t>
      </w:r>
      <w:r w:rsidRPr="001A75DF">
        <w:rPr>
          <w:szCs w:val="20"/>
        </w:rPr>
        <w:t xml:space="preserve"> ‘Extremism’, </w:t>
      </w:r>
      <w:r w:rsidRPr="001A75DF">
        <w:rPr>
          <w:i/>
          <w:szCs w:val="20"/>
        </w:rPr>
        <w:t xml:space="preserve">House of Commons </w:t>
      </w:r>
      <w:proofErr w:type="spellStart"/>
      <w:r w:rsidRPr="001A75DF">
        <w:rPr>
          <w:i/>
          <w:szCs w:val="20"/>
        </w:rPr>
        <w:t>Hansard</w:t>
      </w:r>
      <w:proofErr w:type="spellEnd"/>
      <w:r>
        <w:rPr>
          <w:szCs w:val="20"/>
        </w:rPr>
        <w:t xml:space="preserve"> 582 (9 June </w:t>
      </w:r>
      <w:r w:rsidRPr="001A75DF">
        <w:rPr>
          <w:szCs w:val="20"/>
        </w:rPr>
        <w:t>2014</w:t>
      </w:r>
      <w:r>
        <w:rPr>
          <w:szCs w:val="20"/>
        </w:rPr>
        <w:t>)</w:t>
      </w:r>
      <w:r>
        <w:t xml:space="preserve">. See also </w:t>
      </w:r>
      <w:r>
        <w:rPr>
          <w:szCs w:val="20"/>
        </w:rPr>
        <w:t>Theresa May, ‘Theresa May speech in full’,</w:t>
      </w:r>
      <w:r w:rsidRPr="00462796">
        <w:rPr>
          <w:szCs w:val="20"/>
        </w:rPr>
        <w:t xml:space="preserve"> </w:t>
      </w:r>
      <w:r w:rsidRPr="00462796">
        <w:rPr>
          <w:i/>
          <w:szCs w:val="20"/>
        </w:rPr>
        <w:t>Politics</w:t>
      </w:r>
      <w:r w:rsidRPr="00462796">
        <w:rPr>
          <w:szCs w:val="20"/>
        </w:rPr>
        <w:t xml:space="preserve"> </w:t>
      </w:r>
      <w:r>
        <w:rPr>
          <w:szCs w:val="20"/>
        </w:rPr>
        <w:t>(</w:t>
      </w:r>
      <w:r w:rsidRPr="00462796">
        <w:rPr>
          <w:szCs w:val="20"/>
        </w:rPr>
        <w:t>3 November</w:t>
      </w:r>
      <w:r>
        <w:rPr>
          <w:szCs w:val="20"/>
        </w:rPr>
        <w:t xml:space="preserve"> 2010), available at</w:t>
      </w:r>
      <w:r w:rsidRPr="00462796">
        <w:rPr>
          <w:szCs w:val="20"/>
        </w:rPr>
        <w:t xml:space="preserve">: </w:t>
      </w:r>
      <w:r>
        <w:rPr>
          <w:szCs w:val="20"/>
        </w:rPr>
        <w:t>{</w:t>
      </w:r>
      <w:r w:rsidRPr="00CE4B8A">
        <w:rPr>
          <w:szCs w:val="20"/>
        </w:rPr>
        <w:t>http://www.politics.co.uk/comment-analysis/2010/11/3/theresa-may-speech-in-full</w:t>
      </w:r>
      <w:r>
        <w:rPr>
          <w:szCs w:val="20"/>
        </w:rPr>
        <w:t xml:space="preserve">} </w:t>
      </w:r>
      <w:r w:rsidRPr="00653AA3">
        <w:rPr>
          <w:szCs w:val="20"/>
          <w:lang w:val="en-US"/>
        </w:rPr>
        <w:t>accessed 16 May 2018</w:t>
      </w:r>
      <w:r>
        <w:t xml:space="preserve">; </w:t>
      </w:r>
      <w:r>
        <w:rPr>
          <w:szCs w:val="20"/>
          <w:lang w:val="en-US"/>
        </w:rPr>
        <w:t xml:space="preserve">Theresa </w:t>
      </w:r>
      <w:r>
        <w:rPr>
          <w:szCs w:val="20"/>
        </w:rPr>
        <w:t>May, ‘</w:t>
      </w:r>
      <w:r w:rsidRPr="002E2784">
        <w:rPr>
          <w:szCs w:val="20"/>
        </w:rPr>
        <w:t>Home Secretary T</w:t>
      </w:r>
      <w:r>
        <w:rPr>
          <w:szCs w:val="20"/>
        </w:rPr>
        <w:t>heresa May on counter-terrorism’,</w:t>
      </w:r>
      <w:r w:rsidRPr="002E2784">
        <w:rPr>
          <w:szCs w:val="20"/>
        </w:rPr>
        <w:t xml:space="preserve"> </w:t>
      </w:r>
      <w:r w:rsidRPr="002E2784">
        <w:rPr>
          <w:i/>
          <w:szCs w:val="20"/>
        </w:rPr>
        <w:t>gov.uk</w:t>
      </w:r>
      <w:r w:rsidRPr="002E2784">
        <w:rPr>
          <w:szCs w:val="20"/>
        </w:rPr>
        <w:t xml:space="preserve"> </w:t>
      </w:r>
      <w:r>
        <w:rPr>
          <w:szCs w:val="20"/>
        </w:rPr>
        <w:t>(</w:t>
      </w:r>
      <w:r w:rsidRPr="002E2784">
        <w:rPr>
          <w:szCs w:val="20"/>
        </w:rPr>
        <w:t>24 November</w:t>
      </w:r>
      <w:r>
        <w:rPr>
          <w:szCs w:val="20"/>
        </w:rPr>
        <w:t xml:space="preserve"> 2014), available at</w:t>
      </w:r>
      <w:r w:rsidRPr="002E2784">
        <w:rPr>
          <w:szCs w:val="20"/>
        </w:rPr>
        <w:t xml:space="preserve">: </w:t>
      </w:r>
      <w:r>
        <w:rPr>
          <w:szCs w:val="20"/>
        </w:rPr>
        <w:t>{</w:t>
      </w:r>
      <w:r w:rsidRPr="00CE4B8A">
        <w:rPr>
          <w:szCs w:val="20"/>
        </w:rPr>
        <w:t>https://www.gov.uk/government/speeches/home-secretary-theresa-may-on-counter-terrorism</w:t>
      </w:r>
      <w:r>
        <w:rPr>
          <w:szCs w:val="20"/>
        </w:rPr>
        <w:t xml:space="preserve">} </w:t>
      </w:r>
      <w:r w:rsidRPr="00653AA3">
        <w:rPr>
          <w:szCs w:val="20"/>
          <w:lang w:val="en-US"/>
        </w:rPr>
        <w:t>accessed 16 May 2018</w:t>
      </w:r>
      <w:r>
        <w:t xml:space="preserve">; </w:t>
      </w:r>
      <w:r>
        <w:rPr>
          <w:szCs w:val="20"/>
        </w:rPr>
        <w:t xml:space="preserve">Theresa </w:t>
      </w:r>
      <w:r w:rsidRPr="001A75DF">
        <w:rPr>
          <w:szCs w:val="20"/>
          <w:lang w:val="en-US"/>
        </w:rPr>
        <w:t>May in</w:t>
      </w:r>
      <w:r>
        <w:rPr>
          <w:szCs w:val="20"/>
          <w:lang w:val="en-US"/>
        </w:rPr>
        <w:t xml:space="preserve"> </w:t>
      </w:r>
      <w:r w:rsidRPr="001A75DF">
        <w:rPr>
          <w:szCs w:val="20"/>
        </w:rPr>
        <w:t>‘Terrorist Attacks (Paris)’</w:t>
      </w:r>
      <w:r w:rsidRPr="001A75DF">
        <w:rPr>
          <w:i/>
          <w:szCs w:val="20"/>
        </w:rPr>
        <w:t xml:space="preserve"> House of Commons </w:t>
      </w:r>
      <w:proofErr w:type="spellStart"/>
      <w:r w:rsidRPr="001A75DF">
        <w:rPr>
          <w:i/>
          <w:szCs w:val="20"/>
        </w:rPr>
        <w:t>Hansard</w:t>
      </w:r>
      <w:proofErr w:type="spellEnd"/>
      <w:r>
        <w:rPr>
          <w:szCs w:val="20"/>
        </w:rPr>
        <w:t xml:space="preserve"> 580 (14 January 2015)</w:t>
      </w:r>
      <w:r>
        <w:t>.</w:t>
      </w:r>
    </w:p>
  </w:footnote>
  <w:footnote w:id="67">
    <w:p w14:paraId="462DDFC4" w14:textId="006EFDE6" w:rsidR="002F5A1C" w:rsidRPr="00096B91" w:rsidRDefault="002F5A1C" w:rsidP="00803139">
      <w:pPr>
        <w:rPr>
          <w:sz w:val="20"/>
          <w:szCs w:val="20"/>
        </w:rPr>
      </w:pPr>
      <w:r w:rsidRPr="00096B91">
        <w:rPr>
          <w:rStyle w:val="FootnoteReference"/>
          <w:sz w:val="20"/>
          <w:szCs w:val="20"/>
        </w:rPr>
        <w:footnoteRef/>
      </w:r>
      <w:r w:rsidRPr="00096B91">
        <w:rPr>
          <w:sz w:val="20"/>
          <w:szCs w:val="20"/>
        </w:rPr>
        <w:t xml:space="preserve"> </w:t>
      </w:r>
      <w:r>
        <w:rPr>
          <w:sz w:val="20"/>
          <w:szCs w:val="20"/>
        </w:rPr>
        <w:t xml:space="preserve">Theresa </w:t>
      </w:r>
      <w:r w:rsidRPr="00096B91">
        <w:rPr>
          <w:sz w:val="20"/>
          <w:szCs w:val="20"/>
          <w:lang w:val="en-US"/>
        </w:rPr>
        <w:t>May</w:t>
      </w:r>
      <w:r>
        <w:rPr>
          <w:sz w:val="20"/>
          <w:szCs w:val="20"/>
          <w:lang w:val="en-US"/>
        </w:rPr>
        <w:t xml:space="preserve">, </w:t>
      </w:r>
      <w:r>
        <w:rPr>
          <w:sz w:val="20"/>
          <w:szCs w:val="20"/>
        </w:rPr>
        <w:t>‘Topical Questions’,</w:t>
      </w:r>
      <w:r w:rsidRPr="00096B91">
        <w:rPr>
          <w:i/>
          <w:sz w:val="20"/>
          <w:szCs w:val="20"/>
        </w:rPr>
        <w:t xml:space="preserve"> House of Commons </w:t>
      </w:r>
      <w:proofErr w:type="spellStart"/>
      <w:r w:rsidRPr="00096B91">
        <w:rPr>
          <w:i/>
          <w:sz w:val="20"/>
          <w:szCs w:val="20"/>
        </w:rPr>
        <w:t>Hansard</w:t>
      </w:r>
      <w:proofErr w:type="spellEnd"/>
      <w:r>
        <w:rPr>
          <w:sz w:val="20"/>
          <w:szCs w:val="20"/>
        </w:rPr>
        <w:t xml:space="preserve"> 530 (27 June 2011).</w:t>
      </w:r>
    </w:p>
  </w:footnote>
  <w:footnote w:id="68">
    <w:p w14:paraId="68EE4F72" w14:textId="765C2E5A" w:rsidR="002F5A1C" w:rsidRPr="00096B91" w:rsidRDefault="002F5A1C" w:rsidP="00803139">
      <w:pPr>
        <w:pStyle w:val="FootnoteText"/>
        <w:rPr>
          <w:lang w:val="en-US"/>
        </w:rPr>
      </w:pPr>
      <w:r>
        <w:rPr>
          <w:rStyle w:val="FootnoteReference"/>
        </w:rPr>
        <w:footnoteRef/>
      </w:r>
      <w:r>
        <w:t xml:space="preserve"> </w:t>
      </w:r>
      <w:r>
        <w:rPr>
          <w:lang w:val="en-US"/>
        </w:rPr>
        <w:t>May, ‘CONTEST Speech,’</w:t>
      </w:r>
    </w:p>
  </w:footnote>
  <w:footnote w:id="69">
    <w:p w14:paraId="196AC22D" w14:textId="53E43F45" w:rsidR="002F5A1C" w:rsidRPr="00096B91" w:rsidRDefault="002F5A1C" w:rsidP="00803139">
      <w:pPr>
        <w:pStyle w:val="FootnoteText"/>
        <w:rPr>
          <w:lang w:val="en-US"/>
        </w:rPr>
      </w:pPr>
      <w:r>
        <w:rPr>
          <w:rStyle w:val="FootnoteReference"/>
        </w:rPr>
        <w:footnoteRef/>
      </w:r>
      <w:r>
        <w:t xml:space="preserve"> </w:t>
      </w:r>
      <w:r>
        <w:rPr>
          <w:rFonts w:eastAsia="Times New Roman"/>
        </w:rPr>
        <w:t>May, ‘</w:t>
      </w:r>
      <w:r>
        <w:rPr>
          <w:szCs w:val="20"/>
        </w:rPr>
        <w:t>Council on Foreign Relations’</w:t>
      </w:r>
      <w:r>
        <w:rPr>
          <w:rFonts w:eastAsia="Times New Roman"/>
        </w:rPr>
        <w:t>; May, ‘</w:t>
      </w:r>
      <w:r w:rsidRPr="002E2784">
        <w:rPr>
          <w:szCs w:val="20"/>
        </w:rPr>
        <w:t>Home Secretary T</w:t>
      </w:r>
      <w:r>
        <w:rPr>
          <w:szCs w:val="20"/>
        </w:rPr>
        <w:t>heresa May on counter-terrorism’;</w:t>
      </w:r>
      <w:r>
        <w:rPr>
          <w:rFonts w:eastAsia="Times New Roman"/>
        </w:rPr>
        <w:t xml:space="preserve"> May, ‘</w:t>
      </w:r>
      <w:r w:rsidRPr="002E2784">
        <w:rPr>
          <w:szCs w:val="20"/>
        </w:rPr>
        <w:t>Speech to the Con</w:t>
      </w:r>
      <w:r>
        <w:rPr>
          <w:szCs w:val="20"/>
        </w:rPr>
        <w:t>servative Party Conference 2014.’</w:t>
      </w:r>
    </w:p>
  </w:footnote>
  <w:footnote w:id="70">
    <w:p w14:paraId="1782B722" w14:textId="10924A41" w:rsidR="002F5A1C" w:rsidRPr="000C5C96" w:rsidRDefault="002F5A1C">
      <w:pPr>
        <w:pStyle w:val="FootnoteText"/>
        <w:rPr>
          <w:szCs w:val="20"/>
          <w:lang w:val="en-US"/>
        </w:rPr>
      </w:pPr>
      <w:r w:rsidRPr="000C5C96">
        <w:rPr>
          <w:rStyle w:val="FootnoteReference"/>
          <w:szCs w:val="20"/>
        </w:rPr>
        <w:footnoteRef/>
      </w:r>
      <w:r w:rsidRPr="000C5C96">
        <w:rPr>
          <w:szCs w:val="20"/>
        </w:rPr>
        <w:t xml:space="preserve"> </w:t>
      </w:r>
      <w:r>
        <w:rPr>
          <w:lang w:val="en-US"/>
        </w:rPr>
        <w:t>May, ‘CONTEST Speech,’</w:t>
      </w:r>
    </w:p>
  </w:footnote>
  <w:footnote w:id="71">
    <w:p w14:paraId="32110709" w14:textId="08439447" w:rsidR="002F5A1C" w:rsidRPr="00C36879" w:rsidRDefault="002F5A1C" w:rsidP="007E0730">
      <w:r w:rsidRPr="000C5C96">
        <w:rPr>
          <w:rStyle w:val="FootnoteReference"/>
          <w:sz w:val="20"/>
          <w:szCs w:val="20"/>
        </w:rPr>
        <w:footnoteRef/>
      </w:r>
      <w:r w:rsidRPr="000C5C96">
        <w:rPr>
          <w:sz w:val="20"/>
          <w:szCs w:val="20"/>
        </w:rPr>
        <w:t xml:space="preserve"> </w:t>
      </w:r>
      <w:r>
        <w:rPr>
          <w:sz w:val="20"/>
          <w:szCs w:val="20"/>
        </w:rPr>
        <w:t>May ‘Prevent Strategy.’</w:t>
      </w:r>
    </w:p>
  </w:footnote>
  <w:footnote w:id="72">
    <w:p w14:paraId="213DC3DF" w14:textId="00C347CC" w:rsidR="002F5A1C" w:rsidRPr="00C36879" w:rsidRDefault="002F5A1C">
      <w:pPr>
        <w:pStyle w:val="FootnoteText"/>
        <w:rPr>
          <w:lang w:val="en-US"/>
        </w:rPr>
      </w:pPr>
      <w:r>
        <w:rPr>
          <w:rStyle w:val="FootnoteReference"/>
        </w:rPr>
        <w:footnoteRef/>
      </w:r>
      <w:r>
        <w:t xml:space="preserve"> </w:t>
      </w:r>
      <w:r>
        <w:rPr>
          <w:lang w:val="en-US"/>
        </w:rPr>
        <w:t>May, ‘CONTEST Speech,’</w:t>
      </w:r>
    </w:p>
  </w:footnote>
  <w:footnote w:id="73">
    <w:p w14:paraId="61A1423A" w14:textId="393BDBCE" w:rsidR="002F5A1C" w:rsidRPr="00C36879" w:rsidRDefault="002F5A1C">
      <w:pPr>
        <w:pStyle w:val="FootnoteText"/>
        <w:rPr>
          <w:lang w:val="en-US"/>
        </w:rPr>
      </w:pPr>
      <w:r>
        <w:rPr>
          <w:rStyle w:val="FootnoteReference"/>
        </w:rPr>
        <w:footnoteRef/>
      </w:r>
      <w:r>
        <w:t xml:space="preserve"> May ‘Prevent Strategy.’</w:t>
      </w:r>
    </w:p>
  </w:footnote>
  <w:footnote w:id="74">
    <w:p w14:paraId="299919C1" w14:textId="61942452" w:rsidR="002F5A1C" w:rsidRPr="002E2784" w:rsidRDefault="002F5A1C" w:rsidP="00C36879">
      <w:pPr>
        <w:rPr>
          <w:sz w:val="20"/>
          <w:szCs w:val="20"/>
        </w:rPr>
      </w:pPr>
      <w:r w:rsidRPr="003E0342">
        <w:rPr>
          <w:rStyle w:val="FootnoteReference"/>
          <w:sz w:val="20"/>
          <w:szCs w:val="20"/>
        </w:rPr>
        <w:footnoteRef/>
      </w:r>
      <w:r w:rsidRPr="003E0342">
        <w:rPr>
          <w:sz w:val="20"/>
          <w:szCs w:val="20"/>
        </w:rPr>
        <w:t xml:space="preserve"> </w:t>
      </w:r>
      <w:r w:rsidRPr="003E0342">
        <w:rPr>
          <w:sz w:val="20"/>
          <w:szCs w:val="20"/>
          <w:lang w:val="en-US"/>
        </w:rPr>
        <w:t xml:space="preserve">Ibid; </w:t>
      </w:r>
      <w:r w:rsidRPr="003E0342">
        <w:rPr>
          <w:rFonts w:eastAsia="Times New Roman"/>
          <w:sz w:val="20"/>
          <w:szCs w:val="20"/>
        </w:rPr>
        <w:t>May, ‘</w:t>
      </w:r>
      <w:r w:rsidRPr="003E0342">
        <w:rPr>
          <w:sz w:val="20"/>
          <w:szCs w:val="20"/>
        </w:rPr>
        <w:t>Council on Foreign Relations’</w:t>
      </w:r>
      <w:r w:rsidRPr="003E0342">
        <w:rPr>
          <w:rFonts w:eastAsia="Times New Roman"/>
          <w:sz w:val="20"/>
          <w:szCs w:val="20"/>
        </w:rPr>
        <w:t>; May, ‘</w:t>
      </w:r>
      <w:r w:rsidRPr="003E0342">
        <w:rPr>
          <w:sz w:val="20"/>
          <w:szCs w:val="20"/>
        </w:rPr>
        <w:t>Home Secretary Theresa May on counter-terrorism’;</w:t>
      </w:r>
      <w:r w:rsidRPr="003E0342">
        <w:rPr>
          <w:rFonts w:eastAsia="Times New Roman"/>
          <w:sz w:val="20"/>
          <w:szCs w:val="20"/>
        </w:rPr>
        <w:t xml:space="preserve"> May, ‘</w:t>
      </w:r>
      <w:r w:rsidRPr="003E0342">
        <w:rPr>
          <w:sz w:val="20"/>
          <w:szCs w:val="20"/>
        </w:rPr>
        <w:t>Speech to the Conservative Party Conference 2014’; Theresa</w:t>
      </w:r>
      <w:r>
        <w:rPr>
          <w:sz w:val="20"/>
          <w:szCs w:val="20"/>
        </w:rPr>
        <w:t xml:space="preserve"> May, ‘</w:t>
      </w:r>
      <w:r w:rsidRPr="002E2784">
        <w:rPr>
          <w:sz w:val="20"/>
          <w:szCs w:val="20"/>
        </w:rPr>
        <w:t>PM Commons Statement on We</w:t>
      </w:r>
      <w:r>
        <w:rPr>
          <w:sz w:val="20"/>
          <w:szCs w:val="20"/>
        </w:rPr>
        <w:t>stminster Attack: 23 March 2017’,</w:t>
      </w:r>
      <w:r w:rsidRPr="002E2784">
        <w:rPr>
          <w:sz w:val="20"/>
          <w:szCs w:val="20"/>
        </w:rPr>
        <w:t xml:space="preserve"> </w:t>
      </w:r>
      <w:r w:rsidRPr="002E2784">
        <w:rPr>
          <w:i/>
          <w:sz w:val="20"/>
          <w:szCs w:val="20"/>
        </w:rPr>
        <w:t>gov.uk</w:t>
      </w:r>
      <w:r>
        <w:rPr>
          <w:i/>
          <w:sz w:val="20"/>
          <w:szCs w:val="20"/>
        </w:rPr>
        <w:t xml:space="preserve"> </w:t>
      </w:r>
      <w:r>
        <w:rPr>
          <w:sz w:val="20"/>
          <w:szCs w:val="20"/>
        </w:rPr>
        <w:t>(</w:t>
      </w:r>
      <w:r w:rsidRPr="002E2784">
        <w:rPr>
          <w:sz w:val="20"/>
          <w:szCs w:val="20"/>
        </w:rPr>
        <w:t>23 March</w:t>
      </w:r>
      <w:r>
        <w:rPr>
          <w:sz w:val="20"/>
          <w:szCs w:val="20"/>
        </w:rPr>
        <w:t xml:space="preserve"> 2017), available at</w:t>
      </w:r>
      <w:r w:rsidRPr="002E2784">
        <w:rPr>
          <w:sz w:val="20"/>
          <w:szCs w:val="20"/>
        </w:rPr>
        <w:t xml:space="preserve">: </w:t>
      </w:r>
      <w:r>
        <w:rPr>
          <w:sz w:val="20"/>
          <w:szCs w:val="20"/>
        </w:rPr>
        <w:t>{</w:t>
      </w:r>
      <w:r w:rsidRPr="00CE4B8A">
        <w:rPr>
          <w:sz w:val="20"/>
          <w:szCs w:val="20"/>
        </w:rPr>
        <w:t>https://www.gov.uk/government/speeches/pm-commons-statement-on-westminster-attack-23-march-2017</w:t>
      </w:r>
      <w:r>
        <w:rPr>
          <w:sz w:val="20"/>
          <w:szCs w:val="20"/>
        </w:rPr>
        <w:t xml:space="preserve">} </w:t>
      </w:r>
      <w:r w:rsidRPr="00653AA3">
        <w:rPr>
          <w:sz w:val="20"/>
          <w:szCs w:val="20"/>
          <w:lang w:val="en-US"/>
        </w:rPr>
        <w:t>accessed 16 May 2018</w:t>
      </w:r>
      <w:r>
        <w:rPr>
          <w:sz w:val="20"/>
          <w:szCs w:val="20"/>
        </w:rPr>
        <w:t xml:space="preserve">; </w:t>
      </w:r>
      <w:r w:rsidRPr="002E2784">
        <w:rPr>
          <w:sz w:val="20"/>
          <w:szCs w:val="20"/>
        </w:rPr>
        <w:t>T</w:t>
      </w:r>
      <w:r>
        <w:rPr>
          <w:sz w:val="20"/>
          <w:szCs w:val="20"/>
        </w:rPr>
        <w:t>heresa May, ‘</w:t>
      </w:r>
      <w:r w:rsidRPr="002E2784">
        <w:rPr>
          <w:sz w:val="20"/>
          <w:szCs w:val="20"/>
        </w:rPr>
        <w:t>Prime Minister Theresa May gave a statement in Downing Street following the terror</w:t>
      </w:r>
      <w:r>
        <w:rPr>
          <w:sz w:val="20"/>
          <w:szCs w:val="20"/>
        </w:rPr>
        <w:t>ist attack in Manchester’,</w:t>
      </w:r>
      <w:r w:rsidRPr="002E2784">
        <w:rPr>
          <w:sz w:val="20"/>
          <w:szCs w:val="20"/>
        </w:rPr>
        <w:t xml:space="preserve"> </w:t>
      </w:r>
      <w:r w:rsidRPr="002E2784">
        <w:rPr>
          <w:i/>
          <w:sz w:val="20"/>
          <w:szCs w:val="20"/>
        </w:rPr>
        <w:t>gov.uk</w:t>
      </w:r>
      <w:r w:rsidRPr="002E2784">
        <w:rPr>
          <w:sz w:val="20"/>
          <w:szCs w:val="20"/>
        </w:rPr>
        <w:t xml:space="preserve"> </w:t>
      </w:r>
      <w:r>
        <w:rPr>
          <w:sz w:val="20"/>
          <w:szCs w:val="20"/>
        </w:rPr>
        <w:t>(</w:t>
      </w:r>
      <w:r w:rsidRPr="002E2784">
        <w:rPr>
          <w:sz w:val="20"/>
          <w:szCs w:val="20"/>
        </w:rPr>
        <w:t>23 May</w:t>
      </w:r>
      <w:r>
        <w:rPr>
          <w:sz w:val="20"/>
          <w:szCs w:val="20"/>
        </w:rPr>
        <w:t xml:space="preserve"> 2017), available at</w:t>
      </w:r>
      <w:r w:rsidRPr="002E2784">
        <w:rPr>
          <w:sz w:val="20"/>
          <w:szCs w:val="20"/>
        </w:rPr>
        <w:t xml:space="preserve">: </w:t>
      </w:r>
      <w:r>
        <w:rPr>
          <w:sz w:val="20"/>
          <w:szCs w:val="20"/>
        </w:rPr>
        <w:t>{</w:t>
      </w:r>
      <w:r w:rsidRPr="00CE4B8A">
        <w:rPr>
          <w:sz w:val="20"/>
          <w:szCs w:val="20"/>
        </w:rPr>
        <w:t>https://www.gov.uk/government/speeches/pm-statement-following-terrorist-attack-in-manchester-23-may-2017</w:t>
      </w:r>
      <w:r>
        <w:rPr>
          <w:sz w:val="20"/>
          <w:szCs w:val="20"/>
        </w:rPr>
        <w:t>}</w:t>
      </w:r>
      <w:r w:rsidRPr="00653AA3">
        <w:rPr>
          <w:sz w:val="20"/>
          <w:szCs w:val="20"/>
          <w:lang w:val="en-US"/>
        </w:rPr>
        <w:t>accessed 16 May 2018</w:t>
      </w:r>
      <w:r w:rsidRPr="002E2784">
        <w:rPr>
          <w:sz w:val="20"/>
          <w:szCs w:val="20"/>
        </w:rPr>
        <w:t xml:space="preserve">; </w:t>
      </w:r>
      <w:r>
        <w:rPr>
          <w:sz w:val="20"/>
          <w:szCs w:val="20"/>
        </w:rPr>
        <w:t xml:space="preserve">Theresa May, </w:t>
      </w:r>
      <w:r w:rsidRPr="002E2784">
        <w:rPr>
          <w:sz w:val="20"/>
          <w:szCs w:val="20"/>
        </w:rPr>
        <w:t>‘PM Statement following second COBR meeting on</w:t>
      </w:r>
      <w:r>
        <w:rPr>
          <w:sz w:val="20"/>
          <w:szCs w:val="20"/>
        </w:rPr>
        <w:t xml:space="preserve"> Manchester attack: 23 May 2017’,</w:t>
      </w:r>
      <w:r w:rsidRPr="002E2784">
        <w:rPr>
          <w:sz w:val="20"/>
          <w:szCs w:val="20"/>
        </w:rPr>
        <w:t xml:space="preserve"> </w:t>
      </w:r>
      <w:r w:rsidRPr="002E2784">
        <w:rPr>
          <w:i/>
          <w:sz w:val="20"/>
          <w:szCs w:val="20"/>
        </w:rPr>
        <w:t>gov.uk</w:t>
      </w:r>
      <w:r w:rsidRPr="002E2784">
        <w:rPr>
          <w:sz w:val="20"/>
          <w:szCs w:val="20"/>
        </w:rPr>
        <w:t xml:space="preserve"> </w:t>
      </w:r>
      <w:r>
        <w:rPr>
          <w:sz w:val="20"/>
          <w:szCs w:val="20"/>
        </w:rPr>
        <w:t>(</w:t>
      </w:r>
      <w:r w:rsidRPr="002E2784">
        <w:rPr>
          <w:sz w:val="20"/>
          <w:szCs w:val="20"/>
        </w:rPr>
        <w:t>23 May</w:t>
      </w:r>
      <w:r>
        <w:rPr>
          <w:sz w:val="20"/>
          <w:szCs w:val="20"/>
        </w:rPr>
        <w:t xml:space="preserve"> 2017), available at</w:t>
      </w:r>
      <w:r w:rsidRPr="002E2784">
        <w:rPr>
          <w:sz w:val="20"/>
          <w:szCs w:val="20"/>
        </w:rPr>
        <w:t xml:space="preserve">: </w:t>
      </w:r>
      <w:r>
        <w:rPr>
          <w:sz w:val="20"/>
          <w:szCs w:val="20"/>
        </w:rPr>
        <w:t>{</w:t>
      </w:r>
      <w:r w:rsidRPr="00CE4B8A">
        <w:rPr>
          <w:sz w:val="20"/>
          <w:szCs w:val="20"/>
        </w:rPr>
        <w:t>https://www.gov.uk/government/speeches/pm-statement-following-second-cobr-meeting-on-manchester-attack-23-may-2017</w:t>
      </w:r>
      <w:r>
        <w:rPr>
          <w:sz w:val="20"/>
          <w:szCs w:val="20"/>
        </w:rPr>
        <w:t xml:space="preserve">} </w:t>
      </w:r>
      <w:r w:rsidRPr="00653AA3">
        <w:rPr>
          <w:sz w:val="20"/>
          <w:szCs w:val="20"/>
          <w:lang w:val="en-US"/>
        </w:rPr>
        <w:t>accessed 16 May 2018</w:t>
      </w:r>
      <w:r>
        <w:rPr>
          <w:sz w:val="20"/>
          <w:szCs w:val="20"/>
          <w:lang w:val="en-US"/>
        </w:rPr>
        <w:t>.</w:t>
      </w:r>
    </w:p>
  </w:footnote>
  <w:footnote w:id="75">
    <w:p w14:paraId="77E18393" w14:textId="61F1AE0C" w:rsidR="002F5A1C" w:rsidRPr="001A75DF" w:rsidRDefault="002F5A1C" w:rsidP="002E2784">
      <w:pPr>
        <w:rPr>
          <w:sz w:val="20"/>
          <w:szCs w:val="20"/>
        </w:rPr>
      </w:pPr>
      <w:r w:rsidRPr="001A75DF">
        <w:rPr>
          <w:rStyle w:val="FootnoteReference"/>
          <w:sz w:val="20"/>
          <w:szCs w:val="20"/>
        </w:rPr>
        <w:footnoteRef/>
      </w:r>
      <w:r w:rsidRPr="001A75DF">
        <w:rPr>
          <w:sz w:val="20"/>
          <w:szCs w:val="20"/>
        </w:rPr>
        <w:t xml:space="preserve"> T</w:t>
      </w:r>
      <w:r>
        <w:rPr>
          <w:sz w:val="20"/>
          <w:szCs w:val="20"/>
        </w:rPr>
        <w:t>heresa</w:t>
      </w:r>
      <w:r w:rsidRPr="001A75DF">
        <w:rPr>
          <w:sz w:val="20"/>
          <w:szCs w:val="20"/>
        </w:rPr>
        <w:t xml:space="preserve"> May in ‘Counter-Terrorism and Security Bill’, </w:t>
      </w:r>
      <w:r w:rsidRPr="001A75DF">
        <w:rPr>
          <w:i/>
          <w:sz w:val="20"/>
          <w:szCs w:val="20"/>
        </w:rPr>
        <w:t xml:space="preserve">House of Commons </w:t>
      </w:r>
      <w:proofErr w:type="spellStart"/>
      <w:r w:rsidRPr="001A75DF">
        <w:rPr>
          <w:i/>
          <w:sz w:val="20"/>
          <w:szCs w:val="20"/>
        </w:rPr>
        <w:t>Hansard</w:t>
      </w:r>
      <w:proofErr w:type="spellEnd"/>
      <w:r>
        <w:rPr>
          <w:sz w:val="20"/>
          <w:szCs w:val="20"/>
        </w:rPr>
        <w:t xml:space="preserve"> 589 (2 December </w:t>
      </w:r>
      <w:r w:rsidRPr="001A75DF">
        <w:rPr>
          <w:sz w:val="20"/>
          <w:szCs w:val="20"/>
        </w:rPr>
        <w:t>2015</w:t>
      </w:r>
      <w:r>
        <w:rPr>
          <w:sz w:val="20"/>
          <w:szCs w:val="20"/>
        </w:rPr>
        <w:t>)</w:t>
      </w:r>
      <w:r w:rsidRPr="001A75DF">
        <w:rPr>
          <w:sz w:val="20"/>
          <w:szCs w:val="20"/>
        </w:rPr>
        <w:t>.</w:t>
      </w:r>
    </w:p>
  </w:footnote>
  <w:footnote w:id="76">
    <w:p w14:paraId="70820ACD" w14:textId="7F06A7A2" w:rsidR="002F5A1C" w:rsidRPr="001A75DF" w:rsidRDefault="002F5A1C">
      <w:pPr>
        <w:pStyle w:val="FootnoteText"/>
        <w:rPr>
          <w:szCs w:val="20"/>
          <w:lang w:val="en-US"/>
        </w:rPr>
      </w:pPr>
      <w:r w:rsidRPr="001A75DF">
        <w:rPr>
          <w:rStyle w:val="FootnoteReference"/>
          <w:szCs w:val="20"/>
        </w:rPr>
        <w:footnoteRef/>
      </w:r>
      <w:r>
        <w:rPr>
          <w:szCs w:val="20"/>
        </w:rPr>
        <w:t xml:space="preserve"> May, ‘S</w:t>
      </w:r>
      <w:r w:rsidRPr="002E2784">
        <w:rPr>
          <w:szCs w:val="20"/>
        </w:rPr>
        <w:t>econd COBR meeting</w:t>
      </w:r>
      <w:r>
        <w:rPr>
          <w:szCs w:val="20"/>
        </w:rPr>
        <w:t>.’</w:t>
      </w:r>
    </w:p>
  </w:footnote>
  <w:footnote w:id="77">
    <w:p w14:paraId="41CB4747" w14:textId="5D4F25F9" w:rsidR="002F5A1C" w:rsidRPr="001A75DF" w:rsidRDefault="002F5A1C" w:rsidP="002E2784">
      <w:pPr>
        <w:rPr>
          <w:sz w:val="20"/>
          <w:szCs w:val="20"/>
        </w:rPr>
      </w:pPr>
      <w:r w:rsidRPr="001A75DF">
        <w:rPr>
          <w:rStyle w:val="FootnoteReference"/>
          <w:sz w:val="20"/>
          <w:szCs w:val="20"/>
        </w:rPr>
        <w:footnoteRef/>
      </w:r>
      <w:r w:rsidRPr="001A75DF">
        <w:rPr>
          <w:sz w:val="20"/>
          <w:szCs w:val="20"/>
        </w:rPr>
        <w:t xml:space="preserve"> T</w:t>
      </w:r>
      <w:r>
        <w:rPr>
          <w:sz w:val="20"/>
          <w:szCs w:val="20"/>
        </w:rPr>
        <w:t>heresa</w:t>
      </w:r>
      <w:r w:rsidRPr="001A75DF">
        <w:rPr>
          <w:sz w:val="20"/>
          <w:szCs w:val="20"/>
        </w:rPr>
        <w:t xml:space="preserve"> May, ‘Home Secretary: International action needed to tackle terrorism’, </w:t>
      </w:r>
      <w:r w:rsidRPr="001A75DF">
        <w:rPr>
          <w:i/>
          <w:sz w:val="20"/>
          <w:szCs w:val="20"/>
        </w:rPr>
        <w:t>gov.uk</w:t>
      </w:r>
      <w:r w:rsidRPr="001A75DF">
        <w:rPr>
          <w:sz w:val="20"/>
          <w:szCs w:val="20"/>
        </w:rPr>
        <w:t xml:space="preserve"> </w:t>
      </w:r>
      <w:r>
        <w:rPr>
          <w:sz w:val="20"/>
          <w:szCs w:val="20"/>
        </w:rPr>
        <w:t>(</w:t>
      </w:r>
      <w:r w:rsidRPr="001A75DF">
        <w:rPr>
          <w:sz w:val="20"/>
          <w:szCs w:val="20"/>
        </w:rPr>
        <w:t>16 February 2016</w:t>
      </w:r>
      <w:r>
        <w:rPr>
          <w:sz w:val="20"/>
          <w:szCs w:val="20"/>
        </w:rPr>
        <w:t>)</w:t>
      </w:r>
      <w:r w:rsidRPr="001A75DF">
        <w:rPr>
          <w:sz w:val="20"/>
          <w:szCs w:val="20"/>
        </w:rPr>
        <w:t xml:space="preserve">, available at: </w:t>
      </w:r>
      <w:r>
        <w:rPr>
          <w:sz w:val="20"/>
          <w:szCs w:val="20"/>
        </w:rPr>
        <w:t>{</w:t>
      </w:r>
      <w:r w:rsidRPr="00CE4B8A">
        <w:rPr>
          <w:sz w:val="20"/>
          <w:szCs w:val="20"/>
        </w:rPr>
        <w:t>https://www.gov.uk/government/speeches/home-secretary-international-action-needed-to-tackle-terrorism</w:t>
      </w:r>
      <w:r>
        <w:rPr>
          <w:sz w:val="20"/>
          <w:szCs w:val="20"/>
        </w:rPr>
        <w:t xml:space="preserve">} </w:t>
      </w:r>
      <w:r w:rsidRPr="00653AA3">
        <w:rPr>
          <w:sz w:val="20"/>
          <w:szCs w:val="20"/>
          <w:lang w:val="en-US"/>
        </w:rPr>
        <w:t>accessed 16 May 2018</w:t>
      </w:r>
      <w:r>
        <w:rPr>
          <w:sz w:val="20"/>
          <w:szCs w:val="20"/>
          <w:lang w:val="en-US"/>
        </w:rPr>
        <w:t>.</w:t>
      </w:r>
    </w:p>
  </w:footnote>
  <w:footnote w:id="78">
    <w:p w14:paraId="4C5E7C01" w14:textId="3802B493" w:rsidR="002F5A1C" w:rsidRPr="001A75DF" w:rsidRDefault="002F5A1C" w:rsidP="002E2784">
      <w:pPr>
        <w:rPr>
          <w:sz w:val="20"/>
          <w:szCs w:val="20"/>
        </w:rPr>
      </w:pPr>
      <w:r w:rsidRPr="001A75DF">
        <w:rPr>
          <w:rStyle w:val="FootnoteReference"/>
          <w:sz w:val="20"/>
          <w:szCs w:val="20"/>
        </w:rPr>
        <w:footnoteRef/>
      </w:r>
      <w:r>
        <w:rPr>
          <w:sz w:val="20"/>
          <w:szCs w:val="20"/>
        </w:rPr>
        <w:t xml:space="preserve"> May, ‘CONTEST speech’</w:t>
      </w:r>
      <w:r w:rsidRPr="001A75DF">
        <w:rPr>
          <w:sz w:val="20"/>
          <w:szCs w:val="20"/>
        </w:rPr>
        <w:t xml:space="preserve">; May in ‘Extremism’; </w:t>
      </w:r>
      <w:r w:rsidRPr="003E0342">
        <w:rPr>
          <w:rFonts w:eastAsia="Times New Roman"/>
          <w:sz w:val="20"/>
          <w:szCs w:val="20"/>
        </w:rPr>
        <w:t>May, ‘</w:t>
      </w:r>
      <w:r w:rsidRPr="003E0342">
        <w:rPr>
          <w:sz w:val="20"/>
          <w:szCs w:val="20"/>
        </w:rPr>
        <w:t>Council on Foreign Relations’</w:t>
      </w:r>
      <w:r w:rsidRPr="003E0342">
        <w:rPr>
          <w:rFonts w:eastAsia="Times New Roman"/>
          <w:sz w:val="20"/>
          <w:szCs w:val="20"/>
        </w:rPr>
        <w:t>; May, ‘</w:t>
      </w:r>
      <w:r w:rsidRPr="003E0342">
        <w:rPr>
          <w:sz w:val="20"/>
          <w:szCs w:val="20"/>
        </w:rPr>
        <w:t>Home Secretary Theresa May on counter-terrorism’;</w:t>
      </w:r>
      <w:r w:rsidRPr="003E0342">
        <w:rPr>
          <w:rFonts w:eastAsia="Times New Roman"/>
          <w:sz w:val="20"/>
          <w:szCs w:val="20"/>
        </w:rPr>
        <w:t xml:space="preserve"> May, ‘</w:t>
      </w:r>
      <w:r w:rsidRPr="003E0342">
        <w:rPr>
          <w:sz w:val="20"/>
          <w:szCs w:val="20"/>
        </w:rPr>
        <w:t>Speech to the Conservative Party Conference 2014’</w:t>
      </w:r>
      <w:r w:rsidRPr="001A75DF">
        <w:rPr>
          <w:sz w:val="20"/>
          <w:szCs w:val="20"/>
        </w:rPr>
        <w:t>;</w:t>
      </w:r>
      <w:r>
        <w:rPr>
          <w:sz w:val="20"/>
          <w:szCs w:val="20"/>
        </w:rPr>
        <w:t xml:space="preserve"> Theresa May,</w:t>
      </w:r>
      <w:r w:rsidRPr="001A75DF">
        <w:rPr>
          <w:sz w:val="20"/>
          <w:szCs w:val="20"/>
        </w:rPr>
        <w:t xml:space="preserve"> </w:t>
      </w:r>
      <w:r w:rsidRPr="001A75DF">
        <w:rPr>
          <w:rFonts w:eastAsia="Times New Roman"/>
          <w:sz w:val="20"/>
          <w:szCs w:val="20"/>
        </w:rPr>
        <w:t xml:space="preserve">‘Brussels Terrorist Attack’, </w:t>
      </w:r>
      <w:r w:rsidRPr="001A75DF">
        <w:rPr>
          <w:i/>
          <w:sz w:val="20"/>
          <w:szCs w:val="20"/>
        </w:rPr>
        <w:t xml:space="preserve">House of Commons </w:t>
      </w:r>
      <w:proofErr w:type="spellStart"/>
      <w:r w:rsidRPr="001A75DF">
        <w:rPr>
          <w:i/>
          <w:sz w:val="20"/>
          <w:szCs w:val="20"/>
        </w:rPr>
        <w:t>Hansard</w:t>
      </w:r>
      <w:proofErr w:type="spellEnd"/>
      <w:r>
        <w:rPr>
          <w:sz w:val="20"/>
          <w:szCs w:val="20"/>
        </w:rPr>
        <w:t xml:space="preserve"> 607</w:t>
      </w:r>
      <w:r w:rsidRPr="001A75DF">
        <w:rPr>
          <w:sz w:val="20"/>
          <w:szCs w:val="20"/>
        </w:rPr>
        <w:t xml:space="preserve"> </w:t>
      </w:r>
      <w:r>
        <w:rPr>
          <w:sz w:val="20"/>
          <w:szCs w:val="20"/>
        </w:rPr>
        <w:t xml:space="preserve">(23 March </w:t>
      </w:r>
      <w:r w:rsidRPr="001A75DF">
        <w:rPr>
          <w:rFonts w:eastAsia="Times New Roman"/>
          <w:sz w:val="20"/>
          <w:szCs w:val="20"/>
        </w:rPr>
        <w:t>2016</w:t>
      </w:r>
      <w:r>
        <w:rPr>
          <w:rFonts w:eastAsia="Times New Roman"/>
          <w:sz w:val="20"/>
          <w:szCs w:val="20"/>
        </w:rPr>
        <w:t>); May, ‘</w:t>
      </w:r>
      <w:r w:rsidRPr="002E2784">
        <w:rPr>
          <w:sz w:val="20"/>
          <w:szCs w:val="20"/>
        </w:rPr>
        <w:t>Downing Street following the terror</w:t>
      </w:r>
      <w:r>
        <w:rPr>
          <w:sz w:val="20"/>
          <w:szCs w:val="20"/>
        </w:rPr>
        <w:t>ist attack in Manchester.’</w:t>
      </w:r>
    </w:p>
  </w:footnote>
  <w:footnote w:id="79">
    <w:p w14:paraId="570CC619" w14:textId="7BCA57BE" w:rsidR="002F5A1C" w:rsidRPr="001A75DF" w:rsidRDefault="002F5A1C" w:rsidP="002E2784">
      <w:pPr>
        <w:rPr>
          <w:sz w:val="20"/>
          <w:szCs w:val="20"/>
        </w:rPr>
      </w:pPr>
      <w:r w:rsidRPr="001A75DF">
        <w:rPr>
          <w:rStyle w:val="FootnoteReference"/>
          <w:sz w:val="20"/>
          <w:szCs w:val="20"/>
        </w:rPr>
        <w:footnoteRef/>
      </w:r>
      <w:r w:rsidRPr="001A75DF">
        <w:rPr>
          <w:sz w:val="20"/>
          <w:szCs w:val="20"/>
        </w:rPr>
        <w:t xml:space="preserve"> </w:t>
      </w:r>
      <w:r>
        <w:rPr>
          <w:sz w:val="20"/>
          <w:szCs w:val="20"/>
        </w:rPr>
        <w:t>May, ‘Terrorist Attacks (Paris).’</w:t>
      </w:r>
    </w:p>
  </w:footnote>
  <w:footnote w:id="80">
    <w:p w14:paraId="728A03E6" w14:textId="0B423A2E" w:rsidR="002F5A1C" w:rsidRPr="001A75DF" w:rsidRDefault="002F5A1C" w:rsidP="002E2784">
      <w:pPr>
        <w:rPr>
          <w:sz w:val="20"/>
          <w:szCs w:val="20"/>
        </w:rPr>
      </w:pPr>
      <w:r w:rsidRPr="001A75DF">
        <w:rPr>
          <w:rStyle w:val="FootnoteReference"/>
          <w:sz w:val="20"/>
          <w:szCs w:val="20"/>
        </w:rPr>
        <w:footnoteRef/>
      </w:r>
      <w:r>
        <w:rPr>
          <w:sz w:val="20"/>
          <w:szCs w:val="20"/>
        </w:rPr>
        <w:t xml:space="preserve"> Theresa May, ‘</w:t>
      </w:r>
      <w:r w:rsidRPr="001A75DF">
        <w:rPr>
          <w:sz w:val="20"/>
          <w:szCs w:val="20"/>
        </w:rPr>
        <w:t>Theresa May: Speech in Dudley 22</w:t>
      </w:r>
      <w:r w:rsidRPr="001A75DF">
        <w:rPr>
          <w:sz w:val="20"/>
          <w:szCs w:val="20"/>
          <w:vertAlign w:val="superscript"/>
        </w:rPr>
        <w:t>nd</w:t>
      </w:r>
      <w:r w:rsidRPr="001A75DF">
        <w:rPr>
          <w:sz w:val="20"/>
          <w:szCs w:val="20"/>
        </w:rPr>
        <w:t xml:space="preserve"> April 2017</w:t>
      </w:r>
      <w:r>
        <w:rPr>
          <w:sz w:val="20"/>
          <w:szCs w:val="20"/>
        </w:rPr>
        <w:t>’,</w:t>
      </w:r>
      <w:r w:rsidRPr="001A75DF">
        <w:rPr>
          <w:sz w:val="20"/>
          <w:szCs w:val="20"/>
        </w:rPr>
        <w:t xml:space="preserve"> </w:t>
      </w:r>
      <w:r w:rsidRPr="001A75DF">
        <w:rPr>
          <w:i/>
          <w:sz w:val="20"/>
          <w:szCs w:val="20"/>
        </w:rPr>
        <w:t>Conservatives.com</w:t>
      </w:r>
      <w:r w:rsidRPr="001A75DF">
        <w:rPr>
          <w:sz w:val="20"/>
          <w:szCs w:val="20"/>
        </w:rPr>
        <w:t xml:space="preserve"> </w:t>
      </w:r>
      <w:r>
        <w:rPr>
          <w:sz w:val="20"/>
          <w:szCs w:val="20"/>
        </w:rPr>
        <w:t xml:space="preserve">(22 April </w:t>
      </w:r>
      <w:r w:rsidRPr="001A75DF">
        <w:rPr>
          <w:sz w:val="20"/>
          <w:szCs w:val="20"/>
        </w:rPr>
        <w:t>2017</w:t>
      </w:r>
      <w:r>
        <w:rPr>
          <w:sz w:val="20"/>
          <w:szCs w:val="20"/>
        </w:rPr>
        <w:t>), available at</w:t>
      </w:r>
      <w:r w:rsidRPr="001A75DF">
        <w:rPr>
          <w:sz w:val="20"/>
          <w:szCs w:val="20"/>
        </w:rPr>
        <w:t xml:space="preserve">: </w:t>
      </w:r>
      <w:r>
        <w:rPr>
          <w:sz w:val="20"/>
          <w:szCs w:val="20"/>
        </w:rPr>
        <w:t>{</w:t>
      </w:r>
      <w:r w:rsidRPr="00CE4B8A">
        <w:rPr>
          <w:sz w:val="20"/>
          <w:szCs w:val="20"/>
        </w:rPr>
        <w:t>http://press.conservatives.com/post/159865695365/theresa-may-speech-in-dudley-22nd-april-2017</w:t>
      </w:r>
      <w:r>
        <w:rPr>
          <w:sz w:val="20"/>
          <w:szCs w:val="20"/>
        </w:rPr>
        <w:t xml:space="preserve">} </w:t>
      </w:r>
      <w:r w:rsidRPr="00653AA3">
        <w:rPr>
          <w:sz w:val="20"/>
          <w:szCs w:val="20"/>
          <w:lang w:val="en-US"/>
        </w:rPr>
        <w:t>accessed 16 May 2018</w:t>
      </w:r>
      <w:r>
        <w:rPr>
          <w:sz w:val="20"/>
          <w:szCs w:val="20"/>
          <w:lang w:val="en-US"/>
        </w:rPr>
        <w:t>.</w:t>
      </w:r>
    </w:p>
  </w:footnote>
  <w:footnote w:id="81">
    <w:p w14:paraId="126FB048" w14:textId="71DEE37E" w:rsidR="002F5A1C" w:rsidRPr="00492B58" w:rsidRDefault="002F5A1C">
      <w:pPr>
        <w:pStyle w:val="FootnoteText"/>
        <w:rPr>
          <w:lang w:val="en-US"/>
        </w:rPr>
      </w:pPr>
      <w:r>
        <w:rPr>
          <w:rStyle w:val="FootnoteReference"/>
        </w:rPr>
        <w:footnoteRef/>
      </w:r>
      <w:r>
        <w:t xml:space="preserve"> </w:t>
      </w:r>
      <w:proofErr w:type="spellStart"/>
      <w:r>
        <w:rPr>
          <w:lang w:val="en-US"/>
        </w:rPr>
        <w:t>Tsoukala</w:t>
      </w:r>
      <w:proofErr w:type="spellEnd"/>
      <w:r>
        <w:rPr>
          <w:lang w:val="en-US"/>
        </w:rPr>
        <w:t>,</w:t>
      </w:r>
      <w:r w:rsidRPr="006A619B">
        <w:rPr>
          <w:lang w:val="en-US"/>
        </w:rPr>
        <w:t xml:space="preserve"> </w:t>
      </w:r>
      <w:r>
        <w:rPr>
          <w:lang w:val="en-US"/>
        </w:rPr>
        <w:t>‘Light of Security.’</w:t>
      </w:r>
    </w:p>
  </w:footnote>
  <w:footnote w:id="82">
    <w:p w14:paraId="4624B127" w14:textId="21BBF651" w:rsidR="002F5A1C" w:rsidRPr="00AF2285" w:rsidRDefault="002F5A1C">
      <w:pPr>
        <w:pStyle w:val="FootnoteText"/>
        <w:rPr>
          <w:szCs w:val="20"/>
          <w:lang w:val="en-US"/>
        </w:rPr>
      </w:pPr>
      <w:r w:rsidRPr="001A75DF">
        <w:rPr>
          <w:rStyle w:val="FootnoteReference"/>
          <w:szCs w:val="20"/>
        </w:rPr>
        <w:footnoteRef/>
      </w:r>
      <w:r w:rsidRPr="001A75DF">
        <w:rPr>
          <w:szCs w:val="20"/>
        </w:rPr>
        <w:t xml:space="preserve"> </w:t>
      </w:r>
      <w:r>
        <w:rPr>
          <w:rFonts w:eastAsia="Times New Roman"/>
          <w:szCs w:val="20"/>
        </w:rPr>
        <w:t>May, ‘</w:t>
      </w:r>
      <w:r w:rsidRPr="002E2784">
        <w:rPr>
          <w:szCs w:val="20"/>
        </w:rPr>
        <w:t>Downing Street following the terror</w:t>
      </w:r>
      <w:r>
        <w:rPr>
          <w:szCs w:val="20"/>
        </w:rPr>
        <w:t xml:space="preserve">ist </w:t>
      </w:r>
      <w:proofErr w:type="gramStart"/>
      <w:r>
        <w:rPr>
          <w:szCs w:val="20"/>
        </w:rPr>
        <w:t>attack</w:t>
      </w:r>
      <w:proofErr w:type="gramEnd"/>
      <w:r>
        <w:rPr>
          <w:szCs w:val="20"/>
        </w:rPr>
        <w:t xml:space="preserve"> in Manchester.’</w:t>
      </w:r>
    </w:p>
  </w:footnote>
  <w:footnote w:id="83">
    <w:p w14:paraId="7A6065E4" w14:textId="4B39ABA1" w:rsidR="002F5A1C" w:rsidRPr="00AF2285" w:rsidRDefault="002F5A1C">
      <w:pPr>
        <w:pStyle w:val="FootnoteText"/>
        <w:rPr>
          <w:szCs w:val="20"/>
          <w:lang w:val="en-US"/>
        </w:rPr>
      </w:pPr>
      <w:r w:rsidRPr="00AF2285">
        <w:rPr>
          <w:rStyle w:val="FootnoteReference"/>
          <w:szCs w:val="20"/>
        </w:rPr>
        <w:footnoteRef/>
      </w:r>
      <w:r w:rsidRPr="00AF2285">
        <w:rPr>
          <w:szCs w:val="20"/>
        </w:rPr>
        <w:t xml:space="preserve"> </w:t>
      </w:r>
      <w:r>
        <w:rPr>
          <w:szCs w:val="20"/>
          <w:lang w:val="en-US"/>
        </w:rPr>
        <w:t>May, ‘CONTEST speech.’</w:t>
      </w:r>
    </w:p>
  </w:footnote>
  <w:footnote w:id="84">
    <w:p w14:paraId="38179460" w14:textId="41C55FC3" w:rsidR="002F5A1C" w:rsidRPr="00AF2285" w:rsidRDefault="002F5A1C" w:rsidP="00AF2285">
      <w:pPr>
        <w:rPr>
          <w:sz w:val="20"/>
          <w:szCs w:val="20"/>
        </w:rPr>
      </w:pPr>
      <w:r w:rsidRPr="00AF2285">
        <w:rPr>
          <w:rStyle w:val="FootnoteReference"/>
          <w:sz w:val="20"/>
          <w:szCs w:val="20"/>
        </w:rPr>
        <w:footnoteRef/>
      </w:r>
      <w:r w:rsidRPr="00AF2285">
        <w:rPr>
          <w:sz w:val="20"/>
          <w:szCs w:val="20"/>
        </w:rPr>
        <w:t xml:space="preserve"> </w:t>
      </w:r>
      <w:r>
        <w:rPr>
          <w:sz w:val="20"/>
          <w:szCs w:val="20"/>
        </w:rPr>
        <w:t>May, ‘</w:t>
      </w:r>
      <w:r w:rsidRPr="00AF2285">
        <w:rPr>
          <w:sz w:val="20"/>
          <w:szCs w:val="20"/>
        </w:rPr>
        <w:t>We must wo</w:t>
      </w:r>
      <w:r>
        <w:rPr>
          <w:sz w:val="20"/>
          <w:szCs w:val="20"/>
        </w:rPr>
        <w:t>rk together to defeat terrorism.’</w:t>
      </w:r>
    </w:p>
  </w:footnote>
  <w:footnote w:id="85">
    <w:p w14:paraId="757CC450" w14:textId="1D1653C1" w:rsidR="002F5A1C" w:rsidRPr="00AF2285" w:rsidRDefault="002F5A1C" w:rsidP="00AF2285">
      <w:r w:rsidRPr="00AF2285">
        <w:rPr>
          <w:rStyle w:val="FootnoteReference"/>
          <w:sz w:val="20"/>
          <w:szCs w:val="20"/>
        </w:rPr>
        <w:footnoteRef/>
      </w:r>
      <w:r>
        <w:rPr>
          <w:sz w:val="20"/>
          <w:szCs w:val="20"/>
        </w:rPr>
        <w:t xml:space="preserve"> May,</w:t>
      </w:r>
      <w:r w:rsidRPr="00AF2285">
        <w:rPr>
          <w:sz w:val="20"/>
          <w:szCs w:val="20"/>
        </w:rPr>
        <w:t xml:space="preserve"> ‘Coun</w:t>
      </w:r>
      <w:r>
        <w:rPr>
          <w:sz w:val="20"/>
          <w:szCs w:val="20"/>
        </w:rPr>
        <w:t>ter-Terrorism and Security Bill</w:t>
      </w:r>
      <w:r w:rsidRPr="00AF2285">
        <w:rPr>
          <w:sz w:val="20"/>
          <w:szCs w:val="20"/>
        </w:rPr>
        <w:t>.</w:t>
      </w:r>
      <w:r>
        <w:rPr>
          <w:sz w:val="20"/>
          <w:szCs w:val="20"/>
        </w:rPr>
        <w:t>’ See also: May, ‘Extremism’</w:t>
      </w:r>
      <w:r w:rsidRPr="00AF2285">
        <w:rPr>
          <w:sz w:val="20"/>
          <w:szCs w:val="20"/>
        </w:rPr>
        <w:t>;</w:t>
      </w:r>
      <w:r>
        <w:rPr>
          <w:rFonts w:eastAsia="Times New Roman"/>
          <w:sz w:val="20"/>
          <w:szCs w:val="20"/>
        </w:rPr>
        <w:t xml:space="preserve"> May, ‘</w:t>
      </w:r>
      <w:r w:rsidRPr="002E2784">
        <w:rPr>
          <w:sz w:val="20"/>
          <w:szCs w:val="20"/>
        </w:rPr>
        <w:t>Speech to the Con</w:t>
      </w:r>
      <w:r>
        <w:rPr>
          <w:sz w:val="20"/>
          <w:szCs w:val="20"/>
        </w:rPr>
        <w:t>servative Party Conference 2014’</w:t>
      </w:r>
      <w:r w:rsidRPr="00AF2285">
        <w:rPr>
          <w:rFonts w:eastAsia="Times New Roman"/>
          <w:sz w:val="20"/>
          <w:szCs w:val="20"/>
        </w:rPr>
        <w:t>;</w:t>
      </w:r>
      <w:r>
        <w:rPr>
          <w:rFonts w:eastAsia="Times New Roman"/>
          <w:sz w:val="20"/>
          <w:szCs w:val="20"/>
        </w:rPr>
        <w:t xml:space="preserve"> May,</w:t>
      </w:r>
      <w:r w:rsidRPr="00AF2285">
        <w:rPr>
          <w:rFonts w:eastAsia="Times New Roman"/>
          <w:sz w:val="20"/>
          <w:szCs w:val="20"/>
        </w:rPr>
        <w:t xml:space="preserve"> </w:t>
      </w:r>
      <w:r>
        <w:rPr>
          <w:rFonts w:eastAsia="Times New Roman"/>
          <w:sz w:val="20"/>
          <w:szCs w:val="20"/>
        </w:rPr>
        <w:t>‘Terrorist Attacks (Paris)’</w:t>
      </w:r>
      <w:r w:rsidRPr="00AF2285">
        <w:rPr>
          <w:rFonts w:eastAsia="Times New Roman"/>
          <w:sz w:val="20"/>
          <w:szCs w:val="20"/>
        </w:rPr>
        <w:t xml:space="preserve">; </w:t>
      </w:r>
      <w:r>
        <w:rPr>
          <w:rFonts w:eastAsia="Times New Roman"/>
          <w:sz w:val="20"/>
          <w:szCs w:val="20"/>
        </w:rPr>
        <w:t xml:space="preserve">Theresa </w:t>
      </w:r>
      <w:r>
        <w:rPr>
          <w:sz w:val="20"/>
          <w:szCs w:val="20"/>
        </w:rPr>
        <w:t>May, ‘</w:t>
      </w:r>
      <w:r w:rsidRPr="00AF2285">
        <w:rPr>
          <w:sz w:val="20"/>
          <w:szCs w:val="20"/>
        </w:rPr>
        <w:t>A Strong</w:t>
      </w:r>
      <w:r>
        <w:rPr>
          <w:sz w:val="20"/>
          <w:szCs w:val="20"/>
        </w:rPr>
        <w:t>er Britain, Built on Our Values’,</w:t>
      </w:r>
      <w:r w:rsidRPr="00AF2285">
        <w:rPr>
          <w:sz w:val="20"/>
          <w:szCs w:val="20"/>
        </w:rPr>
        <w:t xml:space="preserve"> </w:t>
      </w:r>
      <w:r w:rsidRPr="00AF2285">
        <w:rPr>
          <w:i/>
          <w:sz w:val="20"/>
          <w:szCs w:val="20"/>
        </w:rPr>
        <w:t>gov.uk</w:t>
      </w:r>
      <w:r w:rsidRPr="00AF2285">
        <w:rPr>
          <w:sz w:val="20"/>
          <w:szCs w:val="20"/>
        </w:rPr>
        <w:t xml:space="preserve"> </w:t>
      </w:r>
      <w:r>
        <w:rPr>
          <w:sz w:val="20"/>
          <w:szCs w:val="20"/>
        </w:rPr>
        <w:t>(</w:t>
      </w:r>
      <w:r w:rsidRPr="00AF2285">
        <w:rPr>
          <w:sz w:val="20"/>
          <w:szCs w:val="20"/>
        </w:rPr>
        <w:t>23 March</w:t>
      </w:r>
      <w:r>
        <w:rPr>
          <w:sz w:val="20"/>
          <w:szCs w:val="20"/>
        </w:rPr>
        <w:t xml:space="preserve"> 2015), available at</w:t>
      </w:r>
      <w:r w:rsidRPr="00AF2285">
        <w:rPr>
          <w:sz w:val="20"/>
          <w:szCs w:val="20"/>
        </w:rPr>
        <w:t xml:space="preserve">: </w:t>
      </w:r>
      <w:r>
        <w:rPr>
          <w:sz w:val="20"/>
          <w:szCs w:val="20"/>
        </w:rPr>
        <w:t>{</w:t>
      </w:r>
      <w:r w:rsidRPr="00CE4B8A">
        <w:rPr>
          <w:sz w:val="20"/>
          <w:szCs w:val="20"/>
        </w:rPr>
        <w:t>https://www.gov.uk/government/speeches/a-stronger-britain-built-on-our-values</w:t>
      </w:r>
      <w:r>
        <w:rPr>
          <w:sz w:val="20"/>
          <w:szCs w:val="20"/>
        </w:rPr>
        <w:t xml:space="preserve">} </w:t>
      </w:r>
      <w:r w:rsidRPr="00653AA3">
        <w:rPr>
          <w:sz w:val="20"/>
          <w:szCs w:val="20"/>
          <w:lang w:val="en-US"/>
        </w:rPr>
        <w:t>accessed 16 May 2018</w:t>
      </w:r>
      <w:r>
        <w:rPr>
          <w:sz w:val="20"/>
          <w:szCs w:val="20"/>
          <w:lang w:val="en-US"/>
        </w:rPr>
        <w:t>.</w:t>
      </w:r>
    </w:p>
  </w:footnote>
  <w:footnote w:id="86">
    <w:p w14:paraId="1A5A1516" w14:textId="65290658" w:rsidR="002F5A1C" w:rsidRPr="00AF2285" w:rsidRDefault="002F5A1C" w:rsidP="00AF2285">
      <w:pPr>
        <w:rPr>
          <w:sz w:val="20"/>
          <w:szCs w:val="20"/>
        </w:rPr>
      </w:pPr>
      <w:r w:rsidRPr="00AF2285">
        <w:rPr>
          <w:rStyle w:val="FootnoteReference"/>
          <w:sz w:val="20"/>
          <w:szCs w:val="20"/>
        </w:rPr>
        <w:footnoteRef/>
      </w:r>
      <w:r w:rsidRPr="00AF2285">
        <w:rPr>
          <w:sz w:val="20"/>
          <w:szCs w:val="20"/>
        </w:rPr>
        <w:t xml:space="preserve"> </w:t>
      </w:r>
      <w:r>
        <w:rPr>
          <w:sz w:val="20"/>
          <w:szCs w:val="20"/>
          <w:lang w:val="en-US"/>
        </w:rPr>
        <w:t>May,</w:t>
      </w:r>
      <w:r w:rsidRPr="00AF2285">
        <w:rPr>
          <w:sz w:val="20"/>
          <w:szCs w:val="20"/>
          <w:lang w:val="en-US"/>
        </w:rPr>
        <w:t xml:space="preserve"> </w:t>
      </w:r>
      <w:r>
        <w:rPr>
          <w:sz w:val="20"/>
          <w:szCs w:val="20"/>
        </w:rPr>
        <w:t>‘Brussels Terrorist Attacks.’</w:t>
      </w:r>
    </w:p>
  </w:footnote>
  <w:footnote w:id="87">
    <w:p w14:paraId="71FC6B24" w14:textId="33C21AB0" w:rsidR="002F5A1C" w:rsidRPr="00AF2285" w:rsidRDefault="002F5A1C" w:rsidP="00AF2285">
      <w:pPr>
        <w:rPr>
          <w:sz w:val="20"/>
          <w:szCs w:val="20"/>
        </w:rPr>
      </w:pPr>
      <w:r w:rsidRPr="00AF2285">
        <w:rPr>
          <w:rStyle w:val="FootnoteReference"/>
          <w:sz w:val="20"/>
          <w:szCs w:val="20"/>
        </w:rPr>
        <w:footnoteRef/>
      </w:r>
      <w:r w:rsidRPr="00AF2285">
        <w:rPr>
          <w:sz w:val="20"/>
          <w:szCs w:val="20"/>
        </w:rPr>
        <w:t xml:space="preserve"> </w:t>
      </w:r>
      <w:r>
        <w:rPr>
          <w:sz w:val="20"/>
          <w:szCs w:val="20"/>
        </w:rPr>
        <w:t>Theresa May, ‘</w:t>
      </w:r>
      <w:r w:rsidRPr="00AF2285">
        <w:rPr>
          <w:sz w:val="20"/>
          <w:szCs w:val="20"/>
        </w:rPr>
        <w:t>PM Statement at the G</w:t>
      </w:r>
      <w:r>
        <w:rPr>
          <w:sz w:val="20"/>
          <w:szCs w:val="20"/>
        </w:rPr>
        <w:t>7 Summit in Sicily: 26 May 2017’,</w:t>
      </w:r>
      <w:r w:rsidRPr="00AF2285">
        <w:rPr>
          <w:sz w:val="20"/>
          <w:szCs w:val="20"/>
        </w:rPr>
        <w:t xml:space="preserve"> </w:t>
      </w:r>
      <w:r w:rsidRPr="00AF2285">
        <w:rPr>
          <w:i/>
          <w:sz w:val="20"/>
          <w:szCs w:val="20"/>
        </w:rPr>
        <w:t>gov.uk</w:t>
      </w:r>
      <w:r w:rsidRPr="00AF2285">
        <w:rPr>
          <w:sz w:val="20"/>
          <w:szCs w:val="20"/>
        </w:rPr>
        <w:t xml:space="preserve"> </w:t>
      </w:r>
      <w:r>
        <w:rPr>
          <w:sz w:val="20"/>
          <w:szCs w:val="20"/>
        </w:rPr>
        <w:t>(</w:t>
      </w:r>
      <w:r w:rsidRPr="00AF2285">
        <w:rPr>
          <w:sz w:val="20"/>
          <w:szCs w:val="20"/>
        </w:rPr>
        <w:t>26 May</w:t>
      </w:r>
      <w:r>
        <w:rPr>
          <w:sz w:val="20"/>
          <w:szCs w:val="20"/>
        </w:rPr>
        <w:t xml:space="preserve"> 2017), available at</w:t>
      </w:r>
      <w:r w:rsidRPr="00AF2285">
        <w:rPr>
          <w:sz w:val="20"/>
          <w:szCs w:val="20"/>
        </w:rPr>
        <w:t xml:space="preserve">: </w:t>
      </w:r>
      <w:r>
        <w:rPr>
          <w:sz w:val="20"/>
          <w:szCs w:val="20"/>
        </w:rPr>
        <w:t>{</w:t>
      </w:r>
      <w:r w:rsidRPr="00CE4B8A">
        <w:rPr>
          <w:sz w:val="20"/>
          <w:szCs w:val="20"/>
        </w:rPr>
        <w:t>https://www.gov.uk/government/speeches/pm-statement-at-the-g7-summit-in-sicily-26-may-2017</w:t>
      </w:r>
      <w:r>
        <w:rPr>
          <w:sz w:val="20"/>
          <w:szCs w:val="20"/>
        </w:rPr>
        <w:t xml:space="preserve">} </w:t>
      </w:r>
      <w:r w:rsidRPr="00653AA3">
        <w:rPr>
          <w:sz w:val="20"/>
          <w:szCs w:val="20"/>
          <w:lang w:val="en-US"/>
        </w:rPr>
        <w:t>accessed 16 May 2018</w:t>
      </w:r>
      <w:r>
        <w:rPr>
          <w:sz w:val="20"/>
          <w:szCs w:val="20"/>
          <w:lang w:val="en-US"/>
        </w:rPr>
        <w:t>.</w:t>
      </w:r>
    </w:p>
  </w:footnote>
  <w:footnote w:id="88">
    <w:p w14:paraId="1ADF1A46" w14:textId="4C30CC2B" w:rsidR="002F5A1C" w:rsidRPr="00AF2285" w:rsidRDefault="002F5A1C" w:rsidP="00AF2285">
      <w:r w:rsidRPr="00AF2285">
        <w:rPr>
          <w:rStyle w:val="FootnoteReference"/>
          <w:sz w:val="20"/>
          <w:szCs w:val="20"/>
        </w:rPr>
        <w:footnoteRef/>
      </w:r>
      <w:r w:rsidRPr="00AF2285">
        <w:rPr>
          <w:sz w:val="20"/>
          <w:szCs w:val="20"/>
        </w:rPr>
        <w:t xml:space="preserve"> </w:t>
      </w:r>
      <w:proofErr w:type="spellStart"/>
      <w:r>
        <w:rPr>
          <w:sz w:val="20"/>
          <w:szCs w:val="20"/>
        </w:rPr>
        <w:t>Jeffrie</w:t>
      </w:r>
      <w:proofErr w:type="spellEnd"/>
      <w:r>
        <w:rPr>
          <w:sz w:val="20"/>
          <w:szCs w:val="20"/>
        </w:rPr>
        <w:t xml:space="preserve"> G. Murphy, ‘The Killing of the Innocent’,</w:t>
      </w:r>
      <w:r w:rsidRPr="00AF2285">
        <w:rPr>
          <w:sz w:val="20"/>
          <w:szCs w:val="20"/>
        </w:rPr>
        <w:t xml:space="preserve"> </w:t>
      </w:r>
      <w:r w:rsidRPr="00AF2285">
        <w:rPr>
          <w:i/>
          <w:sz w:val="20"/>
          <w:szCs w:val="20"/>
        </w:rPr>
        <w:t>The Monist</w:t>
      </w:r>
      <w:r>
        <w:rPr>
          <w:sz w:val="20"/>
          <w:szCs w:val="20"/>
        </w:rPr>
        <w:t xml:space="preserve"> 57:</w:t>
      </w:r>
      <w:r w:rsidRPr="00AF2285">
        <w:rPr>
          <w:sz w:val="20"/>
          <w:szCs w:val="20"/>
        </w:rPr>
        <w:t>4</w:t>
      </w:r>
      <w:r>
        <w:rPr>
          <w:sz w:val="20"/>
          <w:szCs w:val="20"/>
        </w:rPr>
        <w:t xml:space="preserve"> (1973), p. 527.</w:t>
      </w:r>
    </w:p>
  </w:footnote>
  <w:footnote w:id="89">
    <w:p w14:paraId="42515893" w14:textId="5688F964" w:rsidR="002F5A1C" w:rsidRPr="00AF2285" w:rsidRDefault="002F5A1C">
      <w:pPr>
        <w:pStyle w:val="FootnoteText"/>
        <w:rPr>
          <w:lang w:val="en-US"/>
        </w:rPr>
      </w:pPr>
      <w:r>
        <w:rPr>
          <w:rStyle w:val="FootnoteReference"/>
        </w:rPr>
        <w:footnoteRef/>
      </w:r>
      <w:r>
        <w:t xml:space="preserve"> May, ‘</w:t>
      </w:r>
      <w:r w:rsidRPr="00AF2285">
        <w:rPr>
          <w:szCs w:val="20"/>
        </w:rPr>
        <w:t>A Strong</w:t>
      </w:r>
      <w:r>
        <w:rPr>
          <w:szCs w:val="20"/>
        </w:rPr>
        <w:t>er Britain, Built on Our Values.’</w:t>
      </w:r>
    </w:p>
  </w:footnote>
  <w:footnote w:id="90">
    <w:p w14:paraId="1E1F75CC" w14:textId="399E5028" w:rsidR="002F5A1C" w:rsidRPr="001729F0" w:rsidRDefault="002F5A1C">
      <w:pPr>
        <w:pStyle w:val="FootnoteText"/>
        <w:rPr>
          <w:lang w:val="en-US"/>
        </w:rPr>
      </w:pPr>
      <w:r>
        <w:rPr>
          <w:rStyle w:val="FootnoteReference"/>
        </w:rPr>
        <w:footnoteRef/>
      </w:r>
      <w:r>
        <w:t xml:space="preserve"> May, ‘</w:t>
      </w:r>
      <w:r w:rsidRPr="002E2784">
        <w:rPr>
          <w:szCs w:val="20"/>
        </w:rPr>
        <w:t>PM Commons Statement on We</w:t>
      </w:r>
      <w:r>
        <w:rPr>
          <w:szCs w:val="20"/>
        </w:rPr>
        <w:t>stminster Attack.’</w:t>
      </w:r>
    </w:p>
  </w:footnote>
  <w:footnote w:id="91">
    <w:p w14:paraId="32E18BBF" w14:textId="0657DB4D" w:rsidR="002F5A1C" w:rsidRPr="00462796" w:rsidRDefault="002F5A1C" w:rsidP="008E2502">
      <w:pPr>
        <w:rPr>
          <w:sz w:val="20"/>
          <w:szCs w:val="20"/>
        </w:rPr>
      </w:pPr>
      <w:r w:rsidRPr="00462796">
        <w:rPr>
          <w:rStyle w:val="FootnoteReference"/>
          <w:sz w:val="20"/>
          <w:szCs w:val="20"/>
        </w:rPr>
        <w:footnoteRef/>
      </w:r>
      <w:r w:rsidRPr="00462796">
        <w:rPr>
          <w:sz w:val="20"/>
          <w:szCs w:val="20"/>
        </w:rPr>
        <w:t xml:space="preserve"> </w:t>
      </w:r>
      <w:r>
        <w:rPr>
          <w:sz w:val="20"/>
          <w:szCs w:val="20"/>
        </w:rPr>
        <w:t xml:space="preserve">Theresa </w:t>
      </w:r>
      <w:r>
        <w:rPr>
          <w:sz w:val="20"/>
          <w:szCs w:val="20"/>
          <w:lang w:val="en-US"/>
        </w:rPr>
        <w:t xml:space="preserve">May, </w:t>
      </w:r>
      <w:r>
        <w:rPr>
          <w:sz w:val="20"/>
          <w:szCs w:val="20"/>
        </w:rPr>
        <w:t>‘Terrorism’</w:t>
      </w:r>
      <w:r w:rsidRPr="00462796">
        <w:rPr>
          <w:sz w:val="20"/>
          <w:szCs w:val="20"/>
        </w:rPr>
        <w:t xml:space="preserve">, </w:t>
      </w:r>
      <w:r w:rsidRPr="00462796">
        <w:rPr>
          <w:i/>
          <w:sz w:val="20"/>
          <w:szCs w:val="20"/>
        </w:rPr>
        <w:t xml:space="preserve">House of Commons </w:t>
      </w:r>
      <w:proofErr w:type="spellStart"/>
      <w:r w:rsidRPr="00462796">
        <w:rPr>
          <w:i/>
          <w:sz w:val="20"/>
          <w:szCs w:val="20"/>
        </w:rPr>
        <w:t>Hansard</w:t>
      </w:r>
      <w:proofErr w:type="spellEnd"/>
      <w:r>
        <w:rPr>
          <w:sz w:val="20"/>
          <w:szCs w:val="20"/>
        </w:rPr>
        <w:t xml:space="preserve"> 532 (12 September 2011).</w:t>
      </w:r>
    </w:p>
  </w:footnote>
  <w:footnote w:id="92">
    <w:p w14:paraId="424D1CCD" w14:textId="46AA4036" w:rsidR="002F5A1C" w:rsidRPr="00462796" w:rsidRDefault="002F5A1C">
      <w:pPr>
        <w:pStyle w:val="FootnoteText"/>
        <w:rPr>
          <w:szCs w:val="20"/>
          <w:lang w:val="en-US"/>
        </w:rPr>
      </w:pPr>
      <w:r w:rsidRPr="00462796">
        <w:rPr>
          <w:rStyle w:val="FootnoteReference"/>
          <w:szCs w:val="20"/>
        </w:rPr>
        <w:footnoteRef/>
      </w:r>
      <w:r>
        <w:rPr>
          <w:szCs w:val="20"/>
        </w:rPr>
        <w:t xml:space="preserve"> May,</w:t>
      </w:r>
      <w:r w:rsidRPr="00462796">
        <w:rPr>
          <w:szCs w:val="20"/>
        </w:rPr>
        <w:t xml:space="preserve"> ‘B</w:t>
      </w:r>
      <w:r>
        <w:rPr>
          <w:szCs w:val="20"/>
        </w:rPr>
        <w:t>russels Terrorist Attacks.’</w:t>
      </w:r>
    </w:p>
  </w:footnote>
  <w:footnote w:id="93">
    <w:p w14:paraId="1ACF6DD9" w14:textId="5D942E16" w:rsidR="002F5A1C" w:rsidRPr="00462796" w:rsidRDefault="002F5A1C">
      <w:pPr>
        <w:pStyle w:val="FootnoteText"/>
        <w:rPr>
          <w:szCs w:val="20"/>
          <w:lang w:val="en-US"/>
        </w:rPr>
      </w:pPr>
      <w:r w:rsidRPr="00462796">
        <w:rPr>
          <w:rStyle w:val="FootnoteReference"/>
          <w:szCs w:val="20"/>
        </w:rPr>
        <w:footnoteRef/>
      </w:r>
      <w:r>
        <w:rPr>
          <w:szCs w:val="20"/>
        </w:rPr>
        <w:t xml:space="preserve"> May, ‘</w:t>
      </w:r>
      <w:r w:rsidRPr="002E2784">
        <w:rPr>
          <w:szCs w:val="20"/>
        </w:rPr>
        <w:t>Speech to the Con</w:t>
      </w:r>
      <w:r>
        <w:rPr>
          <w:szCs w:val="20"/>
        </w:rPr>
        <w:t>servative Party Conference 2014.’</w:t>
      </w:r>
    </w:p>
  </w:footnote>
  <w:footnote w:id="94">
    <w:p w14:paraId="535EB107" w14:textId="4EEE0DA4" w:rsidR="002F5A1C" w:rsidRPr="00462796" w:rsidRDefault="002F5A1C">
      <w:pPr>
        <w:pStyle w:val="FootnoteText"/>
        <w:rPr>
          <w:szCs w:val="20"/>
          <w:lang w:val="en-US"/>
        </w:rPr>
      </w:pPr>
      <w:r w:rsidRPr="00462796">
        <w:rPr>
          <w:rStyle w:val="FootnoteReference"/>
          <w:szCs w:val="20"/>
        </w:rPr>
        <w:footnoteRef/>
      </w:r>
      <w:r w:rsidRPr="00462796">
        <w:rPr>
          <w:szCs w:val="20"/>
        </w:rPr>
        <w:t xml:space="preserve"> </w:t>
      </w:r>
      <w:r>
        <w:rPr>
          <w:rFonts w:eastAsia="Times New Roman"/>
          <w:szCs w:val="20"/>
        </w:rPr>
        <w:t>May ‘</w:t>
      </w:r>
      <w:r w:rsidRPr="00AF2285">
        <w:rPr>
          <w:szCs w:val="20"/>
        </w:rPr>
        <w:t>A Strong</w:t>
      </w:r>
      <w:r>
        <w:rPr>
          <w:szCs w:val="20"/>
        </w:rPr>
        <w:t>er Britain, Built on Our Values’</w:t>
      </w:r>
      <w:r>
        <w:rPr>
          <w:rFonts w:eastAsia="Times New Roman"/>
          <w:szCs w:val="20"/>
        </w:rPr>
        <w:t>;</w:t>
      </w:r>
      <w:r w:rsidRPr="00462796">
        <w:rPr>
          <w:rFonts w:eastAsia="Times New Roman"/>
          <w:szCs w:val="20"/>
        </w:rPr>
        <w:t xml:space="preserve"> </w:t>
      </w:r>
      <w:r>
        <w:rPr>
          <w:rFonts w:eastAsia="Times New Roman"/>
          <w:szCs w:val="20"/>
        </w:rPr>
        <w:t>May, ‘</w:t>
      </w:r>
      <w:r w:rsidRPr="001A75DF">
        <w:rPr>
          <w:rFonts w:eastAsia="Times New Roman"/>
          <w:szCs w:val="20"/>
        </w:rPr>
        <w:t>Brussels Terrorist Attack</w:t>
      </w:r>
      <w:r>
        <w:rPr>
          <w:rFonts w:eastAsia="Times New Roman"/>
          <w:szCs w:val="20"/>
        </w:rPr>
        <w:t>.</w:t>
      </w:r>
      <w:r w:rsidRPr="001A75DF">
        <w:rPr>
          <w:rFonts w:eastAsia="Times New Roman"/>
          <w:szCs w:val="20"/>
        </w:rPr>
        <w:t>’</w:t>
      </w:r>
    </w:p>
  </w:footnote>
  <w:footnote w:id="95">
    <w:p w14:paraId="537C4458" w14:textId="6397CBFA" w:rsidR="002F5A1C" w:rsidRPr="008224E3" w:rsidRDefault="002F5A1C" w:rsidP="008224E3">
      <w:pPr>
        <w:rPr>
          <w:lang w:val="en-US"/>
        </w:rPr>
      </w:pPr>
      <w:r w:rsidRPr="00462796">
        <w:rPr>
          <w:rStyle w:val="FootnoteReference"/>
          <w:sz w:val="20"/>
          <w:szCs w:val="20"/>
        </w:rPr>
        <w:footnoteRef/>
      </w:r>
      <w:r w:rsidRPr="00462796">
        <w:rPr>
          <w:sz w:val="20"/>
          <w:szCs w:val="20"/>
        </w:rPr>
        <w:t xml:space="preserve"> </w:t>
      </w:r>
      <w:r>
        <w:rPr>
          <w:sz w:val="20"/>
          <w:szCs w:val="20"/>
        </w:rPr>
        <w:t xml:space="preserve">Michelle </w:t>
      </w:r>
      <w:r>
        <w:rPr>
          <w:sz w:val="20"/>
          <w:szCs w:val="20"/>
          <w:lang w:val="en-US"/>
        </w:rPr>
        <w:t>Bentley, ‘</w:t>
      </w:r>
      <w:r w:rsidRPr="00462796">
        <w:rPr>
          <w:sz w:val="20"/>
          <w:szCs w:val="20"/>
          <w:lang w:val="en-US"/>
        </w:rPr>
        <w:t>Recognition Making Response: Preventing Far Rig</w:t>
      </w:r>
      <w:r>
        <w:rPr>
          <w:sz w:val="20"/>
          <w:szCs w:val="20"/>
          <w:lang w:val="en-US"/>
        </w:rPr>
        <w:t xml:space="preserve">ht Extremism and </w:t>
      </w:r>
      <w:proofErr w:type="spellStart"/>
      <w:r>
        <w:rPr>
          <w:sz w:val="20"/>
          <w:szCs w:val="20"/>
          <w:lang w:val="en-US"/>
        </w:rPr>
        <w:t>Radicalisation</w:t>
      </w:r>
      <w:proofErr w:type="spellEnd"/>
      <w:r>
        <w:rPr>
          <w:sz w:val="20"/>
          <w:szCs w:val="20"/>
          <w:lang w:val="en-US"/>
        </w:rPr>
        <w:t>’,</w:t>
      </w:r>
      <w:r w:rsidRPr="00462796">
        <w:rPr>
          <w:sz w:val="20"/>
          <w:szCs w:val="20"/>
          <w:lang w:val="en-US"/>
        </w:rPr>
        <w:t xml:space="preserve"> </w:t>
      </w:r>
      <w:r>
        <w:rPr>
          <w:sz w:val="20"/>
          <w:szCs w:val="20"/>
        </w:rPr>
        <w:t>i</w:t>
      </w:r>
      <w:r w:rsidRPr="00462796">
        <w:rPr>
          <w:sz w:val="20"/>
          <w:szCs w:val="20"/>
        </w:rPr>
        <w:t xml:space="preserve">n </w:t>
      </w:r>
      <w:r>
        <w:rPr>
          <w:sz w:val="20"/>
          <w:szCs w:val="20"/>
        </w:rPr>
        <w:t>Baker-</w:t>
      </w:r>
      <w:proofErr w:type="spellStart"/>
      <w:r>
        <w:rPr>
          <w:sz w:val="20"/>
          <w:szCs w:val="20"/>
        </w:rPr>
        <w:t>Beall</w:t>
      </w:r>
      <w:proofErr w:type="spellEnd"/>
      <w:r>
        <w:rPr>
          <w:sz w:val="20"/>
          <w:szCs w:val="20"/>
        </w:rPr>
        <w:t>, Heath-Kelly</w:t>
      </w:r>
      <w:r w:rsidRPr="00462796">
        <w:rPr>
          <w:sz w:val="20"/>
          <w:szCs w:val="20"/>
        </w:rPr>
        <w:t xml:space="preserve">, </w:t>
      </w:r>
      <w:r>
        <w:rPr>
          <w:sz w:val="20"/>
          <w:szCs w:val="20"/>
        </w:rPr>
        <w:t>and Jarvis</w:t>
      </w:r>
      <w:r w:rsidRPr="00462796">
        <w:rPr>
          <w:sz w:val="20"/>
          <w:szCs w:val="20"/>
        </w:rPr>
        <w:t>,</w:t>
      </w:r>
      <w:r w:rsidRPr="005A20E1">
        <w:rPr>
          <w:i/>
          <w:sz w:val="20"/>
          <w:szCs w:val="20"/>
        </w:rPr>
        <w:t xml:space="preserve"> </w:t>
      </w:r>
      <w:r w:rsidRPr="00462796">
        <w:rPr>
          <w:i/>
          <w:sz w:val="20"/>
          <w:szCs w:val="20"/>
        </w:rPr>
        <w:t>Counter-Radicalisation</w:t>
      </w:r>
      <w:r>
        <w:rPr>
          <w:sz w:val="20"/>
          <w:szCs w:val="20"/>
        </w:rPr>
        <w:t>,</w:t>
      </w:r>
      <w:r w:rsidRPr="00462796">
        <w:rPr>
          <w:sz w:val="20"/>
          <w:szCs w:val="20"/>
        </w:rPr>
        <w:t xml:space="preserve"> pp. 102-22.</w:t>
      </w:r>
    </w:p>
  </w:footnote>
  <w:footnote w:id="96">
    <w:p w14:paraId="5801B8A4" w14:textId="0C6E2D90" w:rsidR="002F5A1C" w:rsidRPr="001F7C92" w:rsidRDefault="002F5A1C" w:rsidP="001F7C92">
      <w:pPr>
        <w:rPr>
          <w:sz w:val="20"/>
          <w:szCs w:val="20"/>
        </w:rPr>
      </w:pPr>
      <w:r w:rsidRPr="001F7C92">
        <w:rPr>
          <w:rStyle w:val="FootnoteReference"/>
          <w:sz w:val="20"/>
          <w:szCs w:val="20"/>
        </w:rPr>
        <w:footnoteRef/>
      </w:r>
      <w:r w:rsidRPr="001F7C92">
        <w:rPr>
          <w:sz w:val="20"/>
          <w:szCs w:val="20"/>
        </w:rPr>
        <w:t xml:space="preserve"> </w:t>
      </w:r>
      <w:r>
        <w:rPr>
          <w:sz w:val="20"/>
          <w:szCs w:val="20"/>
        </w:rPr>
        <w:t>May, ‘Prevent Strategy.’</w:t>
      </w:r>
      <w:r w:rsidRPr="001F7C92">
        <w:rPr>
          <w:sz w:val="20"/>
          <w:szCs w:val="20"/>
        </w:rPr>
        <w:t xml:space="preserve"> See also </w:t>
      </w:r>
      <w:r>
        <w:rPr>
          <w:sz w:val="20"/>
          <w:szCs w:val="20"/>
        </w:rPr>
        <w:t>Theresa May, ‘</w:t>
      </w:r>
      <w:r w:rsidRPr="001F7C92">
        <w:rPr>
          <w:sz w:val="20"/>
          <w:szCs w:val="20"/>
        </w:rPr>
        <w:t xml:space="preserve">Radical </w:t>
      </w:r>
      <w:r>
        <w:rPr>
          <w:sz w:val="20"/>
          <w:szCs w:val="20"/>
        </w:rPr>
        <w:t>new prevent strategy launched’,</w:t>
      </w:r>
      <w:r w:rsidRPr="001F7C92">
        <w:rPr>
          <w:sz w:val="20"/>
          <w:szCs w:val="20"/>
        </w:rPr>
        <w:t xml:space="preserve"> </w:t>
      </w:r>
      <w:r w:rsidRPr="001F7C92">
        <w:rPr>
          <w:i/>
          <w:sz w:val="20"/>
          <w:szCs w:val="20"/>
        </w:rPr>
        <w:t>gov.uk</w:t>
      </w:r>
      <w:r w:rsidRPr="001F7C92">
        <w:rPr>
          <w:sz w:val="20"/>
          <w:szCs w:val="20"/>
        </w:rPr>
        <w:t xml:space="preserve"> </w:t>
      </w:r>
      <w:r>
        <w:rPr>
          <w:sz w:val="20"/>
          <w:szCs w:val="20"/>
        </w:rPr>
        <w:t>(</w:t>
      </w:r>
      <w:r w:rsidRPr="001F7C92">
        <w:rPr>
          <w:sz w:val="20"/>
          <w:szCs w:val="20"/>
        </w:rPr>
        <w:t>8 June</w:t>
      </w:r>
      <w:r>
        <w:rPr>
          <w:sz w:val="20"/>
          <w:szCs w:val="20"/>
        </w:rPr>
        <w:t xml:space="preserve"> 2011), available at</w:t>
      </w:r>
      <w:r w:rsidRPr="001F7C92">
        <w:rPr>
          <w:sz w:val="20"/>
          <w:szCs w:val="20"/>
        </w:rPr>
        <w:t xml:space="preserve">: </w:t>
      </w:r>
      <w:r>
        <w:rPr>
          <w:sz w:val="20"/>
          <w:szCs w:val="20"/>
        </w:rPr>
        <w:t>{</w:t>
      </w:r>
      <w:r w:rsidRPr="00CE4B8A">
        <w:rPr>
          <w:sz w:val="20"/>
          <w:szCs w:val="20"/>
        </w:rPr>
        <w:t>https://www.gov.uk/government/news/radical-new-prevent-strategy-launched</w:t>
      </w:r>
      <w:r>
        <w:rPr>
          <w:sz w:val="20"/>
          <w:szCs w:val="20"/>
        </w:rPr>
        <w:t xml:space="preserve">} </w:t>
      </w:r>
      <w:r w:rsidRPr="00653AA3">
        <w:rPr>
          <w:sz w:val="20"/>
          <w:szCs w:val="20"/>
          <w:lang w:val="en-US"/>
        </w:rPr>
        <w:t>accessed 16 May 2018</w:t>
      </w:r>
      <w:r w:rsidRPr="001F7C92">
        <w:rPr>
          <w:sz w:val="20"/>
          <w:szCs w:val="20"/>
        </w:rPr>
        <w:t xml:space="preserve">; </w:t>
      </w:r>
      <w:r>
        <w:rPr>
          <w:sz w:val="20"/>
          <w:szCs w:val="20"/>
        </w:rPr>
        <w:t>May, ‘Extremism’; May, ‘</w:t>
      </w:r>
      <w:r w:rsidRPr="002E2784">
        <w:rPr>
          <w:sz w:val="20"/>
          <w:szCs w:val="20"/>
        </w:rPr>
        <w:t>Speech to the Con</w:t>
      </w:r>
      <w:r>
        <w:rPr>
          <w:sz w:val="20"/>
          <w:szCs w:val="20"/>
        </w:rPr>
        <w:t>servative Party Conference 2014’</w:t>
      </w:r>
      <w:r w:rsidRPr="001F7C92">
        <w:rPr>
          <w:sz w:val="20"/>
          <w:szCs w:val="20"/>
        </w:rPr>
        <w:t xml:space="preserve">; </w:t>
      </w:r>
      <w:r>
        <w:rPr>
          <w:sz w:val="20"/>
          <w:szCs w:val="20"/>
        </w:rPr>
        <w:t>May, ‘Terrorist Attacks (Paris)’; May, ‘</w:t>
      </w:r>
      <w:r w:rsidRPr="002E2784">
        <w:rPr>
          <w:sz w:val="20"/>
          <w:szCs w:val="20"/>
        </w:rPr>
        <w:t>PM Commons Statement on We</w:t>
      </w:r>
      <w:r>
        <w:rPr>
          <w:sz w:val="20"/>
          <w:szCs w:val="20"/>
        </w:rPr>
        <w:t>stminster Attack’; May, ‘S</w:t>
      </w:r>
      <w:r w:rsidRPr="002E2784">
        <w:rPr>
          <w:sz w:val="20"/>
          <w:szCs w:val="20"/>
        </w:rPr>
        <w:t>econd COBR meeting</w:t>
      </w:r>
      <w:r>
        <w:rPr>
          <w:sz w:val="20"/>
          <w:szCs w:val="20"/>
        </w:rPr>
        <w:t>.’</w:t>
      </w:r>
    </w:p>
  </w:footnote>
  <w:footnote w:id="97">
    <w:p w14:paraId="54887A14" w14:textId="61389D7D" w:rsidR="002F5A1C" w:rsidRPr="00462796" w:rsidRDefault="002F5A1C" w:rsidP="00462796">
      <w:pPr>
        <w:rPr>
          <w:sz w:val="20"/>
          <w:szCs w:val="20"/>
        </w:rPr>
      </w:pPr>
      <w:r w:rsidRPr="00462796">
        <w:rPr>
          <w:rStyle w:val="FootnoteReference"/>
          <w:sz w:val="20"/>
          <w:szCs w:val="20"/>
        </w:rPr>
        <w:footnoteRef/>
      </w:r>
      <w:r w:rsidRPr="00462796">
        <w:rPr>
          <w:sz w:val="20"/>
          <w:szCs w:val="20"/>
        </w:rPr>
        <w:t xml:space="preserve"> </w:t>
      </w:r>
      <w:r>
        <w:rPr>
          <w:sz w:val="20"/>
          <w:szCs w:val="20"/>
        </w:rPr>
        <w:t>Lionel K. McPherson, ‘</w:t>
      </w:r>
      <w:r w:rsidRPr="00462796">
        <w:rPr>
          <w:sz w:val="20"/>
          <w:szCs w:val="20"/>
        </w:rPr>
        <w:t>The Instability of ‘Executive Dis</w:t>
      </w:r>
      <w:r>
        <w:rPr>
          <w:sz w:val="20"/>
          <w:szCs w:val="20"/>
        </w:rPr>
        <w:t>cretion</w:t>
      </w:r>
      <w:r w:rsidRPr="00462796">
        <w:rPr>
          <w:sz w:val="20"/>
          <w:szCs w:val="20"/>
        </w:rPr>
        <w:t>’</w:t>
      </w:r>
      <w:r>
        <w:rPr>
          <w:sz w:val="20"/>
          <w:szCs w:val="20"/>
        </w:rPr>
        <w:t>,</w:t>
      </w:r>
      <w:r w:rsidRPr="00462796">
        <w:rPr>
          <w:sz w:val="20"/>
          <w:szCs w:val="20"/>
        </w:rPr>
        <w:t xml:space="preserve"> </w:t>
      </w:r>
      <w:proofErr w:type="spellStart"/>
      <w:r w:rsidRPr="00462796">
        <w:rPr>
          <w:i/>
          <w:sz w:val="20"/>
          <w:szCs w:val="20"/>
        </w:rPr>
        <w:t>Nomos</w:t>
      </w:r>
      <w:proofErr w:type="spellEnd"/>
      <w:r w:rsidRPr="00462796">
        <w:rPr>
          <w:sz w:val="20"/>
          <w:szCs w:val="20"/>
        </w:rPr>
        <w:t xml:space="preserve"> 50</w:t>
      </w:r>
      <w:r>
        <w:rPr>
          <w:sz w:val="20"/>
          <w:szCs w:val="20"/>
        </w:rPr>
        <w:t xml:space="preserve"> (2011), p.</w:t>
      </w:r>
      <w:r w:rsidRPr="00462796">
        <w:rPr>
          <w:sz w:val="20"/>
          <w:szCs w:val="20"/>
        </w:rPr>
        <w:t xml:space="preserve"> 144.</w:t>
      </w:r>
    </w:p>
  </w:footnote>
  <w:footnote w:id="98">
    <w:p w14:paraId="29B89DAE" w14:textId="3F31C75F" w:rsidR="002F5A1C" w:rsidRPr="00462796" w:rsidRDefault="002F5A1C">
      <w:pPr>
        <w:pStyle w:val="FootnoteText"/>
        <w:rPr>
          <w:lang w:val="en-US"/>
        </w:rPr>
      </w:pPr>
      <w:r>
        <w:rPr>
          <w:rStyle w:val="FootnoteReference"/>
        </w:rPr>
        <w:footnoteRef/>
      </w:r>
      <w:r>
        <w:t xml:space="preserve"> May, ‘</w:t>
      </w:r>
      <w:r w:rsidRPr="00AF2285">
        <w:rPr>
          <w:szCs w:val="20"/>
        </w:rPr>
        <w:t>A Strong</w:t>
      </w:r>
      <w:r>
        <w:rPr>
          <w:szCs w:val="20"/>
        </w:rPr>
        <w:t>er Britain, Built on Our Values.’</w:t>
      </w:r>
    </w:p>
  </w:footnote>
  <w:footnote w:id="99">
    <w:p w14:paraId="29333BBA" w14:textId="78F0084F" w:rsidR="002F5A1C" w:rsidRPr="009D6CBF" w:rsidRDefault="002F5A1C">
      <w:pPr>
        <w:pStyle w:val="FootnoteText"/>
        <w:rPr>
          <w:lang w:val="en-US"/>
        </w:rPr>
      </w:pPr>
      <w:r>
        <w:rPr>
          <w:rStyle w:val="FootnoteReference"/>
        </w:rPr>
        <w:footnoteRef/>
      </w:r>
      <w:r>
        <w:t xml:space="preserve"> </w:t>
      </w:r>
      <w:r>
        <w:rPr>
          <w:lang w:val="en-US"/>
        </w:rPr>
        <w:t xml:space="preserve">This statement of </w:t>
      </w:r>
      <w:proofErr w:type="spellStart"/>
      <w:r>
        <w:rPr>
          <w:lang w:val="en-US"/>
        </w:rPr>
        <w:t>othering</w:t>
      </w:r>
      <w:proofErr w:type="spellEnd"/>
      <w:r>
        <w:rPr>
          <w:lang w:val="en-US"/>
        </w:rPr>
        <w:t xml:space="preserve"> draws on the work of </w:t>
      </w:r>
      <w:proofErr w:type="spellStart"/>
      <w:r>
        <w:rPr>
          <w:lang w:val="en-US"/>
        </w:rPr>
        <w:t>Anastassia</w:t>
      </w:r>
      <w:proofErr w:type="spellEnd"/>
      <w:r>
        <w:rPr>
          <w:lang w:val="en-US"/>
        </w:rPr>
        <w:t xml:space="preserve"> </w:t>
      </w:r>
      <w:proofErr w:type="spellStart"/>
      <w:r>
        <w:rPr>
          <w:lang w:val="en-US"/>
        </w:rPr>
        <w:t>Tsoukala</w:t>
      </w:r>
      <w:proofErr w:type="spellEnd"/>
      <w:r>
        <w:rPr>
          <w:lang w:val="en-US"/>
        </w:rPr>
        <w:t xml:space="preserve">, ‘Boundary-creating Processes and the Social Construction of Threat’, </w:t>
      </w:r>
      <w:r w:rsidRPr="00C61D2D">
        <w:rPr>
          <w:i/>
          <w:lang w:val="en-US"/>
        </w:rPr>
        <w:t>Alternatives</w:t>
      </w:r>
      <w:r>
        <w:rPr>
          <w:lang w:val="en-US"/>
        </w:rPr>
        <w:t xml:space="preserve"> 33:2 (2008), </w:t>
      </w:r>
      <w:r w:rsidRPr="00C61D2D">
        <w:rPr>
          <w:lang w:val="en-US"/>
        </w:rPr>
        <w:t>p</w:t>
      </w:r>
      <w:r>
        <w:rPr>
          <w:lang w:val="en-US"/>
        </w:rPr>
        <w:t>. 143</w:t>
      </w:r>
    </w:p>
  </w:footnote>
  <w:footnote w:id="100">
    <w:p w14:paraId="7B9925EE" w14:textId="167C5E65" w:rsidR="002F5A1C" w:rsidRPr="00462796" w:rsidRDefault="002F5A1C" w:rsidP="00462796">
      <w:pPr>
        <w:rPr>
          <w:sz w:val="20"/>
          <w:szCs w:val="20"/>
        </w:rPr>
      </w:pPr>
      <w:r w:rsidRPr="00462796">
        <w:rPr>
          <w:rStyle w:val="FootnoteReference"/>
          <w:sz w:val="20"/>
          <w:szCs w:val="20"/>
        </w:rPr>
        <w:footnoteRef/>
      </w:r>
      <w:r w:rsidRPr="00462796">
        <w:rPr>
          <w:sz w:val="20"/>
          <w:szCs w:val="20"/>
        </w:rPr>
        <w:t xml:space="preserve"> </w:t>
      </w:r>
      <w:r>
        <w:rPr>
          <w:sz w:val="20"/>
          <w:szCs w:val="20"/>
        </w:rPr>
        <w:t>May, ‘Theresa May speech in full.’</w:t>
      </w:r>
    </w:p>
  </w:footnote>
  <w:footnote w:id="101">
    <w:p w14:paraId="51DA53CE" w14:textId="0C0D3C85" w:rsidR="002F5A1C" w:rsidRPr="00462796" w:rsidRDefault="002F5A1C">
      <w:pPr>
        <w:pStyle w:val="FootnoteText"/>
        <w:rPr>
          <w:lang w:val="en-US"/>
        </w:rPr>
      </w:pPr>
      <w:r>
        <w:rPr>
          <w:rStyle w:val="FootnoteReference"/>
        </w:rPr>
        <w:footnoteRef/>
      </w:r>
      <w:r>
        <w:t xml:space="preserve"> </w:t>
      </w:r>
      <w:proofErr w:type="gramStart"/>
      <w:r>
        <w:t xml:space="preserve">As per Holmes, Baker, and </w:t>
      </w:r>
      <w:proofErr w:type="spellStart"/>
      <w:r>
        <w:t>Aradau</w:t>
      </w:r>
      <w:proofErr w:type="spellEnd"/>
      <w:r>
        <w:t xml:space="preserve"> above.</w:t>
      </w:r>
      <w:proofErr w:type="gramEnd"/>
    </w:p>
  </w:footnote>
  <w:footnote w:id="102">
    <w:p w14:paraId="7091A6A2" w14:textId="73EF1DCD" w:rsidR="002F5A1C" w:rsidRPr="0093568A" w:rsidRDefault="002F5A1C" w:rsidP="0093568A">
      <w:pPr>
        <w:rPr>
          <w:sz w:val="20"/>
          <w:szCs w:val="20"/>
        </w:rPr>
      </w:pPr>
      <w:r w:rsidRPr="0093568A">
        <w:rPr>
          <w:rStyle w:val="FootnoteReference"/>
          <w:sz w:val="20"/>
          <w:szCs w:val="20"/>
        </w:rPr>
        <w:footnoteRef/>
      </w:r>
      <w:r>
        <w:rPr>
          <w:sz w:val="20"/>
          <w:szCs w:val="20"/>
        </w:rPr>
        <w:t xml:space="preserve"> Theresa May, ‘</w:t>
      </w:r>
      <w:r w:rsidRPr="0093568A">
        <w:rPr>
          <w:sz w:val="20"/>
          <w:szCs w:val="20"/>
        </w:rPr>
        <w:t>Home Secretary</w:t>
      </w:r>
      <w:r>
        <w:rPr>
          <w:sz w:val="20"/>
          <w:szCs w:val="20"/>
        </w:rPr>
        <w:t>’s Defence and Security Lecture’,</w:t>
      </w:r>
      <w:r w:rsidRPr="0093568A">
        <w:rPr>
          <w:sz w:val="20"/>
          <w:szCs w:val="20"/>
        </w:rPr>
        <w:t xml:space="preserve"> </w:t>
      </w:r>
      <w:r w:rsidRPr="0093568A">
        <w:rPr>
          <w:i/>
          <w:sz w:val="20"/>
          <w:szCs w:val="20"/>
        </w:rPr>
        <w:t>gov.uk</w:t>
      </w:r>
      <w:r w:rsidRPr="0093568A">
        <w:rPr>
          <w:sz w:val="20"/>
          <w:szCs w:val="20"/>
        </w:rPr>
        <w:t xml:space="preserve"> </w:t>
      </w:r>
      <w:r>
        <w:rPr>
          <w:sz w:val="20"/>
          <w:szCs w:val="20"/>
        </w:rPr>
        <w:t>(</w:t>
      </w:r>
      <w:r w:rsidRPr="0093568A">
        <w:rPr>
          <w:sz w:val="20"/>
          <w:szCs w:val="20"/>
        </w:rPr>
        <w:t>24 June</w:t>
      </w:r>
      <w:r>
        <w:rPr>
          <w:sz w:val="20"/>
          <w:szCs w:val="20"/>
        </w:rPr>
        <w:t xml:space="preserve"> 2014), available at</w:t>
      </w:r>
      <w:r w:rsidRPr="0093568A">
        <w:rPr>
          <w:sz w:val="20"/>
          <w:szCs w:val="20"/>
        </w:rPr>
        <w:t xml:space="preserve">: </w:t>
      </w:r>
      <w:r>
        <w:rPr>
          <w:sz w:val="20"/>
          <w:szCs w:val="20"/>
        </w:rPr>
        <w:t>{</w:t>
      </w:r>
      <w:r w:rsidRPr="00CE4B8A">
        <w:rPr>
          <w:sz w:val="20"/>
          <w:szCs w:val="20"/>
        </w:rPr>
        <w:t>https://www.gov.uk/government/speeches/home-secretarys-defence-and-security-lecture</w:t>
      </w:r>
      <w:r>
        <w:rPr>
          <w:sz w:val="20"/>
          <w:szCs w:val="20"/>
        </w:rPr>
        <w:t xml:space="preserve">} </w:t>
      </w:r>
      <w:r w:rsidRPr="00653AA3">
        <w:rPr>
          <w:sz w:val="20"/>
          <w:szCs w:val="20"/>
          <w:lang w:val="en-US"/>
        </w:rPr>
        <w:t>accessed 16 May 2018</w:t>
      </w:r>
      <w:r>
        <w:rPr>
          <w:sz w:val="20"/>
          <w:szCs w:val="20"/>
          <w:lang w:val="en-US"/>
        </w:rPr>
        <w:t>.</w:t>
      </w:r>
    </w:p>
  </w:footnote>
  <w:footnote w:id="103">
    <w:p w14:paraId="32282840" w14:textId="4F7A7115" w:rsidR="002F5A1C" w:rsidRPr="0093568A" w:rsidRDefault="002F5A1C">
      <w:pPr>
        <w:pStyle w:val="FootnoteText"/>
        <w:rPr>
          <w:lang w:val="en-US"/>
        </w:rPr>
      </w:pPr>
      <w:r>
        <w:rPr>
          <w:rStyle w:val="FootnoteReference"/>
        </w:rPr>
        <w:footnoteRef/>
      </w:r>
      <w:r>
        <w:t xml:space="preserve"> </w:t>
      </w:r>
      <w:r>
        <w:rPr>
          <w:lang w:val="en-US"/>
        </w:rPr>
        <w:t>Ibid.</w:t>
      </w:r>
    </w:p>
  </w:footnote>
  <w:footnote w:id="104">
    <w:p w14:paraId="76B0DACE" w14:textId="0952899F" w:rsidR="002F5A1C" w:rsidRPr="00F7263C" w:rsidRDefault="002F5A1C">
      <w:pPr>
        <w:pStyle w:val="FootnoteText"/>
      </w:pPr>
      <w:r>
        <w:rPr>
          <w:rStyle w:val="FootnoteReference"/>
        </w:rPr>
        <w:footnoteRef/>
      </w:r>
      <w:r>
        <w:t xml:space="preserve"> </w:t>
      </w:r>
      <w:r>
        <w:rPr>
          <w:rFonts w:eastAsia="Times New Roman"/>
        </w:rPr>
        <w:t xml:space="preserve">May </w:t>
      </w:r>
      <w:r>
        <w:t>‘Prevent Strategy.’</w:t>
      </w:r>
    </w:p>
  </w:footnote>
  <w:footnote w:id="105">
    <w:p w14:paraId="4A1AE2D9" w14:textId="2903C115" w:rsidR="002F5A1C" w:rsidRPr="00BD3366" w:rsidRDefault="002F5A1C" w:rsidP="00BD3366">
      <w:pPr>
        <w:rPr>
          <w:sz w:val="20"/>
          <w:szCs w:val="20"/>
        </w:rPr>
      </w:pPr>
      <w:r w:rsidRPr="00BD3366">
        <w:rPr>
          <w:rStyle w:val="FootnoteReference"/>
          <w:sz w:val="20"/>
          <w:szCs w:val="20"/>
        </w:rPr>
        <w:footnoteRef/>
      </w:r>
      <w:r w:rsidRPr="00BD3366">
        <w:rPr>
          <w:sz w:val="20"/>
          <w:szCs w:val="20"/>
        </w:rPr>
        <w:t xml:space="preserve"> </w:t>
      </w:r>
      <w:r>
        <w:rPr>
          <w:sz w:val="20"/>
          <w:szCs w:val="20"/>
        </w:rPr>
        <w:t>Theresa May, ‘</w:t>
      </w:r>
      <w:r w:rsidRPr="00BD3366">
        <w:rPr>
          <w:sz w:val="20"/>
          <w:szCs w:val="20"/>
        </w:rPr>
        <w:t>Terrorism: Home Secretary’s speech to t</w:t>
      </w:r>
      <w:r>
        <w:rPr>
          <w:sz w:val="20"/>
          <w:szCs w:val="20"/>
        </w:rPr>
        <w:t>he Council on Foreign Relations’,</w:t>
      </w:r>
      <w:r w:rsidRPr="00BD3366">
        <w:rPr>
          <w:sz w:val="20"/>
          <w:szCs w:val="20"/>
        </w:rPr>
        <w:t xml:space="preserve"> </w:t>
      </w:r>
      <w:r w:rsidRPr="00BD3366">
        <w:rPr>
          <w:i/>
          <w:sz w:val="20"/>
          <w:szCs w:val="20"/>
        </w:rPr>
        <w:t>gov.uk</w:t>
      </w:r>
      <w:r w:rsidRPr="00BD3366">
        <w:rPr>
          <w:sz w:val="20"/>
          <w:szCs w:val="20"/>
        </w:rPr>
        <w:t xml:space="preserve"> </w:t>
      </w:r>
      <w:r>
        <w:rPr>
          <w:sz w:val="20"/>
          <w:szCs w:val="20"/>
        </w:rPr>
        <w:t>(</w:t>
      </w:r>
      <w:r w:rsidRPr="00BD3366">
        <w:rPr>
          <w:sz w:val="20"/>
          <w:szCs w:val="20"/>
        </w:rPr>
        <w:t>16 September</w:t>
      </w:r>
      <w:r>
        <w:rPr>
          <w:sz w:val="20"/>
          <w:szCs w:val="20"/>
        </w:rPr>
        <w:t xml:space="preserve"> 2011), available at</w:t>
      </w:r>
      <w:r w:rsidRPr="00BD3366">
        <w:rPr>
          <w:sz w:val="20"/>
          <w:szCs w:val="20"/>
        </w:rPr>
        <w:t xml:space="preserve">: </w:t>
      </w:r>
      <w:r>
        <w:rPr>
          <w:sz w:val="20"/>
          <w:szCs w:val="20"/>
        </w:rPr>
        <w:t>{</w:t>
      </w:r>
      <w:r w:rsidRPr="00CE4B8A">
        <w:rPr>
          <w:sz w:val="20"/>
          <w:szCs w:val="20"/>
        </w:rPr>
        <w:t>https://www.gov.uk/government/speeches/terrorism-home-secretarys-speech-to-the-council-on-foreign-relations</w:t>
      </w:r>
      <w:r>
        <w:rPr>
          <w:sz w:val="20"/>
          <w:szCs w:val="20"/>
        </w:rPr>
        <w:t xml:space="preserve">} </w:t>
      </w:r>
      <w:r w:rsidRPr="00653AA3">
        <w:rPr>
          <w:sz w:val="20"/>
          <w:szCs w:val="20"/>
          <w:lang w:val="en-US"/>
        </w:rPr>
        <w:t>accessed 16 May 2018</w:t>
      </w:r>
      <w:r>
        <w:rPr>
          <w:sz w:val="20"/>
          <w:szCs w:val="20"/>
          <w:lang w:val="en-US"/>
        </w:rPr>
        <w:t>.</w:t>
      </w:r>
    </w:p>
  </w:footnote>
  <w:footnote w:id="106">
    <w:p w14:paraId="3F3BB044" w14:textId="3BDA406C" w:rsidR="002F5A1C" w:rsidRPr="00243A84" w:rsidRDefault="002F5A1C" w:rsidP="00243A84">
      <w:pPr>
        <w:rPr>
          <w:sz w:val="20"/>
          <w:szCs w:val="20"/>
        </w:rPr>
      </w:pPr>
      <w:r w:rsidRPr="00243A84">
        <w:rPr>
          <w:rStyle w:val="FootnoteReference"/>
          <w:sz w:val="20"/>
          <w:szCs w:val="20"/>
        </w:rPr>
        <w:footnoteRef/>
      </w:r>
      <w:r w:rsidRPr="00243A84">
        <w:rPr>
          <w:sz w:val="20"/>
          <w:szCs w:val="20"/>
        </w:rPr>
        <w:t xml:space="preserve"> </w:t>
      </w:r>
      <w:r>
        <w:rPr>
          <w:sz w:val="20"/>
          <w:szCs w:val="20"/>
        </w:rPr>
        <w:t>May, ‘Terrorist Attacks (Paris)</w:t>
      </w:r>
      <w:r w:rsidRPr="00243A84">
        <w:rPr>
          <w:sz w:val="20"/>
          <w:szCs w:val="20"/>
        </w:rPr>
        <w:t>.</w:t>
      </w:r>
      <w:r>
        <w:rPr>
          <w:sz w:val="20"/>
          <w:szCs w:val="20"/>
        </w:rPr>
        <w:t>’</w:t>
      </w:r>
      <w:r w:rsidRPr="00243A84">
        <w:rPr>
          <w:sz w:val="20"/>
          <w:szCs w:val="20"/>
        </w:rPr>
        <w:t xml:space="preserve"> </w:t>
      </w:r>
    </w:p>
  </w:footnote>
  <w:footnote w:id="107">
    <w:p w14:paraId="12EF7E73" w14:textId="3451C958" w:rsidR="002F5A1C" w:rsidRPr="0001332C" w:rsidRDefault="002F5A1C">
      <w:pPr>
        <w:pStyle w:val="FootnoteText"/>
        <w:rPr>
          <w:lang w:val="en-US"/>
        </w:rPr>
      </w:pPr>
      <w:r>
        <w:rPr>
          <w:rStyle w:val="FootnoteReference"/>
        </w:rPr>
        <w:footnoteRef/>
      </w:r>
      <w:r>
        <w:t xml:space="preserve"> </w:t>
      </w:r>
      <w:r>
        <w:rPr>
          <w:szCs w:val="20"/>
        </w:rPr>
        <w:t>May,</w:t>
      </w:r>
      <w:r w:rsidRPr="00243A84">
        <w:rPr>
          <w:szCs w:val="20"/>
        </w:rPr>
        <w:t xml:space="preserve"> </w:t>
      </w:r>
      <w:r>
        <w:rPr>
          <w:szCs w:val="20"/>
        </w:rPr>
        <w:t>‘Theresa May speech in full.’</w:t>
      </w:r>
    </w:p>
  </w:footnote>
  <w:footnote w:id="108">
    <w:p w14:paraId="149F65D5" w14:textId="06EB5F41" w:rsidR="002F5A1C" w:rsidRPr="00480A56" w:rsidRDefault="002F5A1C">
      <w:pPr>
        <w:pStyle w:val="FootnoteText"/>
        <w:rPr>
          <w:lang w:val="en-US"/>
        </w:rPr>
      </w:pPr>
      <w:r>
        <w:rPr>
          <w:rStyle w:val="FootnoteReference"/>
        </w:rPr>
        <w:footnoteRef/>
      </w:r>
      <w:r>
        <w:t xml:space="preserve"> </w:t>
      </w:r>
      <w:r>
        <w:rPr>
          <w:lang w:val="en-US"/>
        </w:rPr>
        <w:t xml:space="preserve">Alan Travis, ‘Theresa May announces reform of stop-and-search powers’, </w:t>
      </w:r>
      <w:r>
        <w:rPr>
          <w:i/>
          <w:lang w:val="en-US"/>
        </w:rPr>
        <w:t>The Guardian</w:t>
      </w:r>
      <w:r>
        <w:rPr>
          <w:lang w:val="en-US"/>
        </w:rPr>
        <w:t xml:space="preserve"> (30 April 2014), available at: {</w:t>
      </w:r>
      <w:r w:rsidRPr="00CE4B8A">
        <w:rPr>
          <w:lang w:val="en-US"/>
        </w:rPr>
        <w:t>https://www.theguardian.com/law/2014/apr/30/theresa-may-reform-police-stop-and-search-powers</w:t>
      </w:r>
      <w:r>
        <w:rPr>
          <w:lang w:val="en-US"/>
        </w:rPr>
        <w:t xml:space="preserve">} </w:t>
      </w:r>
      <w:r w:rsidRPr="00653AA3">
        <w:rPr>
          <w:szCs w:val="20"/>
          <w:lang w:val="en-US"/>
        </w:rPr>
        <w:t>accessed 16 May 2018</w:t>
      </w:r>
      <w:r>
        <w:rPr>
          <w:szCs w:val="20"/>
          <w:lang w:val="en-US"/>
        </w:rPr>
        <w:t>.</w:t>
      </w:r>
    </w:p>
  </w:footnote>
  <w:footnote w:id="109">
    <w:p w14:paraId="7DB61C17" w14:textId="24A7E2E7" w:rsidR="002F5A1C" w:rsidRPr="00C32FFB" w:rsidRDefault="002F5A1C">
      <w:pPr>
        <w:pStyle w:val="FootnoteText"/>
        <w:rPr>
          <w:lang w:val="en-US"/>
        </w:rPr>
      </w:pPr>
      <w:r>
        <w:rPr>
          <w:rStyle w:val="FootnoteReference"/>
        </w:rPr>
        <w:footnoteRef/>
      </w:r>
      <w:r>
        <w:t xml:space="preserve"> </w:t>
      </w:r>
      <w:r>
        <w:rPr>
          <w:szCs w:val="20"/>
        </w:rPr>
        <w:t>May, ‘Terrorist Attacks (Paris).’</w:t>
      </w:r>
    </w:p>
  </w:footnote>
  <w:footnote w:id="110">
    <w:p w14:paraId="0402B312" w14:textId="5BA334D7" w:rsidR="002F5A1C" w:rsidRPr="007E2B17" w:rsidRDefault="002F5A1C">
      <w:pPr>
        <w:pStyle w:val="FootnoteText"/>
        <w:rPr>
          <w:lang w:val="en-US"/>
        </w:rPr>
      </w:pPr>
      <w:r>
        <w:rPr>
          <w:rStyle w:val="FootnoteReference"/>
        </w:rPr>
        <w:footnoteRef/>
      </w:r>
      <w:r>
        <w:t xml:space="preserve"> </w:t>
      </w:r>
      <w:r>
        <w:rPr>
          <w:lang w:val="en-US"/>
        </w:rPr>
        <w:t xml:space="preserve">May, </w:t>
      </w:r>
      <w:r>
        <w:t>‘Counter-Terrorism and Security Bill’; May, ‘</w:t>
      </w:r>
      <w:r w:rsidRPr="002E2784">
        <w:rPr>
          <w:szCs w:val="20"/>
        </w:rPr>
        <w:t>Home Secretary T</w:t>
      </w:r>
      <w:r>
        <w:rPr>
          <w:szCs w:val="20"/>
        </w:rPr>
        <w:t>heresa May on counter-terrorism’</w:t>
      </w:r>
      <w:r>
        <w:t>; May, ‘</w:t>
      </w:r>
      <w:r w:rsidRPr="00AF2285">
        <w:rPr>
          <w:szCs w:val="20"/>
        </w:rPr>
        <w:t>We must wo</w:t>
      </w:r>
      <w:r>
        <w:rPr>
          <w:szCs w:val="20"/>
        </w:rPr>
        <w:t>rk together to defeat terrorism.’</w:t>
      </w:r>
    </w:p>
  </w:footnote>
  <w:footnote w:id="111">
    <w:p w14:paraId="230DC9EE" w14:textId="6B472C6C" w:rsidR="002F5A1C" w:rsidRPr="00BE04D6" w:rsidRDefault="002F5A1C">
      <w:pPr>
        <w:pStyle w:val="FootnoteText"/>
        <w:rPr>
          <w:lang w:val="en-US"/>
        </w:rPr>
      </w:pPr>
      <w:r>
        <w:rPr>
          <w:rStyle w:val="FootnoteReference"/>
        </w:rPr>
        <w:footnoteRef/>
      </w:r>
      <w:r>
        <w:t xml:space="preserve"> </w:t>
      </w:r>
      <w:r>
        <w:rPr>
          <w:szCs w:val="20"/>
        </w:rPr>
        <w:t>May, ‘Terrorist Attacks (Paris).’</w:t>
      </w:r>
    </w:p>
  </w:footnote>
  <w:footnote w:id="112">
    <w:p w14:paraId="6F549957" w14:textId="346C8701" w:rsidR="002F5A1C" w:rsidRPr="00C12030" w:rsidRDefault="002F5A1C">
      <w:pPr>
        <w:pStyle w:val="FootnoteText"/>
        <w:rPr>
          <w:lang w:val="en-US"/>
        </w:rPr>
      </w:pPr>
      <w:r>
        <w:rPr>
          <w:rStyle w:val="FootnoteReference"/>
        </w:rPr>
        <w:footnoteRef/>
      </w:r>
      <w:r>
        <w:t xml:space="preserve"> </w:t>
      </w:r>
      <w:r>
        <w:rPr>
          <w:lang w:val="en-US"/>
        </w:rPr>
        <w:t>May, ‘</w:t>
      </w:r>
      <w:r>
        <w:rPr>
          <w:szCs w:val="20"/>
        </w:rPr>
        <w:t>Brussels Terrorist Attacks.’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A7"/>
    <w:rsid w:val="000002E1"/>
    <w:rsid w:val="00000EB9"/>
    <w:rsid w:val="000014AC"/>
    <w:rsid w:val="000018EE"/>
    <w:rsid w:val="0000379A"/>
    <w:rsid w:val="00003C5C"/>
    <w:rsid w:val="00005783"/>
    <w:rsid w:val="00005FC8"/>
    <w:rsid w:val="000076DF"/>
    <w:rsid w:val="00007816"/>
    <w:rsid w:val="00007828"/>
    <w:rsid w:val="00007BA7"/>
    <w:rsid w:val="00010758"/>
    <w:rsid w:val="00010A6C"/>
    <w:rsid w:val="00012499"/>
    <w:rsid w:val="00012FCC"/>
    <w:rsid w:val="0001332C"/>
    <w:rsid w:val="00013604"/>
    <w:rsid w:val="00014098"/>
    <w:rsid w:val="000155B4"/>
    <w:rsid w:val="00015B17"/>
    <w:rsid w:val="00015F51"/>
    <w:rsid w:val="000164D7"/>
    <w:rsid w:val="00017684"/>
    <w:rsid w:val="0002084C"/>
    <w:rsid w:val="00022197"/>
    <w:rsid w:val="0002347E"/>
    <w:rsid w:val="0002351D"/>
    <w:rsid w:val="00023941"/>
    <w:rsid w:val="000239CA"/>
    <w:rsid w:val="0002453F"/>
    <w:rsid w:val="00025398"/>
    <w:rsid w:val="0002635B"/>
    <w:rsid w:val="00030E5A"/>
    <w:rsid w:val="0003145C"/>
    <w:rsid w:val="000316B1"/>
    <w:rsid w:val="000318EE"/>
    <w:rsid w:val="00032C65"/>
    <w:rsid w:val="0003348C"/>
    <w:rsid w:val="000342E7"/>
    <w:rsid w:val="000347FD"/>
    <w:rsid w:val="00035222"/>
    <w:rsid w:val="00035837"/>
    <w:rsid w:val="000365C3"/>
    <w:rsid w:val="00036B5B"/>
    <w:rsid w:val="00036D2F"/>
    <w:rsid w:val="00037854"/>
    <w:rsid w:val="000379F5"/>
    <w:rsid w:val="00040BA6"/>
    <w:rsid w:val="00041568"/>
    <w:rsid w:val="00041A63"/>
    <w:rsid w:val="00042844"/>
    <w:rsid w:val="0004426F"/>
    <w:rsid w:val="000448C3"/>
    <w:rsid w:val="00045A52"/>
    <w:rsid w:val="00045F6A"/>
    <w:rsid w:val="00046CAD"/>
    <w:rsid w:val="00047839"/>
    <w:rsid w:val="0005101F"/>
    <w:rsid w:val="00052C10"/>
    <w:rsid w:val="00053232"/>
    <w:rsid w:val="000537B6"/>
    <w:rsid w:val="00054C9D"/>
    <w:rsid w:val="00055509"/>
    <w:rsid w:val="00055F0D"/>
    <w:rsid w:val="00057B8F"/>
    <w:rsid w:val="0006002D"/>
    <w:rsid w:val="000603EB"/>
    <w:rsid w:val="000604ED"/>
    <w:rsid w:val="00060846"/>
    <w:rsid w:val="000610B3"/>
    <w:rsid w:val="000636A9"/>
    <w:rsid w:val="000640C1"/>
    <w:rsid w:val="00064F1D"/>
    <w:rsid w:val="0006511F"/>
    <w:rsid w:val="000653C2"/>
    <w:rsid w:val="00066199"/>
    <w:rsid w:val="00066F1E"/>
    <w:rsid w:val="00067D61"/>
    <w:rsid w:val="00070307"/>
    <w:rsid w:val="00070572"/>
    <w:rsid w:val="00072DF8"/>
    <w:rsid w:val="00073436"/>
    <w:rsid w:val="00073671"/>
    <w:rsid w:val="000744CA"/>
    <w:rsid w:val="00074D7B"/>
    <w:rsid w:val="00077750"/>
    <w:rsid w:val="00077D62"/>
    <w:rsid w:val="00080937"/>
    <w:rsid w:val="00080E49"/>
    <w:rsid w:val="00081D47"/>
    <w:rsid w:val="00082057"/>
    <w:rsid w:val="000822D9"/>
    <w:rsid w:val="00082775"/>
    <w:rsid w:val="00083B68"/>
    <w:rsid w:val="00083D00"/>
    <w:rsid w:val="00084466"/>
    <w:rsid w:val="000865CA"/>
    <w:rsid w:val="00086DAF"/>
    <w:rsid w:val="00087945"/>
    <w:rsid w:val="000900EA"/>
    <w:rsid w:val="00090147"/>
    <w:rsid w:val="000913C4"/>
    <w:rsid w:val="00091E3F"/>
    <w:rsid w:val="00091FA5"/>
    <w:rsid w:val="000937FF"/>
    <w:rsid w:val="00093B75"/>
    <w:rsid w:val="0009431B"/>
    <w:rsid w:val="000943B5"/>
    <w:rsid w:val="00095651"/>
    <w:rsid w:val="000965D7"/>
    <w:rsid w:val="00096648"/>
    <w:rsid w:val="00096B91"/>
    <w:rsid w:val="00097AC5"/>
    <w:rsid w:val="000A02A0"/>
    <w:rsid w:val="000A03DA"/>
    <w:rsid w:val="000A104C"/>
    <w:rsid w:val="000A1756"/>
    <w:rsid w:val="000A241E"/>
    <w:rsid w:val="000A2569"/>
    <w:rsid w:val="000A2AA6"/>
    <w:rsid w:val="000A2FC3"/>
    <w:rsid w:val="000A4B5B"/>
    <w:rsid w:val="000A5426"/>
    <w:rsid w:val="000A6390"/>
    <w:rsid w:val="000A6F85"/>
    <w:rsid w:val="000B0D3F"/>
    <w:rsid w:val="000B12C6"/>
    <w:rsid w:val="000B131A"/>
    <w:rsid w:val="000B18F1"/>
    <w:rsid w:val="000B2139"/>
    <w:rsid w:val="000B24F0"/>
    <w:rsid w:val="000B30F1"/>
    <w:rsid w:val="000B3957"/>
    <w:rsid w:val="000B3AC8"/>
    <w:rsid w:val="000B3D5B"/>
    <w:rsid w:val="000B4357"/>
    <w:rsid w:val="000B484C"/>
    <w:rsid w:val="000C23C3"/>
    <w:rsid w:val="000C502E"/>
    <w:rsid w:val="000C5C96"/>
    <w:rsid w:val="000C5DB4"/>
    <w:rsid w:val="000C6708"/>
    <w:rsid w:val="000C7165"/>
    <w:rsid w:val="000D10D8"/>
    <w:rsid w:val="000D1688"/>
    <w:rsid w:val="000D33B7"/>
    <w:rsid w:val="000D45F9"/>
    <w:rsid w:val="000D4C9C"/>
    <w:rsid w:val="000D5B6F"/>
    <w:rsid w:val="000D5DB6"/>
    <w:rsid w:val="000D5E12"/>
    <w:rsid w:val="000D6ECB"/>
    <w:rsid w:val="000E0B18"/>
    <w:rsid w:val="000E14F3"/>
    <w:rsid w:val="000E1722"/>
    <w:rsid w:val="000E3C97"/>
    <w:rsid w:val="000E4658"/>
    <w:rsid w:val="000E596A"/>
    <w:rsid w:val="000E5FB5"/>
    <w:rsid w:val="000E620F"/>
    <w:rsid w:val="000E64B8"/>
    <w:rsid w:val="000E66AA"/>
    <w:rsid w:val="000E7915"/>
    <w:rsid w:val="000E7F91"/>
    <w:rsid w:val="000F05CB"/>
    <w:rsid w:val="000F28A0"/>
    <w:rsid w:val="000F2B45"/>
    <w:rsid w:val="000F2FA2"/>
    <w:rsid w:val="000F3A23"/>
    <w:rsid w:val="000F4941"/>
    <w:rsid w:val="000F4F0B"/>
    <w:rsid w:val="000F5542"/>
    <w:rsid w:val="000F74EB"/>
    <w:rsid w:val="000F763D"/>
    <w:rsid w:val="000F76E9"/>
    <w:rsid w:val="000F7DC0"/>
    <w:rsid w:val="0010097F"/>
    <w:rsid w:val="00101D43"/>
    <w:rsid w:val="00101FA5"/>
    <w:rsid w:val="0010215E"/>
    <w:rsid w:val="00104FF7"/>
    <w:rsid w:val="00105203"/>
    <w:rsid w:val="0010595A"/>
    <w:rsid w:val="00106017"/>
    <w:rsid w:val="00106B2B"/>
    <w:rsid w:val="00110185"/>
    <w:rsid w:val="001109F5"/>
    <w:rsid w:val="00110E53"/>
    <w:rsid w:val="0011144D"/>
    <w:rsid w:val="001126DF"/>
    <w:rsid w:val="00112B2A"/>
    <w:rsid w:val="00113584"/>
    <w:rsid w:val="001139DE"/>
    <w:rsid w:val="00113D6C"/>
    <w:rsid w:val="00115A95"/>
    <w:rsid w:val="00115F4C"/>
    <w:rsid w:val="00117374"/>
    <w:rsid w:val="00120A29"/>
    <w:rsid w:val="001210C6"/>
    <w:rsid w:val="001212DF"/>
    <w:rsid w:val="00121453"/>
    <w:rsid w:val="00122478"/>
    <w:rsid w:val="00122696"/>
    <w:rsid w:val="00123CDC"/>
    <w:rsid w:val="00125ADD"/>
    <w:rsid w:val="00125C64"/>
    <w:rsid w:val="001266DC"/>
    <w:rsid w:val="00130CEC"/>
    <w:rsid w:val="00131F68"/>
    <w:rsid w:val="00132159"/>
    <w:rsid w:val="00132DDB"/>
    <w:rsid w:val="00132E93"/>
    <w:rsid w:val="00134698"/>
    <w:rsid w:val="00134AA3"/>
    <w:rsid w:val="001355FE"/>
    <w:rsid w:val="00135E90"/>
    <w:rsid w:val="00136051"/>
    <w:rsid w:val="00137914"/>
    <w:rsid w:val="00141DE2"/>
    <w:rsid w:val="00142718"/>
    <w:rsid w:val="0014288C"/>
    <w:rsid w:val="00143E89"/>
    <w:rsid w:val="00144C84"/>
    <w:rsid w:val="00145D1F"/>
    <w:rsid w:val="0014621A"/>
    <w:rsid w:val="00147340"/>
    <w:rsid w:val="001479F7"/>
    <w:rsid w:val="00147BA4"/>
    <w:rsid w:val="00151A5B"/>
    <w:rsid w:val="0015351A"/>
    <w:rsid w:val="0015358F"/>
    <w:rsid w:val="00153D6A"/>
    <w:rsid w:val="00154176"/>
    <w:rsid w:val="001555F5"/>
    <w:rsid w:val="00155F7A"/>
    <w:rsid w:val="0015687B"/>
    <w:rsid w:val="00156B9C"/>
    <w:rsid w:val="00157BA0"/>
    <w:rsid w:val="00160909"/>
    <w:rsid w:val="00160BB5"/>
    <w:rsid w:val="0016122B"/>
    <w:rsid w:val="00161EBE"/>
    <w:rsid w:val="00162055"/>
    <w:rsid w:val="0016224E"/>
    <w:rsid w:val="001627F6"/>
    <w:rsid w:val="00162DF1"/>
    <w:rsid w:val="00164AD6"/>
    <w:rsid w:val="001662A9"/>
    <w:rsid w:val="001664A2"/>
    <w:rsid w:val="00166B7F"/>
    <w:rsid w:val="00167372"/>
    <w:rsid w:val="001703B4"/>
    <w:rsid w:val="00171A98"/>
    <w:rsid w:val="001729F0"/>
    <w:rsid w:val="0017419F"/>
    <w:rsid w:val="001743B7"/>
    <w:rsid w:val="00174E8B"/>
    <w:rsid w:val="0017547C"/>
    <w:rsid w:val="00175711"/>
    <w:rsid w:val="00177062"/>
    <w:rsid w:val="001773D5"/>
    <w:rsid w:val="00180841"/>
    <w:rsid w:val="00180DAF"/>
    <w:rsid w:val="00180E80"/>
    <w:rsid w:val="001815DA"/>
    <w:rsid w:val="001819DB"/>
    <w:rsid w:val="00181B84"/>
    <w:rsid w:val="0018239D"/>
    <w:rsid w:val="00182D1C"/>
    <w:rsid w:val="00182EF6"/>
    <w:rsid w:val="00183FA4"/>
    <w:rsid w:val="00184A17"/>
    <w:rsid w:val="0018577A"/>
    <w:rsid w:val="00185C8A"/>
    <w:rsid w:val="001870C0"/>
    <w:rsid w:val="00187A10"/>
    <w:rsid w:val="00187D35"/>
    <w:rsid w:val="00190E88"/>
    <w:rsid w:val="001911EC"/>
    <w:rsid w:val="001915DE"/>
    <w:rsid w:val="00191E4D"/>
    <w:rsid w:val="00192C82"/>
    <w:rsid w:val="0019552E"/>
    <w:rsid w:val="001967FC"/>
    <w:rsid w:val="00196A8D"/>
    <w:rsid w:val="00197A41"/>
    <w:rsid w:val="001A0855"/>
    <w:rsid w:val="001A3D10"/>
    <w:rsid w:val="001A4425"/>
    <w:rsid w:val="001A53C5"/>
    <w:rsid w:val="001A5550"/>
    <w:rsid w:val="001A6200"/>
    <w:rsid w:val="001A62C9"/>
    <w:rsid w:val="001A75DF"/>
    <w:rsid w:val="001A7820"/>
    <w:rsid w:val="001A7EE7"/>
    <w:rsid w:val="001B1772"/>
    <w:rsid w:val="001B1778"/>
    <w:rsid w:val="001B2609"/>
    <w:rsid w:val="001B35C3"/>
    <w:rsid w:val="001B3B2D"/>
    <w:rsid w:val="001B3B49"/>
    <w:rsid w:val="001B4041"/>
    <w:rsid w:val="001B4161"/>
    <w:rsid w:val="001B46C2"/>
    <w:rsid w:val="001B4E23"/>
    <w:rsid w:val="001B5216"/>
    <w:rsid w:val="001B55FE"/>
    <w:rsid w:val="001B699B"/>
    <w:rsid w:val="001B7A9E"/>
    <w:rsid w:val="001C0FCF"/>
    <w:rsid w:val="001C170E"/>
    <w:rsid w:val="001C1F69"/>
    <w:rsid w:val="001C2168"/>
    <w:rsid w:val="001C3095"/>
    <w:rsid w:val="001C3E3A"/>
    <w:rsid w:val="001C42E7"/>
    <w:rsid w:val="001C4BEF"/>
    <w:rsid w:val="001C4BF0"/>
    <w:rsid w:val="001C4E0F"/>
    <w:rsid w:val="001C50A3"/>
    <w:rsid w:val="001C6048"/>
    <w:rsid w:val="001C6D6E"/>
    <w:rsid w:val="001D0C43"/>
    <w:rsid w:val="001D2A8D"/>
    <w:rsid w:val="001D2C6B"/>
    <w:rsid w:val="001D3200"/>
    <w:rsid w:val="001D4275"/>
    <w:rsid w:val="001D688F"/>
    <w:rsid w:val="001E0E7C"/>
    <w:rsid w:val="001E1D25"/>
    <w:rsid w:val="001E2D69"/>
    <w:rsid w:val="001E2FC7"/>
    <w:rsid w:val="001E3743"/>
    <w:rsid w:val="001E3979"/>
    <w:rsid w:val="001E4A34"/>
    <w:rsid w:val="001E5ADA"/>
    <w:rsid w:val="001E6BE8"/>
    <w:rsid w:val="001F0735"/>
    <w:rsid w:val="001F1C98"/>
    <w:rsid w:val="001F227B"/>
    <w:rsid w:val="001F28F3"/>
    <w:rsid w:val="001F4122"/>
    <w:rsid w:val="001F47A5"/>
    <w:rsid w:val="001F69D3"/>
    <w:rsid w:val="001F780F"/>
    <w:rsid w:val="001F7C92"/>
    <w:rsid w:val="001F7FC7"/>
    <w:rsid w:val="002002F2"/>
    <w:rsid w:val="002006CE"/>
    <w:rsid w:val="00200AC8"/>
    <w:rsid w:val="00201D86"/>
    <w:rsid w:val="00201DE9"/>
    <w:rsid w:val="0020281C"/>
    <w:rsid w:val="002031D1"/>
    <w:rsid w:val="002035E6"/>
    <w:rsid w:val="00204E92"/>
    <w:rsid w:val="00205217"/>
    <w:rsid w:val="00205C70"/>
    <w:rsid w:val="00207478"/>
    <w:rsid w:val="00210250"/>
    <w:rsid w:val="00211622"/>
    <w:rsid w:val="00211EF3"/>
    <w:rsid w:val="00211F27"/>
    <w:rsid w:val="00212CC5"/>
    <w:rsid w:val="00214642"/>
    <w:rsid w:val="00214EEA"/>
    <w:rsid w:val="00215F43"/>
    <w:rsid w:val="00217926"/>
    <w:rsid w:val="002212F7"/>
    <w:rsid w:val="002228FB"/>
    <w:rsid w:val="00223BE7"/>
    <w:rsid w:val="00223EE5"/>
    <w:rsid w:val="0022424D"/>
    <w:rsid w:val="002270A0"/>
    <w:rsid w:val="002274E6"/>
    <w:rsid w:val="0022752D"/>
    <w:rsid w:val="0022763D"/>
    <w:rsid w:val="00227922"/>
    <w:rsid w:val="002302EB"/>
    <w:rsid w:val="00230F02"/>
    <w:rsid w:val="002313A5"/>
    <w:rsid w:val="00232444"/>
    <w:rsid w:val="00233B2A"/>
    <w:rsid w:val="0023549F"/>
    <w:rsid w:val="00236014"/>
    <w:rsid w:val="00236BEC"/>
    <w:rsid w:val="00237E5E"/>
    <w:rsid w:val="002400B3"/>
    <w:rsid w:val="00240607"/>
    <w:rsid w:val="002406DA"/>
    <w:rsid w:val="0024112A"/>
    <w:rsid w:val="00243779"/>
    <w:rsid w:val="002438A6"/>
    <w:rsid w:val="00243A84"/>
    <w:rsid w:val="00244B41"/>
    <w:rsid w:val="002451D4"/>
    <w:rsid w:val="00246479"/>
    <w:rsid w:val="00250060"/>
    <w:rsid w:val="00250507"/>
    <w:rsid w:val="00250AFB"/>
    <w:rsid w:val="002522C1"/>
    <w:rsid w:val="00252E78"/>
    <w:rsid w:val="00252EFC"/>
    <w:rsid w:val="00253257"/>
    <w:rsid w:val="00253601"/>
    <w:rsid w:val="00253CD7"/>
    <w:rsid w:val="00254A12"/>
    <w:rsid w:val="00255857"/>
    <w:rsid w:val="002559B4"/>
    <w:rsid w:val="00256AE3"/>
    <w:rsid w:val="00257F06"/>
    <w:rsid w:val="00262B1C"/>
    <w:rsid w:val="00262F57"/>
    <w:rsid w:val="002632F3"/>
    <w:rsid w:val="0026378C"/>
    <w:rsid w:val="00263D82"/>
    <w:rsid w:val="00264344"/>
    <w:rsid w:val="00264718"/>
    <w:rsid w:val="002656D0"/>
    <w:rsid w:val="00271E3B"/>
    <w:rsid w:val="00271F15"/>
    <w:rsid w:val="0027217E"/>
    <w:rsid w:val="00272BF8"/>
    <w:rsid w:val="00273CB2"/>
    <w:rsid w:val="00274BD4"/>
    <w:rsid w:val="00276FF5"/>
    <w:rsid w:val="00277629"/>
    <w:rsid w:val="00277B63"/>
    <w:rsid w:val="00277F95"/>
    <w:rsid w:val="0028032B"/>
    <w:rsid w:val="002806AC"/>
    <w:rsid w:val="00281AAE"/>
    <w:rsid w:val="00281EAA"/>
    <w:rsid w:val="00282D94"/>
    <w:rsid w:val="0028302D"/>
    <w:rsid w:val="002831A6"/>
    <w:rsid w:val="002833D5"/>
    <w:rsid w:val="0028349F"/>
    <w:rsid w:val="00284E58"/>
    <w:rsid w:val="00285B0B"/>
    <w:rsid w:val="00287F0D"/>
    <w:rsid w:val="00290F18"/>
    <w:rsid w:val="00292022"/>
    <w:rsid w:val="00292A70"/>
    <w:rsid w:val="002941FE"/>
    <w:rsid w:val="00294465"/>
    <w:rsid w:val="0029468E"/>
    <w:rsid w:val="00294D9A"/>
    <w:rsid w:val="002955DD"/>
    <w:rsid w:val="002957A6"/>
    <w:rsid w:val="002966E2"/>
    <w:rsid w:val="00297A45"/>
    <w:rsid w:val="00297E3C"/>
    <w:rsid w:val="00297E99"/>
    <w:rsid w:val="002A04C5"/>
    <w:rsid w:val="002A08DF"/>
    <w:rsid w:val="002A0A08"/>
    <w:rsid w:val="002A150A"/>
    <w:rsid w:val="002A1D03"/>
    <w:rsid w:val="002A1FFB"/>
    <w:rsid w:val="002A2B87"/>
    <w:rsid w:val="002A46D3"/>
    <w:rsid w:val="002A5577"/>
    <w:rsid w:val="002A6020"/>
    <w:rsid w:val="002A6920"/>
    <w:rsid w:val="002A6E28"/>
    <w:rsid w:val="002A750F"/>
    <w:rsid w:val="002B1656"/>
    <w:rsid w:val="002B264F"/>
    <w:rsid w:val="002B46D8"/>
    <w:rsid w:val="002B4B21"/>
    <w:rsid w:val="002B740A"/>
    <w:rsid w:val="002B7E04"/>
    <w:rsid w:val="002C0859"/>
    <w:rsid w:val="002C09F8"/>
    <w:rsid w:val="002C0B62"/>
    <w:rsid w:val="002C1433"/>
    <w:rsid w:val="002C2CD9"/>
    <w:rsid w:val="002C3332"/>
    <w:rsid w:val="002C4B7B"/>
    <w:rsid w:val="002C509A"/>
    <w:rsid w:val="002C611F"/>
    <w:rsid w:val="002C764E"/>
    <w:rsid w:val="002C7B6D"/>
    <w:rsid w:val="002D08E2"/>
    <w:rsid w:val="002D174E"/>
    <w:rsid w:val="002D2F8B"/>
    <w:rsid w:val="002D32E1"/>
    <w:rsid w:val="002D47FE"/>
    <w:rsid w:val="002D53B1"/>
    <w:rsid w:val="002D53CE"/>
    <w:rsid w:val="002D5D61"/>
    <w:rsid w:val="002D5E7C"/>
    <w:rsid w:val="002D6E1E"/>
    <w:rsid w:val="002E1256"/>
    <w:rsid w:val="002E2784"/>
    <w:rsid w:val="002E2F13"/>
    <w:rsid w:val="002E4D35"/>
    <w:rsid w:val="002E69AC"/>
    <w:rsid w:val="002E71C5"/>
    <w:rsid w:val="002E7D2F"/>
    <w:rsid w:val="002F0426"/>
    <w:rsid w:val="002F15C6"/>
    <w:rsid w:val="002F2EF2"/>
    <w:rsid w:val="002F57A1"/>
    <w:rsid w:val="002F5A1C"/>
    <w:rsid w:val="002F5C03"/>
    <w:rsid w:val="002F634E"/>
    <w:rsid w:val="00300F01"/>
    <w:rsid w:val="00302A9F"/>
    <w:rsid w:val="00304376"/>
    <w:rsid w:val="00304460"/>
    <w:rsid w:val="00305B3C"/>
    <w:rsid w:val="00306198"/>
    <w:rsid w:val="00306751"/>
    <w:rsid w:val="003074CF"/>
    <w:rsid w:val="0031028E"/>
    <w:rsid w:val="0031038D"/>
    <w:rsid w:val="00310406"/>
    <w:rsid w:val="00310611"/>
    <w:rsid w:val="0031113C"/>
    <w:rsid w:val="00311892"/>
    <w:rsid w:val="003135E6"/>
    <w:rsid w:val="00313E89"/>
    <w:rsid w:val="00314B10"/>
    <w:rsid w:val="00314C2D"/>
    <w:rsid w:val="003157DC"/>
    <w:rsid w:val="00317F29"/>
    <w:rsid w:val="00320FEF"/>
    <w:rsid w:val="00321F7C"/>
    <w:rsid w:val="00322A09"/>
    <w:rsid w:val="00325409"/>
    <w:rsid w:val="0032574A"/>
    <w:rsid w:val="003259A3"/>
    <w:rsid w:val="00325CD8"/>
    <w:rsid w:val="00326AEB"/>
    <w:rsid w:val="003278BC"/>
    <w:rsid w:val="00330BEC"/>
    <w:rsid w:val="00331124"/>
    <w:rsid w:val="00332511"/>
    <w:rsid w:val="0033426A"/>
    <w:rsid w:val="0033497A"/>
    <w:rsid w:val="00334F14"/>
    <w:rsid w:val="003356B8"/>
    <w:rsid w:val="00337277"/>
    <w:rsid w:val="00337FFD"/>
    <w:rsid w:val="00340480"/>
    <w:rsid w:val="00340B2E"/>
    <w:rsid w:val="003411AC"/>
    <w:rsid w:val="003430EA"/>
    <w:rsid w:val="003467CA"/>
    <w:rsid w:val="003475D0"/>
    <w:rsid w:val="00350B93"/>
    <w:rsid w:val="00350CC2"/>
    <w:rsid w:val="0035236E"/>
    <w:rsid w:val="00354C57"/>
    <w:rsid w:val="003601B7"/>
    <w:rsid w:val="003604BE"/>
    <w:rsid w:val="00361047"/>
    <w:rsid w:val="003629C6"/>
    <w:rsid w:val="00364619"/>
    <w:rsid w:val="00365362"/>
    <w:rsid w:val="00365F2A"/>
    <w:rsid w:val="00366540"/>
    <w:rsid w:val="00370172"/>
    <w:rsid w:val="00370986"/>
    <w:rsid w:val="00370A47"/>
    <w:rsid w:val="003773D7"/>
    <w:rsid w:val="003811EA"/>
    <w:rsid w:val="003826DF"/>
    <w:rsid w:val="00382B51"/>
    <w:rsid w:val="00382BE7"/>
    <w:rsid w:val="00383374"/>
    <w:rsid w:val="003834C9"/>
    <w:rsid w:val="00383AE1"/>
    <w:rsid w:val="00384DC6"/>
    <w:rsid w:val="00385428"/>
    <w:rsid w:val="00385E6E"/>
    <w:rsid w:val="0038608A"/>
    <w:rsid w:val="003869F1"/>
    <w:rsid w:val="00386B8E"/>
    <w:rsid w:val="00386BEB"/>
    <w:rsid w:val="003919DA"/>
    <w:rsid w:val="003943D1"/>
    <w:rsid w:val="0039458C"/>
    <w:rsid w:val="003946AB"/>
    <w:rsid w:val="00395511"/>
    <w:rsid w:val="003962D9"/>
    <w:rsid w:val="003A04E1"/>
    <w:rsid w:val="003A0984"/>
    <w:rsid w:val="003A1F8D"/>
    <w:rsid w:val="003A3492"/>
    <w:rsid w:val="003A38D2"/>
    <w:rsid w:val="003A3F89"/>
    <w:rsid w:val="003A4395"/>
    <w:rsid w:val="003A4D32"/>
    <w:rsid w:val="003A4DBA"/>
    <w:rsid w:val="003A5EDA"/>
    <w:rsid w:val="003B0153"/>
    <w:rsid w:val="003B0422"/>
    <w:rsid w:val="003B0885"/>
    <w:rsid w:val="003B1A88"/>
    <w:rsid w:val="003B2509"/>
    <w:rsid w:val="003B2542"/>
    <w:rsid w:val="003B25A6"/>
    <w:rsid w:val="003B2DB6"/>
    <w:rsid w:val="003B3370"/>
    <w:rsid w:val="003B4A85"/>
    <w:rsid w:val="003B4BB6"/>
    <w:rsid w:val="003B56B2"/>
    <w:rsid w:val="003B59E0"/>
    <w:rsid w:val="003B6590"/>
    <w:rsid w:val="003B7F7C"/>
    <w:rsid w:val="003C0032"/>
    <w:rsid w:val="003C0817"/>
    <w:rsid w:val="003C0900"/>
    <w:rsid w:val="003C1011"/>
    <w:rsid w:val="003C23AE"/>
    <w:rsid w:val="003C31F6"/>
    <w:rsid w:val="003C3334"/>
    <w:rsid w:val="003C3768"/>
    <w:rsid w:val="003C3EB9"/>
    <w:rsid w:val="003C3FF7"/>
    <w:rsid w:val="003C48F9"/>
    <w:rsid w:val="003C4D0E"/>
    <w:rsid w:val="003C7D00"/>
    <w:rsid w:val="003C7F3F"/>
    <w:rsid w:val="003D1937"/>
    <w:rsid w:val="003D219D"/>
    <w:rsid w:val="003D244E"/>
    <w:rsid w:val="003D2A81"/>
    <w:rsid w:val="003D7795"/>
    <w:rsid w:val="003D7E03"/>
    <w:rsid w:val="003E0342"/>
    <w:rsid w:val="003E0374"/>
    <w:rsid w:val="003E0BBE"/>
    <w:rsid w:val="003E0CA0"/>
    <w:rsid w:val="003E317E"/>
    <w:rsid w:val="003E3E22"/>
    <w:rsid w:val="003E47A2"/>
    <w:rsid w:val="003E4D5F"/>
    <w:rsid w:val="003E4F26"/>
    <w:rsid w:val="003E525A"/>
    <w:rsid w:val="003E5349"/>
    <w:rsid w:val="003E54A3"/>
    <w:rsid w:val="003E5804"/>
    <w:rsid w:val="003E6632"/>
    <w:rsid w:val="003E75B8"/>
    <w:rsid w:val="003F0BED"/>
    <w:rsid w:val="003F2A93"/>
    <w:rsid w:val="003F3B03"/>
    <w:rsid w:val="003F51DB"/>
    <w:rsid w:val="003F56A2"/>
    <w:rsid w:val="003F58A6"/>
    <w:rsid w:val="00400C03"/>
    <w:rsid w:val="00400F31"/>
    <w:rsid w:val="00401DC4"/>
    <w:rsid w:val="00402923"/>
    <w:rsid w:val="00403759"/>
    <w:rsid w:val="00403FE1"/>
    <w:rsid w:val="004040E9"/>
    <w:rsid w:val="0040460D"/>
    <w:rsid w:val="004054C4"/>
    <w:rsid w:val="00406ABC"/>
    <w:rsid w:val="00407E70"/>
    <w:rsid w:val="00407F33"/>
    <w:rsid w:val="00410B97"/>
    <w:rsid w:val="00412FF0"/>
    <w:rsid w:val="004140CB"/>
    <w:rsid w:val="004140F7"/>
    <w:rsid w:val="004146AE"/>
    <w:rsid w:val="00415A5C"/>
    <w:rsid w:val="00415CA5"/>
    <w:rsid w:val="0041607E"/>
    <w:rsid w:val="00416200"/>
    <w:rsid w:val="0041796E"/>
    <w:rsid w:val="00420343"/>
    <w:rsid w:val="0042043F"/>
    <w:rsid w:val="004206C8"/>
    <w:rsid w:val="004211CF"/>
    <w:rsid w:val="00422A2B"/>
    <w:rsid w:val="00423169"/>
    <w:rsid w:val="0042327A"/>
    <w:rsid w:val="00423F82"/>
    <w:rsid w:val="00423FDB"/>
    <w:rsid w:val="004246D3"/>
    <w:rsid w:val="004247DB"/>
    <w:rsid w:val="00425152"/>
    <w:rsid w:val="0042575F"/>
    <w:rsid w:val="00425D19"/>
    <w:rsid w:val="00427DDC"/>
    <w:rsid w:val="0043000B"/>
    <w:rsid w:val="00431391"/>
    <w:rsid w:val="00431452"/>
    <w:rsid w:val="004318EE"/>
    <w:rsid w:val="00431936"/>
    <w:rsid w:val="00431AFB"/>
    <w:rsid w:val="00431D2F"/>
    <w:rsid w:val="00431D55"/>
    <w:rsid w:val="00432ACE"/>
    <w:rsid w:val="00433AF5"/>
    <w:rsid w:val="00434570"/>
    <w:rsid w:val="00434876"/>
    <w:rsid w:val="0043494E"/>
    <w:rsid w:val="004366FD"/>
    <w:rsid w:val="004371D1"/>
    <w:rsid w:val="00437A04"/>
    <w:rsid w:val="00437DB5"/>
    <w:rsid w:val="00437F14"/>
    <w:rsid w:val="004407B3"/>
    <w:rsid w:val="00440AC0"/>
    <w:rsid w:val="0044181B"/>
    <w:rsid w:val="004441F8"/>
    <w:rsid w:val="00445640"/>
    <w:rsid w:val="00445F4D"/>
    <w:rsid w:val="00446206"/>
    <w:rsid w:val="00447925"/>
    <w:rsid w:val="004508D0"/>
    <w:rsid w:val="004513EC"/>
    <w:rsid w:val="00453B59"/>
    <w:rsid w:val="0045589B"/>
    <w:rsid w:val="004568B9"/>
    <w:rsid w:val="004569A1"/>
    <w:rsid w:val="0045712F"/>
    <w:rsid w:val="00457449"/>
    <w:rsid w:val="00457A8A"/>
    <w:rsid w:val="00460358"/>
    <w:rsid w:val="00462706"/>
    <w:rsid w:val="00462796"/>
    <w:rsid w:val="00463439"/>
    <w:rsid w:val="0046402E"/>
    <w:rsid w:val="0046402F"/>
    <w:rsid w:val="00465554"/>
    <w:rsid w:val="00465B07"/>
    <w:rsid w:val="00467A82"/>
    <w:rsid w:val="00467C9F"/>
    <w:rsid w:val="00467E34"/>
    <w:rsid w:val="00467FEE"/>
    <w:rsid w:val="00470A25"/>
    <w:rsid w:val="00470DAF"/>
    <w:rsid w:val="004717D7"/>
    <w:rsid w:val="00472E0A"/>
    <w:rsid w:val="00474899"/>
    <w:rsid w:val="00474F16"/>
    <w:rsid w:val="0047584A"/>
    <w:rsid w:val="00475C5E"/>
    <w:rsid w:val="004773A7"/>
    <w:rsid w:val="00477968"/>
    <w:rsid w:val="00480A56"/>
    <w:rsid w:val="00480D5C"/>
    <w:rsid w:val="00481B8E"/>
    <w:rsid w:val="00482C65"/>
    <w:rsid w:val="00484A2F"/>
    <w:rsid w:val="0048594C"/>
    <w:rsid w:val="00485C4F"/>
    <w:rsid w:val="00486747"/>
    <w:rsid w:val="004875BA"/>
    <w:rsid w:val="00490861"/>
    <w:rsid w:val="004922FF"/>
    <w:rsid w:val="00492B58"/>
    <w:rsid w:val="0049305F"/>
    <w:rsid w:val="004932E7"/>
    <w:rsid w:val="0049377E"/>
    <w:rsid w:val="00493A4C"/>
    <w:rsid w:val="00494CC9"/>
    <w:rsid w:val="004961C0"/>
    <w:rsid w:val="00496E18"/>
    <w:rsid w:val="00497034"/>
    <w:rsid w:val="004978CF"/>
    <w:rsid w:val="004A06D1"/>
    <w:rsid w:val="004A1095"/>
    <w:rsid w:val="004A15DD"/>
    <w:rsid w:val="004A23B5"/>
    <w:rsid w:val="004A32B0"/>
    <w:rsid w:val="004A4171"/>
    <w:rsid w:val="004A4174"/>
    <w:rsid w:val="004A41EE"/>
    <w:rsid w:val="004A4DD5"/>
    <w:rsid w:val="004A5273"/>
    <w:rsid w:val="004A5F44"/>
    <w:rsid w:val="004A70DE"/>
    <w:rsid w:val="004A7EB0"/>
    <w:rsid w:val="004B0238"/>
    <w:rsid w:val="004B0955"/>
    <w:rsid w:val="004B12CA"/>
    <w:rsid w:val="004B38BD"/>
    <w:rsid w:val="004B3AA7"/>
    <w:rsid w:val="004B4AC2"/>
    <w:rsid w:val="004B4D75"/>
    <w:rsid w:val="004B5FA8"/>
    <w:rsid w:val="004B6476"/>
    <w:rsid w:val="004B76BA"/>
    <w:rsid w:val="004C04E9"/>
    <w:rsid w:val="004C0756"/>
    <w:rsid w:val="004C1536"/>
    <w:rsid w:val="004C1A3D"/>
    <w:rsid w:val="004C2689"/>
    <w:rsid w:val="004C33CE"/>
    <w:rsid w:val="004C39C6"/>
    <w:rsid w:val="004C3CE3"/>
    <w:rsid w:val="004C4159"/>
    <w:rsid w:val="004C4865"/>
    <w:rsid w:val="004C49F1"/>
    <w:rsid w:val="004C5981"/>
    <w:rsid w:val="004C6122"/>
    <w:rsid w:val="004C638B"/>
    <w:rsid w:val="004C646B"/>
    <w:rsid w:val="004C7142"/>
    <w:rsid w:val="004C7667"/>
    <w:rsid w:val="004D0441"/>
    <w:rsid w:val="004D222F"/>
    <w:rsid w:val="004D2483"/>
    <w:rsid w:val="004D31E7"/>
    <w:rsid w:val="004D361A"/>
    <w:rsid w:val="004D4ED9"/>
    <w:rsid w:val="004D522C"/>
    <w:rsid w:val="004D5747"/>
    <w:rsid w:val="004D78C8"/>
    <w:rsid w:val="004E18B4"/>
    <w:rsid w:val="004E2C8F"/>
    <w:rsid w:val="004E31DE"/>
    <w:rsid w:val="004E6EA8"/>
    <w:rsid w:val="004E7426"/>
    <w:rsid w:val="004E780D"/>
    <w:rsid w:val="004E7CC4"/>
    <w:rsid w:val="004F045C"/>
    <w:rsid w:val="004F37A0"/>
    <w:rsid w:val="004F50D4"/>
    <w:rsid w:val="004F56E2"/>
    <w:rsid w:val="004F5A1E"/>
    <w:rsid w:val="004F6095"/>
    <w:rsid w:val="004F66FB"/>
    <w:rsid w:val="004F6F7C"/>
    <w:rsid w:val="004F7FAF"/>
    <w:rsid w:val="0050011B"/>
    <w:rsid w:val="00501DFF"/>
    <w:rsid w:val="00502C2E"/>
    <w:rsid w:val="0050415E"/>
    <w:rsid w:val="00506DA0"/>
    <w:rsid w:val="005074A7"/>
    <w:rsid w:val="00507FA5"/>
    <w:rsid w:val="005119B2"/>
    <w:rsid w:val="00512182"/>
    <w:rsid w:val="0051375E"/>
    <w:rsid w:val="00513E5E"/>
    <w:rsid w:val="005157F8"/>
    <w:rsid w:val="00520B38"/>
    <w:rsid w:val="005213C2"/>
    <w:rsid w:val="00521780"/>
    <w:rsid w:val="005220AD"/>
    <w:rsid w:val="00522151"/>
    <w:rsid w:val="005227FC"/>
    <w:rsid w:val="00522EF1"/>
    <w:rsid w:val="00522FC0"/>
    <w:rsid w:val="005231C2"/>
    <w:rsid w:val="005235D8"/>
    <w:rsid w:val="00524BDF"/>
    <w:rsid w:val="00525C57"/>
    <w:rsid w:val="0053099A"/>
    <w:rsid w:val="00532236"/>
    <w:rsid w:val="00532A8A"/>
    <w:rsid w:val="00532C84"/>
    <w:rsid w:val="00532DA0"/>
    <w:rsid w:val="00534C71"/>
    <w:rsid w:val="00535617"/>
    <w:rsid w:val="00535D25"/>
    <w:rsid w:val="0053776E"/>
    <w:rsid w:val="00541C40"/>
    <w:rsid w:val="00541D60"/>
    <w:rsid w:val="0054206E"/>
    <w:rsid w:val="0054301D"/>
    <w:rsid w:val="005437DF"/>
    <w:rsid w:val="00543A98"/>
    <w:rsid w:val="00543BBE"/>
    <w:rsid w:val="005444DA"/>
    <w:rsid w:val="00545C30"/>
    <w:rsid w:val="00545F1C"/>
    <w:rsid w:val="005468D0"/>
    <w:rsid w:val="00547A7D"/>
    <w:rsid w:val="00547CD5"/>
    <w:rsid w:val="005545B3"/>
    <w:rsid w:val="00554BEF"/>
    <w:rsid w:val="00554C63"/>
    <w:rsid w:val="0055589D"/>
    <w:rsid w:val="005565AD"/>
    <w:rsid w:val="00557729"/>
    <w:rsid w:val="00560810"/>
    <w:rsid w:val="0056190A"/>
    <w:rsid w:val="00562AC4"/>
    <w:rsid w:val="00562E85"/>
    <w:rsid w:val="0056565F"/>
    <w:rsid w:val="00565C83"/>
    <w:rsid w:val="00565D3B"/>
    <w:rsid w:val="00566BFA"/>
    <w:rsid w:val="005701C0"/>
    <w:rsid w:val="0057076F"/>
    <w:rsid w:val="0057155E"/>
    <w:rsid w:val="00571CCB"/>
    <w:rsid w:val="005731F7"/>
    <w:rsid w:val="0057357F"/>
    <w:rsid w:val="00573C52"/>
    <w:rsid w:val="005747B3"/>
    <w:rsid w:val="00575227"/>
    <w:rsid w:val="005752D8"/>
    <w:rsid w:val="00576C80"/>
    <w:rsid w:val="00580390"/>
    <w:rsid w:val="00580D6E"/>
    <w:rsid w:val="00580F37"/>
    <w:rsid w:val="0058115E"/>
    <w:rsid w:val="00581426"/>
    <w:rsid w:val="00581678"/>
    <w:rsid w:val="00582335"/>
    <w:rsid w:val="00582ECB"/>
    <w:rsid w:val="0058639D"/>
    <w:rsid w:val="005864DA"/>
    <w:rsid w:val="00586795"/>
    <w:rsid w:val="00586A5E"/>
    <w:rsid w:val="005870B0"/>
    <w:rsid w:val="00587ED2"/>
    <w:rsid w:val="0059286F"/>
    <w:rsid w:val="00592C2A"/>
    <w:rsid w:val="00593F75"/>
    <w:rsid w:val="005945FB"/>
    <w:rsid w:val="005955A7"/>
    <w:rsid w:val="0059567D"/>
    <w:rsid w:val="005959A1"/>
    <w:rsid w:val="005969A1"/>
    <w:rsid w:val="005A0939"/>
    <w:rsid w:val="005A1965"/>
    <w:rsid w:val="005A20E1"/>
    <w:rsid w:val="005A2209"/>
    <w:rsid w:val="005A3739"/>
    <w:rsid w:val="005A3767"/>
    <w:rsid w:val="005A3BA4"/>
    <w:rsid w:val="005A3DD7"/>
    <w:rsid w:val="005A465F"/>
    <w:rsid w:val="005A6C07"/>
    <w:rsid w:val="005B0CD6"/>
    <w:rsid w:val="005B201E"/>
    <w:rsid w:val="005B2171"/>
    <w:rsid w:val="005B3E97"/>
    <w:rsid w:val="005B5817"/>
    <w:rsid w:val="005B5C16"/>
    <w:rsid w:val="005B5E84"/>
    <w:rsid w:val="005B6F93"/>
    <w:rsid w:val="005C1A2B"/>
    <w:rsid w:val="005C3B1D"/>
    <w:rsid w:val="005C4170"/>
    <w:rsid w:val="005C5644"/>
    <w:rsid w:val="005C5835"/>
    <w:rsid w:val="005C5B1A"/>
    <w:rsid w:val="005C5DC3"/>
    <w:rsid w:val="005C73D3"/>
    <w:rsid w:val="005C785C"/>
    <w:rsid w:val="005C7B7E"/>
    <w:rsid w:val="005D046D"/>
    <w:rsid w:val="005D2313"/>
    <w:rsid w:val="005D4403"/>
    <w:rsid w:val="005D5EA8"/>
    <w:rsid w:val="005D6E83"/>
    <w:rsid w:val="005D7F70"/>
    <w:rsid w:val="005E010A"/>
    <w:rsid w:val="005E05C6"/>
    <w:rsid w:val="005E0766"/>
    <w:rsid w:val="005E2234"/>
    <w:rsid w:val="005E3230"/>
    <w:rsid w:val="005E3676"/>
    <w:rsid w:val="005E445B"/>
    <w:rsid w:val="005E4956"/>
    <w:rsid w:val="005E6CBA"/>
    <w:rsid w:val="005E7746"/>
    <w:rsid w:val="005F06E1"/>
    <w:rsid w:val="005F079C"/>
    <w:rsid w:val="005F0E29"/>
    <w:rsid w:val="005F1BE8"/>
    <w:rsid w:val="005F2033"/>
    <w:rsid w:val="005F2553"/>
    <w:rsid w:val="005F2999"/>
    <w:rsid w:val="005F2E22"/>
    <w:rsid w:val="005F3097"/>
    <w:rsid w:val="005F5C2D"/>
    <w:rsid w:val="005F6509"/>
    <w:rsid w:val="005F6BE8"/>
    <w:rsid w:val="005F6D6F"/>
    <w:rsid w:val="005F73A1"/>
    <w:rsid w:val="00600CEE"/>
    <w:rsid w:val="0060112C"/>
    <w:rsid w:val="00602F53"/>
    <w:rsid w:val="006036B8"/>
    <w:rsid w:val="00603F7D"/>
    <w:rsid w:val="00606F6B"/>
    <w:rsid w:val="00607052"/>
    <w:rsid w:val="006076A1"/>
    <w:rsid w:val="00607CFC"/>
    <w:rsid w:val="006106D8"/>
    <w:rsid w:val="00610D5E"/>
    <w:rsid w:val="00611C18"/>
    <w:rsid w:val="00612B2F"/>
    <w:rsid w:val="00614DA8"/>
    <w:rsid w:val="006170E0"/>
    <w:rsid w:val="00620186"/>
    <w:rsid w:val="00620B51"/>
    <w:rsid w:val="00621EC3"/>
    <w:rsid w:val="006228B7"/>
    <w:rsid w:val="00622D95"/>
    <w:rsid w:val="00622E90"/>
    <w:rsid w:val="00622F2F"/>
    <w:rsid w:val="00623815"/>
    <w:rsid w:val="00624B12"/>
    <w:rsid w:val="00625D2F"/>
    <w:rsid w:val="00626CD3"/>
    <w:rsid w:val="00627F8A"/>
    <w:rsid w:val="00630E52"/>
    <w:rsid w:val="006311F3"/>
    <w:rsid w:val="006323AB"/>
    <w:rsid w:val="00634C4A"/>
    <w:rsid w:val="006350AA"/>
    <w:rsid w:val="00635298"/>
    <w:rsid w:val="00635779"/>
    <w:rsid w:val="00636880"/>
    <w:rsid w:val="00637D64"/>
    <w:rsid w:val="00640050"/>
    <w:rsid w:val="006401C4"/>
    <w:rsid w:val="00641CB7"/>
    <w:rsid w:val="00644445"/>
    <w:rsid w:val="00644A11"/>
    <w:rsid w:val="00645656"/>
    <w:rsid w:val="00645929"/>
    <w:rsid w:val="0064743F"/>
    <w:rsid w:val="00647B6C"/>
    <w:rsid w:val="00647E3B"/>
    <w:rsid w:val="00650B19"/>
    <w:rsid w:val="006517FE"/>
    <w:rsid w:val="00651BFA"/>
    <w:rsid w:val="0065215D"/>
    <w:rsid w:val="00652546"/>
    <w:rsid w:val="00653AA3"/>
    <w:rsid w:val="00654BFE"/>
    <w:rsid w:val="00655277"/>
    <w:rsid w:val="006564ED"/>
    <w:rsid w:val="00657020"/>
    <w:rsid w:val="00657465"/>
    <w:rsid w:val="006574DC"/>
    <w:rsid w:val="00657A15"/>
    <w:rsid w:val="006604B2"/>
    <w:rsid w:val="006608C9"/>
    <w:rsid w:val="006611FB"/>
    <w:rsid w:val="00662FC4"/>
    <w:rsid w:val="006663F1"/>
    <w:rsid w:val="00666E31"/>
    <w:rsid w:val="00667CAB"/>
    <w:rsid w:val="0067005C"/>
    <w:rsid w:val="00670337"/>
    <w:rsid w:val="00670EB4"/>
    <w:rsid w:val="006729A5"/>
    <w:rsid w:val="00675BD6"/>
    <w:rsid w:val="00676518"/>
    <w:rsid w:val="00676A32"/>
    <w:rsid w:val="00676A88"/>
    <w:rsid w:val="00677C2E"/>
    <w:rsid w:val="006804F5"/>
    <w:rsid w:val="0068254F"/>
    <w:rsid w:val="006827CA"/>
    <w:rsid w:val="00683913"/>
    <w:rsid w:val="0068400A"/>
    <w:rsid w:val="00684B33"/>
    <w:rsid w:val="006851BD"/>
    <w:rsid w:val="006861D6"/>
    <w:rsid w:val="00690DFD"/>
    <w:rsid w:val="00691970"/>
    <w:rsid w:val="00691E0A"/>
    <w:rsid w:val="00691F65"/>
    <w:rsid w:val="00694178"/>
    <w:rsid w:val="006948A0"/>
    <w:rsid w:val="006954F3"/>
    <w:rsid w:val="00695A8C"/>
    <w:rsid w:val="006A107A"/>
    <w:rsid w:val="006A3022"/>
    <w:rsid w:val="006A357B"/>
    <w:rsid w:val="006A3E2B"/>
    <w:rsid w:val="006A5CAB"/>
    <w:rsid w:val="006A619B"/>
    <w:rsid w:val="006A6290"/>
    <w:rsid w:val="006A673E"/>
    <w:rsid w:val="006A70F7"/>
    <w:rsid w:val="006A720A"/>
    <w:rsid w:val="006A7428"/>
    <w:rsid w:val="006B242D"/>
    <w:rsid w:val="006B5A90"/>
    <w:rsid w:val="006B65D3"/>
    <w:rsid w:val="006B72E1"/>
    <w:rsid w:val="006B7892"/>
    <w:rsid w:val="006C0A79"/>
    <w:rsid w:val="006C0B61"/>
    <w:rsid w:val="006C2D96"/>
    <w:rsid w:val="006C38E4"/>
    <w:rsid w:val="006C399E"/>
    <w:rsid w:val="006C3F9A"/>
    <w:rsid w:val="006C5028"/>
    <w:rsid w:val="006C7A9C"/>
    <w:rsid w:val="006D0CAE"/>
    <w:rsid w:val="006D0D93"/>
    <w:rsid w:val="006D1072"/>
    <w:rsid w:val="006D24C0"/>
    <w:rsid w:val="006D2861"/>
    <w:rsid w:val="006D31AF"/>
    <w:rsid w:val="006D363F"/>
    <w:rsid w:val="006D36E5"/>
    <w:rsid w:val="006D3724"/>
    <w:rsid w:val="006D4569"/>
    <w:rsid w:val="006D4C71"/>
    <w:rsid w:val="006D5410"/>
    <w:rsid w:val="006D59A4"/>
    <w:rsid w:val="006D6328"/>
    <w:rsid w:val="006D6655"/>
    <w:rsid w:val="006D7152"/>
    <w:rsid w:val="006D7BCF"/>
    <w:rsid w:val="006E06C9"/>
    <w:rsid w:val="006E3ECB"/>
    <w:rsid w:val="006E41DD"/>
    <w:rsid w:val="006E507F"/>
    <w:rsid w:val="006E7483"/>
    <w:rsid w:val="006E7AAB"/>
    <w:rsid w:val="006F2023"/>
    <w:rsid w:val="006F3F30"/>
    <w:rsid w:val="006F43FE"/>
    <w:rsid w:val="006F47D4"/>
    <w:rsid w:val="006F4CC5"/>
    <w:rsid w:val="00700CB9"/>
    <w:rsid w:val="00702023"/>
    <w:rsid w:val="0070250D"/>
    <w:rsid w:val="007026E0"/>
    <w:rsid w:val="00702C64"/>
    <w:rsid w:val="00703915"/>
    <w:rsid w:val="0070397D"/>
    <w:rsid w:val="00703C49"/>
    <w:rsid w:val="00704431"/>
    <w:rsid w:val="00704873"/>
    <w:rsid w:val="00705ABF"/>
    <w:rsid w:val="0070635F"/>
    <w:rsid w:val="0070648B"/>
    <w:rsid w:val="0070761D"/>
    <w:rsid w:val="007108F5"/>
    <w:rsid w:val="00711038"/>
    <w:rsid w:val="00711969"/>
    <w:rsid w:val="00713C70"/>
    <w:rsid w:val="00714A44"/>
    <w:rsid w:val="007164B5"/>
    <w:rsid w:val="007166A8"/>
    <w:rsid w:val="00716CD7"/>
    <w:rsid w:val="007175DB"/>
    <w:rsid w:val="007204A0"/>
    <w:rsid w:val="00720CCE"/>
    <w:rsid w:val="00720F4D"/>
    <w:rsid w:val="00721E43"/>
    <w:rsid w:val="00721FE8"/>
    <w:rsid w:val="007232E4"/>
    <w:rsid w:val="00724569"/>
    <w:rsid w:val="00724CE6"/>
    <w:rsid w:val="00725762"/>
    <w:rsid w:val="00726337"/>
    <w:rsid w:val="0072710D"/>
    <w:rsid w:val="007300BF"/>
    <w:rsid w:val="007300DB"/>
    <w:rsid w:val="00730BE8"/>
    <w:rsid w:val="0073191E"/>
    <w:rsid w:val="007324AA"/>
    <w:rsid w:val="00732A17"/>
    <w:rsid w:val="00732CEF"/>
    <w:rsid w:val="00732CFE"/>
    <w:rsid w:val="00732F02"/>
    <w:rsid w:val="00733712"/>
    <w:rsid w:val="00734CBB"/>
    <w:rsid w:val="00736B57"/>
    <w:rsid w:val="00737577"/>
    <w:rsid w:val="00742A53"/>
    <w:rsid w:val="00743C20"/>
    <w:rsid w:val="00743F93"/>
    <w:rsid w:val="007459A5"/>
    <w:rsid w:val="007465E5"/>
    <w:rsid w:val="00750E2E"/>
    <w:rsid w:val="00751234"/>
    <w:rsid w:val="00753345"/>
    <w:rsid w:val="00753933"/>
    <w:rsid w:val="00757ECE"/>
    <w:rsid w:val="007600FC"/>
    <w:rsid w:val="00761D4F"/>
    <w:rsid w:val="00761F5E"/>
    <w:rsid w:val="00762B6B"/>
    <w:rsid w:val="00762D46"/>
    <w:rsid w:val="00763188"/>
    <w:rsid w:val="007637EE"/>
    <w:rsid w:val="00764BE2"/>
    <w:rsid w:val="00764D83"/>
    <w:rsid w:val="00765227"/>
    <w:rsid w:val="007657F5"/>
    <w:rsid w:val="007665C9"/>
    <w:rsid w:val="00767BF8"/>
    <w:rsid w:val="00767F79"/>
    <w:rsid w:val="00770165"/>
    <w:rsid w:val="00770190"/>
    <w:rsid w:val="00771053"/>
    <w:rsid w:val="00772DAA"/>
    <w:rsid w:val="007747AD"/>
    <w:rsid w:val="00774886"/>
    <w:rsid w:val="00775F7B"/>
    <w:rsid w:val="00777E1B"/>
    <w:rsid w:val="00780F4F"/>
    <w:rsid w:val="0078192D"/>
    <w:rsid w:val="00782920"/>
    <w:rsid w:val="00782D1D"/>
    <w:rsid w:val="00783FBD"/>
    <w:rsid w:val="00784443"/>
    <w:rsid w:val="0078445E"/>
    <w:rsid w:val="00784754"/>
    <w:rsid w:val="0078522E"/>
    <w:rsid w:val="007869D6"/>
    <w:rsid w:val="00787096"/>
    <w:rsid w:val="007872EA"/>
    <w:rsid w:val="007874EC"/>
    <w:rsid w:val="0078791D"/>
    <w:rsid w:val="00787E66"/>
    <w:rsid w:val="00790633"/>
    <w:rsid w:val="00790C2E"/>
    <w:rsid w:val="00790FD5"/>
    <w:rsid w:val="007916FC"/>
    <w:rsid w:val="00792A0E"/>
    <w:rsid w:val="00793452"/>
    <w:rsid w:val="00793830"/>
    <w:rsid w:val="007949A3"/>
    <w:rsid w:val="00795504"/>
    <w:rsid w:val="00795D7A"/>
    <w:rsid w:val="00795F69"/>
    <w:rsid w:val="007A07EF"/>
    <w:rsid w:val="007A27D3"/>
    <w:rsid w:val="007A30CD"/>
    <w:rsid w:val="007A3509"/>
    <w:rsid w:val="007A369B"/>
    <w:rsid w:val="007A382D"/>
    <w:rsid w:val="007A38A1"/>
    <w:rsid w:val="007A3B93"/>
    <w:rsid w:val="007A4311"/>
    <w:rsid w:val="007A6BDA"/>
    <w:rsid w:val="007A757D"/>
    <w:rsid w:val="007A7EB7"/>
    <w:rsid w:val="007B20DA"/>
    <w:rsid w:val="007B24DA"/>
    <w:rsid w:val="007B28E8"/>
    <w:rsid w:val="007B4D1D"/>
    <w:rsid w:val="007B6846"/>
    <w:rsid w:val="007B7341"/>
    <w:rsid w:val="007C107D"/>
    <w:rsid w:val="007C17A6"/>
    <w:rsid w:val="007C1C46"/>
    <w:rsid w:val="007C46A9"/>
    <w:rsid w:val="007C46FD"/>
    <w:rsid w:val="007C4A7E"/>
    <w:rsid w:val="007C4FFB"/>
    <w:rsid w:val="007C69E6"/>
    <w:rsid w:val="007C7AF6"/>
    <w:rsid w:val="007C7CFE"/>
    <w:rsid w:val="007D007E"/>
    <w:rsid w:val="007D1F25"/>
    <w:rsid w:val="007D21D8"/>
    <w:rsid w:val="007D2653"/>
    <w:rsid w:val="007D2868"/>
    <w:rsid w:val="007D29D0"/>
    <w:rsid w:val="007D2BDD"/>
    <w:rsid w:val="007D3D2E"/>
    <w:rsid w:val="007D4D0E"/>
    <w:rsid w:val="007D60FA"/>
    <w:rsid w:val="007D7ABB"/>
    <w:rsid w:val="007D7B8A"/>
    <w:rsid w:val="007E0730"/>
    <w:rsid w:val="007E0BA8"/>
    <w:rsid w:val="007E125F"/>
    <w:rsid w:val="007E1315"/>
    <w:rsid w:val="007E1C70"/>
    <w:rsid w:val="007E1E28"/>
    <w:rsid w:val="007E2513"/>
    <w:rsid w:val="007E2A5C"/>
    <w:rsid w:val="007E2B17"/>
    <w:rsid w:val="007E32DB"/>
    <w:rsid w:val="007E351D"/>
    <w:rsid w:val="007E37F5"/>
    <w:rsid w:val="007E5C38"/>
    <w:rsid w:val="007E5DE0"/>
    <w:rsid w:val="007E6CCF"/>
    <w:rsid w:val="007E752D"/>
    <w:rsid w:val="007E77F5"/>
    <w:rsid w:val="007F04DA"/>
    <w:rsid w:val="007F44A0"/>
    <w:rsid w:val="007F46DE"/>
    <w:rsid w:val="007F4BAD"/>
    <w:rsid w:val="007F5767"/>
    <w:rsid w:val="007F7201"/>
    <w:rsid w:val="007F7296"/>
    <w:rsid w:val="007F77AF"/>
    <w:rsid w:val="00801420"/>
    <w:rsid w:val="00801EE4"/>
    <w:rsid w:val="00803083"/>
    <w:rsid w:val="00803139"/>
    <w:rsid w:val="008046E5"/>
    <w:rsid w:val="0080509F"/>
    <w:rsid w:val="00805BC8"/>
    <w:rsid w:val="008071B8"/>
    <w:rsid w:val="008071E6"/>
    <w:rsid w:val="008078BF"/>
    <w:rsid w:val="00807C7E"/>
    <w:rsid w:val="00807DD6"/>
    <w:rsid w:val="00810450"/>
    <w:rsid w:val="0081174A"/>
    <w:rsid w:val="00811D8E"/>
    <w:rsid w:val="0081238E"/>
    <w:rsid w:val="00812556"/>
    <w:rsid w:val="008127B0"/>
    <w:rsid w:val="00812AD2"/>
    <w:rsid w:val="00813448"/>
    <w:rsid w:val="00814052"/>
    <w:rsid w:val="00814B5F"/>
    <w:rsid w:val="0081605E"/>
    <w:rsid w:val="00817889"/>
    <w:rsid w:val="00817EFB"/>
    <w:rsid w:val="00820352"/>
    <w:rsid w:val="008205EB"/>
    <w:rsid w:val="00820F1C"/>
    <w:rsid w:val="008219D7"/>
    <w:rsid w:val="00822163"/>
    <w:rsid w:val="008224E3"/>
    <w:rsid w:val="00822B9D"/>
    <w:rsid w:val="0082367C"/>
    <w:rsid w:val="00823B60"/>
    <w:rsid w:val="00823BDD"/>
    <w:rsid w:val="00824E74"/>
    <w:rsid w:val="0082528B"/>
    <w:rsid w:val="00825383"/>
    <w:rsid w:val="00830913"/>
    <w:rsid w:val="00830AD1"/>
    <w:rsid w:val="008313ED"/>
    <w:rsid w:val="008321C8"/>
    <w:rsid w:val="008325B3"/>
    <w:rsid w:val="0083288C"/>
    <w:rsid w:val="00832A6E"/>
    <w:rsid w:val="00832D21"/>
    <w:rsid w:val="0083345B"/>
    <w:rsid w:val="008350E1"/>
    <w:rsid w:val="0083513F"/>
    <w:rsid w:val="0083531C"/>
    <w:rsid w:val="0083670D"/>
    <w:rsid w:val="00836833"/>
    <w:rsid w:val="00840482"/>
    <w:rsid w:val="008415D7"/>
    <w:rsid w:val="00841B98"/>
    <w:rsid w:val="00841E61"/>
    <w:rsid w:val="0084241E"/>
    <w:rsid w:val="008424D5"/>
    <w:rsid w:val="00842D38"/>
    <w:rsid w:val="00842E41"/>
    <w:rsid w:val="00842E8C"/>
    <w:rsid w:val="008462C5"/>
    <w:rsid w:val="00847A4C"/>
    <w:rsid w:val="0085134E"/>
    <w:rsid w:val="00851AD8"/>
    <w:rsid w:val="00854394"/>
    <w:rsid w:val="00854984"/>
    <w:rsid w:val="00855800"/>
    <w:rsid w:val="0085589D"/>
    <w:rsid w:val="00856F6C"/>
    <w:rsid w:val="00857B41"/>
    <w:rsid w:val="00857DF7"/>
    <w:rsid w:val="0086004C"/>
    <w:rsid w:val="00860E7D"/>
    <w:rsid w:val="00860FED"/>
    <w:rsid w:val="008612B9"/>
    <w:rsid w:val="008613B5"/>
    <w:rsid w:val="00863705"/>
    <w:rsid w:val="008638E1"/>
    <w:rsid w:val="0086433B"/>
    <w:rsid w:val="008647A3"/>
    <w:rsid w:val="00864A14"/>
    <w:rsid w:val="008655C1"/>
    <w:rsid w:val="008668AB"/>
    <w:rsid w:val="00870624"/>
    <w:rsid w:val="00870BC9"/>
    <w:rsid w:val="00871E4F"/>
    <w:rsid w:val="008749AD"/>
    <w:rsid w:val="00876F21"/>
    <w:rsid w:val="008771BC"/>
    <w:rsid w:val="0087724C"/>
    <w:rsid w:val="008772CB"/>
    <w:rsid w:val="00880211"/>
    <w:rsid w:val="00883C90"/>
    <w:rsid w:val="00884F39"/>
    <w:rsid w:val="00884FA9"/>
    <w:rsid w:val="00885497"/>
    <w:rsid w:val="00885551"/>
    <w:rsid w:val="00886C47"/>
    <w:rsid w:val="00886CBA"/>
    <w:rsid w:val="0089054D"/>
    <w:rsid w:val="0089123D"/>
    <w:rsid w:val="0089267B"/>
    <w:rsid w:val="00892CE7"/>
    <w:rsid w:val="0089361C"/>
    <w:rsid w:val="008948BB"/>
    <w:rsid w:val="00895A60"/>
    <w:rsid w:val="00896789"/>
    <w:rsid w:val="008977CE"/>
    <w:rsid w:val="00897CF0"/>
    <w:rsid w:val="008A007A"/>
    <w:rsid w:val="008A05BC"/>
    <w:rsid w:val="008A3712"/>
    <w:rsid w:val="008A37EC"/>
    <w:rsid w:val="008A3CFB"/>
    <w:rsid w:val="008A4432"/>
    <w:rsid w:val="008A68D6"/>
    <w:rsid w:val="008A6D09"/>
    <w:rsid w:val="008A7160"/>
    <w:rsid w:val="008A75C5"/>
    <w:rsid w:val="008A7A04"/>
    <w:rsid w:val="008B0459"/>
    <w:rsid w:val="008B275F"/>
    <w:rsid w:val="008B2CC9"/>
    <w:rsid w:val="008B2FBD"/>
    <w:rsid w:val="008B3503"/>
    <w:rsid w:val="008B4A52"/>
    <w:rsid w:val="008C0239"/>
    <w:rsid w:val="008C0598"/>
    <w:rsid w:val="008C1384"/>
    <w:rsid w:val="008C19A7"/>
    <w:rsid w:val="008C3353"/>
    <w:rsid w:val="008C4473"/>
    <w:rsid w:val="008C44F2"/>
    <w:rsid w:val="008C468B"/>
    <w:rsid w:val="008C4960"/>
    <w:rsid w:val="008C51B4"/>
    <w:rsid w:val="008C5479"/>
    <w:rsid w:val="008C622C"/>
    <w:rsid w:val="008C6E4A"/>
    <w:rsid w:val="008D0BBE"/>
    <w:rsid w:val="008D0F92"/>
    <w:rsid w:val="008D2AE3"/>
    <w:rsid w:val="008D3E52"/>
    <w:rsid w:val="008D59B2"/>
    <w:rsid w:val="008D60A7"/>
    <w:rsid w:val="008D6E73"/>
    <w:rsid w:val="008D70E1"/>
    <w:rsid w:val="008D769C"/>
    <w:rsid w:val="008D7738"/>
    <w:rsid w:val="008E1843"/>
    <w:rsid w:val="008E1E7B"/>
    <w:rsid w:val="008E22F8"/>
    <w:rsid w:val="008E2502"/>
    <w:rsid w:val="008E2782"/>
    <w:rsid w:val="008E426A"/>
    <w:rsid w:val="008E5989"/>
    <w:rsid w:val="008E666C"/>
    <w:rsid w:val="008E6BDC"/>
    <w:rsid w:val="008E709B"/>
    <w:rsid w:val="008F19D5"/>
    <w:rsid w:val="008F23FD"/>
    <w:rsid w:val="008F2AFE"/>
    <w:rsid w:val="008F32F3"/>
    <w:rsid w:val="008F390F"/>
    <w:rsid w:val="008F43A9"/>
    <w:rsid w:val="008F471C"/>
    <w:rsid w:val="008F5B78"/>
    <w:rsid w:val="008F5DFA"/>
    <w:rsid w:val="008F716B"/>
    <w:rsid w:val="008F7C29"/>
    <w:rsid w:val="009006AA"/>
    <w:rsid w:val="00900CFB"/>
    <w:rsid w:val="00900F6F"/>
    <w:rsid w:val="00901B25"/>
    <w:rsid w:val="0090233A"/>
    <w:rsid w:val="009030D6"/>
    <w:rsid w:val="00903433"/>
    <w:rsid w:val="00905EB9"/>
    <w:rsid w:val="0090747F"/>
    <w:rsid w:val="00910520"/>
    <w:rsid w:val="00910E44"/>
    <w:rsid w:val="00911B86"/>
    <w:rsid w:val="009123CF"/>
    <w:rsid w:val="00912DDA"/>
    <w:rsid w:val="009139C0"/>
    <w:rsid w:val="00913BA2"/>
    <w:rsid w:val="00913D9A"/>
    <w:rsid w:val="00914920"/>
    <w:rsid w:val="0091724B"/>
    <w:rsid w:val="00921247"/>
    <w:rsid w:val="00921970"/>
    <w:rsid w:val="00921D45"/>
    <w:rsid w:val="009225F4"/>
    <w:rsid w:val="00923BAF"/>
    <w:rsid w:val="0092468D"/>
    <w:rsid w:val="00926024"/>
    <w:rsid w:val="009263AE"/>
    <w:rsid w:val="00926E6A"/>
    <w:rsid w:val="0092722B"/>
    <w:rsid w:val="009300E0"/>
    <w:rsid w:val="00931683"/>
    <w:rsid w:val="00931869"/>
    <w:rsid w:val="00931C56"/>
    <w:rsid w:val="0093410A"/>
    <w:rsid w:val="00934762"/>
    <w:rsid w:val="00934FC1"/>
    <w:rsid w:val="0093568A"/>
    <w:rsid w:val="0093637D"/>
    <w:rsid w:val="009365CE"/>
    <w:rsid w:val="009368B4"/>
    <w:rsid w:val="00937820"/>
    <w:rsid w:val="00940CC9"/>
    <w:rsid w:val="00941D84"/>
    <w:rsid w:val="00943291"/>
    <w:rsid w:val="00943BF2"/>
    <w:rsid w:val="00944994"/>
    <w:rsid w:val="0094553C"/>
    <w:rsid w:val="009461AD"/>
    <w:rsid w:val="009463CC"/>
    <w:rsid w:val="00946596"/>
    <w:rsid w:val="00947606"/>
    <w:rsid w:val="00947F39"/>
    <w:rsid w:val="00950B51"/>
    <w:rsid w:val="00950CCE"/>
    <w:rsid w:val="00952704"/>
    <w:rsid w:val="0095275F"/>
    <w:rsid w:val="00954BF8"/>
    <w:rsid w:val="009556DD"/>
    <w:rsid w:val="00956439"/>
    <w:rsid w:val="00957601"/>
    <w:rsid w:val="00961704"/>
    <w:rsid w:val="00962206"/>
    <w:rsid w:val="0096361D"/>
    <w:rsid w:val="00963D5F"/>
    <w:rsid w:val="0096588A"/>
    <w:rsid w:val="0096663C"/>
    <w:rsid w:val="00966C5B"/>
    <w:rsid w:val="00966EFE"/>
    <w:rsid w:val="00966FBD"/>
    <w:rsid w:val="009673BF"/>
    <w:rsid w:val="00967428"/>
    <w:rsid w:val="00967B3B"/>
    <w:rsid w:val="009715DE"/>
    <w:rsid w:val="00971F47"/>
    <w:rsid w:val="00972D8A"/>
    <w:rsid w:val="009732AF"/>
    <w:rsid w:val="00974563"/>
    <w:rsid w:val="00974F78"/>
    <w:rsid w:val="00975024"/>
    <w:rsid w:val="009765D4"/>
    <w:rsid w:val="00977149"/>
    <w:rsid w:val="0097732F"/>
    <w:rsid w:val="00981927"/>
    <w:rsid w:val="00982144"/>
    <w:rsid w:val="00983663"/>
    <w:rsid w:val="00984483"/>
    <w:rsid w:val="00984597"/>
    <w:rsid w:val="0098464E"/>
    <w:rsid w:val="009849E2"/>
    <w:rsid w:val="009852D9"/>
    <w:rsid w:val="00985764"/>
    <w:rsid w:val="0099060F"/>
    <w:rsid w:val="00990E43"/>
    <w:rsid w:val="009911C8"/>
    <w:rsid w:val="00991609"/>
    <w:rsid w:val="00991CFF"/>
    <w:rsid w:val="0099288A"/>
    <w:rsid w:val="00993CE1"/>
    <w:rsid w:val="00994849"/>
    <w:rsid w:val="009948B6"/>
    <w:rsid w:val="0099524D"/>
    <w:rsid w:val="00995320"/>
    <w:rsid w:val="00995510"/>
    <w:rsid w:val="009955B2"/>
    <w:rsid w:val="00997A9E"/>
    <w:rsid w:val="00997D2E"/>
    <w:rsid w:val="009A116B"/>
    <w:rsid w:val="009A2070"/>
    <w:rsid w:val="009A37E1"/>
    <w:rsid w:val="009A42BA"/>
    <w:rsid w:val="009A469D"/>
    <w:rsid w:val="009A4DC5"/>
    <w:rsid w:val="009A5F00"/>
    <w:rsid w:val="009A7055"/>
    <w:rsid w:val="009B04FA"/>
    <w:rsid w:val="009B2923"/>
    <w:rsid w:val="009B29E7"/>
    <w:rsid w:val="009B3870"/>
    <w:rsid w:val="009B5CD6"/>
    <w:rsid w:val="009B6C2B"/>
    <w:rsid w:val="009B7D2F"/>
    <w:rsid w:val="009C0C42"/>
    <w:rsid w:val="009C21FD"/>
    <w:rsid w:val="009C39DF"/>
    <w:rsid w:val="009C3BEA"/>
    <w:rsid w:val="009C3DCD"/>
    <w:rsid w:val="009C434F"/>
    <w:rsid w:val="009C4899"/>
    <w:rsid w:val="009C54C2"/>
    <w:rsid w:val="009C76D8"/>
    <w:rsid w:val="009D006D"/>
    <w:rsid w:val="009D0B45"/>
    <w:rsid w:val="009D19B0"/>
    <w:rsid w:val="009D2B86"/>
    <w:rsid w:val="009D566F"/>
    <w:rsid w:val="009D56ED"/>
    <w:rsid w:val="009D5B9E"/>
    <w:rsid w:val="009D5EB2"/>
    <w:rsid w:val="009D6BCF"/>
    <w:rsid w:val="009D6CBF"/>
    <w:rsid w:val="009D7CE6"/>
    <w:rsid w:val="009E0A88"/>
    <w:rsid w:val="009E0E6C"/>
    <w:rsid w:val="009E1FA9"/>
    <w:rsid w:val="009E606B"/>
    <w:rsid w:val="009E6A58"/>
    <w:rsid w:val="009E6BAD"/>
    <w:rsid w:val="009E7B0D"/>
    <w:rsid w:val="009E7E47"/>
    <w:rsid w:val="009F02F7"/>
    <w:rsid w:val="009F09A3"/>
    <w:rsid w:val="009F2D58"/>
    <w:rsid w:val="009F2F12"/>
    <w:rsid w:val="009F2FCC"/>
    <w:rsid w:val="009F3EA9"/>
    <w:rsid w:val="009F5F59"/>
    <w:rsid w:val="009F66D8"/>
    <w:rsid w:val="009F6C6C"/>
    <w:rsid w:val="009F7073"/>
    <w:rsid w:val="009F7F64"/>
    <w:rsid w:val="00A00D70"/>
    <w:rsid w:val="00A01727"/>
    <w:rsid w:val="00A03A59"/>
    <w:rsid w:val="00A045A0"/>
    <w:rsid w:val="00A04EC1"/>
    <w:rsid w:val="00A050B2"/>
    <w:rsid w:val="00A05D42"/>
    <w:rsid w:val="00A05F42"/>
    <w:rsid w:val="00A067CA"/>
    <w:rsid w:val="00A06DE7"/>
    <w:rsid w:val="00A07279"/>
    <w:rsid w:val="00A10AF1"/>
    <w:rsid w:val="00A10FF3"/>
    <w:rsid w:val="00A116F8"/>
    <w:rsid w:val="00A11C35"/>
    <w:rsid w:val="00A12202"/>
    <w:rsid w:val="00A122FE"/>
    <w:rsid w:val="00A12F04"/>
    <w:rsid w:val="00A13F31"/>
    <w:rsid w:val="00A167B8"/>
    <w:rsid w:val="00A16DEC"/>
    <w:rsid w:val="00A16EF5"/>
    <w:rsid w:val="00A178A2"/>
    <w:rsid w:val="00A17970"/>
    <w:rsid w:val="00A20936"/>
    <w:rsid w:val="00A221F7"/>
    <w:rsid w:val="00A2326E"/>
    <w:rsid w:val="00A239DE"/>
    <w:rsid w:val="00A2565C"/>
    <w:rsid w:val="00A2581B"/>
    <w:rsid w:val="00A26845"/>
    <w:rsid w:val="00A26A54"/>
    <w:rsid w:val="00A26C13"/>
    <w:rsid w:val="00A26F96"/>
    <w:rsid w:val="00A31237"/>
    <w:rsid w:val="00A318A1"/>
    <w:rsid w:val="00A31E69"/>
    <w:rsid w:val="00A320CA"/>
    <w:rsid w:val="00A338B6"/>
    <w:rsid w:val="00A361B5"/>
    <w:rsid w:val="00A36C07"/>
    <w:rsid w:val="00A4116A"/>
    <w:rsid w:val="00A415C0"/>
    <w:rsid w:val="00A41EB1"/>
    <w:rsid w:val="00A422C3"/>
    <w:rsid w:val="00A446BA"/>
    <w:rsid w:val="00A44E3F"/>
    <w:rsid w:val="00A466C8"/>
    <w:rsid w:val="00A47FC9"/>
    <w:rsid w:val="00A50C57"/>
    <w:rsid w:val="00A50EB9"/>
    <w:rsid w:val="00A51DB6"/>
    <w:rsid w:val="00A520B9"/>
    <w:rsid w:val="00A52594"/>
    <w:rsid w:val="00A535E8"/>
    <w:rsid w:val="00A53952"/>
    <w:rsid w:val="00A53A74"/>
    <w:rsid w:val="00A53B5E"/>
    <w:rsid w:val="00A5485A"/>
    <w:rsid w:val="00A55666"/>
    <w:rsid w:val="00A56E85"/>
    <w:rsid w:val="00A56F02"/>
    <w:rsid w:val="00A57AB1"/>
    <w:rsid w:val="00A607BC"/>
    <w:rsid w:val="00A60EE1"/>
    <w:rsid w:val="00A612F1"/>
    <w:rsid w:val="00A61695"/>
    <w:rsid w:val="00A62223"/>
    <w:rsid w:val="00A62546"/>
    <w:rsid w:val="00A63B4D"/>
    <w:rsid w:val="00A63F5D"/>
    <w:rsid w:val="00A65219"/>
    <w:rsid w:val="00A67AC4"/>
    <w:rsid w:val="00A67CCB"/>
    <w:rsid w:val="00A67F05"/>
    <w:rsid w:val="00A70A56"/>
    <w:rsid w:val="00A7212E"/>
    <w:rsid w:val="00A72F03"/>
    <w:rsid w:val="00A7572F"/>
    <w:rsid w:val="00A7615C"/>
    <w:rsid w:val="00A7708E"/>
    <w:rsid w:val="00A80971"/>
    <w:rsid w:val="00A8495F"/>
    <w:rsid w:val="00A84C33"/>
    <w:rsid w:val="00A85C25"/>
    <w:rsid w:val="00A8615E"/>
    <w:rsid w:val="00A86BDF"/>
    <w:rsid w:val="00A87DEB"/>
    <w:rsid w:val="00A902AE"/>
    <w:rsid w:val="00A90DC1"/>
    <w:rsid w:val="00A91196"/>
    <w:rsid w:val="00A9157A"/>
    <w:rsid w:val="00A91C3C"/>
    <w:rsid w:val="00A92168"/>
    <w:rsid w:val="00A92314"/>
    <w:rsid w:val="00A93B29"/>
    <w:rsid w:val="00A94898"/>
    <w:rsid w:val="00A94EF8"/>
    <w:rsid w:val="00A953E9"/>
    <w:rsid w:val="00A95679"/>
    <w:rsid w:val="00A95982"/>
    <w:rsid w:val="00A96698"/>
    <w:rsid w:val="00A9675D"/>
    <w:rsid w:val="00A97741"/>
    <w:rsid w:val="00A97783"/>
    <w:rsid w:val="00AA17AB"/>
    <w:rsid w:val="00AA1968"/>
    <w:rsid w:val="00AA2D57"/>
    <w:rsid w:val="00AA3A32"/>
    <w:rsid w:val="00AA57B1"/>
    <w:rsid w:val="00AA5987"/>
    <w:rsid w:val="00AA6561"/>
    <w:rsid w:val="00AA6E3C"/>
    <w:rsid w:val="00AA7805"/>
    <w:rsid w:val="00AB0262"/>
    <w:rsid w:val="00AB10C7"/>
    <w:rsid w:val="00AB219E"/>
    <w:rsid w:val="00AB2E3A"/>
    <w:rsid w:val="00AB3D56"/>
    <w:rsid w:val="00AB4154"/>
    <w:rsid w:val="00AB5728"/>
    <w:rsid w:val="00AB5A2F"/>
    <w:rsid w:val="00AB62B5"/>
    <w:rsid w:val="00AB752D"/>
    <w:rsid w:val="00AC0B93"/>
    <w:rsid w:val="00AC2A11"/>
    <w:rsid w:val="00AC3802"/>
    <w:rsid w:val="00AC3A19"/>
    <w:rsid w:val="00AC3BF2"/>
    <w:rsid w:val="00AC43FA"/>
    <w:rsid w:val="00AC5732"/>
    <w:rsid w:val="00AC6C21"/>
    <w:rsid w:val="00AC6D4F"/>
    <w:rsid w:val="00AC6EC2"/>
    <w:rsid w:val="00AC7C56"/>
    <w:rsid w:val="00AD1587"/>
    <w:rsid w:val="00AD1897"/>
    <w:rsid w:val="00AD1BF4"/>
    <w:rsid w:val="00AD1D80"/>
    <w:rsid w:val="00AD3397"/>
    <w:rsid w:val="00AD34B6"/>
    <w:rsid w:val="00AD3BED"/>
    <w:rsid w:val="00AD408C"/>
    <w:rsid w:val="00AD4A72"/>
    <w:rsid w:val="00AD4C45"/>
    <w:rsid w:val="00AD524B"/>
    <w:rsid w:val="00AD526D"/>
    <w:rsid w:val="00AD5F49"/>
    <w:rsid w:val="00AD68A8"/>
    <w:rsid w:val="00AD780D"/>
    <w:rsid w:val="00AE14D2"/>
    <w:rsid w:val="00AE1AA9"/>
    <w:rsid w:val="00AE2345"/>
    <w:rsid w:val="00AE3041"/>
    <w:rsid w:val="00AE3674"/>
    <w:rsid w:val="00AE36EA"/>
    <w:rsid w:val="00AE7287"/>
    <w:rsid w:val="00AE763E"/>
    <w:rsid w:val="00AE7843"/>
    <w:rsid w:val="00AF0227"/>
    <w:rsid w:val="00AF0939"/>
    <w:rsid w:val="00AF2285"/>
    <w:rsid w:val="00AF3492"/>
    <w:rsid w:val="00AF42A6"/>
    <w:rsid w:val="00AF4815"/>
    <w:rsid w:val="00AF4B7C"/>
    <w:rsid w:val="00AF5455"/>
    <w:rsid w:val="00AF5DF5"/>
    <w:rsid w:val="00AF6A22"/>
    <w:rsid w:val="00B002AA"/>
    <w:rsid w:val="00B00559"/>
    <w:rsid w:val="00B00B10"/>
    <w:rsid w:val="00B011E6"/>
    <w:rsid w:val="00B02434"/>
    <w:rsid w:val="00B0296F"/>
    <w:rsid w:val="00B02D3E"/>
    <w:rsid w:val="00B03025"/>
    <w:rsid w:val="00B03E46"/>
    <w:rsid w:val="00B0404B"/>
    <w:rsid w:val="00B042B9"/>
    <w:rsid w:val="00B04C5B"/>
    <w:rsid w:val="00B06BB6"/>
    <w:rsid w:val="00B06D66"/>
    <w:rsid w:val="00B10674"/>
    <w:rsid w:val="00B109E5"/>
    <w:rsid w:val="00B13432"/>
    <w:rsid w:val="00B135D0"/>
    <w:rsid w:val="00B13CFC"/>
    <w:rsid w:val="00B14D14"/>
    <w:rsid w:val="00B14D47"/>
    <w:rsid w:val="00B1525C"/>
    <w:rsid w:val="00B16574"/>
    <w:rsid w:val="00B16738"/>
    <w:rsid w:val="00B171A5"/>
    <w:rsid w:val="00B20328"/>
    <w:rsid w:val="00B2144C"/>
    <w:rsid w:val="00B21C39"/>
    <w:rsid w:val="00B221DC"/>
    <w:rsid w:val="00B234E0"/>
    <w:rsid w:val="00B2672A"/>
    <w:rsid w:val="00B27B0F"/>
    <w:rsid w:val="00B31504"/>
    <w:rsid w:val="00B319F2"/>
    <w:rsid w:val="00B31B28"/>
    <w:rsid w:val="00B31F46"/>
    <w:rsid w:val="00B31F86"/>
    <w:rsid w:val="00B325A6"/>
    <w:rsid w:val="00B341F9"/>
    <w:rsid w:val="00B34EB6"/>
    <w:rsid w:val="00B366A6"/>
    <w:rsid w:val="00B371A5"/>
    <w:rsid w:val="00B3756E"/>
    <w:rsid w:val="00B37A34"/>
    <w:rsid w:val="00B4036D"/>
    <w:rsid w:val="00B40529"/>
    <w:rsid w:val="00B42870"/>
    <w:rsid w:val="00B42B28"/>
    <w:rsid w:val="00B43C9D"/>
    <w:rsid w:val="00B44F2D"/>
    <w:rsid w:val="00B457CD"/>
    <w:rsid w:val="00B46FDB"/>
    <w:rsid w:val="00B531C8"/>
    <w:rsid w:val="00B540E5"/>
    <w:rsid w:val="00B54B65"/>
    <w:rsid w:val="00B55905"/>
    <w:rsid w:val="00B559CB"/>
    <w:rsid w:val="00B55EFA"/>
    <w:rsid w:val="00B5633D"/>
    <w:rsid w:val="00B56C24"/>
    <w:rsid w:val="00B57B39"/>
    <w:rsid w:val="00B57C2B"/>
    <w:rsid w:val="00B6078A"/>
    <w:rsid w:val="00B610C5"/>
    <w:rsid w:val="00B61567"/>
    <w:rsid w:val="00B61DE6"/>
    <w:rsid w:val="00B6234D"/>
    <w:rsid w:val="00B637E4"/>
    <w:rsid w:val="00B63A9E"/>
    <w:rsid w:val="00B63EAC"/>
    <w:rsid w:val="00B63FC7"/>
    <w:rsid w:val="00B64401"/>
    <w:rsid w:val="00B65185"/>
    <w:rsid w:val="00B652AA"/>
    <w:rsid w:val="00B65310"/>
    <w:rsid w:val="00B65E33"/>
    <w:rsid w:val="00B6639B"/>
    <w:rsid w:val="00B66CC1"/>
    <w:rsid w:val="00B71103"/>
    <w:rsid w:val="00B71446"/>
    <w:rsid w:val="00B718BA"/>
    <w:rsid w:val="00B73A43"/>
    <w:rsid w:val="00B74E5C"/>
    <w:rsid w:val="00B758AA"/>
    <w:rsid w:val="00B75DE0"/>
    <w:rsid w:val="00B76286"/>
    <w:rsid w:val="00B76950"/>
    <w:rsid w:val="00B800CF"/>
    <w:rsid w:val="00B802FD"/>
    <w:rsid w:val="00B812FF"/>
    <w:rsid w:val="00B825CA"/>
    <w:rsid w:val="00B83110"/>
    <w:rsid w:val="00B838B2"/>
    <w:rsid w:val="00B8396F"/>
    <w:rsid w:val="00B84A3F"/>
    <w:rsid w:val="00B84CF5"/>
    <w:rsid w:val="00B86C55"/>
    <w:rsid w:val="00B8741F"/>
    <w:rsid w:val="00B90ABC"/>
    <w:rsid w:val="00B92162"/>
    <w:rsid w:val="00B93F8D"/>
    <w:rsid w:val="00B94296"/>
    <w:rsid w:val="00B94667"/>
    <w:rsid w:val="00B948C8"/>
    <w:rsid w:val="00B96ED6"/>
    <w:rsid w:val="00B977CA"/>
    <w:rsid w:val="00BA05DD"/>
    <w:rsid w:val="00BA0A52"/>
    <w:rsid w:val="00BA0E7A"/>
    <w:rsid w:val="00BA2000"/>
    <w:rsid w:val="00BA204D"/>
    <w:rsid w:val="00BA2707"/>
    <w:rsid w:val="00BA4335"/>
    <w:rsid w:val="00BA4F66"/>
    <w:rsid w:val="00BA513C"/>
    <w:rsid w:val="00BA6330"/>
    <w:rsid w:val="00BA6546"/>
    <w:rsid w:val="00BB1ADA"/>
    <w:rsid w:val="00BB227A"/>
    <w:rsid w:val="00BB2881"/>
    <w:rsid w:val="00BB32D0"/>
    <w:rsid w:val="00BB373C"/>
    <w:rsid w:val="00BB3893"/>
    <w:rsid w:val="00BB3B29"/>
    <w:rsid w:val="00BB6EC6"/>
    <w:rsid w:val="00BB7D1C"/>
    <w:rsid w:val="00BC17EA"/>
    <w:rsid w:val="00BC4729"/>
    <w:rsid w:val="00BC65DD"/>
    <w:rsid w:val="00BD0F90"/>
    <w:rsid w:val="00BD2A40"/>
    <w:rsid w:val="00BD2ADA"/>
    <w:rsid w:val="00BD3366"/>
    <w:rsid w:val="00BD3524"/>
    <w:rsid w:val="00BD5A09"/>
    <w:rsid w:val="00BD5F92"/>
    <w:rsid w:val="00BD779C"/>
    <w:rsid w:val="00BE04D6"/>
    <w:rsid w:val="00BE0768"/>
    <w:rsid w:val="00BE11BF"/>
    <w:rsid w:val="00BE1FA7"/>
    <w:rsid w:val="00BE2CA2"/>
    <w:rsid w:val="00BE303B"/>
    <w:rsid w:val="00BE5797"/>
    <w:rsid w:val="00BE5E9F"/>
    <w:rsid w:val="00BF1BB9"/>
    <w:rsid w:val="00BF3ACE"/>
    <w:rsid w:val="00BF48A7"/>
    <w:rsid w:val="00BF5489"/>
    <w:rsid w:val="00BF7978"/>
    <w:rsid w:val="00BF7B34"/>
    <w:rsid w:val="00BF7ECF"/>
    <w:rsid w:val="00C002FB"/>
    <w:rsid w:val="00C00944"/>
    <w:rsid w:val="00C0165F"/>
    <w:rsid w:val="00C01FD6"/>
    <w:rsid w:val="00C02497"/>
    <w:rsid w:val="00C02ECE"/>
    <w:rsid w:val="00C060C7"/>
    <w:rsid w:val="00C06947"/>
    <w:rsid w:val="00C10C60"/>
    <w:rsid w:val="00C119CC"/>
    <w:rsid w:val="00C12030"/>
    <w:rsid w:val="00C12D14"/>
    <w:rsid w:val="00C1397B"/>
    <w:rsid w:val="00C13F3E"/>
    <w:rsid w:val="00C13F69"/>
    <w:rsid w:val="00C1561F"/>
    <w:rsid w:val="00C174D5"/>
    <w:rsid w:val="00C17E9A"/>
    <w:rsid w:val="00C20556"/>
    <w:rsid w:val="00C20CC6"/>
    <w:rsid w:val="00C21353"/>
    <w:rsid w:val="00C21790"/>
    <w:rsid w:val="00C21A2A"/>
    <w:rsid w:val="00C2393F"/>
    <w:rsid w:val="00C23C3C"/>
    <w:rsid w:val="00C24745"/>
    <w:rsid w:val="00C267E1"/>
    <w:rsid w:val="00C275EE"/>
    <w:rsid w:val="00C30257"/>
    <w:rsid w:val="00C302F3"/>
    <w:rsid w:val="00C30ED9"/>
    <w:rsid w:val="00C31BC8"/>
    <w:rsid w:val="00C32396"/>
    <w:rsid w:val="00C32E61"/>
    <w:rsid w:val="00C32FFB"/>
    <w:rsid w:val="00C33FD5"/>
    <w:rsid w:val="00C34991"/>
    <w:rsid w:val="00C34C00"/>
    <w:rsid w:val="00C3595E"/>
    <w:rsid w:val="00C36879"/>
    <w:rsid w:val="00C37146"/>
    <w:rsid w:val="00C37797"/>
    <w:rsid w:val="00C4047A"/>
    <w:rsid w:val="00C404DB"/>
    <w:rsid w:val="00C41B03"/>
    <w:rsid w:val="00C420FC"/>
    <w:rsid w:val="00C443C7"/>
    <w:rsid w:val="00C46222"/>
    <w:rsid w:val="00C4625F"/>
    <w:rsid w:val="00C46453"/>
    <w:rsid w:val="00C467E6"/>
    <w:rsid w:val="00C47D07"/>
    <w:rsid w:val="00C56017"/>
    <w:rsid w:val="00C57A51"/>
    <w:rsid w:val="00C60E23"/>
    <w:rsid w:val="00C612F0"/>
    <w:rsid w:val="00C61999"/>
    <w:rsid w:val="00C61B56"/>
    <w:rsid w:val="00C61D2D"/>
    <w:rsid w:val="00C62ACD"/>
    <w:rsid w:val="00C62C89"/>
    <w:rsid w:val="00C62D32"/>
    <w:rsid w:val="00C635AD"/>
    <w:rsid w:val="00C63F1B"/>
    <w:rsid w:val="00C642E5"/>
    <w:rsid w:val="00C6546A"/>
    <w:rsid w:val="00C70F99"/>
    <w:rsid w:val="00C71D37"/>
    <w:rsid w:val="00C7366B"/>
    <w:rsid w:val="00C740BD"/>
    <w:rsid w:val="00C74719"/>
    <w:rsid w:val="00C749DD"/>
    <w:rsid w:val="00C75388"/>
    <w:rsid w:val="00C80127"/>
    <w:rsid w:val="00C81A46"/>
    <w:rsid w:val="00C83061"/>
    <w:rsid w:val="00C832D2"/>
    <w:rsid w:val="00C8338E"/>
    <w:rsid w:val="00C848E4"/>
    <w:rsid w:val="00C84B12"/>
    <w:rsid w:val="00C8569F"/>
    <w:rsid w:val="00C863D0"/>
    <w:rsid w:val="00C86F85"/>
    <w:rsid w:val="00C90434"/>
    <w:rsid w:val="00C9071F"/>
    <w:rsid w:val="00C90DB7"/>
    <w:rsid w:val="00C91A50"/>
    <w:rsid w:val="00C92A2F"/>
    <w:rsid w:val="00C94846"/>
    <w:rsid w:val="00C94A01"/>
    <w:rsid w:val="00C94D8E"/>
    <w:rsid w:val="00C95856"/>
    <w:rsid w:val="00C95BC2"/>
    <w:rsid w:val="00C95C6B"/>
    <w:rsid w:val="00C96995"/>
    <w:rsid w:val="00C973C8"/>
    <w:rsid w:val="00C97920"/>
    <w:rsid w:val="00CA0302"/>
    <w:rsid w:val="00CA0513"/>
    <w:rsid w:val="00CA0540"/>
    <w:rsid w:val="00CA1DC1"/>
    <w:rsid w:val="00CA40B6"/>
    <w:rsid w:val="00CA5A3B"/>
    <w:rsid w:val="00CA60EC"/>
    <w:rsid w:val="00CA632D"/>
    <w:rsid w:val="00CA6B61"/>
    <w:rsid w:val="00CA6BCA"/>
    <w:rsid w:val="00CA6FC6"/>
    <w:rsid w:val="00CA7826"/>
    <w:rsid w:val="00CA7F0F"/>
    <w:rsid w:val="00CB0275"/>
    <w:rsid w:val="00CB0C61"/>
    <w:rsid w:val="00CB152A"/>
    <w:rsid w:val="00CB1559"/>
    <w:rsid w:val="00CB177F"/>
    <w:rsid w:val="00CB2DCD"/>
    <w:rsid w:val="00CB3171"/>
    <w:rsid w:val="00CB33BD"/>
    <w:rsid w:val="00CB3B84"/>
    <w:rsid w:val="00CB6001"/>
    <w:rsid w:val="00CB6416"/>
    <w:rsid w:val="00CB70D8"/>
    <w:rsid w:val="00CC0BA7"/>
    <w:rsid w:val="00CC1E52"/>
    <w:rsid w:val="00CC33B8"/>
    <w:rsid w:val="00CC6FBE"/>
    <w:rsid w:val="00CC728F"/>
    <w:rsid w:val="00CD04FD"/>
    <w:rsid w:val="00CD1AE4"/>
    <w:rsid w:val="00CD326D"/>
    <w:rsid w:val="00CD33F5"/>
    <w:rsid w:val="00CD5036"/>
    <w:rsid w:val="00CD5710"/>
    <w:rsid w:val="00CD5CE6"/>
    <w:rsid w:val="00CD75F8"/>
    <w:rsid w:val="00CD78EE"/>
    <w:rsid w:val="00CD7A9A"/>
    <w:rsid w:val="00CD7C8E"/>
    <w:rsid w:val="00CE10A1"/>
    <w:rsid w:val="00CE44E5"/>
    <w:rsid w:val="00CE4B8A"/>
    <w:rsid w:val="00CE56D3"/>
    <w:rsid w:val="00CE5B8A"/>
    <w:rsid w:val="00CE5C26"/>
    <w:rsid w:val="00CE6AE8"/>
    <w:rsid w:val="00CE72CB"/>
    <w:rsid w:val="00CE7C20"/>
    <w:rsid w:val="00CE7DF4"/>
    <w:rsid w:val="00CF45F2"/>
    <w:rsid w:val="00CF4A40"/>
    <w:rsid w:val="00CF5CB5"/>
    <w:rsid w:val="00CF6AF1"/>
    <w:rsid w:val="00D008A9"/>
    <w:rsid w:val="00D021D5"/>
    <w:rsid w:val="00D022D4"/>
    <w:rsid w:val="00D023F7"/>
    <w:rsid w:val="00D030E1"/>
    <w:rsid w:val="00D04171"/>
    <w:rsid w:val="00D06E2C"/>
    <w:rsid w:val="00D1026C"/>
    <w:rsid w:val="00D1183B"/>
    <w:rsid w:val="00D12187"/>
    <w:rsid w:val="00D12AA6"/>
    <w:rsid w:val="00D12D17"/>
    <w:rsid w:val="00D12FB4"/>
    <w:rsid w:val="00D130FD"/>
    <w:rsid w:val="00D14AB6"/>
    <w:rsid w:val="00D14CB7"/>
    <w:rsid w:val="00D14EDE"/>
    <w:rsid w:val="00D16EEA"/>
    <w:rsid w:val="00D21E6E"/>
    <w:rsid w:val="00D23186"/>
    <w:rsid w:val="00D244D8"/>
    <w:rsid w:val="00D24CAD"/>
    <w:rsid w:val="00D251C0"/>
    <w:rsid w:val="00D2538D"/>
    <w:rsid w:val="00D25920"/>
    <w:rsid w:val="00D27168"/>
    <w:rsid w:val="00D274CD"/>
    <w:rsid w:val="00D277FC"/>
    <w:rsid w:val="00D318B3"/>
    <w:rsid w:val="00D31992"/>
    <w:rsid w:val="00D32A02"/>
    <w:rsid w:val="00D32C8D"/>
    <w:rsid w:val="00D330E8"/>
    <w:rsid w:val="00D336A6"/>
    <w:rsid w:val="00D33A13"/>
    <w:rsid w:val="00D34564"/>
    <w:rsid w:val="00D419D2"/>
    <w:rsid w:val="00D41A71"/>
    <w:rsid w:val="00D433F0"/>
    <w:rsid w:val="00D43BA2"/>
    <w:rsid w:val="00D443A6"/>
    <w:rsid w:val="00D4470D"/>
    <w:rsid w:val="00D46430"/>
    <w:rsid w:val="00D46523"/>
    <w:rsid w:val="00D478E8"/>
    <w:rsid w:val="00D52129"/>
    <w:rsid w:val="00D521B1"/>
    <w:rsid w:val="00D5243A"/>
    <w:rsid w:val="00D527A2"/>
    <w:rsid w:val="00D53CF9"/>
    <w:rsid w:val="00D548D5"/>
    <w:rsid w:val="00D54971"/>
    <w:rsid w:val="00D54C30"/>
    <w:rsid w:val="00D54EB8"/>
    <w:rsid w:val="00D56FA4"/>
    <w:rsid w:val="00D57D85"/>
    <w:rsid w:val="00D61446"/>
    <w:rsid w:val="00D62292"/>
    <w:rsid w:val="00D62680"/>
    <w:rsid w:val="00D62D9E"/>
    <w:rsid w:val="00D62E82"/>
    <w:rsid w:val="00D6446A"/>
    <w:rsid w:val="00D64607"/>
    <w:rsid w:val="00D65B53"/>
    <w:rsid w:val="00D65E8D"/>
    <w:rsid w:val="00D6759B"/>
    <w:rsid w:val="00D67AC8"/>
    <w:rsid w:val="00D67F22"/>
    <w:rsid w:val="00D720FC"/>
    <w:rsid w:val="00D728D3"/>
    <w:rsid w:val="00D72AA6"/>
    <w:rsid w:val="00D72B4A"/>
    <w:rsid w:val="00D741CB"/>
    <w:rsid w:val="00D74CEA"/>
    <w:rsid w:val="00D75627"/>
    <w:rsid w:val="00D767F7"/>
    <w:rsid w:val="00D76B4C"/>
    <w:rsid w:val="00D76BFE"/>
    <w:rsid w:val="00D76D18"/>
    <w:rsid w:val="00D771F1"/>
    <w:rsid w:val="00D77621"/>
    <w:rsid w:val="00D77BE9"/>
    <w:rsid w:val="00D814C8"/>
    <w:rsid w:val="00D82FB1"/>
    <w:rsid w:val="00D83C7D"/>
    <w:rsid w:val="00D8519D"/>
    <w:rsid w:val="00D857E7"/>
    <w:rsid w:val="00D870FF"/>
    <w:rsid w:val="00D879E9"/>
    <w:rsid w:val="00D87A1A"/>
    <w:rsid w:val="00D904B6"/>
    <w:rsid w:val="00D90F13"/>
    <w:rsid w:val="00D924A9"/>
    <w:rsid w:val="00D92980"/>
    <w:rsid w:val="00D96499"/>
    <w:rsid w:val="00D96C42"/>
    <w:rsid w:val="00DA093E"/>
    <w:rsid w:val="00DA2CA6"/>
    <w:rsid w:val="00DA524D"/>
    <w:rsid w:val="00DA57F2"/>
    <w:rsid w:val="00DA5F74"/>
    <w:rsid w:val="00DA7A8A"/>
    <w:rsid w:val="00DA7D3D"/>
    <w:rsid w:val="00DB3BDF"/>
    <w:rsid w:val="00DB3EEA"/>
    <w:rsid w:val="00DB5013"/>
    <w:rsid w:val="00DB6AEB"/>
    <w:rsid w:val="00DC0478"/>
    <w:rsid w:val="00DC15EC"/>
    <w:rsid w:val="00DC1E21"/>
    <w:rsid w:val="00DC3232"/>
    <w:rsid w:val="00DC470C"/>
    <w:rsid w:val="00DC4BCF"/>
    <w:rsid w:val="00DC5B00"/>
    <w:rsid w:val="00DC71D3"/>
    <w:rsid w:val="00DC7329"/>
    <w:rsid w:val="00DD00BF"/>
    <w:rsid w:val="00DD0C09"/>
    <w:rsid w:val="00DD0F43"/>
    <w:rsid w:val="00DD145E"/>
    <w:rsid w:val="00DD3301"/>
    <w:rsid w:val="00DD34F6"/>
    <w:rsid w:val="00DD355F"/>
    <w:rsid w:val="00DD477D"/>
    <w:rsid w:val="00DD4E12"/>
    <w:rsid w:val="00DD660F"/>
    <w:rsid w:val="00DD6B95"/>
    <w:rsid w:val="00DD7E16"/>
    <w:rsid w:val="00DD7E5B"/>
    <w:rsid w:val="00DE07CB"/>
    <w:rsid w:val="00DE13C3"/>
    <w:rsid w:val="00DE1586"/>
    <w:rsid w:val="00DE244A"/>
    <w:rsid w:val="00DE3550"/>
    <w:rsid w:val="00DE3FB6"/>
    <w:rsid w:val="00DE413A"/>
    <w:rsid w:val="00DE41DF"/>
    <w:rsid w:val="00DE5C80"/>
    <w:rsid w:val="00DE5D0E"/>
    <w:rsid w:val="00DE6E55"/>
    <w:rsid w:val="00DE6E61"/>
    <w:rsid w:val="00DE7754"/>
    <w:rsid w:val="00DE7F10"/>
    <w:rsid w:val="00DF0CA4"/>
    <w:rsid w:val="00DF17A9"/>
    <w:rsid w:val="00DF1BFA"/>
    <w:rsid w:val="00DF241C"/>
    <w:rsid w:val="00DF3C69"/>
    <w:rsid w:val="00DF450E"/>
    <w:rsid w:val="00DF6005"/>
    <w:rsid w:val="00DF6027"/>
    <w:rsid w:val="00DF6724"/>
    <w:rsid w:val="00DF7CA0"/>
    <w:rsid w:val="00E0126B"/>
    <w:rsid w:val="00E01ECE"/>
    <w:rsid w:val="00E020BE"/>
    <w:rsid w:val="00E0255C"/>
    <w:rsid w:val="00E026CA"/>
    <w:rsid w:val="00E03C7C"/>
    <w:rsid w:val="00E04D48"/>
    <w:rsid w:val="00E060D7"/>
    <w:rsid w:val="00E0787E"/>
    <w:rsid w:val="00E079B3"/>
    <w:rsid w:val="00E10DA4"/>
    <w:rsid w:val="00E11D4A"/>
    <w:rsid w:val="00E12F10"/>
    <w:rsid w:val="00E1446B"/>
    <w:rsid w:val="00E14969"/>
    <w:rsid w:val="00E14A84"/>
    <w:rsid w:val="00E153E1"/>
    <w:rsid w:val="00E1557F"/>
    <w:rsid w:val="00E15EE6"/>
    <w:rsid w:val="00E1659E"/>
    <w:rsid w:val="00E174E1"/>
    <w:rsid w:val="00E20372"/>
    <w:rsid w:val="00E2088A"/>
    <w:rsid w:val="00E21202"/>
    <w:rsid w:val="00E2142F"/>
    <w:rsid w:val="00E222BB"/>
    <w:rsid w:val="00E2416A"/>
    <w:rsid w:val="00E25CBF"/>
    <w:rsid w:val="00E31B9C"/>
    <w:rsid w:val="00E31C97"/>
    <w:rsid w:val="00E3289A"/>
    <w:rsid w:val="00E328EE"/>
    <w:rsid w:val="00E32E85"/>
    <w:rsid w:val="00E3484C"/>
    <w:rsid w:val="00E3534B"/>
    <w:rsid w:val="00E35E88"/>
    <w:rsid w:val="00E35EA1"/>
    <w:rsid w:val="00E35F74"/>
    <w:rsid w:val="00E36928"/>
    <w:rsid w:val="00E378DE"/>
    <w:rsid w:val="00E37D8B"/>
    <w:rsid w:val="00E40CA9"/>
    <w:rsid w:val="00E41176"/>
    <w:rsid w:val="00E44A4F"/>
    <w:rsid w:val="00E44E70"/>
    <w:rsid w:val="00E46D83"/>
    <w:rsid w:val="00E503B2"/>
    <w:rsid w:val="00E5065F"/>
    <w:rsid w:val="00E511E7"/>
    <w:rsid w:val="00E51BB0"/>
    <w:rsid w:val="00E52B8E"/>
    <w:rsid w:val="00E5372A"/>
    <w:rsid w:val="00E53C2B"/>
    <w:rsid w:val="00E5468E"/>
    <w:rsid w:val="00E601A1"/>
    <w:rsid w:val="00E602FF"/>
    <w:rsid w:val="00E609DF"/>
    <w:rsid w:val="00E63C51"/>
    <w:rsid w:val="00E64926"/>
    <w:rsid w:val="00E653FF"/>
    <w:rsid w:val="00E66DC1"/>
    <w:rsid w:val="00E67236"/>
    <w:rsid w:val="00E70BFE"/>
    <w:rsid w:val="00E711DB"/>
    <w:rsid w:val="00E71A1B"/>
    <w:rsid w:val="00E72269"/>
    <w:rsid w:val="00E72968"/>
    <w:rsid w:val="00E738C2"/>
    <w:rsid w:val="00E75289"/>
    <w:rsid w:val="00E7579B"/>
    <w:rsid w:val="00E76A3E"/>
    <w:rsid w:val="00E77577"/>
    <w:rsid w:val="00E77E20"/>
    <w:rsid w:val="00E81D4C"/>
    <w:rsid w:val="00E8249D"/>
    <w:rsid w:val="00E8261A"/>
    <w:rsid w:val="00E82D29"/>
    <w:rsid w:val="00E837C1"/>
    <w:rsid w:val="00E840FD"/>
    <w:rsid w:val="00E84EE7"/>
    <w:rsid w:val="00E850A2"/>
    <w:rsid w:val="00E85411"/>
    <w:rsid w:val="00E867C1"/>
    <w:rsid w:val="00E8686F"/>
    <w:rsid w:val="00E8708A"/>
    <w:rsid w:val="00E91AF9"/>
    <w:rsid w:val="00E935DE"/>
    <w:rsid w:val="00E96852"/>
    <w:rsid w:val="00E969E8"/>
    <w:rsid w:val="00E96F31"/>
    <w:rsid w:val="00E97AF4"/>
    <w:rsid w:val="00EA068F"/>
    <w:rsid w:val="00EA0718"/>
    <w:rsid w:val="00EA08FE"/>
    <w:rsid w:val="00EA2601"/>
    <w:rsid w:val="00EA3650"/>
    <w:rsid w:val="00EA3F7A"/>
    <w:rsid w:val="00EA5AAD"/>
    <w:rsid w:val="00EA6FB7"/>
    <w:rsid w:val="00EA792B"/>
    <w:rsid w:val="00EB0137"/>
    <w:rsid w:val="00EB0AC8"/>
    <w:rsid w:val="00EB0D15"/>
    <w:rsid w:val="00EC00CF"/>
    <w:rsid w:val="00EC04BA"/>
    <w:rsid w:val="00EC1741"/>
    <w:rsid w:val="00EC2F7B"/>
    <w:rsid w:val="00EC4028"/>
    <w:rsid w:val="00EC4D72"/>
    <w:rsid w:val="00EC524E"/>
    <w:rsid w:val="00EC54FC"/>
    <w:rsid w:val="00EC56E4"/>
    <w:rsid w:val="00EC5E17"/>
    <w:rsid w:val="00EC6302"/>
    <w:rsid w:val="00EC6315"/>
    <w:rsid w:val="00EC6EC4"/>
    <w:rsid w:val="00EC735C"/>
    <w:rsid w:val="00ED0C4A"/>
    <w:rsid w:val="00ED3904"/>
    <w:rsid w:val="00ED43F0"/>
    <w:rsid w:val="00ED4884"/>
    <w:rsid w:val="00ED5437"/>
    <w:rsid w:val="00ED5460"/>
    <w:rsid w:val="00ED594A"/>
    <w:rsid w:val="00ED5994"/>
    <w:rsid w:val="00ED5CC9"/>
    <w:rsid w:val="00ED60F5"/>
    <w:rsid w:val="00ED7F68"/>
    <w:rsid w:val="00EE0583"/>
    <w:rsid w:val="00EE0928"/>
    <w:rsid w:val="00EE0E9D"/>
    <w:rsid w:val="00EE154B"/>
    <w:rsid w:val="00EE186C"/>
    <w:rsid w:val="00EE1CBF"/>
    <w:rsid w:val="00EE2E90"/>
    <w:rsid w:val="00EE4397"/>
    <w:rsid w:val="00EE4876"/>
    <w:rsid w:val="00EE4E0A"/>
    <w:rsid w:val="00EE51BF"/>
    <w:rsid w:val="00EE64EF"/>
    <w:rsid w:val="00EE6B2D"/>
    <w:rsid w:val="00EE76EC"/>
    <w:rsid w:val="00EE7E60"/>
    <w:rsid w:val="00EF0B78"/>
    <w:rsid w:val="00EF17AE"/>
    <w:rsid w:val="00EF1A2A"/>
    <w:rsid w:val="00EF2F50"/>
    <w:rsid w:val="00EF4885"/>
    <w:rsid w:val="00EF4C34"/>
    <w:rsid w:val="00EF5572"/>
    <w:rsid w:val="00EF5E97"/>
    <w:rsid w:val="00EF6255"/>
    <w:rsid w:val="00EF6D96"/>
    <w:rsid w:val="00EF7147"/>
    <w:rsid w:val="00EF779F"/>
    <w:rsid w:val="00EF77E4"/>
    <w:rsid w:val="00EF7BCA"/>
    <w:rsid w:val="00F00053"/>
    <w:rsid w:val="00F00DBE"/>
    <w:rsid w:val="00F0153F"/>
    <w:rsid w:val="00F02BF0"/>
    <w:rsid w:val="00F0455E"/>
    <w:rsid w:val="00F0559D"/>
    <w:rsid w:val="00F0566F"/>
    <w:rsid w:val="00F0682D"/>
    <w:rsid w:val="00F0741A"/>
    <w:rsid w:val="00F107D9"/>
    <w:rsid w:val="00F11358"/>
    <w:rsid w:val="00F12156"/>
    <w:rsid w:val="00F1344E"/>
    <w:rsid w:val="00F13831"/>
    <w:rsid w:val="00F151A7"/>
    <w:rsid w:val="00F162FD"/>
    <w:rsid w:val="00F17323"/>
    <w:rsid w:val="00F20099"/>
    <w:rsid w:val="00F200B0"/>
    <w:rsid w:val="00F21D36"/>
    <w:rsid w:val="00F22577"/>
    <w:rsid w:val="00F22BEF"/>
    <w:rsid w:val="00F2310F"/>
    <w:rsid w:val="00F2376E"/>
    <w:rsid w:val="00F26529"/>
    <w:rsid w:val="00F31576"/>
    <w:rsid w:val="00F325DA"/>
    <w:rsid w:val="00F3355A"/>
    <w:rsid w:val="00F33C38"/>
    <w:rsid w:val="00F345FF"/>
    <w:rsid w:val="00F36C86"/>
    <w:rsid w:val="00F37042"/>
    <w:rsid w:val="00F3705C"/>
    <w:rsid w:val="00F371EF"/>
    <w:rsid w:val="00F37563"/>
    <w:rsid w:val="00F40970"/>
    <w:rsid w:val="00F41318"/>
    <w:rsid w:val="00F422B0"/>
    <w:rsid w:val="00F42B7A"/>
    <w:rsid w:val="00F43028"/>
    <w:rsid w:val="00F45905"/>
    <w:rsid w:val="00F45FFA"/>
    <w:rsid w:val="00F4733C"/>
    <w:rsid w:val="00F510FD"/>
    <w:rsid w:val="00F517CB"/>
    <w:rsid w:val="00F537AB"/>
    <w:rsid w:val="00F53B11"/>
    <w:rsid w:val="00F542DB"/>
    <w:rsid w:val="00F5522A"/>
    <w:rsid w:val="00F56E88"/>
    <w:rsid w:val="00F56F2C"/>
    <w:rsid w:val="00F6200B"/>
    <w:rsid w:val="00F623C8"/>
    <w:rsid w:val="00F62C5B"/>
    <w:rsid w:val="00F63954"/>
    <w:rsid w:val="00F63C71"/>
    <w:rsid w:val="00F64084"/>
    <w:rsid w:val="00F6466F"/>
    <w:rsid w:val="00F65D80"/>
    <w:rsid w:val="00F66469"/>
    <w:rsid w:val="00F66779"/>
    <w:rsid w:val="00F70CB3"/>
    <w:rsid w:val="00F71BEB"/>
    <w:rsid w:val="00F72385"/>
    <w:rsid w:val="00F7263C"/>
    <w:rsid w:val="00F72E1B"/>
    <w:rsid w:val="00F72E9E"/>
    <w:rsid w:val="00F73296"/>
    <w:rsid w:val="00F73938"/>
    <w:rsid w:val="00F744A5"/>
    <w:rsid w:val="00F7583F"/>
    <w:rsid w:val="00F75CB8"/>
    <w:rsid w:val="00F75D31"/>
    <w:rsid w:val="00F76085"/>
    <w:rsid w:val="00F76D2A"/>
    <w:rsid w:val="00F77884"/>
    <w:rsid w:val="00F77A00"/>
    <w:rsid w:val="00F82253"/>
    <w:rsid w:val="00F836F5"/>
    <w:rsid w:val="00F84421"/>
    <w:rsid w:val="00F87566"/>
    <w:rsid w:val="00F906E9"/>
    <w:rsid w:val="00F90880"/>
    <w:rsid w:val="00F916E5"/>
    <w:rsid w:val="00F955CF"/>
    <w:rsid w:val="00F95642"/>
    <w:rsid w:val="00F96827"/>
    <w:rsid w:val="00F96C6E"/>
    <w:rsid w:val="00F97828"/>
    <w:rsid w:val="00F9788E"/>
    <w:rsid w:val="00F978C2"/>
    <w:rsid w:val="00FA0C6B"/>
    <w:rsid w:val="00FA0C72"/>
    <w:rsid w:val="00FA14C1"/>
    <w:rsid w:val="00FA1A62"/>
    <w:rsid w:val="00FA3006"/>
    <w:rsid w:val="00FA5234"/>
    <w:rsid w:val="00FA62A3"/>
    <w:rsid w:val="00FA650E"/>
    <w:rsid w:val="00FA7715"/>
    <w:rsid w:val="00FA7913"/>
    <w:rsid w:val="00FA7975"/>
    <w:rsid w:val="00FA7DD7"/>
    <w:rsid w:val="00FB1B85"/>
    <w:rsid w:val="00FB1F48"/>
    <w:rsid w:val="00FB282E"/>
    <w:rsid w:val="00FB3905"/>
    <w:rsid w:val="00FB506C"/>
    <w:rsid w:val="00FB5EA4"/>
    <w:rsid w:val="00FB6110"/>
    <w:rsid w:val="00FB6155"/>
    <w:rsid w:val="00FB6491"/>
    <w:rsid w:val="00FB73B5"/>
    <w:rsid w:val="00FB78BD"/>
    <w:rsid w:val="00FB7909"/>
    <w:rsid w:val="00FB7F2B"/>
    <w:rsid w:val="00FC06BC"/>
    <w:rsid w:val="00FC24C1"/>
    <w:rsid w:val="00FC3323"/>
    <w:rsid w:val="00FC4F5C"/>
    <w:rsid w:val="00FC5AD4"/>
    <w:rsid w:val="00FD3360"/>
    <w:rsid w:val="00FD3B33"/>
    <w:rsid w:val="00FD3BF9"/>
    <w:rsid w:val="00FD3DC8"/>
    <w:rsid w:val="00FD5193"/>
    <w:rsid w:val="00FD553F"/>
    <w:rsid w:val="00FD65BD"/>
    <w:rsid w:val="00FD72DD"/>
    <w:rsid w:val="00FE057A"/>
    <w:rsid w:val="00FE163A"/>
    <w:rsid w:val="00FE3235"/>
    <w:rsid w:val="00FE419E"/>
    <w:rsid w:val="00FE46D3"/>
    <w:rsid w:val="00FE7435"/>
    <w:rsid w:val="00FF0791"/>
    <w:rsid w:val="00FF1191"/>
    <w:rsid w:val="00FF1BC7"/>
    <w:rsid w:val="00FF2ACE"/>
    <w:rsid w:val="00FF3625"/>
    <w:rsid w:val="00FF38A2"/>
    <w:rsid w:val="00FF3B50"/>
    <w:rsid w:val="00FF6374"/>
    <w:rsid w:val="00FF7097"/>
    <w:rsid w:val="00FF7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94377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D31AF"/>
    <w:rPr>
      <w:sz w:val="20"/>
    </w:rPr>
  </w:style>
  <w:style w:type="character" w:customStyle="1" w:styleId="FootnoteTextChar">
    <w:name w:val="Footnote Text Char"/>
    <w:basedOn w:val="DefaultParagraphFont"/>
    <w:link w:val="FootnoteText"/>
    <w:uiPriority w:val="99"/>
    <w:rsid w:val="006D31AF"/>
    <w:rPr>
      <w:szCs w:val="24"/>
      <w:lang w:val="en-GB" w:eastAsia="en-US"/>
    </w:rPr>
  </w:style>
  <w:style w:type="character" w:styleId="FootnoteReference">
    <w:name w:val="footnote reference"/>
    <w:basedOn w:val="DefaultParagraphFont"/>
    <w:uiPriority w:val="99"/>
    <w:unhideWhenUsed/>
    <w:rsid w:val="006D31AF"/>
    <w:rPr>
      <w:vertAlign w:val="superscript"/>
    </w:rPr>
  </w:style>
  <w:style w:type="paragraph" w:customStyle="1" w:styleId="Default">
    <w:name w:val="Default"/>
    <w:rsid w:val="006D31AF"/>
    <w:pPr>
      <w:widowControl w:val="0"/>
      <w:autoSpaceDE w:val="0"/>
      <w:autoSpaceDN w:val="0"/>
      <w:adjustRightInd w:val="0"/>
    </w:pPr>
    <w:rPr>
      <w:rFonts w:ascii="New Caledonia" w:hAnsi="New Caledonia" w:cs="New Caledonia"/>
      <w:color w:val="000000"/>
      <w:sz w:val="24"/>
      <w:szCs w:val="24"/>
    </w:rPr>
  </w:style>
  <w:style w:type="character" w:styleId="Hyperlink">
    <w:name w:val="Hyperlink"/>
    <w:basedOn w:val="DefaultParagraphFont"/>
    <w:uiPriority w:val="99"/>
    <w:unhideWhenUsed/>
    <w:rsid w:val="006D31AF"/>
    <w:rPr>
      <w:color w:val="0000FF" w:themeColor="hyperlink"/>
      <w:u w:val="single"/>
    </w:rPr>
  </w:style>
  <w:style w:type="character" w:styleId="Emphasis">
    <w:name w:val="Emphasis"/>
    <w:basedOn w:val="DefaultParagraphFont"/>
    <w:uiPriority w:val="20"/>
    <w:qFormat/>
    <w:rsid w:val="00D130FD"/>
    <w:rPr>
      <w:i/>
      <w:iCs/>
    </w:rPr>
  </w:style>
  <w:style w:type="character" w:customStyle="1" w:styleId="column-number">
    <w:name w:val="column-number"/>
    <w:basedOn w:val="DefaultParagraphFont"/>
    <w:rsid w:val="00D130FD"/>
  </w:style>
  <w:style w:type="paragraph" w:customStyle="1" w:styleId="hspara">
    <w:name w:val="hs_para"/>
    <w:basedOn w:val="Normal"/>
    <w:rsid w:val="00D130FD"/>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013604"/>
    <w:pPr>
      <w:spacing w:before="100" w:beforeAutospacing="1" w:after="100" w:afterAutospacing="1"/>
    </w:pPr>
    <w:rPr>
      <w:rFonts w:ascii="Times" w:hAnsi="Times"/>
      <w:sz w:val="20"/>
      <w:szCs w:val="20"/>
    </w:rPr>
  </w:style>
  <w:style w:type="paragraph" w:customStyle="1" w:styleId="pfont-lead">
    <w:name w:val="pfont-lead"/>
    <w:basedOn w:val="Normal"/>
    <w:rsid w:val="003C0817"/>
    <w:pPr>
      <w:spacing w:before="100" w:beforeAutospacing="1" w:after="100" w:afterAutospacing="1"/>
    </w:pPr>
    <w:rPr>
      <w:rFonts w:ascii="Times" w:hAnsi="Times"/>
      <w:sz w:val="20"/>
      <w:szCs w:val="20"/>
    </w:rPr>
  </w:style>
  <w:style w:type="paragraph" w:customStyle="1" w:styleId="temp-fix-brad">
    <w:name w:val="temp-fix-brad"/>
    <w:basedOn w:val="Normal"/>
    <w:rsid w:val="003C0817"/>
    <w:pPr>
      <w:spacing w:before="100" w:beforeAutospacing="1" w:after="100" w:afterAutospacing="1"/>
    </w:pPr>
    <w:rPr>
      <w:rFonts w:ascii="Times" w:hAnsi="Times"/>
      <w:sz w:val="20"/>
      <w:szCs w:val="20"/>
    </w:rPr>
  </w:style>
  <w:style w:type="character" w:customStyle="1" w:styleId="mfirst-letter">
    <w:name w:val="m_first-letter"/>
    <w:basedOn w:val="DefaultParagraphFont"/>
    <w:rsid w:val="00EA068F"/>
  </w:style>
  <w:style w:type="character" w:styleId="FollowedHyperlink">
    <w:name w:val="FollowedHyperlink"/>
    <w:basedOn w:val="DefaultParagraphFont"/>
    <w:uiPriority w:val="99"/>
    <w:semiHidden/>
    <w:unhideWhenUsed/>
    <w:rsid w:val="00CE4B8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D31AF"/>
    <w:rPr>
      <w:sz w:val="20"/>
    </w:rPr>
  </w:style>
  <w:style w:type="character" w:customStyle="1" w:styleId="FootnoteTextChar">
    <w:name w:val="Footnote Text Char"/>
    <w:basedOn w:val="DefaultParagraphFont"/>
    <w:link w:val="FootnoteText"/>
    <w:uiPriority w:val="99"/>
    <w:rsid w:val="006D31AF"/>
    <w:rPr>
      <w:szCs w:val="24"/>
      <w:lang w:val="en-GB" w:eastAsia="en-US"/>
    </w:rPr>
  </w:style>
  <w:style w:type="character" w:styleId="FootnoteReference">
    <w:name w:val="footnote reference"/>
    <w:basedOn w:val="DefaultParagraphFont"/>
    <w:uiPriority w:val="99"/>
    <w:unhideWhenUsed/>
    <w:rsid w:val="006D31AF"/>
    <w:rPr>
      <w:vertAlign w:val="superscript"/>
    </w:rPr>
  </w:style>
  <w:style w:type="paragraph" w:customStyle="1" w:styleId="Default">
    <w:name w:val="Default"/>
    <w:rsid w:val="006D31AF"/>
    <w:pPr>
      <w:widowControl w:val="0"/>
      <w:autoSpaceDE w:val="0"/>
      <w:autoSpaceDN w:val="0"/>
      <w:adjustRightInd w:val="0"/>
    </w:pPr>
    <w:rPr>
      <w:rFonts w:ascii="New Caledonia" w:hAnsi="New Caledonia" w:cs="New Caledonia"/>
      <w:color w:val="000000"/>
      <w:sz w:val="24"/>
      <w:szCs w:val="24"/>
    </w:rPr>
  </w:style>
  <w:style w:type="character" w:styleId="Hyperlink">
    <w:name w:val="Hyperlink"/>
    <w:basedOn w:val="DefaultParagraphFont"/>
    <w:uiPriority w:val="99"/>
    <w:unhideWhenUsed/>
    <w:rsid w:val="006D31AF"/>
    <w:rPr>
      <w:color w:val="0000FF" w:themeColor="hyperlink"/>
      <w:u w:val="single"/>
    </w:rPr>
  </w:style>
  <w:style w:type="character" w:styleId="Emphasis">
    <w:name w:val="Emphasis"/>
    <w:basedOn w:val="DefaultParagraphFont"/>
    <w:uiPriority w:val="20"/>
    <w:qFormat/>
    <w:rsid w:val="00D130FD"/>
    <w:rPr>
      <w:i/>
      <w:iCs/>
    </w:rPr>
  </w:style>
  <w:style w:type="character" w:customStyle="1" w:styleId="column-number">
    <w:name w:val="column-number"/>
    <w:basedOn w:val="DefaultParagraphFont"/>
    <w:rsid w:val="00D130FD"/>
  </w:style>
  <w:style w:type="paragraph" w:customStyle="1" w:styleId="hspara">
    <w:name w:val="hs_para"/>
    <w:basedOn w:val="Normal"/>
    <w:rsid w:val="00D130FD"/>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013604"/>
    <w:pPr>
      <w:spacing w:before="100" w:beforeAutospacing="1" w:after="100" w:afterAutospacing="1"/>
    </w:pPr>
    <w:rPr>
      <w:rFonts w:ascii="Times" w:hAnsi="Times"/>
      <w:sz w:val="20"/>
      <w:szCs w:val="20"/>
    </w:rPr>
  </w:style>
  <w:style w:type="paragraph" w:customStyle="1" w:styleId="pfont-lead">
    <w:name w:val="pfont-lead"/>
    <w:basedOn w:val="Normal"/>
    <w:rsid w:val="003C0817"/>
    <w:pPr>
      <w:spacing w:before="100" w:beforeAutospacing="1" w:after="100" w:afterAutospacing="1"/>
    </w:pPr>
    <w:rPr>
      <w:rFonts w:ascii="Times" w:hAnsi="Times"/>
      <w:sz w:val="20"/>
      <w:szCs w:val="20"/>
    </w:rPr>
  </w:style>
  <w:style w:type="paragraph" w:customStyle="1" w:styleId="temp-fix-brad">
    <w:name w:val="temp-fix-brad"/>
    <w:basedOn w:val="Normal"/>
    <w:rsid w:val="003C0817"/>
    <w:pPr>
      <w:spacing w:before="100" w:beforeAutospacing="1" w:after="100" w:afterAutospacing="1"/>
    </w:pPr>
    <w:rPr>
      <w:rFonts w:ascii="Times" w:hAnsi="Times"/>
      <w:sz w:val="20"/>
      <w:szCs w:val="20"/>
    </w:rPr>
  </w:style>
  <w:style w:type="character" w:customStyle="1" w:styleId="mfirst-letter">
    <w:name w:val="m_first-letter"/>
    <w:basedOn w:val="DefaultParagraphFont"/>
    <w:rsid w:val="00EA068F"/>
  </w:style>
  <w:style w:type="character" w:styleId="FollowedHyperlink">
    <w:name w:val="FollowedHyperlink"/>
    <w:basedOn w:val="DefaultParagraphFont"/>
    <w:uiPriority w:val="99"/>
    <w:semiHidden/>
    <w:unhideWhenUsed/>
    <w:rsid w:val="00CE4B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680">
      <w:bodyDiv w:val="1"/>
      <w:marLeft w:val="0"/>
      <w:marRight w:val="0"/>
      <w:marTop w:val="0"/>
      <w:marBottom w:val="0"/>
      <w:divBdr>
        <w:top w:val="none" w:sz="0" w:space="0" w:color="auto"/>
        <w:left w:val="none" w:sz="0" w:space="0" w:color="auto"/>
        <w:bottom w:val="none" w:sz="0" w:space="0" w:color="auto"/>
        <w:right w:val="none" w:sz="0" w:space="0" w:color="auto"/>
      </w:divBdr>
    </w:div>
    <w:div w:id="15228873">
      <w:bodyDiv w:val="1"/>
      <w:marLeft w:val="0"/>
      <w:marRight w:val="0"/>
      <w:marTop w:val="0"/>
      <w:marBottom w:val="0"/>
      <w:divBdr>
        <w:top w:val="none" w:sz="0" w:space="0" w:color="auto"/>
        <w:left w:val="none" w:sz="0" w:space="0" w:color="auto"/>
        <w:bottom w:val="none" w:sz="0" w:space="0" w:color="auto"/>
        <w:right w:val="none" w:sz="0" w:space="0" w:color="auto"/>
      </w:divBdr>
    </w:div>
    <w:div w:id="56559115">
      <w:bodyDiv w:val="1"/>
      <w:marLeft w:val="0"/>
      <w:marRight w:val="0"/>
      <w:marTop w:val="0"/>
      <w:marBottom w:val="0"/>
      <w:divBdr>
        <w:top w:val="none" w:sz="0" w:space="0" w:color="auto"/>
        <w:left w:val="none" w:sz="0" w:space="0" w:color="auto"/>
        <w:bottom w:val="none" w:sz="0" w:space="0" w:color="auto"/>
        <w:right w:val="none" w:sz="0" w:space="0" w:color="auto"/>
      </w:divBdr>
    </w:div>
    <w:div w:id="59643724">
      <w:bodyDiv w:val="1"/>
      <w:marLeft w:val="0"/>
      <w:marRight w:val="0"/>
      <w:marTop w:val="0"/>
      <w:marBottom w:val="0"/>
      <w:divBdr>
        <w:top w:val="none" w:sz="0" w:space="0" w:color="auto"/>
        <w:left w:val="none" w:sz="0" w:space="0" w:color="auto"/>
        <w:bottom w:val="none" w:sz="0" w:space="0" w:color="auto"/>
        <w:right w:val="none" w:sz="0" w:space="0" w:color="auto"/>
      </w:divBdr>
    </w:div>
    <w:div w:id="60107686">
      <w:bodyDiv w:val="1"/>
      <w:marLeft w:val="0"/>
      <w:marRight w:val="0"/>
      <w:marTop w:val="0"/>
      <w:marBottom w:val="0"/>
      <w:divBdr>
        <w:top w:val="none" w:sz="0" w:space="0" w:color="auto"/>
        <w:left w:val="none" w:sz="0" w:space="0" w:color="auto"/>
        <w:bottom w:val="none" w:sz="0" w:space="0" w:color="auto"/>
        <w:right w:val="none" w:sz="0" w:space="0" w:color="auto"/>
      </w:divBdr>
    </w:div>
    <w:div w:id="71389644">
      <w:bodyDiv w:val="1"/>
      <w:marLeft w:val="0"/>
      <w:marRight w:val="0"/>
      <w:marTop w:val="0"/>
      <w:marBottom w:val="0"/>
      <w:divBdr>
        <w:top w:val="none" w:sz="0" w:space="0" w:color="auto"/>
        <w:left w:val="none" w:sz="0" w:space="0" w:color="auto"/>
        <w:bottom w:val="none" w:sz="0" w:space="0" w:color="auto"/>
        <w:right w:val="none" w:sz="0" w:space="0" w:color="auto"/>
      </w:divBdr>
    </w:div>
    <w:div w:id="129828459">
      <w:bodyDiv w:val="1"/>
      <w:marLeft w:val="0"/>
      <w:marRight w:val="0"/>
      <w:marTop w:val="0"/>
      <w:marBottom w:val="0"/>
      <w:divBdr>
        <w:top w:val="none" w:sz="0" w:space="0" w:color="auto"/>
        <w:left w:val="none" w:sz="0" w:space="0" w:color="auto"/>
        <w:bottom w:val="none" w:sz="0" w:space="0" w:color="auto"/>
        <w:right w:val="none" w:sz="0" w:space="0" w:color="auto"/>
      </w:divBdr>
    </w:div>
    <w:div w:id="132792781">
      <w:bodyDiv w:val="1"/>
      <w:marLeft w:val="0"/>
      <w:marRight w:val="0"/>
      <w:marTop w:val="0"/>
      <w:marBottom w:val="0"/>
      <w:divBdr>
        <w:top w:val="none" w:sz="0" w:space="0" w:color="auto"/>
        <w:left w:val="none" w:sz="0" w:space="0" w:color="auto"/>
        <w:bottom w:val="none" w:sz="0" w:space="0" w:color="auto"/>
        <w:right w:val="none" w:sz="0" w:space="0" w:color="auto"/>
      </w:divBdr>
    </w:div>
    <w:div w:id="150950141">
      <w:bodyDiv w:val="1"/>
      <w:marLeft w:val="0"/>
      <w:marRight w:val="0"/>
      <w:marTop w:val="0"/>
      <w:marBottom w:val="0"/>
      <w:divBdr>
        <w:top w:val="none" w:sz="0" w:space="0" w:color="auto"/>
        <w:left w:val="none" w:sz="0" w:space="0" w:color="auto"/>
        <w:bottom w:val="none" w:sz="0" w:space="0" w:color="auto"/>
        <w:right w:val="none" w:sz="0" w:space="0" w:color="auto"/>
      </w:divBdr>
    </w:div>
    <w:div w:id="154032091">
      <w:bodyDiv w:val="1"/>
      <w:marLeft w:val="0"/>
      <w:marRight w:val="0"/>
      <w:marTop w:val="0"/>
      <w:marBottom w:val="0"/>
      <w:divBdr>
        <w:top w:val="none" w:sz="0" w:space="0" w:color="auto"/>
        <w:left w:val="none" w:sz="0" w:space="0" w:color="auto"/>
        <w:bottom w:val="none" w:sz="0" w:space="0" w:color="auto"/>
        <w:right w:val="none" w:sz="0" w:space="0" w:color="auto"/>
      </w:divBdr>
    </w:div>
    <w:div w:id="188221883">
      <w:bodyDiv w:val="1"/>
      <w:marLeft w:val="0"/>
      <w:marRight w:val="0"/>
      <w:marTop w:val="0"/>
      <w:marBottom w:val="0"/>
      <w:divBdr>
        <w:top w:val="none" w:sz="0" w:space="0" w:color="auto"/>
        <w:left w:val="none" w:sz="0" w:space="0" w:color="auto"/>
        <w:bottom w:val="none" w:sz="0" w:space="0" w:color="auto"/>
        <w:right w:val="none" w:sz="0" w:space="0" w:color="auto"/>
      </w:divBdr>
    </w:div>
    <w:div w:id="231235860">
      <w:bodyDiv w:val="1"/>
      <w:marLeft w:val="0"/>
      <w:marRight w:val="0"/>
      <w:marTop w:val="0"/>
      <w:marBottom w:val="0"/>
      <w:divBdr>
        <w:top w:val="none" w:sz="0" w:space="0" w:color="auto"/>
        <w:left w:val="none" w:sz="0" w:space="0" w:color="auto"/>
        <w:bottom w:val="none" w:sz="0" w:space="0" w:color="auto"/>
        <w:right w:val="none" w:sz="0" w:space="0" w:color="auto"/>
      </w:divBdr>
    </w:div>
    <w:div w:id="252932811">
      <w:bodyDiv w:val="1"/>
      <w:marLeft w:val="0"/>
      <w:marRight w:val="0"/>
      <w:marTop w:val="0"/>
      <w:marBottom w:val="0"/>
      <w:divBdr>
        <w:top w:val="none" w:sz="0" w:space="0" w:color="auto"/>
        <w:left w:val="none" w:sz="0" w:space="0" w:color="auto"/>
        <w:bottom w:val="none" w:sz="0" w:space="0" w:color="auto"/>
        <w:right w:val="none" w:sz="0" w:space="0" w:color="auto"/>
      </w:divBdr>
    </w:div>
    <w:div w:id="253126917">
      <w:bodyDiv w:val="1"/>
      <w:marLeft w:val="0"/>
      <w:marRight w:val="0"/>
      <w:marTop w:val="0"/>
      <w:marBottom w:val="0"/>
      <w:divBdr>
        <w:top w:val="none" w:sz="0" w:space="0" w:color="auto"/>
        <w:left w:val="none" w:sz="0" w:space="0" w:color="auto"/>
        <w:bottom w:val="none" w:sz="0" w:space="0" w:color="auto"/>
        <w:right w:val="none" w:sz="0" w:space="0" w:color="auto"/>
      </w:divBdr>
    </w:div>
    <w:div w:id="259874740">
      <w:bodyDiv w:val="1"/>
      <w:marLeft w:val="0"/>
      <w:marRight w:val="0"/>
      <w:marTop w:val="0"/>
      <w:marBottom w:val="0"/>
      <w:divBdr>
        <w:top w:val="none" w:sz="0" w:space="0" w:color="auto"/>
        <w:left w:val="none" w:sz="0" w:space="0" w:color="auto"/>
        <w:bottom w:val="none" w:sz="0" w:space="0" w:color="auto"/>
        <w:right w:val="none" w:sz="0" w:space="0" w:color="auto"/>
      </w:divBdr>
    </w:div>
    <w:div w:id="286592914">
      <w:bodyDiv w:val="1"/>
      <w:marLeft w:val="0"/>
      <w:marRight w:val="0"/>
      <w:marTop w:val="0"/>
      <w:marBottom w:val="0"/>
      <w:divBdr>
        <w:top w:val="none" w:sz="0" w:space="0" w:color="auto"/>
        <w:left w:val="none" w:sz="0" w:space="0" w:color="auto"/>
        <w:bottom w:val="none" w:sz="0" w:space="0" w:color="auto"/>
        <w:right w:val="none" w:sz="0" w:space="0" w:color="auto"/>
      </w:divBdr>
    </w:div>
    <w:div w:id="307706256">
      <w:bodyDiv w:val="1"/>
      <w:marLeft w:val="0"/>
      <w:marRight w:val="0"/>
      <w:marTop w:val="0"/>
      <w:marBottom w:val="0"/>
      <w:divBdr>
        <w:top w:val="none" w:sz="0" w:space="0" w:color="auto"/>
        <w:left w:val="none" w:sz="0" w:space="0" w:color="auto"/>
        <w:bottom w:val="none" w:sz="0" w:space="0" w:color="auto"/>
        <w:right w:val="none" w:sz="0" w:space="0" w:color="auto"/>
      </w:divBdr>
    </w:div>
    <w:div w:id="323626522">
      <w:bodyDiv w:val="1"/>
      <w:marLeft w:val="0"/>
      <w:marRight w:val="0"/>
      <w:marTop w:val="0"/>
      <w:marBottom w:val="0"/>
      <w:divBdr>
        <w:top w:val="none" w:sz="0" w:space="0" w:color="auto"/>
        <w:left w:val="none" w:sz="0" w:space="0" w:color="auto"/>
        <w:bottom w:val="none" w:sz="0" w:space="0" w:color="auto"/>
        <w:right w:val="none" w:sz="0" w:space="0" w:color="auto"/>
      </w:divBdr>
    </w:div>
    <w:div w:id="329139300">
      <w:bodyDiv w:val="1"/>
      <w:marLeft w:val="0"/>
      <w:marRight w:val="0"/>
      <w:marTop w:val="0"/>
      <w:marBottom w:val="0"/>
      <w:divBdr>
        <w:top w:val="none" w:sz="0" w:space="0" w:color="auto"/>
        <w:left w:val="none" w:sz="0" w:space="0" w:color="auto"/>
        <w:bottom w:val="none" w:sz="0" w:space="0" w:color="auto"/>
        <w:right w:val="none" w:sz="0" w:space="0" w:color="auto"/>
      </w:divBdr>
    </w:div>
    <w:div w:id="353386909">
      <w:bodyDiv w:val="1"/>
      <w:marLeft w:val="0"/>
      <w:marRight w:val="0"/>
      <w:marTop w:val="0"/>
      <w:marBottom w:val="0"/>
      <w:divBdr>
        <w:top w:val="none" w:sz="0" w:space="0" w:color="auto"/>
        <w:left w:val="none" w:sz="0" w:space="0" w:color="auto"/>
        <w:bottom w:val="none" w:sz="0" w:space="0" w:color="auto"/>
        <w:right w:val="none" w:sz="0" w:space="0" w:color="auto"/>
      </w:divBdr>
      <w:divsChild>
        <w:div w:id="1712924158">
          <w:marLeft w:val="0"/>
          <w:marRight w:val="0"/>
          <w:marTop w:val="0"/>
          <w:marBottom w:val="0"/>
          <w:divBdr>
            <w:top w:val="none" w:sz="0" w:space="0" w:color="auto"/>
            <w:left w:val="none" w:sz="0" w:space="0" w:color="auto"/>
            <w:bottom w:val="none" w:sz="0" w:space="0" w:color="auto"/>
            <w:right w:val="none" w:sz="0" w:space="0" w:color="auto"/>
          </w:divBdr>
          <w:divsChild>
            <w:div w:id="375473766">
              <w:marLeft w:val="0"/>
              <w:marRight w:val="0"/>
              <w:marTop w:val="0"/>
              <w:marBottom w:val="0"/>
              <w:divBdr>
                <w:top w:val="none" w:sz="0" w:space="0" w:color="auto"/>
                <w:left w:val="none" w:sz="0" w:space="0" w:color="auto"/>
                <w:bottom w:val="none" w:sz="0" w:space="0" w:color="auto"/>
                <w:right w:val="none" w:sz="0" w:space="0" w:color="auto"/>
              </w:divBdr>
              <w:divsChild>
                <w:div w:id="4180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2369">
      <w:bodyDiv w:val="1"/>
      <w:marLeft w:val="0"/>
      <w:marRight w:val="0"/>
      <w:marTop w:val="0"/>
      <w:marBottom w:val="0"/>
      <w:divBdr>
        <w:top w:val="none" w:sz="0" w:space="0" w:color="auto"/>
        <w:left w:val="none" w:sz="0" w:space="0" w:color="auto"/>
        <w:bottom w:val="none" w:sz="0" w:space="0" w:color="auto"/>
        <w:right w:val="none" w:sz="0" w:space="0" w:color="auto"/>
      </w:divBdr>
    </w:div>
    <w:div w:id="372845705">
      <w:bodyDiv w:val="1"/>
      <w:marLeft w:val="0"/>
      <w:marRight w:val="0"/>
      <w:marTop w:val="0"/>
      <w:marBottom w:val="0"/>
      <w:divBdr>
        <w:top w:val="none" w:sz="0" w:space="0" w:color="auto"/>
        <w:left w:val="none" w:sz="0" w:space="0" w:color="auto"/>
        <w:bottom w:val="none" w:sz="0" w:space="0" w:color="auto"/>
        <w:right w:val="none" w:sz="0" w:space="0" w:color="auto"/>
      </w:divBdr>
    </w:div>
    <w:div w:id="379281918">
      <w:bodyDiv w:val="1"/>
      <w:marLeft w:val="0"/>
      <w:marRight w:val="0"/>
      <w:marTop w:val="0"/>
      <w:marBottom w:val="0"/>
      <w:divBdr>
        <w:top w:val="none" w:sz="0" w:space="0" w:color="auto"/>
        <w:left w:val="none" w:sz="0" w:space="0" w:color="auto"/>
        <w:bottom w:val="none" w:sz="0" w:space="0" w:color="auto"/>
        <w:right w:val="none" w:sz="0" w:space="0" w:color="auto"/>
      </w:divBdr>
    </w:div>
    <w:div w:id="409816680">
      <w:bodyDiv w:val="1"/>
      <w:marLeft w:val="0"/>
      <w:marRight w:val="0"/>
      <w:marTop w:val="0"/>
      <w:marBottom w:val="0"/>
      <w:divBdr>
        <w:top w:val="none" w:sz="0" w:space="0" w:color="auto"/>
        <w:left w:val="none" w:sz="0" w:space="0" w:color="auto"/>
        <w:bottom w:val="none" w:sz="0" w:space="0" w:color="auto"/>
        <w:right w:val="none" w:sz="0" w:space="0" w:color="auto"/>
      </w:divBdr>
    </w:div>
    <w:div w:id="463348845">
      <w:bodyDiv w:val="1"/>
      <w:marLeft w:val="0"/>
      <w:marRight w:val="0"/>
      <w:marTop w:val="0"/>
      <w:marBottom w:val="0"/>
      <w:divBdr>
        <w:top w:val="none" w:sz="0" w:space="0" w:color="auto"/>
        <w:left w:val="none" w:sz="0" w:space="0" w:color="auto"/>
        <w:bottom w:val="none" w:sz="0" w:space="0" w:color="auto"/>
        <w:right w:val="none" w:sz="0" w:space="0" w:color="auto"/>
      </w:divBdr>
    </w:div>
    <w:div w:id="480856236">
      <w:bodyDiv w:val="1"/>
      <w:marLeft w:val="0"/>
      <w:marRight w:val="0"/>
      <w:marTop w:val="0"/>
      <w:marBottom w:val="0"/>
      <w:divBdr>
        <w:top w:val="none" w:sz="0" w:space="0" w:color="auto"/>
        <w:left w:val="none" w:sz="0" w:space="0" w:color="auto"/>
        <w:bottom w:val="none" w:sz="0" w:space="0" w:color="auto"/>
        <w:right w:val="none" w:sz="0" w:space="0" w:color="auto"/>
      </w:divBdr>
    </w:div>
    <w:div w:id="498810227">
      <w:bodyDiv w:val="1"/>
      <w:marLeft w:val="0"/>
      <w:marRight w:val="0"/>
      <w:marTop w:val="0"/>
      <w:marBottom w:val="0"/>
      <w:divBdr>
        <w:top w:val="none" w:sz="0" w:space="0" w:color="auto"/>
        <w:left w:val="none" w:sz="0" w:space="0" w:color="auto"/>
        <w:bottom w:val="none" w:sz="0" w:space="0" w:color="auto"/>
        <w:right w:val="none" w:sz="0" w:space="0" w:color="auto"/>
      </w:divBdr>
    </w:div>
    <w:div w:id="505708282">
      <w:bodyDiv w:val="1"/>
      <w:marLeft w:val="0"/>
      <w:marRight w:val="0"/>
      <w:marTop w:val="0"/>
      <w:marBottom w:val="0"/>
      <w:divBdr>
        <w:top w:val="none" w:sz="0" w:space="0" w:color="auto"/>
        <w:left w:val="none" w:sz="0" w:space="0" w:color="auto"/>
        <w:bottom w:val="none" w:sz="0" w:space="0" w:color="auto"/>
        <w:right w:val="none" w:sz="0" w:space="0" w:color="auto"/>
      </w:divBdr>
    </w:div>
    <w:div w:id="518466802">
      <w:bodyDiv w:val="1"/>
      <w:marLeft w:val="0"/>
      <w:marRight w:val="0"/>
      <w:marTop w:val="0"/>
      <w:marBottom w:val="0"/>
      <w:divBdr>
        <w:top w:val="none" w:sz="0" w:space="0" w:color="auto"/>
        <w:left w:val="none" w:sz="0" w:space="0" w:color="auto"/>
        <w:bottom w:val="none" w:sz="0" w:space="0" w:color="auto"/>
        <w:right w:val="none" w:sz="0" w:space="0" w:color="auto"/>
      </w:divBdr>
    </w:div>
    <w:div w:id="524826178">
      <w:bodyDiv w:val="1"/>
      <w:marLeft w:val="0"/>
      <w:marRight w:val="0"/>
      <w:marTop w:val="0"/>
      <w:marBottom w:val="0"/>
      <w:divBdr>
        <w:top w:val="none" w:sz="0" w:space="0" w:color="auto"/>
        <w:left w:val="none" w:sz="0" w:space="0" w:color="auto"/>
        <w:bottom w:val="none" w:sz="0" w:space="0" w:color="auto"/>
        <w:right w:val="none" w:sz="0" w:space="0" w:color="auto"/>
      </w:divBdr>
    </w:div>
    <w:div w:id="558587932">
      <w:bodyDiv w:val="1"/>
      <w:marLeft w:val="0"/>
      <w:marRight w:val="0"/>
      <w:marTop w:val="0"/>
      <w:marBottom w:val="0"/>
      <w:divBdr>
        <w:top w:val="none" w:sz="0" w:space="0" w:color="auto"/>
        <w:left w:val="none" w:sz="0" w:space="0" w:color="auto"/>
        <w:bottom w:val="none" w:sz="0" w:space="0" w:color="auto"/>
        <w:right w:val="none" w:sz="0" w:space="0" w:color="auto"/>
      </w:divBdr>
    </w:div>
    <w:div w:id="559169347">
      <w:bodyDiv w:val="1"/>
      <w:marLeft w:val="0"/>
      <w:marRight w:val="0"/>
      <w:marTop w:val="0"/>
      <w:marBottom w:val="0"/>
      <w:divBdr>
        <w:top w:val="none" w:sz="0" w:space="0" w:color="auto"/>
        <w:left w:val="none" w:sz="0" w:space="0" w:color="auto"/>
        <w:bottom w:val="none" w:sz="0" w:space="0" w:color="auto"/>
        <w:right w:val="none" w:sz="0" w:space="0" w:color="auto"/>
      </w:divBdr>
    </w:div>
    <w:div w:id="577448511">
      <w:bodyDiv w:val="1"/>
      <w:marLeft w:val="0"/>
      <w:marRight w:val="0"/>
      <w:marTop w:val="0"/>
      <w:marBottom w:val="0"/>
      <w:divBdr>
        <w:top w:val="none" w:sz="0" w:space="0" w:color="auto"/>
        <w:left w:val="none" w:sz="0" w:space="0" w:color="auto"/>
        <w:bottom w:val="none" w:sz="0" w:space="0" w:color="auto"/>
        <w:right w:val="none" w:sz="0" w:space="0" w:color="auto"/>
      </w:divBdr>
    </w:div>
    <w:div w:id="589432867">
      <w:bodyDiv w:val="1"/>
      <w:marLeft w:val="0"/>
      <w:marRight w:val="0"/>
      <w:marTop w:val="0"/>
      <w:marBottom w:val="0"/>
      <w:divBdr>
        <w:top w:val="none" w:sz="0" w:space="0" w:color="auto"/>
        <w:left w:val="none" w:sz="0" w:space="0" w:color="auto"/>
        <w:bottom w:val="none" w:sz="0" w:space="0" w:color="auto"/>
        <w:right w:val="none" w:sz="0" w:space="0" w:color="auto"/>
      </w:divBdr>
    </w:div>
    <w:div w:id="621155115">
      <w:bodyDiv w:val="1"/>
      <w:marLeft w:val="0"/>
      <w:marRight w:val="0"/>
      <w:marTop w:val="0"/>
      <w:marBottom w:val="0"/>
      <w:divBdr>
        <w:top w:val="none" w:sz="0" w:space="0" w:color="auto"/>
        <w:left w:val="none" w:sz="0" w:space="0" w:color="auto"/>
        <w:bottom w:val="none" w:sz="0" w:space="0" w:color="auto"/>
        <w:right w:val="none" w:sz="0" w:space="0" w:color="auto"/>
      </w:divBdr>
    </w:div>
    <w:div w:id="665523792">
      <w:bodyDiv w:val="1"/>
      <w:marLeft w:val="0"/>
      <w:marRight w:val="0"/>
      <w:marTop w:val="0"/>
      <w:marBottom w:val="0"/>
      <w:divBdr>
        <w:top w:val="none" w:sz="0" w:space="0" w:color="auto"/>
        <w:left w:val="none" w:sz="0" w:space="0" w:color="auto"/>
        <w:bottom w:val="none" w:sz="0" w:space="0" w:color="auto"/>
        <w:right w:val="none" w:sz="0" w:space="0" w:color="auto"/>
      </w:divBdr>
    </w:div>
    <w:div w:id="671375276">
      <w:bodyDiv w:val="1"/>
      <w:marLeft w:val="0"/>
      <w:marRight w:val="0"/>
      <w:marTop w:val="0"/>
      <w:marBottom w:val="0"/>
      <w:divBdr>
        <w:top w:val="none" w:sz="0" w:space="0" w:color="auto"/>
        <w:left w:val="none" w:sz="0" w:space="0" w:color="auto"/>
        <w:bottom w:val="none" w:sz="0" w:space="0" w:color="auto"/>
        <w:right w:val="none" w:sz="0" w:space="0" w:color="auto"/>
      </w:divBdr>
    </w:div>
    <w:div w:id="672996240">
      <w:bodyDiv w:val="1"/>
      <w:marLeft w:val="0"/>
      <w:marRight w:val="0"/>
      <w:marTop w:val="0"/>
      <w:marBottom w:val="0"/>
      <w:divBdr>
        <w:top w:val="none" w:sz="0" w:space="0" w:color="auto"/>
        <w:left w:val="none" w:sz="0" w:space="0" w:color="auto"/>
        <w:bottom w:val="none" w:sz="0" w:space="0" w:color="auto"/>
        <w:right w:val="none" w:sz="0" w:space="0" w:color="auto"/>
      </w:divBdr>
    </w:div>
    <w:div w:id="690959692">
      <w:bodyDiv w:val="1"/>
      <w:marLeft w:val="0"/>
      <w:marRight w:val="0"/>
      <w:marTop w:val="0"/>
      <w:marBottom w:val="0"/>
      <w:divBdr>
        <w:top w:val="none" w:sz="0" w:space="0" w:color="auto"/>
        <w:left w:val="none" w:sz="0" w:space="0" w:color="auto"/>
        <w:bottom w:val="none" w:sz="0" w:space="0" w:color="auto"/>
        <w:right w:val="none" w:sz="0" w:space="0" w:color="auto"/>
      </w:divBdr>
    </w:div>
    <w:div w:id="777220931">
      <w:bodyDiv w:val="1"/>
      <w:marLeft w:val="0"/>
      <w:marRight w:val="0"/>
      <w:marTop w:val="0"/>
      <w:marBottom w:val="0"/>
      <w:divBdr>
        <w:top w:val="none" w:sz="0" w:space="0" w:color="auto"/>
        <w:left w:val="none" w:sz="0" w:space="0" w:color="auto"/>
        <w:bottom w:val="none" w:sz="0" w:space="0" w:color="auto"/>
        <w:right w:val="none" w:sz="0" w:space="0" w:color="auto"/>
      </w:divBdr>
    </w:div>
    <w:div w:id="787315867">
      <w:bodyDiv w:val="1"/>
      <w:marLeft w:val="0"/>
      <w:marRight w:val="0"/>
      <w:marTop w:val="0"/>
      <w:marBottom w:val="0"/>
      <w:divBdr>
        <w:top w:val="none" w:sz="0" w:space="0" w:color="auto"/>
        <w:left w:val="none" w:sz="0" w:space="0" w:color="auto"/>
        <w:bottom w:val="none" w:sz="0" w:space="0" w:color="auto"/>
        <w:right w:val="none" w:sz="0" w:space="0" w:color="auto"/>
      </w:divBdr>
    </w:div>
    <w:div w:id="894244341">
      <w:bodyDiv w:val="1"/>
      <w:marLeft w:val="0"/>
      <w:marRight w:val="0"/>
      <w:marTop w:val="0"/>
      <w:marBottom w:val="0"/>
      <w:divBdr>
        <w:top w:val="none" w:sz="0" w:space="0" w:color="auto"/>
        <w:left w:val="none" w:sz="0" w:space="0" w:color="auto"/>
        <w:bottom w:val="none" w:sz="0" w:space="0" w:color="auto"/>
        <w:right w:val="none" w:sz="0" w:space="0" w:color="auto"/>
      </w:divBdr>
    </w:div>
    <w:div w:id="915476676">
      <w:bodyDiv w:val="1"/>
      <w:marLeft w:val="0"/>
      <w:marRight w:val="0"/>
      <w:marTop w:val="0"/>
      <w:marBottom w:val="0"/>
      <w:divBdr>
        <w:top w:val="none" w:sz="0" w:space="0" w:color="auto"/>
        <w:left w:val="none" w:sz="0" w:space="0" w:color="auto"/>
        <w:bottom w:val="none" w:sz="0" w:space="0" w:color="auto"/>
        <w:right w:val="none" w:sz="0" w:space="0" w:color="auto"/>
      </w:divBdr>
    </w:div>
    <w:div w:id="935091253">
      <w:bodyDiv w:val="1"/>
      <w:marLeft w:val="0"/>
      <w:marRight w:val="0"/>
      <w:marTop w:val="0"/>
      <w:marBottom w:val="0"/>
      <w:divBdr>
        <w:top w:val="none" w:sz="0" w:space="0" w:color="auto"/>
        <w:left w:val="none" w:sz="0" w:space="0" w:color="auto"/>
        <w:bottom w:val="none" w:sz="0" w:space="0" w:color="auto"/>
        <w:right w:val="none" w:sz="0" w:space="0" w:color="auto"/>
      </w:divBdr>
    </w:div>
    <w:div w:id="948926415">
      <w:bodyDiv w:val="1"/>
      <w:marLeft w:val="0"/>
      <w:marRight w:val="0"/>
      <w:marTop w:val="0"/>
      <w:marBottom w:val="0"/>
      <w:divBdr>
        <w:top w:val="none" w:sz="0" w:space="0" w:color="auto"/>
        <w:left w:val="none" w:sz="0" w:space="0" w:color="auto"/>
        <w:bottom w:val="none" w:sz="0" w:space="0" w:color="auto"/>
        <w:right w:val="none" w:sz="0" w:space="0" w:color="auto"/>
      </w:divBdr>
    </w:div>
    <w:div w:id="967003859">
      <w:bodyDiv w:val="1"/>
      <w:marLeft w:val="0"/>
      <w:marRight w:val="0"/>
      <w:marTop w:val="0"/>
      <w:marBottom w:val="0"/>
      <w:divBdr>
        <w:top w:val="none" w:sz="0" w:space="0" w:color="auto"/>
        <w:left w:val="none" w:sz="0" w:space="0" w:color="auto"/>
        <w:bottom w:val="none" w:sz="0" w:space="0" w:color="auto"/>
        <w:right w:val="none" w:sz="0" w:space="0" w:color="auto"/>
      </w:divBdr>
    </w:div>
    <w:div w:id="968819033">
      <w:bodyDiv w:val="1"/>
      <w:marLeft w:val="0"/>
      <w:marRight w:val="0"/>
      <w:marTop w:val="0"/>
      <w:marBottom w:val="0"/>
      <w:divBdr>
        <w:top w:val="none" w:sz="0" w:space="0" w:color="auto"/>
        <w:left w:val="none" w:sz="0" w:space="0" w:color="auto"/>
        <w:bottom w:val="none" w:sz="0" w:space="0" w:color="auto"/>
        <w:right w:val="none" w:sz="0" w:space="0" w:color="auto"/>
      </w:divBdr>
    </w:div>
    <w:div w:id="978145162">
      <w:bodyDiv w:val="1"/>
      <w:marLeft w:val="0"/>
      <w:marRight w:val="0"/>
      <w:marTop w:val="0"/>
      <w:marBottom w:val="0"/>
      <w:divBdr>
        <w:top w:val="none" w:sz="0" w:space="0" w:color="auto"/>
        <w:left w:val="none" w:sz="0" w:space="0" w:color="auto"/>
        <w:bottom w:val="none" w:sz="0" w:space="0" w:color="auto"/>
        <w:right w:val="none" w:sz="0" w:space="0" w:color="auto"/>
      </w:divBdr>
    </w:div>
    <w:div w:id="978611947">
      <w:bodyDiv w:val="1"/>
      <w:marLeft w:val="0"/>
      <w:marRight w:val="0"/>
      <w:marTop w:val="0"/>
      <w:marBottom w:val="0"/>
      <w:divBdr>
        <w:top w:val="none" w:sz="0" w:space="0" w:color="auto"/>
        <w:left w:val="none" w:sz="0" w:space="0" w:color="auto"/>
        <w:bottom w:val="none" w:sz="0" w:space="0" w:color="auto"/>
        <w:right w:val="none" w:sz="0" w:space="0" w:color="auto"/>
      </w:divBdr>
    </w:div>
    <w:div w:id="1015418518">
      <w:bodyDiv w:val="1"/>
      <w:marLeft w:val="0"/>
      <w:marRight w:val="0"/>
      <w:marTop w:val="0"/>
      <w:marBottom w:val="0"/>
      <w:divBdr>
        <w:top w:val="none" w:sz="0" w:space="0" w:color="auto"/>
        <w:left w:val="none" w:sz="0" w:space="0" w:color="auto"/>
        <w:bottom w:val="none" w:sz="0" w:space="0" w:color="auto"/>
        <w:right w:val="none" w:sz="0" w:space="0" w:color="auto"/>
      </w:divBdr>
    </w:div>
    <w:div w:id="1029450183">
      <w:bodyDiv w:val="1"/>
      <w:marLeft w:val="0"/>
      <w:marRight w:val="0"/>
      <w:marTop w:val="0"/>
      <w:marBottom w:val="0"/>
      <w:divBdr>
        <w:top w:val="none" w:sz="0" w:space="0" w:color="auto"/>
        <w:left w:val="none" w:sz="0" w:space="0" w:color="auto"/>
        <w:bottom w:val="none" w:sz="0" w:space="0" w:color="auto"/>
        <w:right w:val="none" w:sz="0" w:space="0" w:color="auto"/>
      </w:divBdr>
    </w:div>
    <w:div w:id="1044718936">
      <w:bodyDiv w:val="1"/>
      <w:marLeft w:val="0"/>
      <w:marRight w:val="0"/>
      <w:marTop w:val="0"/>
      <w:marBottom w:val="0"/>
      <w:divBdr>
        <w:top w:val="none" w:sz="0" w:space="0" w:color="auto"/>
        <w:left w:val="none" w:sz="0" w:space="0" w:color="auto"/>
        <w:bottom w:val="none" w:sz="0" w:space="0" w:color="auto"/>
        <w:right w:val="none" w:sz="0" w:space="0" w:color="auto"/>
      </w:divBdr>
    </w:div>
    <w:div w:id="1057242025">
      <w:bodyDiv w:val="1"/>
      <w:marLeft w:val="0"/>
      <w:marRight w:val="0"/>
      <w:marTop w:val="0"/>
      <w:marBottom w:val="0"/>
      <w:divBdr>
        <w:top w:val="none" w:sz="0" w:space="0" w:color="auto"/>
        <w:left w:val="none" w:sz="0" w:space="0" w:color="auto"/>
        <w:bottom w:val="none" w:sz="0" w:space="0" w:color="auto"/>
        <w:right w:val="none" w:sz="0" w:space="0" w:color="auto"/>
      </w:divBdr>
    </w:div>
    <w:div w:id="1096291757">
      <w:bodyDiv w:val="1"/>
      <w:marLeft w:val="0"/>
      <w:marRight w:val="0"/>
      <w:marTop w:val="0"/>
      <w:marBottom w:val="0"/>
      <w:divBdr>
        <w:top w:val="none" w:sz="0" w:space="0" w:color="auto"/>
        <w:left w:val="none" w:sz="0" w:space="0" w:color="auto"/>
        <w:bottom w:val="none" w:sz="0" w:space="0" w:color="auto"/>
        <w:right w:val="none" w:sz="0" w:space="0" w:color="auto"/>
      </w:divBdr>
    </w:div>
    <w:div w:id="1103527499">
      <w:bodyDiv w:val="1"/>
      <w:marLeft w:val="0"/>
      <w:marRight w:val="0"/>
      <w:marTop w:val="0"/>
      <w:marBottom w:val="0"/>
      <w:divBdr>
        <w:top w:val="none" w:sz="0" w:space="0" w:color="auto"/>
        <w:left w:val="none" w:sz="0" w:space="0" w:color="auto"/>
        <w:bottom w:val="none" w:sz="0" w:space="0" w:color="auto"/>
        <w:right w:val="none" w:sz="0" w:space="0" w:color="auto"/>
      </w:divBdr>
    </w:div>
    <w:div w:id="1103719247">
      <w:bodyDiv w:val="1"/>
      <w:marLeft w:val="0"/>
      <w:marRight w:val="0"/>
      <w:marTop w:val="0"/>
      <w:marBottom w:val="0"/>
      <w:divBdr>
        <w:top w:val="none" w:sz="0" w:space="0" w:color="auto"/>
        <w:left w:val="none" w:sz="0" w:space="0" w:color="auto"/>
        <w:bottom w:val="none" w:sz="0" w:space="0" w:color="auto"/>
        <w:right w:val="none" w:sz="0" w:space="0" w:color="auto"/>
      </w:divBdr>
    </w:div>
    <w:div w:id="1111315459">
      <w:bodyDiv w:val="1"/>
      <w:marLeft w:val="0"/>
      <w:marRight w:val="0"/>
      <w:marTop w:val="0"/>
      <w:marBottom w:val="0"/>
      <w:divBdr>
        <w:top w:val="none" w:sz="0" w:space="0" w:color="auto"/>
        <w:left w:val="none" w:sz="0" w:space="0" w:color="auto"/>
        <w:bottom w:val="none" w:sz="0" w:space="0" w:color="auto"/>
        <w:right w:val="none" w:sz="0" w:space="0" w:color="auto"/>
      </w:divBdr>
    </w:div>
    <w:div w:id="1126972517">
      <w:bodyDiv w:val="1"/>
      <w:marLeft w:val="0"/>
      <w:marRight w:val="0"/>
      <w:marTop w:val="0"/>
      <w:marBottom w:val="0"/>
      <w:divBdr>
        <w:top w:val="none" w:sz="0" w:space="0" w:color="auto"/>
        <w:left w:val="none" w:sz="0" w:space="0" w:color="auto"/>
        <w:bottom w:val="none" w:sz="0" w:space="0" w:color="auto"/>
        <w:right w:val="none" w:sz="0" w:space="0" w:color="auto"/>
      </w:divBdr>
    </w:div>
    <w:div w:id="1152985415">
      <w:bodyDiv w:val="1"/>
      <w:marLeft w:val="0"/>
      <w:marRight w:val="0"/>
      <w:marTop w:val="0"/>
      <w:marBottom w:val="0"/>
      <w:divBdr>
        <w:top w:val="none" w:sz="0" w:space="0" w:color="auto"/>
        <w:left w:val="none" w:sz="0" w:space="0" w:color="auto"/>
        <w:bottom w:val="none" w:sz="0" w:space="0" w:color="auto"/>
        <w:right w:val="none" w:sz="0" w:space="0" w:color="auto"/>
      </w:divBdr>
    </w:div>
    <w:div w:id="1156649713">
      <w:bodyDiv w:val="1"/>
      <w:marLeft w:val="0"/>
      <w:marRight w:val="0"/>
      <w:marTop w:val="0"/>
      <w:marBottom w:val="0"/>
      <w:divBdr>
        <w:top w:val="none" w:sz="0" w:space="0" w:color="auto"/>
        <w:left w:val="none" w:sz="0" w:space="0" w:color="auto"/>
        <w:bottom w:val="none" w:sz="0" w:space="0" w:color="auto"/>
        <w:right w:val="none" w:sz="0" w:space="0" w:color="auto"/>
      </w:divBdr>
    </w:div>
    <w:div w:id="1156914964">
      <w:bodyDiv w:val="1"/>
      <w:marLeft w:val="0"/>
      <w:marRight w:val="0"/>
      <w:marTop w:val="0"/>
      <w:marBottom w:val="0"/>
      <w:divBdr>
        <w:top w:val="none" w:sz="0" w:space="0" w:color="auto"/>
        <w:left w:val="none" w:sz="0" w:space="0" w:color="auto"/>
        <w:bottom w:val="none" w:sz="0" w:space="0" w:color="auto"/>
        <w:right w:val="none" w:sz="0" w:space="0" w:color="auto"/>
      </w:divBdr>
    </w:div>
    <w:div w:id="1160972228">
      <w:bodyDiv w:val="1"/>
      <w:marLeft w:val="0"/>
      <w:marRight w:val="0"/>
      <w:marTop w:val="0"/>
      <w:marBottom w:val="0"/>
      <w:divBdr>
        <w:top w:val="none" w:sz="0" w:space="0" w:color="auto"/>
        <w:left w:val="none" w:sz="0" w:space="0" w:color="auto"/>
        <w:bottom w:val="none" w:sz="0" w:space="0" w:color="auto"/>
        <w:right w:val="none" w:sz="0" w:space="0" w:color="auto"/>
      </w:divBdr>
    </w:div>
    <w:div w:id="1204099574">
      <w:bodyDiv w:val="1"/>
      <w:marLeft w:val="0"/>
      <w:marRight w:val="0"/>
      <w:marTop w:val="0"/>
      <w:marBottom w:val="0"/>
      <w:divBdr>
        <w:top w:val="none" w:sz="0" w:space="0" w:color="auto"/>
        <w:left w:val="none" w:sz="0" w:space="0" w:color="auto"/>
        <w:bottom w:val="none" w:sz="0" w:space="0" w:color="auto"/>
        <w:right w:val="none" w:sz="0" w:space="0" w:color="auto"/>
      </w:divBdr>
    </w:div>
    <w:div w:id="1223246782">
      <w:bodyDiv w:val="1"/>
      <w:marLeft w:val="0"/>
      <w:marRight w:val="0"/>
      <w:marTop w:val="0"/>
      <w:marBottom w:val="0"/>
      <w:divBdr>
        <w:top w:val="none" w:sz="0" w:space="0" w:color="auto"/>
        <w:left w:val="none" w:sz="0" w:space="0" w:color="auto"/>
        <w:bottom w:val="none" w:sz="0" w:space="0" w:color="auto"/>
        <w:right w:val="none" w:sz="0" w:space="0" w:color="auto"/>
      </w:divBdr>
    </w:div>
    <w:div w:id="1236282123">
      <w:bodyDiv w:val="1"/>
      <w:marLeft w:val="0"/>
      <w:marRight w:val="0"/>
      <w:marTop w:val="0"/>
      <w:marBottom w:val="0"/>
      <w:divBdr>
        <w:top w:val="none" w:sz="0" w:space="0" w:color="auto"/>
        <w:left w:val="none" w:sz="0" w:space="0" w:color="auto"/>
        <w:bottom w:val="none" w:sz="0" w:space="0" w:color="auto"/>
        <w:right w:val="none" w:sz="0" w:space="0" w:color="auto"/>
      </w:divBdr>
    </w:div>
    <w:div w:id="1266960488">
      <w:bodyDiv w:val="1"/>
      <w:marLeft w:val="0"/>
      <w:marRight w:val="0"/>
      <w:marTop w:val="0"/>
      <w:marBottom w:val="0"/>
      <w:divBdr>
        <w:top w:val="none" w:sz="0" w:space="0" w:color="auto"/>
        <w:left w:val="none" w:sz="0" w:space="0" w:color="auto"/>
        <w:bottom w:val="none" w:sz="0" w:space="0" w:color="auto"/>
        <w:right w:val="none" w:sz="0" w:space="0" w:color="auto"/>
      </w:divBdr>
    </w:div>
    <w:div w:id="1306819218">
      <w:bodyDiv w:val="1"/>
      <w:marLeft w:val="0"/>
      <w:marRight w:val="0"/>
      <w:marTop w:val="0"/>
      <w:marBottom w:val="0"/>
      <w:divBdr>
        <w:top w:val="none" w:sz="0" w:space="0" w:color="auto"/>
        <w:left w:val="none" w:sz="0" w:space="0" w:color="auto"/>
        <w:bottom w:val="none" w:sz="0" w:space="0" w:color="auto"/>
        <w:right w:val="none" w:sz="0" w:space="0" w:color="auto"/>
      </w:divBdr>
    </w:div>
    <w:div w:id="1425421289">
      <w:bodyDiv w:val="1"/>
      <w:marLeft w:val="0"/>
      <w:marRight w:val="0"/>
      <w:marTop w:val="0"/>
      <w:marBottom w:val="0"/>
      <w:divBdr>
        <w:top w:val="none" w:sz="0" w:space="0" w:color="auto"/>
        <w:left w:val="none" w:sz="0" w:space="0" w:color="auto"/>
        <w:bottom w:val="none" w:sz="0" w:space="0" w:color="auto"/>
        <w:right w:val="none" w:sz="0" w:space="0" w:color="auto"/>
      </w:divBdr>
      <w:divsChild>
        <w:div w:id="686059569">
          <w:marLeft w:val="0"/>
          <w:marRight w:val="0"/>
          <w:marTop w:val="0"/>
          <w:marBottom w:val="0"/>
          <w:divBdr>
            <w:top w:val="none" w:sz="0" w:space="0" w:color="auto"/>
            <w:left w:val="none" w:sz="0" w:space="0" w:color="auto"/>
            <w:bottom w:val="none" w:sz="0" w:space="0" w:color="auto"/>
            <w:right w:val="none" w:sz="0" w:space="0" w:color="auto"/>
          </w:divBdr>
          <w:divsChild>
            <w:div w:id="263736129">
              <w:marLeft w:val="0"/>
              <w:marRight w:val="0"/>
              <w:marTop w:val="0"/>
              <w:marBottom w:val="0"/>
              <w:divBdr>
                <w:top w:val="none" w:sz="0" w:space="0" w:color="auto"/>
                <w:left w:val="none" w:sz="0" w:space="0" w:color="auto"/>
                <w:bottom w:val="none" w:sz="0" w:space="0" w:color="auto"/>
                <w:right w:val="none" w:sz="0" w:space="0" w:color="auto"/>
              </w:divBdr>
              <w:divsChild>
                <w:div w:id="20273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1816">
          <w:marLeft w:val="0"/>
          <w:marRight w:val="0"/>
          <w:marTop w:val="0"/>
          <w:marBottom w:val="0"/>
          <w:divBdr>
            <w:top w:val="none" w:sz="0" w:space="0" w:color="auto"/>
            <w:left w:val="none" w:sz="0" w:space="0" w:color="auto"/>
            <w:bottom w:val="none" w:sz="0" w:space="0" w:color="auto"/>
            <w:right w:val="none" w:sz="0" w:space="0" w:color="auto"/>
          </w:divBdr>
          <w:divsChild>
            <w:div w:id="751509582">
              <w:marLeft w:val="0"/>
              <w:marRight w:val="0"/>
              <w:marTop w:val="0"/>
              <w:marBottom w:val="0"/>
              <w:divBdr>
                <w:top w:val="none" w:sz="0" w:space="0" w:color="auto"/>
                <w:left w:val="none" w:sz="0" w:space="0" w:color="auto"/>
                <w:bottom w:val="none" w:sz="0" w:space="0" w:color="auto"/>
                <w:right w:val="none" w:sz="0" w:space="0" w:color="auto"/>
              </w:divBdr>
              <w:divsChild>
                <w:div w:id="11026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85856">
      <w:bodyDiv w:val="1"/>
      <w:marLeft w:val="0"/>
      <w:marRight w:val="0"/>
      <w:marTop w:val="0"/>
      <w:marBottom w:val="0"/>
      <w:divBdr>
        <w:top w:val="none" w:sz="0" w:space="0" w:color="auto"/>
        <w:left w:val="none" w:sz="0" w:space="0" w:color="auto"/>
        <w:bottom w:val="none" w:sz="0" w:space="0" w:color="auto"/>
        <w:right w:val="none" w:sz="0" w:space="0" w:color="auto"/>
      </w:divBdr>
    </w:div>
    <w:div w:id="1510026076">
      <w:bodyDiv w:val="1"/>
      <w:marLeft w:val="0"/>
      <w:marRight w:val="0"/>
      <w:marTop w:val="0"/>
      <w:marBottom w:val="0"/>
      <w:divBdr>
        <w:top w:val="none" w:sz="0" w:space="0" w:color="auto"/>
        <w:left w:val="none" w:sz="0" w:space="0" w:color="auto"/>
        <w:bottom w:val="none" w:sz="0" w:space="0" w:color="auto"/>
        <w:right w:val="none" w:sz="0" w:space="0" w:color="auto"/>
      </w:divBdr>
    </w:div>
    <w:div w:id="1510409765">
      <w:bodyDiv w:val="1"/>
      <w:marLeft w:val="0"/>
      <w:marRight w:val="0"/>
      <w:marTop w:val="0"/>
      <w:marBottom w:val="0"/>
      <w:divBdr>
        <w:top w:val="none" w:sz="0" w:space="0" w:color="auto"/>
        <w:left w:val="none" w:sz="0" w:space="0" w:color="auto"/>
        <w:bottom w:val="none" w:sz="0" w:space="0" w:color="auto"/>
        <w:right w:val="none" w:sz="0" w:space="0" w:color="auto"/>
      </w:divBdr>
    </w:div>
    <w:div w:id="1518158493">
      <w:bodyDiv w:val="1"/>
      <w:marLeft w:val="0"/>
      <w:marRight w:val="0"/>
      <w:marTop w:val="0"/>
      <w:marBottom w:val="0"/>
      <w:divBdr>
        <w:top w:val="none" w:sz="0" w:space="0" w:color="auto"/>
        <w:left w:val="none" w:sz="0" w:space="0" w:color="auto"/>
        <w:bottom w:val="none" w:sz="0" w:space="0" w:color="auto"/>
        <w:right w:val="none" w:sz="0" w:space="0" w:color="auto"/>
      </w:divBdr>
    </w:div>
    <w:div w:id="1519663476">
      <w:bodyDiv w:val="1"/>
      <w:marLeft w:val="0"/>
      <w:marRight w:val="0"/>
      <w:marTop w:val="0"/>
      <w:marBottom w:val="0"/>
      <w:divBdr>
        <w:top w:val="none" w:sz="0" w:space="0" w:color="auto"/>
        <w:left w:val="none" w:sz="0" w:space="0" w:color="auto"/>
        <w:bottom w:val="none" w:sz="0" w:space="0" w:color="auto"/>
        <w:right w:val="none" w:sz="0" w:space="0" w:color="auto"/>
      </w:divBdr>
    </w:div>
    <w:div w:id="1520121560">
      <w:bodyDiv w:val="1"/>
      <w:marLeft w:val="0"/>
      <w:marRight w:val="0"/>
      <w:marTop w:val="0"/>
      <w:marBottom w:val="0"/>
      <w:divBdr>
        <w:top w:val="none" w:sz="0" w:space="0" w:color="auto"/>
        <w:left w:val="none" w:sz="0" w:space="0" w:color="auto"/>
        <w:bottom w:val="none" w:sz="0" w:space="0" w:color="auto"/>
        <w:right w:val="none" w:sz="0" w:space="0" w:color="auto"/>
      </w:divBdr>
    </w:div>
    <w:div w:id="1532840190">
      <w:bodyDiv w:val="1"/>
      <w:marLeft w:val="0"/>
      <w:marRight w:val="0"/>
      <w:marTop w:val="0"/>
      <w:marBottom w:val="0"/>
      <w:divBdr>
        <w:top w:val="none" w:sz="0" w:space="0" w:color="auto"/>
        <w:left w:val="none" w:sz="0" w:space="0" w:color="auto"/>
        <w:bottom w:val="none" w:sz="0" w:space="0" w:color="auto"/>
        <w:right w:val="none" w:sz="0" w:space="0" w:color="auto"/>
      </w:divBdr>
    </w:div>
    <w:div w:id="1533567814">
      <w:bodyDiv w:val="1"/>
      <w:marLeft w:val="0"/>
      <w:marRight w:val="0"/>
      <w:marTop w:val="0"/>
      <w:marBottom w:val="0"/>
      <w:divBdr>
        <w:top w:val="none" w:sz="0" w:space="0" w:color="auto"/>
        <w:left w:val="none" w:sz="0" w:space="0" w:color="auto"/>
        <w:bottom w:val="none" w:sz="0" w:space="0" w:color="auto"/>
        <w:right w:val="none" w:sz="0" w:space="0" w:color="auto"/>
      </w:divBdr>
    </w:div>
    <w:div w:id="1537618955">
      <w:bodyDiv w:val="1"/>
      <w:marLeft w:val="0"/>
      <w:marRight w:val="0"/>
      <w:marTop w:val="0"/>
      <w:marBottom w:val="0"/>
      <w:divBdr>
        <w:top w:val="none" w:sz="0" w:space="0" w:color="auto"/>
        <w:left w:val="none" w:sz="0" w:space="0" w:color="auto"/>
        <w:bottom w:val="none" w:sz="0" w:space="0" w:color="auto"/>
        <w:right w:val="none" w:sz="0" w:space="0" w:color="auto"/>
      </w:divBdr>
    </w:div>
    <w:div w:id="1559125529">
      <w:bodyDiv w:val="1"/>
      <w:marLeft w:val="0"/>
      <w:marRight w:val="0"/>
      <w:marTop w:val="0"/>
      <w:marBottom w:val="0"/>
      <w:divBdr>
        <w:top w:val="none" w:sz="0" w:space="0" w:color="auto"/>
        <w:left w:val="none" w:sz="0" w:space="0" w:color="auto"/>
        <w:bottom w:val="none" w:sz="0" w:space="0" w:color="auto"/>
        <w:right w:val="none" w:sz="0" w:space="0" w:color="auto"/>
      </w:divBdr>
    </w:div>
    <w:div w:id="1561742981">
      <w:bodyDiv w:val="1"/>
      <w:marLeft w:val="0"/>
      <w:marRight w:val="0"/>
      <w:marTop w:val="0"/>
      <w:marBottom w:val="0"/>
      <w:divBdr>
        <w:top w:val="none" w:sz="0" w:space="0" w:color="auto"/>
        <w:left w:val="none" w:sz="0" w:space="0" w:color="auto"/>
        <w:bottom w:val="none" w:sz="0" w:space="0" w:color="auto"/>
        <w:right w:val="none" w:sz="0" w:space="0" w:color="auto"/>
      </w:divBdr>
    </w:div>
    <w:div w:id="1570187036">
      <w:bodyDiv w:val="1"/>
      <w:marLeft w:val="0"/>
      <w:marRight w:val="0"/>
      <w:marTop w:val="0"/>
      <w:marBottom w:val="0"/>
      <w:divBdr>
        <w:top w:val="none" w:sz="0" w:space="0" w:color="auto"/>
        <w:left w:val="none" w:sz="0" w:space="0" w:color="auto"/>
        <w:bottom w:val="none" w:sz="0" w:space="0" w:color="auto"/>
        <w:right w:val="none" w:sz="0" w:space="0" w:color="auto"/>
      </w:divBdr>
    </w:div>
    <w:div w:id="1571307099">
      <w:bodyDiv w:val="1"/>
      <w:marLeft w:val="0"/>
      <w:marRight w:val="0"/>
      <w:marTop w:val="0"/>
      <w:marBottom w:val="0"/>
      <w:divBdr>
        <w:top w:val="none" w:sz="0" w:space="0" w:color="auto"/>
        <w:left w:val="none" w:sz="0" w:space="0" w:color="auto"/>
        <w:bottom w:val="none" w:sz="0" w:space="0" w:color="auto"/>
        <w:right w:val="none" w:sz="0" w:space="0" w:color="auto"/>
      </w:divBdr>
    </w:div>
    <w:div w:id="1585147768">
      <w:bodyDiv w:val="1"/>
      <w:marLeft w:val="0"/>
      <w:marRight w:val="0"/>
      <w:marTop w:val="0"/>
      <w:marBottom w:val="0"/>
      <w:divBdr>
        <w:top w:val="none" w:sz="0" w:space="0" w:color="auto"/>
        <w:left w:val="none" w:sz="0" w:space="0" w:color="auto"/>
        <w:bottom w:val="none" w:sz="0" w:space="0" w:color="auto"/>
        <w:right w:val="none" w:sz="0" w:space="0" w:color="auto"/>
      </w:divBdr>
    </w:div>
    <w:div w:id="1585916974">
      <w:bodyDiv w:val="1"/>
      <w:marLeft w:val="0"/>
      <w:marRight w:val="0"/>
      <w:marTop w:val="0"/>
      <w:marBottom w:val="0"/>
      <w:divBdr>
        <w:top w:val="none" w:sz="0" w:space="0" w:color="auto"/>
        <w:left w:val="none" w:sz="0" w:space="0" w:color="auto"/>
        <w:bottom w:val="none" w:sz="0" w:space="0" w:color="auto"/>
        <w:right w:val="none" w:sz="0" w:space="0" w:color="auto"/>
      </w:divBdr>
    </w:div>
    <w:div w:id="1608081975">
      <w:bodyDiv w:val="1"/>
      <w:marLeft w:val="0"/>
      <w:marRight w:val="0"/>
      <w:marTop w:val="0"/>
      <w:marBottom w:val="0"/>
      <w:divBdr>
        <w:top w:val="none" w:sz="0" w:space="0" w:color="auto"/>
        <w:left w:val="none" w:sz="0" w:space="0" w:color="auto"/>
        <w:bottom w:val="none" w:sz="0" w:space="0" w:color="auto"/>
        <w:right w:val="none" w:sz="0" w:space="0" w:color="auto"/>
      </w:divBdr>
    </w:div>
    <w:div w:id="1641567933">
      <w:bodyDiv w:val="1"/>
      <w:marLeft w:val="0"/>
      <w:marRight w:val="0"/>
      <w:marTop w:val="0"/>
      <w:marBottom w:val="0"/>
      <w:divBdr>
        <w:top w:val="none" w:sz="0" w:space="0" w:color="auto"/>
        <w:left w:val="none" w:sz="0" w:space="0" w:color="auto"/>
        <w:bottom w:val="none" w:sz="0" w:space="0" w:color="auto"/>
        <w:right w:val="none" w:sz="0" w:space="0" w:color="auto"/>
      </w:divBdr>
    </w:div>
    <w:div w:id="1647666807">
      <w:bodyDiv w:val="1"/>
      <w:marLeft w:val="0"/>
      <w:marRight w:val="0"/>
      <w:marTop w:val="0"/>
      <w:marBottom w:val="0"/>
      <w:divBdr>
        <w:top w:val="none" w:sz="0" w:space="0" w:color="auto"/>
        <w:left w:val="none" w:sz="0" w:space="0" w:color="auto"/>
        <w:bottom w:val="none" w:sz="0" w:space="0" w:color="auto"/>
        <w:right w:val="none" w:sz="0" w:space="0" w:color="auto"/>
      </w:divBdr>
    </w:div>
    <w:div w:id="1693729151">
      <w:bodyDiv w:val="1"/>
      <w:marLeft w:val="0"/>
      <w:marRight w:val="0"/>
      <w:marTop w:val="0"/>
      <w:marBottom w:val="0"/>
      <w:divBdr>
        <w:top w:val="none" w:sz="0" w:space="0" w:color="auto"/>
        <w:left w:val="none" w:sz="0" w:space="0" w:color="auto"/>
        <w:bottom w:val="none" w:sz="0" w:space="0" w:color="auto"/>
        <w:right w:val="none" w:sz="0" w:space="0" w:color="auto"/>
      </w:divBdr>
    </w:div>
    <w:div w:id="1704670589">
      <w:bodyDiv w:val="1"/>
      <w:marLeft w:val="0"/>
      <w:marRight w:val="0"/>
      <w:marTop w:val="0"/>
      <w:marBottom w:val="0"/>
      <w:divBdr>
        <w:top w:val="none" w:sz="0" w:space="0" w:color="auto"/>
        <w:left w:val="none" w:sz="0" w:space="0" w:color="auto"/>
        <w:bottom w:val="none" w:sz="0" w:space="0" w:color="auto"/>
        <w:right w:val="none" w:sz="0" w:space="0" w:color="auto"/>
      </w:divBdr>
    </w:div>
    <w:div w:id="1718433504">
      <w:bodyDiv w:val="1"/>
      <w:marLeft w:val="0"/>
      <w:marRight w:val="0"/>
      <w:marTop w:val="0"/>
      <w:marBottom w:val="0"/>
      <w:divBdr>
        <w:top w:val="none" w:sz="0" w:space="0" w:color="auto"/>
        <w:left w:val="none" w:sz="0" w:space="0" w:color="auto"/>
        <w:bottom w:val="none" w:sz="0" w:space="0" w:color="auto"/>
        <w:right w:val="none" w:sz="0" w:space="0" w:color="auto"/>
      </w:divBdr>
      <w:divsChild>
        <w:div w:id="127744911">
          <w:marLeft w:val="0"/>
          <w:marRight w:val="0"/>
          <w:marTop w:val="0"/>
          <w:marBottom w:val="0"/>
          <w:divBdr>
            <w:top w:val="none" w:sz="0" w:space="0" w:color="auto"/>
            <w:left w:val="none" w:sz="0" w:space="0" w:color="auto"/>
            <w:bottom w:val="none" w:sz="0" w:space="0" w:color="auto"/>
            <w:right w:val="none" w:sz="0" w:space="0" w:color="auto"/>
          </w:divBdr>
          <w:divsChild>
            <w:div w:id="13727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8173">
      <w:bodyDiv w:val="1"/>
      <w:marLeft w:val="0"/>
      <w:marRight w:val="0"/>
      <w:marTop w:val="0"/>
      <w:marBottom w:val="0"/>
      <w:divBdr>
        <w:top w:val="none" w:sz="0" w:space="0" w:color="auto"/>
        <w:left w:val="none" w:sz="0" w:space="0" w:color="auto"/>
        <w:bottom w:val="none" w:sz="0" w:space="0" w:color="auto"/>
        <w:right w:val="none" w:sz="0" w:space="0" w:color="auto"/>
      </w:divBdr>
    </w:div>
    <w:div w:id="1728649160">
      <w:bodyDiv w:val="1"/>
      <w:marLeft w:val="0"/>
      <w:marRight w:val="0"/>
      <w:marTop w:val="0"/>
      <w:marBottom w:val="0"/>
      <w:divBdr>
        <w:top w:val="none" w:sz="0" w:space="0" w:color="auto"/>
        <w:left w:val="none" w:sz="0" w:space="0" w:color="auto"/>
        <w:bottom w:val="none" w:sz="0" w:space="0" w:color="auto"/>
        <w:right w:val="none" w:sz="0" w:space="0" w:color="auto"/>
      </w:divBdr>
    </w:div>
    <w:div w:id="1758139113">
      <w:bodyDiv w:val="1"/>
      <w:marLeft w:val="0"/>
      <w:marRight w:val="0"/>
      <w:marTop w:val="0"/>
      <w:marBottom w:val="0"/>
      <w:divBdr>
        <w:top w:val="none" w:sz="0" w:space="0" w:color="auto"/>
        <w:left w:val="none" w:sz="0" w:space="0" w:color="auto"/>
        <w:bottom w:val="none" w:sz="0" w:space="0" w:color="auto"/>
        <w:right w:val="none" w:sz="0" w:space="0" w:color="auto"/>
      </w:divBdr>
    </w:div>
    <w:div w:id="1794013675">
      <w:bodyDiv w:val="1"/>
      <w:marLeft w:val="0"/>
      <w:marRight w:val="0"/>
      <w:marTop w:val="0"/>
      <w:marBottom w:val="0"/>
      <w:divBdr>
        <w:top w:val="none" w:sz="0" w:space="0" w:color="auto"/>
        <w:left w:val="none" w:sz="0" w:space="0" w:color="auto"/>
        <w:bottom w:val="none" w:sz="0" w:space="0" w:color="auto"/>
        <w:right w:val="none" w:sz="0" w:space="0" w:color="auto"/>
      </w:divBdr>
    </w:div>
    <w:div w:id="1804737080">
      <w:bodyDiv w:val="1"/>
      <w:marLeft w:val="0"/>
      <w:marRight w:val="0"/>
      <w:marTop w:val="0"/>
      <w:marBottom w:val="0"/>
      <w:divBdr>
        <w:top w:val="none" w:sz="0" w:space="0" w:color="auto"/>
        <w:left w:val="none" w:sz="0" w:space="0" w:color="auto"/>
        <w:bottom w:val="none" w:sz="0" w:space="0" w:color="auto"/>
        <w:right w:val="none" w:sz="0" w:space="0" w:color="auto"/>
      </w:divBdr>
    </w:div>
    <w:div w:id="1812163618">
      <w:bodyDiv w:val="1"/>
      <w:marLeft w:val="0"/>
      <w:marRight w:val="0"/>
      <w:marTop w:val="0"/>
      <w:marBottom w:val="0"/>
      <w:divBdr>
        <w:top w:val="none" w:sz="0" w:space="0" w:color="auto"/>
        <w:left w:val="none" w:sz="0" w:space="0" w:color="auto"/>
        <w:bottom w:val="none" w:sz="0" w:space="0" w:color="auto"/>
        <w:right w:val="none" w:sz="0" w:space="0" w:color="auto"/>
      </w:divBdr>
      <w:divsChild>
        <w:div w:id="2042316890">
          <w:marLeft w:val="0"/>
          <w:marRight w:val="0"/>
          <w:marTop w:val="0"/>
          <w:marBottom w:val="0"/>
          <w:divBdr>
            <w:top w:val="none" w:sz="0" w:space="0" w:color="auto"/>
            <w:left w:val="none" w:sz="0" w:space="0" w:color="auto"/>
            <w:bottom w:val="none" w:sz="0" w:space="0" w:color="auto"/>
            <w:right w:val="none" w:sz="0" w:space="0" w:color="auto"/>
          </w:divBdr>
          <w:divsChild>
            <w:div w:id="1976065027">
              <w:marLeft w:val="0"/>
              <w:marRight w:val="0"/>
              <w:marTop w:val="0"/>
              <w:marBottom w:val="0"/>
              <w:divBdr>
                <w:top w:val="none" w:sz="0" w:space="0" w:color="auto"/>
                <w:left w:val="none" w:sz="0" w:space="0" w:color="auto"/>
                <w:bottom w:val="none" w:sz="0" w:space="0" w:color="auto"/>
                <w:right w:val="none" w:sz="0" w:space="0" w:color="auto"/>
              </w:divBdr>
              <w:divsChild>
                <w:div w:id="12082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39708">
          <w:marLeft w:val="0"/>
          <w:marRight w:val="0"/>
          <w:marTop w:val="0"/>
          <w:marBottom w:val="0"/>
          <w:divBdr>
            <w:top w:val="none" w:sz="0" w:space="0" w:color="auto"/>
            <w:left w:val="none" w:sz="0" w:space="0" w:color="auto"/>
            <w:bottom w:val="none" w:sz="0" w:space="0" w:color="auto"/>
            <w:right w:val="none" w:sz="0" w:space="0" w:color="auto"/>
          </w:divBdr>
          <w:divsChild>
            <w:div w:id="1210537636">
              <w:marLeft w:val="0"/>
              <w:marRight w:val="0"/>
              <w:marTop w:val="0"/>
              <w:marBottom w:val="0"/>
              <w:divBdr>
                <w:top w:val="none" w:sz="0" w:space="0" w:color="auto"/>
                <w:left w:val="none" w:sz="0" w:space="0" w:color="auto"/>
                <w:bottom w:val="none" w:sz="0" w:space="0" w:color="auto"/>
                <w:right w:val="none" w:sz="0" w:space="0" w:color="auto"/>
              </w:divBdr>
              <w:divsChild>
                <w:div w:id="11185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76047">
      <w:bodyDiv w:val="1"/>
      <w:marLeft w:val="0"/>
      <w:marRight w:val="0"/>
      <w:marTop w:val="0"/>
      <w:marBottom w:val="0"/>
      <w:divBdr>
        <w:top w:val="none" w:sz="0" w:space="0" w:color="auto"/>
        <w:left w:val="none" w:sz="0" w:space="0" w:color="auto"/>
        <w:bottom w:val="none" w:sz="0" w:space="0" w:color="auto"/>
        <w:right w:val="none" w:sz="0" w:space="0" w:color="auto"/>
      </w:divBdr>
    </w:div>
    <w:div w:id="1822425243">
      <w:bodyDiv w:val="1"/>
      <w:marLeft w:val="0"/>
      <w:marRight w:val="0"/>
      <w:marTop w:val="0"/>
      <w:marBottom w:val="0"/>
      <w:divBdr>
        <w:top w:val="none" w:sz="0" w:space="0" w:color="auto"/>
        <w:left w:val="none" w:sz="0" w:space="0" w:color="auto"/>
        <w:bottom w:val="none" w:sz="0" w:space="0" w:color="auto"/>
        <w:right w:val="none" w:sz="0" w:space="0" w:color="auto"/>
      </w:divBdr>
    </w:div>
    <w:div w:id="1851526597">
      <w:bodyDiv w:val="1"/>
      <w:marLeft w:val="0"/>
      <w:marRight w:val="0"/>
      <w:marTop w:val="0"/>
      <w:marBottom w:val="0"/>
      <w:divBdr>
        <w:top w:val="none" w:sz="0" w:space="0" w:color="auto"/>
        <w:left w:val="none" w:sz="0" w:space="0" w:color="auto"/>
        <w:bottom w:val="none" w:sz="0" w:space="0" w:color="auto"/>
        <w:right w:val="none" w:sz="0" w:space="0" w:color="auto"/>
      </w:divBdr>
    </w:div>
    <w:div w:id="1855922742">
      <w:bodyDiv w:val="1"/>
      <w:marLeft w:val="0"/>
      <w:marRight w:val="0"/>
      <w:marTop w:val="0"/>
      <w:marBottom w:val="0"/>
      <w:divBdr>
        <w:top w:val="none" w:sz="0" w:space="0" w:color="auto"/>
        <w:left w:val="none" w:sz="0" w:space="0" w:color="auto"/>
        <w:bottom w:val="none" w:sz="0" w:space="0" w:color="auto"/>
        <w:right w:val="none" w:sz="0" w:space="0" w:color="auto"/>
      </w:divBdr>
    </w:div>
    <w:div w:id="1877505549">
      <w:bodyDiv w:val="1"/>
      <w:marLeft w:val="0"/>
      <w:marRight w:val="0"/>
      <w:marTop w:val="0"/>
      <w:marBottom w:val="0"/>
      <w:divBdr>
        <w:top w:val="none" w:sz="0" w:space="0" w:color="auto"/>
        <w:left w:val="none" w:sz="0" w:space="0" w:color="auto"/>
        <w:bottom w:val="none" w:sz="0" w:space="0" w:color="auto"/>
        <w:right w:val="none" w:sz="0" w:space="0" w:color="auto"/>
      </w:divBdr>
    </w:div>
    <w:div w:id="1889225075">
      <w:bodyDiv w:val="1"/>
      <w:marLeft w:val="0"/>
      <w:marRight w:val="0"/>
      <w:marTop w:val="0"/>
      <w:marBottom w:val="0"/>
      <w:divBdr>
        <w:top w:val="none" w:sz="0" w:space="0" w:color="auto"/>
        <w:left w:val="none" w:sz="0" w:space="0" w:color="auto"/>
        <w:bottom w:val="none" w:sz="0" w:space="0" w:color="auto"/>
        <w:right w:val="none" w:sz="0" w:space="0" w:color="auto"/>
      </w:divBdr>
    </w:div>
    <w:div w:id="1901479278">
      <w:bodyDiv w:val="1"/>
      <w:marLeft w:val="0"/>
      <w:marRight w:val="0"/>
      <w:marTop w:val="0"/>
      <w:marBottom w:val="0"/>
      <w:divBdr>
        <w:top w:val="none" w:sz="0" w:space="0" w:color="auto"/>
        <w:left w:val="none" w:sz="0" w:space="0" w:color="auto"/>
        <w:bottom w:val="none" w:sz="0" w:space="0" w:color="auto"/>
        <w:right w:val="none" w:sz="0" w:space="0" w:color="auto"/>
      </w:divBdr>
    </w:div>
    <w:div w:id="1904440175">
      <w:bodyDiv w:val="1"/>
      <w:marLeft w:val="0"/>
      <w:marRight w:val="0"/>
      <w:marTop w:val="0"/>
      <w:marBottom w:val="0"/>
      <w:divBdr>
        <w:top w:val="none" w:sz="0" w:space="0" w:color="auto"/>
        <w:left w:val="none" w:sz="0" w:space="0" w:color="auto"/>
        <w:bottom w:val="none" w:sz="0" w:space="0" w:color="auto"/>
        <w:right w:val="none" w:sz="0" w:space="0" w:color="auto"/>
      </w:divBdr>
    </w:div>
    <w:div w:id="1909920776">
      <w:bodyDiv w:val="1"/>
      <w:marLeft w:val="0"/>
      <w:marRight w:val="0"/>
      <w:marTop w:val="0"/>
      <w:marBottom w:val="0"/>
      <w:divBdr>
        <w:top w:val="none" w:sz="0" w:space="0" w:color="auto"/>
        <w:left w:val="none" w:sz="0" w:space="0" w:color="auto"/>
        <w:bottom w:val="none" w:sz="0" w:space="0" w:color="auto"/>
        <w:right w:val="none" w:sz="0" w:space="0" w:color="auto"/>
      </w:divBdr>
    </w:div>
    <w:div w:id="1924218853">
      <w:bodyDiv w:val="1"/>
      <w:marLeft w:val="0"/>
      <w:marRight w:val="0"/>
      <w:marTop w:val="0"/>
      <w:marBottom w:val="0"/>
      <w:divBdr>
        <w:top w:val="none" w:sz="0" w:space="0" w:color="auto"/>
        <w:left w:val="none" w:sz="0" w:space="0" w:color="auto"/>
        <w:bottom w:val="none" w:sz="0" w:space="0" w:color="auto"/>
        <w:right w:val="none" w:sz="0" w:space="0" w:color="auto"/>
      </w:divBdr>
    </w:div>
    <w:div w:id="1925459108">
      <w:bodyDiv w:val="1"/>
      <w:marLeft w:val="0"/>
      <w:marRight w:val="0"/>
      <w:marTop w:val="0"/>
      <w:marBottom w:val="0"/>
      <w:divBdr>
        <w:top w:val="none" w:sz="0" w:space="0" w:color="auto"/>
        <w:left w:val="none" w:sz="0" w:space="0" w:color="auto"/>
        <w:bottom w:val="none" w:sz="0" w:space="0" w:color="auto"/>
        <w:right w:val="none" w:sz="0" w:space="0" w:color="auto"/>
      </w:divBdr>
    </w:div>
    <w:div w:id="1925644959">
      <w:bodyDiv w:val="1"/>
      <w:marLeft w:val="0"/>
      <w:marRight w:val="0"/>
      <w:marTop w:val="0"/>
      <w:marBottom w:val="0"/>
      <w:divBdr>
        <w:top w:val="none" w:sz="0" w:space="0" w:color="auto"/>
        <w:left w:val="none" w:sz="0" w:space="0" w:color="auto"/>
        <w:bottom w:val="none" w:sz="0" w:space="0" w:color="auto"/>
        <w:right w:val="none" w:sz="0" w:space="0" w:color="auto"/>
      </w:divBdr>
    </w:div>
    <w:div w:id="1958755783">
      <w:bodyDiv w:val="1"/>
      <w:marLeft w:val="0"/>
      <w:marRight w:val="0"/>
      <w:marTop w:val="0"/>
      <w:marBottom w:val="0"/>
      <w:divBdr>
        <w:top w:val="none" w:sz="0" w:space="0" w:color="auto"/>
        <w:left w:val="none" w:sz="0" w:space="0" w:color="auto"/>
        <w:bottom w:val="none" w:sz="0" w:space="0" w:color="auto"/>
        <w:right w:val="none" w:sz="0" w:space="0" w:color="auto"/>
      </w:divBdr>
    </w:div>
    <w:div w:id="1961766117">
      <w:bodyDiv w:val="1"/>
      <w:marLeft w:val="0"/>
      <w:marRight w:val="0"/>
      <w:marTop w:val="0"/>
      <w:marBottom w:val="0"/>
      <w:divBdr>
        <w:top w:val="none" w:sz="0" w:space="0" w:color="auto"/>
        <w:left w:val="none" w:sz="0" w:space="0" w:color="auto"/>
        <w:bottom w:val="none" w:sz="0" w:space="0" w:color="auto"/>
        <w:right w:val="none" w:sz="0" w:space="0" w:color="auto"/>
      </w:divBdr>
    </w:div>
    <w:div w:id="1993753279">
      <w:bodyDiv w:val="1"/>
      <w:marLeft w:val="0"/>
      <w:marRight w:val="0"/>
      <w:marTop w:val="0"/>
      <w:marBottom w:val="0"/>
      <w:divBdr>
        <w:top w:val="none" w:sz="0" w:space="0" w:color="auto"/>
        <w:left w:val="none" w:sz="0" w:space="0" w:color="auto"/>
        <w:bottom w:val="none" w:sz="0" w:space="0" w:color="auto"/>
        <w:right w:val="none" w:sz="0" w:space="0" w:color="auto"/>
      </w:divBdr>
    </w:div>
    <w:div w:id="2003727847">
      <w:bodyDiv w:val="1"/>
      <w:marLeft w:val="0"/>
      <w:marRight w:val="0"/>
      <w:marTop w:val="0"/>
      <w:marBottom w:val="0"/>
      <w:divBdr>
        <w:top w:val="none" w:sz="0" w:space="0" w:color="auto"/>
        <w:left w:val="none" w:sz="0" w:space="0" w:color="auto"/>
        <w:bottom w:val="none" w:sz="0" w:space="0" w:color="auto"/>
        <w:right w:val="none" w:sz="0" w:space="0" w:color="auto"/>
      </w:divBdr>
    </w:div>
    <w:div w:id="2008512953">
      <w:bodyDiv w:val="1"/>
      <w:marLeft w:val="0"/>
      <w:marRight w:val="0"/>
      <w:marTop w:val="0"/>
      <w:marBottom w:val="0"/>
      <w:divBdr>
        <w:top w:val="none" w:sz="0" w:space="0" w:color="auto"/>
        <w:left w:val="none" w:sz="0" w:space="0" w:color="auto"/>
        <w:bottom w:val="none" w:sz="0" w:space="0" w:color="auto"/>
        <w:right w:val="none" w:sz="0" w:space="0" w:color="auto"/>
      </w:divBdr>
    </w:div>
    <w:div w:id="2028287015">
      <w:bodyDiv w:val="1"/>
      <w:marLeft w:val="0"/>
      <w:marRight w:val="0"/>
      <w:marTop w:val="0"/>
      <w:marBottom w:val="0"/>
      <w:divBdr>
        <w:top w:val="none" w:sz="0" w:space="0" w:color="auto"/>
        <w:left w:val="none" w:sz="0" w:space="0" w:color="auto"/>
        <w:bottom w:val="none" w:sz="0" w:space="0" w:color="auto"/>
        <w:right w:val="none" w:sz="0" w:space="0" w:color="auto"/>
      </w:divBdr>
    </w:div>
    <w:div w:id="2118520969">
      <w:bodyDiv w:val="1"/>
      <w:marLeft w:val="0"/>
      <w:marRight w:val="0"/>
      <w:marTop w:val="0"/>
      <w:marBottom w:val="0"/>
      <w:divBdr>
        <w:top w:val="none" w:sz="0" w:space="0" w:color="auto"/>
        <w:left w:val="none" w:sz="0" w:space="0" w:color="auto"/>
        <w:bottom w:val="none" w:sz="0" w:space="0" w:color="auto"/>
        <w:right w:val="none" w:sz="0" w:space="0" w:color="auto"/>
      </w:divBdr>
    </w:div>
    <w:div w:id="2133789603">
      <w:bodyDiv w:val="1"/>
      <w:marLeft w:val="0"/>
      <w:marRight w:val="0"/>
      <w:marTop w:val="0"/>
      <w:marBottom w:val="0"/>
      <w:divBdr>
        <w:top w:val="none" w:sz="0" w:space="0" w:color="auto"/>
        <w:left w:val="none" w:sz="0" w:space="0" w:color="auto"/>
        <w:bottom w:val="none" w:sz="0" w:space="0" w:color="auto"/>
        <w:right w:val="none" w:sz="0" w:space="0" w:color="auto"/>
      </w:divBdr>
      <w:divsChild>
        <w:div w:id="222061078">
          <w:marLeft w:val="0"/>
          <w:marRight w:val="0"/>
          <w:marTop w:val="0"/>
          <w:marBottom w:val="0"/>
          <w:divBdr>
            <w:top w:val="none" w:sz="0" w:space="0" w:color="auto"/>
            <w:left w:val="none" w:sz="0" w:space="0" w:color="auto"/>
            <w:bottom w:val="none" w:sz="0" w:space="0" w:color="auto"/>
            <w:right w:val="none" w:sz="0" w:space="0" w:color="auto"/>
          </w:divBdr>
          <w:divsChild>
            <w:div w:id="9187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8563</Words>
  <Characters>47102</Characters>
  <Application>Microsoft Macintosh Word</Application>
  <DocSecurity>0</DocSecurity>
  <Lines>772</Lines>
  <Paragraphs>62</Paragraphs>
  <ScaleCrop>false</ScaleCrop>
  <Company/>
  <LinksUpToDate>false</LinksUpToDate>
  <CharactersWithSpaces>55603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Bentley</dc:creator>
  <cp:keywords/>
  <dc:description/>
  <cp:lastModifiedBy>Michelle Bentley</cp:lastModifiedBy>
  <cp:revision>4</cp:revision>
  <dcterms:created xsi:type="dcterms:W3CDTF">2018-05-18T12:54:00Z</dcterms:created>
  <dcterms:modified xsi:type="dcterms:W3CDTF">2018-05-18T13:18:00Z</dcterms:modified>
</cp:coreProperties>
</file>