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F45204" w14:textId="344F2DF4" w:rsidR="00E1538C" w:rsidRPr="00A60FD5" w:rsidRDefault="00E1538C" w:rsidP="00E1538C">
      <w:pPr>
        <w:pStyle w:val="PlainText"/>
        <w:spacing w:line="480" w:lineRule="auto"/>
        <w:jc w:val="center"/>
        <w:rPr>
          <w:rFonts w:ascii="Times New Roman" w:hAnsi="Times New Roman" w:cs="Times New Roman"/>
          <w:b/>
          <w:sz w:val="24"/>
          <w:szCs w:val="24"/>
        </w:rPr>
      </w:pPr>
      <w:bookmarkStart w:id="0" w:name="_GoBack"/>
      <w:bookmarkEnd w:id="0"/>
      <w:r w:rsidRPr="00A60FD5">
        <w:rPr>
          <w:rFonts w:ascii="Times New Roman" w:hAnsi="Times New Roman" w:cs="Times New Roman"/>
          <w:b/>
          <w:bCs/>
          <w:sz w:val="28"/>
          <w:szCs w:val="28"/>
          <w:shd w:val="clear" w:color="auto" w:fill="FFFFFF"/>
        </w:rPr>
        <w:t xml:space="preserve">Contractual Governance and the Choice of Dispute-Resolution Mechanisms: Evidence on Technology Licensing  </w:t>
      </w:r>
    </w:p>
    <w:p w14:paraId="3E5B9300" w14:textId="4F31D786" w:rsidR="00E1538C" w:rsidRPr="00A60FD5" w:rsidRDefault="00E1538C" w:rsidP="0018613D">
      <w:pPr>
        <w:pStyle w:val="PlainText"/>
        <w:spacing w:line="480" w:lineRule="auto"/>
        <w:jc w:val="center"/>
        <w:rPr>
          <w:rFonts w:ascii="Times New Roman" w:hAnsi="Times New Roman" w:cs="Times New Roman"/>
          <w:bCs/>
          <w:sz w:val="24"/>
          <w:szCs w:val="24"/>
          <w:shd w:val="clear" w:color="auto" w:fill="FFFFFF"/>
        </w:rPr>
      </w:pPr>
    </w:p>
    <w:p w14:paraId="70F849A2" w14:textId="52A9549F" w:rsidR="00E1538C" w:rsidRPr="00A60FD5" w:rsidRDefault="00E1538C" w:rsidP="00E639A9">
      <w:pPr>
        <w:pStyle w:val="PlainText"/>
        <w:spacing w:line="360" w:lineRule="auto"/>
        <w:jc w:val="center"/>
        <w:rPr>
          <w:rFonts w:ascii="Times New Roman" w:hAnsi="Times New Roman" w:cs="Times New Roman"/>
          <w:bCs/>
          <w:sz w:val="24"/>
          <w:szCs w:val="24"/>
          <w:shd w:val="clear" w:color="auto" w:fill="FFFFFF"/>
        </w:rPr>
      </w:pPr>
      <w:r w:rsidRPr="00A60FD5">
        <w:rPr>
          <w:rFonts w:ascii="Times New Roman" w:hAnsi="Times New Roman" w:cs="Times New Roman"/>
          <w:bCs/>
          <w:sz w:val="24"/>
          <w:szCs w:val="24"/>
          <w:shd w:val="clear" w:color="auto" w:fill="FFFFFF"/>
        </w:rPr>
        <w:t>Valérie DUPLAT</w:t>
      </w:r>
    </w:p>
    <w:p w14:paraId="0A28BDD6" w14:textId="77777777" w:rsidR="00E1538C" w:rsidRPr="00A60FD5" w:rsidRDefault="00E1538C" w:rsidP="00E639A9">
      <w:pPr>
        <w:pStyle w:val="PlainText"/>
        <w:spacing w:line="360" w:lineRule="auto"/>
        <w:jc w:val="center"/>
        <w:rPr>
          <w:rFonts w:ascii="Times New Roman" w:hAnsi="Times New Roman" w:cs="Times New Roman"/>
          <w:bCs/>
          <w:sz w:val="24"/>
          <w:szCs w:val="24"/>
          <w:shd w:val="clear" w:color="auto" w:fill="FFFFFF"/>
        </w:rPr>
      </w:pPr>
      <w:r w:rsidRPr="00A60FD5">
        <w:rPr>
          <w:rFonts w:ascii="Times New Roman" w:hAnsi="Times New Roman" w:cs="Times New Roman"/>
          <w:bCs/>
          <w:sz w:val="24"/>
          <w:szCs w:val="24"/>
          <w:shd w:val="clear" w:color="auto" w:fill="FFFFFF"/>
        </w:rPr>
        <w:t>VU University Amsterdam</w:t>
      </w:r>
    </w:p>
    <w:p w14:paraId="2E3C219D" w14:textId="403EE212" w:rsidR="00E1538C" w:rsidRPr="00A60FD5" w:rsidRDefault="00E1538C" w:rsidP="00E639A9">
      <w:pPr>
        <w:pStyle w:val="PlainText"/>
        <w:spacing w:line="360" w:lineRule="auto"/>
        <w:jc w:val="center"/>
        <w:rPr>
          <w:rFonts w:ascii="Times New Roman" w:hAnsi="Times New Roman" w:cs="Times New Roman"/>
          <w:bCs/>
          <w:sz w:val="24"/>
          <w:szCs w:val="24"/>
          <w:shd w:val="clear" w:color="auto" w:fill="FFFFFF"/>
        </w:rPr>
      </w:pPr>
      <w:r w:rsidRPr="00A60FD5">
        <w:rPr>
          <w:rFonts w:ascii="Times New Roman" w:hAnsi="Times New Roman" w:cs="Times New Roman"/>
          <w:bCs/>
          <w:sz w:val="24"/>
          <w:szCs w:val="24"/>
          <w:shd w:val="clear" w:color="auto" w:fill="FFFFFF"/>
        </w:rPr>
        <w:t xml:space="preserve"> </w:t>
      </w:r>
      <w:r w:rsidR="00DA2ECD" w:rsidRPr="00A60FD5">
        <w:rPr>
          <w:rFonts w:ascii="Times New Roman" w:hAnsi="Times New Roman" w:cs="Times New Roman"/>
          <w:bCs/>
          <w:sz w:val="24"/>
          <w:szCs w:val="24"/>
          <w:shd w:val="clear" w:color="auto" w:fill="FFFFFF"/>
        </w:rPr>
        <w:t>School of Business and Economics</w:t>
      </w:r>
      <w:r w:rsidRPr="00A60FD5">
        <w:rPr>
          <w:rFonts w:ascii="Times New Roman" w:hAnsi="Times New Roman" w:cs="Times New Roman"/>
          <w:bCs/>
          <w:sz w:val="24"/>
          <w:szCs w:val="24"/>
          <w:shd w:val="clear" w:color="auto" w:fill="FFFFFF"/>
        </w:rPr>
        <w:t xml:space="preserve"> </w:t>
      </w:r>
    </w:p>
    <w:p w14:paraId="0BBB8B20" w14:textId="4773A87A" w:rsidR="00DA2ECD" w:rsidRPr="00A60FD5" w:rsidRDefault="00E1538C" w:rsidP="00E639A9">
      <w:pPr>
        <w:pStyle w:val="PlainText"/>
        <w:spacing w:line="360" w:lineRule="auto"/>
        <w:jc w:val="center"/>
        <w:rPr>
          <w:rFonts w:ascii="Times New Roman" w:hAnsi="Times New Roman" w:cs="Times New Roman"/>
          <w:bCs/>
          <w:sz w:val="24"/>
          <w:szCs w:val="24"/>
          <w:shd w:val="clear" w:color="auto" w:fill="FFFFFF"/>
          <w:lang w:val="nl-NL"/>
        </w:rPr>
      </w:pPr>
      <w:r w:rsidRPr="00A60FD5">
        <w:rPr>
          <w:rFonts w:ascii="Times New Roman" w:hAnsi="Times New Roman" w:cs="Times New Roman"/>
          <w:bCs/>
          <w:sz w:val="24"/>
          <w:szCs w:val="24"/>
          <w:shd w:val="clear" w:color="auto" w:fill="FFFFFF"/>
          <w:lang w:val="nl-NL"/>
        </w:rPr>
        <w:t xml:space="preserve">De Boelelaan 1105 </w:t>
      </w:r>
    </w:p>
    <w:p w14:paraId="2DCDD0D5" w14:textId="3B13254A" w:rsidR="00E1538C" w:rsidRPr="00A60FD5" w:rsidRDefault="00E1538C" w:rsidP="00E639A9">
      <w:pPr>
        <w:pStyle w:val="PlainText"/>
        <w:spacing w:line="360" w:lineRule="auto"/>
        <w:jc w:val="center"/>
        <w:rPr>
          <w:rFonts w:ascii="Times New Roman" w:hAnsi="Times New Roman" w:cs="Times New Roman"/>
          <w:bCs/>
          <w:sz w:val="24"/>
          <w:szCs w:val="24"/>
          <w:shd w:val="clear" w:color="auto" w:fill="FFFFFF"/>
          <w:lang w:val="nl-NL"/>
        </w:rPr>
      </w:pPr>
      <w:r w:rsidRPr="00A60FD5">
        <w:rPr>
          <w:rFonts w:ascii="Times New Roman" w:hAnsi="Times New Roman" w:cs="Times New Roman"/>
          <w:bCs/>
          <w:sz w:val="24"/>
          <w:szCs w:val="24"/>
          <w:shd w:val="clear" w:color="auto" w:fill="FFFFFF"/>
          <w:lang w:val="nl-NL"/>
        </w:rPr>
        <w:t xml:space="preserve">1081 HV Amsterdam </w:t>
      </w:r>
    </w:p>
    <w:p w14:paraId="0B54047B" w14:textId="65A864FF" w:rsidR="00E1538C" w:rsidRPr="00A60FD5" w:rsidRDefault="00E1538C" w:rsidP="00E639A9">
      <w:pPr>
        <w:pStyle w:val="PlainText"/>
        <w:spacing w:line="360" w:lineRule="auto"/>
        <w:jc w:val="center"/>
        <w:rPr>
          <w:rFonts w:ascii="Times New Roman" w:hAnsi="Times New Roman" w:cs="Times New Roman"/>
          <w:bCs/>
          <w:sz w:val="24"/>
          <w:szCs w:val="24"/>
          <w:shd w:val="clear" w:color="auto" w:fill="FFFFFF"/>
          <w:lang w:val="nl-NL"/>
        </w:rPr>
      </w:pPr>
      <w:r w:rsidRPr="00A60FD5">
        <w:rPr>
          <w:rFonts w:ascii="Times New Roman" w:hAnsi="Times New Roman" w:cs="Times New Roman"/>
          <w:bCs/>
          <w:sz w:val="24"/>
          <w:szCs w:val="24"/>
          <w:shd w:val="clear" w:color="auto" w:fill="FFFFFF"/>
          <w:lang w:val="nl-NL"/>
        </w:rPr>
        <w:t>The Netherlands</w:t>
      </w:r>
    </w:p>
    <w:p w14:paraId="27F60F0B" w14:textId="77777777" w:rsidR="00E1538C" w:rsidRPr="00A60FD5" w:rsidRDefault="00E1538C" w:rsidP="00E639A9">
      <w:pPr>
        <w:pStyle w:val="PlainText"/>
        <w:spacing w:line="360" w:lineRule="auto"/>
        <w:jc w:val="center"/>
        <w:rPr>
          <w:rFonts w:ascii="Times New Roman" w:hAnsi="Times New Roman" w:cs="Times New Roman"/>
          <w:bCs/>
          <w:sz w:val="24"/>
          <w:szCs w:val="24"/>
          <w:shd w:val="clear" w:color="auto" w:fill="FFFFFF"/>
          <w:lang w:val="nl-NL"/>
        </w:rPr>
      </w:pPr>
    </w:p>
    <w:p w14:paraId="23DF9023" w14:textId="01D07374" w:rsidR="00E1538C" w:rsidRPr="00A60FD5" w:rsidRDefault="00E1538C" w:rsidP="00E639A9">
      <w:pPr>
        <w:pStyle w:val="PlainText"/>
        <w:spacing w:line="360" w:lineRule="auto"/>
        <w:jc w:val="center"/>
        <w:rPr>
          <w:rFonts w:ascii="Times New Roman" w:hAnsi="Times New Roman" w:cs="Times New Roman"/>
          <w:bCs/>
          <w:sz w:val="24"/>
          <w:szCs w:val="24"/>
          <w:shd w:val="clear" w:color="auto" w:fill="FFFFFF"/>
          <w:lang w:val="fr-BE"/>
        </w:rPr>
      </w:pPr>
      <w:r w:rsidRPr="00A60FD5">
        <w:rPr>
          <w:rFonts w:ascii="Times New Roman" w:hAnsi="Times New Roman" w:cs="Times New Roman"/>
          <w:bCs/>
          <w:sz w:val="24"/>
          <w:szCs w:val="24"/>
          <w:shd w:val="clear" w:color="auto" w:fill="FFFFFF"/>
          <w:lang w:val="fr-BE"/>
        </w:rPr>
        <w:t>Régis COEURDEROY</w:t>
      </w:r>
    </w:p>
    <w:p w14:paraId="1C04108C" w14:textId="08FBB773" w:rsidR="00E1538C" w:rsidRPr="00A60FD5" w:rsidRDefault="00E1538C" w:rsidP="00E639A9">
      <w:pPr>
        <w:pStyle w:val="PlainText"/>
        <w:spacing w:line="360" w:lineRule="auto"/>
        <w:jc w:val="center"/>
        <w:rPr>
          <w:rFonts w:ascii="Times New Roman" w:hAnsi="Times New Roman" w:cs="Times New Roman"/>
          <w:bCs/>
          <w:sz w:val="24"/>
          <w:szCs w:val="24"/>
          <w:shd w:val="clear" w:color="auto" w:fill="FFFFFF"/>
          <w:lang w:val="fr-BE"/>
        </w:rPr>
      </w:pPr>
      <w:r w:rsidRPr="00A60FD5">
        <w:rPr>
          <w:rFonts w:ascii="Times New Roman" w:hAnsi="Times New Roman" w:cs="Times New Roman"/>
          <w:bCs/>
          <w:sz w:val="24"/>
          <w:szCs w:val="24"/>
          <w:shd w:val="clear" w:color="auto" w:fill="FFFFFF"/>
          <w:lang w:val="fr-BE"/>
        </w:rPr>
        <w:t xml:space="preserve">ESCP Europe </w:t>
      </w:r>
    </w:p>
    <w:p w14:paraId="62FB82AE" w14:textId="066F9D57" w:rsidR="00E1538C" w:rsidRPr="00A60FD5" w:rsidRDefault="00293B49" w:rsidP="00E639A9">
      <w:pPr>
        <w:pStyle w:val="PlainText"/>
        <w:spacing w:line="360" w:lineRule="auto"/>
        <w:jc w:val="center"/>
        <w:rPr>
          <w:rFonts w:ascii="Times New Roman" w:hAnsi="Times New Roman" w:cs="Times New Roman"/>
          <w:bCs/>
          <w:sz w:val="24"/>
          <w:szCs w:val="24"/>
          <w:shd w:val="clear" w:color="auto" w:fill="FFFFFF"/>
          <w:lang w:val="fr-BE"/>
        </w:rPr>
      </w:pPr>
      <w:r w:rsidRPr="00A60FD5">
        <w:rPr>
          <w:rFonts w:ascii="Times New Roman" w:hAnsi="Times New Roman" w:cs="Times New Roman"/>
          <w:bCs/>
          <w:sz w:val="24"/>
          <w:szCs w:val="24"/>
          <w:shd w:val="clear" w:color="auto" w:fill="FFFFFF"/>
          <w:lang w:val="fr-BE"/>
        </w:rPr>
        <w:t>A</w:t>
      </w:r>
      <w:r w:rsidR="00E1538C" w:rsidRPr="00A60FD5">
        <w:rPr>
          <w:rFonts w:ascii="Times New Roman" w:hAnsi="Times New Roman" w:cs="Times New Roman"/>
          <w:bCs/>
          <w:sz w:val="24"/>
          <w:szCs w:val="24"/>
          <w:shd w:val="clear" w:color="auto" w:fill="FFFFFF"/>
          <w:lang w:val="fr-BE"/>
        </w:rPr>
        <w:t>venue de la République</w:t>
      </w:r>
      <w:r w:rsidRPr="00A60FD5">
        <w:rPr>
          <w:rFonts w:ascii="Times New Roman" w:hAnsi="Times New Roman" w:cs="Times New Roman"/>
          <w:bCs/>
          <w:sz w:val="24"/>
          <w:szCs w:val="24"/>
          <w:shd w:val="clear" w:color="auto" w:fill="FFFFFF"/>
          <w:lang w:val="fr-BE"/>
        </w:rPr>
        <w:t xml:space="preserve"> 79</w:t>
      </w:r>
    </w:p>
    <w:p w14:paraId="65D13369" w14:textId="77777777" w:rsidR="00E1538C" w:rsidRPr="00A60FD5" w:rsidRDefault="00E1538C" w:rsidP="00E639A9">
      <w:pPr>
        <w:pStyle w:val="PlainText"/>
        <w:spacing w:line="360" w:lineRule="auto"/>
        <w:jc w:val="center"/>
        <w:rPr>
          <w:rFonts w:ascii="Times New Roman" w:hAnsi="Times New Roman" w:cs="Times New Roman"/>
          <w:bCs/>
          <w:sz w:val="24"/>
          <w:szCs w:val="24"/>
          <w:shd w:val="clear" w:color="auto" w:fill="FFFFFF"/>
          <w:lang w:val="fr-BE"/>
        </w:rPr>
      </w:pPr>
      <w:r w:rsidRPr="00A60FD5">
        <w:rPr>
          <w:rFonts w:ascii="Times New Roman" w:hAnsi="Times New Roman" w:cs="Times New Roman"/>
          <w:bCs/>
          <w:sz w:val="24"/>
          <w:szCs w:val="24"/>
          <w:shd w:val="clear" w:color="auto" w:fill="FFFFFF"/>
          <w:lang w:val="fr-BE"/>
        </w:rPr>
        <w:t>75543 Paris cedex 11</w:t>
      </w:r>
    </w:p>
    <w:p w14:paraId="575C37D3" w14:textId="1D365B01" w:rsidR="00E1538C" w:rsidRPr="00A60FD5" w:rsidRDefault="005C195C" w:rsidP="00E639A9">
      <w:pPr>
        <w:pStyle w:val="PlainText"/>
        <w:spacing w:line="360" w:lineRule="auto"/>
        <w:jc w:val="center"/>
        <w:rPr>
          <w:rFonts w:ascii="Times New Roman" w:hAnsi="Times New Roman" w:cs="Times New Roman"/>
          <w:bCs/>
          <w:sz w:val="24"/>
          <w:szCs w:val="24"/>
          <w:shd w:val="clear" w:color="auto" w:fill="FFFFFF"/>
          <w:lang w:val="fr-BE"/>
        </w:rPr>
      </w:pPr>
      <w:r w:rsidRPr="00A60FD5">
        <w:rPr>
          <w:rFonts w:ascii="Times New Roman" w:hAnsi="Times New Roman" w:cs="Times New Roman"/>
          <w:bCs/>
          <w:sz w:val="24"/>
          <w:szCs w:val="24"/>
          <w:shd w:val="clear" w:color="auto" w:fill="FFFFFF"/>
          <w:lang w:val="fr-BE"/>
        </w:rPr>
        <w:t>France</w:t>
      </w:r>
    </w:p>
    <w:p w14:paraId="51D43B44" w14:textId="77777777" w:rsidR="005C195C" w:rsidRPr="00A60FD5" w:rsidRDefault="005C195C" w:rsidP="00E639A9">
      <w:pPr>
        <w:pStyle w:val="PlainText"/>
        <w:spacing w:line="360" w:lineRule="auto"/>
        <w:jc w:val="center"/>
        <w:rPr>
          <w:rFonts w:ascii="Times New Roman" w:hAnsi="Times New Roman" w:cs="Times New Roman"/>
          <w:bCs/>
          <w:sz w:val="24"/>
          <w:szCs w:val="24"/>
          <w:shd w:val="clear" w:color="auto" w:fill="FFFFFF"/>
          <w:lang w:val="fr-BE"/>
        </w:rPr>
      </w:pPr>
      <w:r w:rsidRPr="00A60FD5">
        <w:rPr>
          <w:rFonts w:ascii="Times New Roman" w:hAnsi="Times New Roman" w:cs="Times New Roman"/>
          <w:bCs/>
          <w:sz w:val="24"/>
          <w:szCs w:val="24"/>
          <w:shd w:val="clear" w:color="auto" w:fill="FFFFFF"/>
          <w:lang w:val="fr-BE"/>
        </w:rPr>
        <w:t>and</w:t>
      </w:r>
    </w:p>
    <w:p w14:paraId="55F27678" w14:textId="77777777" w:rsidR="005C195C" w:rsidRPr="00A60FD5" w:rsidRDefault="005C195C" w:rsidP="00E639A9">
      <w:pPr>
        <w:pStyle w:val="PlainText"/>
        <w:spacing w:line="360" w:lineRule="auto"/>
        <w:jc w:val="center"/>
        <w:rPr>
          <w:rFonts w:ascii="Times New Roman" w:hAnsi="Times New Roman" w:cs="Times New Roman"/>
          <w:bCs/>
          <w:sz w:val="24"/>
          <w:szCs w:val="24"/>
          <w:shd w:val="clear" w:color="auto" w:fill="FFFFFF"/>
          <w:lang w:val="fr-BE"/>
        </w:rPr>
      </w:pPr>
      <w:r w:rsidRPr="00A60FD5">
        <w:rPr>
          <w:rFonts w:ascii="Times New Roman" w:hAnsi="Times New Roman" w:cs="Times New Roman"/>
          <w:bCs/>
          <w:sz w:val="24"/>
          <w:szCs w:val="24"/>
          <w:shd w:val="clear" w:color="auto" w:fill="FFFFFF"/>
          <w:lang w:val="fr-BE"/>
        </w:rPr>
        <w:t>Université catholique de Louvain</w:t>
      </w:r>
    </w:p>
    <w:p w14:paraId="51B7C078" w14:textId="10372D4A" w:rsidR="005C195C" w:rsidRPr="00A60FD5" w:rsidRDefault="005C195C" w:rsidP="00E639A9">
      <w:pPr>
        <w:pStyle w:val="PlainText"/>
        <w:spacing w:line="360" w:lineRule="auto"/>
        <w:jc w:val="center"/>
        <w:rPr>
          <w:rFonts w:ascii="Times New Roman" w:hAnsi="Times New Roman" w:cs="Times New Roman"/>
          <w:bCs/>
          <w:sz w:val="24"/>
          <w:szCs w:val="24"/>
          <w:shd w:val="clear" w:color="auto" w:fill="FFFFFF"/>
        </w:rPr>
      </w:pPr>
      <w:r w:rsidRPr="00A60FD5">
        <w:rPr>
          <w:rFonts w:ascii="Times New Roman" w:hAnsi="Times New Roman" w:cs="Times New Roman"/>
          <w:bCs/>
          <w:sz w:val="24"/>
          <w:szCs w:val="24"/>
          <w:shd w:val="clear" w:color="auto" w:fill="FFFFFF"/>
        </w:rPr>
        <w:t xml:space="preserve">Louvain-la-neuve </w:t>
      </w:r>
    </w:p>
    <w:p w14:paraId="0250B1F1" w14:textId="115FA47F" w:rsidR="005C195C" w:rsidRPr="00A60FD5" w:rsidRDefault="005C195C" w:rsidP="00E639A9">
      <w:pPr>
        <w:pStyle w:val="PlainText"/>
        <w:spacing w:line="360" w:lineRule="auto"/>
        <w:jc w:val="center"/>
        <w:rPr>
          <w:rFonts w:ascii="Times New Roman" w:hAnsi="Times New Roman" w:cs="Times New Roman"/>
          <w:bCs/>
          <w:sz w:val="24"/>
          <w:szCs w:val="24"/>
          <w:shd w:val="clear" w:color="auto" w:fill="FFFFFF"/>
        </w:rPr>
      </w:pPr>
      <w:r w:rsidRPr="00A60FD5">
        <w:rPr>
          <w:rFonts w:ascii="Times New Roman" w:hAnsi="Times New Roman" w:cs="Times New Roman"/>
          <w:bCs/>
          <w:sz w:val="24"/>
          <w:szCs w:val="24"/>
          <w:shd w:val="clear" w:color="auto" w:fill="FFFFFF"/>
        </w:rPr>
        <w:t>Belgium</w:t>
      </w:r>
    </w:p>
    <w:p w14:paraId="25ABD850" w14:textId="77777777" w:rsidR="00E1538C" w:rsidRPr="00A60FD5" w:rsidRDefault="00E1538C" w:rsidP="00E639A9">
      <w:pPr>
        <w:pStyle w:val="PlainText"/>
        <w:spacing w:line="360" w:lineRule="auto"/>
        <w:jc w:val="center"/>
        <w:rPr>
          <w:rFonts w:ascii="Times New Roman" w:hAnsi="Times New Roman" w:cs="Times New Roman"/>
          <w:bCs/>
          <w:sz w:val="24"/>
          <w:szCs w:val="24"/>
          <w:shd w:val="clear" w:color="auto" w:fill="FFFFFF"/>
        </w:rPr>
      </w:pPr>
    </w:p>
    <w:p w14:paraId="452043A9" w14:textId="34E9E070" w:rsidR="00E1538C" w:rsidRPr="00A60FD5" w:rsidRDefault="00E1538C" w:rsidP="00E639A9">
      <w:pPr>
        <w:pStyle w:val="PlainText"/>
        <w:spacing w:line="360" w:lineRule="auto"/>
        <w:jc w:val="center"/>
        <w:rPr>
          <w:rFonts w:ascii="Times New Roman" w:hAnsi="Times New Roman" w:cs="Times New Roman"/>
          <w:bCs/>
          <w:sz w:val="24"/>
          <w:szCs w:val="24"/>
          <w:shd w:val="clear" w:color="auto" w:fill="FFFFFF"/>
        </w:rPr>
      </w:pPr>
      <w:r w:rsidRPr="00A60FD5">
        <w:rPr>
          <w:rFonts w:ascii="Times New Roman" w:hAnsi="Times New Roman" w:cs="Times New Roman"/>
          <w:bCs/>
          <w:sz w:val="24"/>
          <w:szCs w:val="24"/>
          <w:shd w:val="clear" w:color="auto" w:fill="FFFFFF"/>
        </w:rPr>
        <w:t>John HAGEDOORN</w:t>
      </w:r>
    </w:p>
    <w:p w14:paraId="23A66FBB" w14:textId="77777777" w:rsidR="00C9618F" w:rsidRPr="00A60FD5" w:rsidRDefault="00C9618F" w:rsidP="00E639A9">
      <w:pPr>
        <w:pStyle w:val="PlainText"/>
        <w:spacing w:line="360" w:lineRule="auto"/>
        <w:jc w:val="center"/>
        <w:rPr>
          <w:rFonts w:ascii="Times New Roman" w:hAnsi="Times New Roman" w:cs="Times New Roman"/>
          <w:bCs/>
          <w:sz w:val="24"/>
          <w:szCs w:val="24"/>
          <w:shd w:val="clear" w:color="auto" w:fill="FFFFFF"/>
        </w:rPr>
      </w:pPr>
      <w:r w:rsidRPr="00A60FD5">
        <w:rPr>
          <w:rFonts w:ascii="Times New Roman" w:hAnsi="Times New Roman" w:cs="Times New Roman"/>
          <w:bCs/>
          <w:sz w:val="24"/>
          <w:szCs w:val="24"/>
          <w:shd w:val="clear" w:color="auto" w:fill="FFFFFF"/>
        </w:rPr>
        <w:t>Royal Holloway University of London</w:t>
      </w:r>
    </w:p>
    <w:p w14:paraId="431913E7" w14:textId="77777777" w:rsidR="00C9618F" w:rsidRPr="00A60FD5" w:rsidRDefault="00C9618F" w:rsidP="00E639A9">
      <w:pPr>
        <w:pStyle w:val="PlainText"/>
        <w:spacing w:line="360" w:lineRule="auto"/>
        <w:jc w:val="center"/>
        <w:rPr>
          <w:rFonts w:ascii="Times New Roman" w:hAnsi="Times New Roman" w:cs="Times New Roman"/>
          <w:bCs/>
          <w:sz w:val="24"/>
          <w:szCs w:val="24"/>
          <w:shd w:val="clear" w:color="auto" w:fill="FFFFFF"/>
        </w:rPr>
      </w:pPr>
      <w:r w:rsidRPr="00A60FD5">
        <w:rPr>
          <w:rFonts w:ascii="Times New Roman" w:hAnsi="Times New Roman" w:cs="Times New Roman"/>
          <w:bCs/>
          <w:sz w:val="24"/>
          <w:szCs w:val="24"/>
          <w:shd w:val="clear" w:color="auto" w:fill="FFFFFF"/>
        </w:rPr>
        <w:t>School of Management</w:t>
      </w:r>
    </w:p>
    <w:p w14:paraId="6A9CC0AA" w14:textId="5B427979" w:rsidR="00293B49" w:rsidRPr="00A60FD5" w:rsidRDefault="00293B49" w:rsidP="00E639A9">
      <w:pPr>
        <w:pStyle w:val="PlainText"/>
        <w:spacing w:line="360" w:lineRule="auto"/>
        <w:jc w:val="center"/>
        <w:rPr>
          <w:rFonts w:ascii="Times New Roman" w:hAnsi="Times New Roman" w:cs="Times New Roman"/>
          <w:bCs/>
          <w:sz w:val="24"/>
          <w:szCs w:val="24"/>
          <w:shd w:val="clear" w:color="auto" w:fill="FFFFFF"/>
        </w:rPr>
      </w:pPr>
      <w:r w:rsidRPr="00A60FD5">
        <w:rPr>
          <w:rFonts w:ascii="Times New Roman" w:hAnsi="Times New Roman" w:cs="Times New Roman"/>
          <w:bCs/>
          <w:sz w:val="24"/>
          <w:szCs w:val="24"/>
          <w:shd w:val="clear" w:color="auto" w:fill="FFFFFF"/>
        </w:rPr>
        <w:t xml:space="preserve">TW20 0EX </w:t>
      </w:r>
      <w:r w:rsidR="00C9618F" w:rsidRPr="00A60FD5">
        <w:rPr>
          <w:rFonts w:ascii="Times New Roman" w:hAnsi="Times New Roman" w:cs="Times New Roman"/>
          <w:bCs/>
          <w:sz w:val="24"/>
          <w:szCs w:val="24"/>
          <w:shd w:val="clear" w:color="auto" w:fill="FFFFFF"/>
        </w:rPr>
        <w:t xml:space="preserve">Egham (Surrey) </w:t>
      </w:r>
    </w:p>
    <w:p w14:paraId="341D5CE3" w14:textId="1A982C2D" w:rsidR="00C9618F" w:rsidRPr="00A60FD5" w:rsidRDefault="00C9618F" w:rsidP="00E639A9">
      <w:pPr>
        <w:pStyle w:val="PlainText"/>
        <w:spacing w:line="360" w:lineRule="auto"/>
        <w:jc w:val="center"/>
        <w:rPr>
          <w:rFonts w:ascii="Times New Roman" w:hAnsi="Times New Roman" w:cs="Times New Roman"/>
          <w:bCs/>
          <w:sz w:val="24"/>
          <w:szCs w:val="24"/>
          <w:shd w:val="clear" w:color="auto" w:fill="FFFFFF"/>
        </w:rPr>
      </w:pPr>
      <w:r w:rsidRPr="00A60FD5">
        <w:rPr>
          <w:rFonts w:ascii="Times New Roman" w:hAnsi="Times New Roman" w:cs="Times New Roman"/>
          <w:bCs/>
          <w:sz w:val="24"/>
          <w:szCs w:val="24"/>
          <w:shd w:val="clear" w:color="auto" w:fill="FFFFFF"/>
        </w:rPr>
        <w:t>United Kingdom</w:t>
      </w:r>
    </w:p>
    <w:p w14:paraId="65812D61" w14:textId="77777777" w:rsidR="00C9618F" w:rsidRPr="00A60FD5" w:rsidRDefault="00C9618F" w:rsidP="00E639A9">
      <w:pPr>
        <w:pStyle w:val="PlainText"/>
        <w:spacing w:line="360" w:lineRule="auto"/>
        <w:jc w:val="center"/>
        <w:rPr>
          <w:rFonts w:ascii="Times New Roman" w:hAnsi="Times New Roman" w:cs="Times New Roman"/>
          <w:bCs/>
          <w:sz w:val="24"/>
          <w:szCs w:val="24"/>
          <w:shd w:val="clear" w:color="auto" w:fill="FFFFFF"/>
          <w:lang w:val="nl-NL"/>
        </w:rPr>
      </w:pPr>
      <w:r w:rsidRPr="00A60FD5">
        <w:rPr>
          <w:rFonts w:ascii="Times New Roman" w:hAnsi="Times New Roman" w:cs="Times New Roman"/>
          <w:bCs/>
          <w:sz w:val="24"/>
          <w:szCs w:val="24"/>
          <w:shd w:val="clear" w:color="auto" w:fill="FFFFFF"/>
          <w:lang w:val="nl-NL"/>
        </w:rPr>
        <w:t>and</w:t>
      </w:r>
    </w:p>
    <w:p w14:paraId="27B6D5EE" w14:textId="77777777" w:rsidR="00C9618F" w:rsidRPr="00A60FD5" w:rsidRDefault="00C9618F" w:rsidP="00E639A9">
      <w:pPr>
        <w:pStyle w:val="PlainText"/>
        <w:spacing w:line="360" w:lineRule="auto"/>
        <w:jc w:val="center"/>
        <w:rPr>
          <w:rFonts w:ascii="Times New Roman" w:hAnsi="Times New Roman" w:cs="Times New Roman"/>
          <w:bCs/>
          <w:sz w:val="24"/>
          <w:szCs w:val="24"/>
          <w:shd w:val="clear" w:color="auto" w:fill="FFFFFF"/>
          <w:lang w:val="nl-NL"/>
        </w:rPr>
      </w:pPr>
      <w:r w:rsidRPr="00A60FD5">
        <w:rPr>
          <w:rFonts w:ascii="Times New Roman" w:hAnsi="Times New Roman" w:cs="Times New Roman"/>
          <w:bCs/>
          <w:sz w:val="24"/>
          <w:szCs w:val="24"/>
          <w:shd w:val="clear" w:color="auto" w:fill="FFFFFF"/>
          <w:lang w:val="nl-NL"/>
        </w:rPr>
        <w:t>UNU-MERIT</w:t>
      </w:r>
    </w:p>
    <w:p w14:paraId="2C39D052" w14:textId="77777777" w:rsidR="00C9618F" w:rsidRPr="00A60FD5" w:rsidRDefault="00C9618F" w:rsidP="00E639A9">
      <w:pPr>
        <w:pStyle w:val="PlainText"/>
        <w:spacing w:line="360" w:lineRule="auto"/>
        <w:jc w:val="center"/>
        <w:rPr>
          <w:rFonts w:ascii="Times New Roman" w:hAnsi="Times New Roman" w:cs="Times New Roman"/>
          <w:bCs/>
          <w:sz w:val="24"/>
          <w:szCs w:val="24"/>
          <w:shd w:val="clear" w:color="auto" w:fill="FFFFFF"/>
          <w:lang w:val="nl-NL"/>
        </w:rPr>
      </w:pPr>
      <w:r w:rsidRPr="00A60FD5">
        <w:rPr>
          <w:rFonts w:ascii="Times New Roman" w:hAnsi="Times New Roman" w:cs="Times New Roman"/>
          <w:bCs/>
          <w:sz w:val="24"/>
          <w:szCs w:val="24"/>
          <w:shd w:val="clear" w:color="auto" w:fill="FFFFFF"/>
          <w:lang w:val="nl-NL"/>
        </w:rPr>
        <w:t xml:space="preserve"> Maastricht University</w:t>
      </w:r>
    </w:p>
    <w:p w14:paraId="40F9B0DB" w14:textId="2FCFC3D8" w:rsidR="00C9618F" w:rsidRPr="00A60FD5" w:rsidRDefault="00C9618F" w:rsidP="00E639A9">
      <w:pPr>
        <w:pStyle w:val="PlainText"/>
        <w:spacing w:line="360" w:lineRule="auto"/>
        <w:jc w:val="center"/>
        <w:rPr>
          <w:rFonts w:ascii="Times New Roman" w:hAnsi="Times New Roman" w:cs="Times New Roman"/>
          <w:bCs/>
          <w:sz w:val="24"/>
          <w:szCs w:val="24"/>
          <w:shd w:val="clear" w:color="auto" w:fill="FFFFFF"/>
          <w:lang w:val="nl-NL"/>
        </w:rPr>
      </w:pPr>
      <w:r w:rsidRPr="00A60FD5">
        <w:rPr>
          <w:rFonts w:ascii="Times New Roman" w:hAnsi="Times New Roman" w:cs="Times New Roman"/>
          <w:bCs/>
          <w:sz w:val="24"/>
          <w:szCs w:val="24"/>
          <w:shd w:val="clear" w:color="auto" w:fill="FFFFFF"/>
          <w:lang w:val="nl-NL"/>
        </w:rPr>
        <w:t xml:space="preserve"> </w:t>
      </w:r>
      <w:r w:rsidR="00E277A3" w:rsidRPr="00A60FD5">
        <w:rPr>
          <w:rFonts w:ascii="Times New Roman" w:hAnsi="Times New Roman" w:cs="Times New Roman"/>
          <w:bCs/>
          <w:sz w:val="24"/>
          <w:szCs w:val="24"/>
          <w:shd w:val="clear" w:color="auto" w:fill="FFFFFF"/>
          <w:lang w:val="nl-NL"/>
        </w:rPr>
        <w:t>Boschstraat 24</w:t>
      </w:r>
    </w:p>
    <w:p w14:paraId="46029DF2" w14:textId="50990006" w:rsidR="00C9618F" w:rsidRPr="00A60FD5" w:rsidRDefault="00C9618F" w:rsidP="00E639A9">
      <w:pPr>
        <w:pStyle w:val="PlainText"/>
        <w:spacing w:line="360" w:lineRule="auto"/>
        <w:jc w:val="center"/>
        <w:rPr>
          <w:rFonts w:ascii="Times New Roman" w:hAnsi="Times New Roman" w:cs="Times New Roman"/>
          <w:bCs/>
          <w:sz w:val="24"/>
          <w:szCs w:val="24"/>
          <w:shd w:val="clear" w:color="auto" w:fill="FFFFFF"/>
          <w:lang w:val="nl-NL"/>
        </w:rPr>
      </w:pPr>
      <w:r w:rsidRPr="00A60FD5">
        <w:rPr>
          <w:rFonts w:ascii="Times New Roman" w:hAnsi="Times New Roman" w:cs="Times New Roman"/>
          <w:bCs/>
          <w:sz w:val="24"/>
          <w:szCs w:val="24"/>
          <w:shd w:val="clear" w:color="auto" w:fill="FFFFFF"/>
          <w:lang w:val="nl-NL"/>
        </w:rPr>
        <w:t xml:space="preserve"> 6211 </w:t>
      </w:r>
      <w:r w:rsidR="00E277A3" w:rsidRPr="00A60FD5">
        <w:rPr>
          <w:rFonts w:ascii="Times New Roman" w:hAnsi="Times New Roman" w:cs="Times New Roman"/>
          <w:bCs/>
          <w:sz w:val="24"/>
          <w:szCs w:val="24"/>
          <w:shd w:val="clear" w:color="auto" w:fill="FFFFFF"/>
          <w:lang w:val="nl-NL"/>
        </w:rPr>
        <w:t>AX</w:t>
      </w:r>
      <w:r w:rsidRPr="00A60FD5">
        <w:rPr>
          <w:rFonts w:ascii="Times New Roman" w:hAnsi="Times New Roman" w:cs="Times New Roman"/>
          <w:bCs/>
          <w:sz w:val="24"/>
          <w:szCs w:val="24"/>
          <w:shd w:val="clear" w:color="auto" w:fill="FFFFFF"/>
          <w:lang w:val="nl-NL"/>
        </w:rPr>
        <w:t xml:space="preserve"> Maastricht</w:t>
      </w:r>
    </w:p>
    <w:p w14:paraId="29140725" w14:textId="77777777" w:rsidR="00D66619" w:rsidRPr="00A60FD5" w:rsidRDefault="00C9618F" w:rsidP="00E639A9">
      <w:pPr>
        <w:pStyle w:val="PlainText"/>
        <w:spacing w:line="360" w:lineRule="auto"/>
        <w:jc w:val="center"/>
        <w:rPr>
          <w:rFonts w:ascii="Times New Roman" w:hAnsi="Times New Roman" w:cs="Times New Roman"/>
          <w:bCs/>
          <w:sz w:val="24"/>
          <w:szCs w:val="24"/>
          <w:shd w:val="clear" w:color="auto" w:fill="FFFFFF"/>
        </w:rPr>
      </w:pPr>
      <w:r w:rsidRPr="00A60FD5">
        <w:rPr>
          <w:rFonts w:ascii="Times New Roman" w:hAnsi="Times New Roman" w:cs="Times New Roman"/>
          <w:bCs/>
          <w:sz w:val="24"/>
          <w:szCs w:val="24"/>
          <w:shd w:val="clear" w:color="auto" w:fill="FFFFFF"/>
          <w:lang w:val="nl-NL"/>
        </w:rPr>
        <w:t xml:space="preserve"> </w:t>
      </w:r>
      <w:r w:rsidRPr="00A60FD5">
        <w:rPr>
          <w:rFonts w:ascii="Times New Roman" w:hAnsi="Times New Roman" w:cs="Times New Roman"/>
          <w:bCs/>
          <w:sz w:val="24"/>
          <w:szCs w:val="24"/>
          <w:shd w:val="clear" w:color="auto" w:fill="FFFFFF"/>
        </w:rPr>
        <w:t>The Netherlands</w:t>
      </w:r>
      <w:r w:rsidRPr="00A60FD5" w:rsidDel="00C9618F">
        <w:rPr>
          <w:rFonts w:ascii="Times New Roman" w:hAnsi="Times New Roman" w:cs="Times New Roman"/>
          <w:bCs/>
          <w:sz w:val="24"/>
          <w:szCs w:val="24"/>
          <w:shd w:val="clear" w:color="auto" w:fill="FFFFFF"/>
        </w:rPr>
        <w:t xml:space="preserve"> </w:t>
      </w:r>
    </w:p>
    <w:p w14:paraId="5A233214" w14:textId="77777777" w:rsidR="00E1538C" w:rsidRPr="00A60FD5" w:rsidRDefault="00E1538C" w:rsidP="0018613D">
      <w:pPr>
        <w:pStyle w:val="PlainText"/>
        <w:spacing w:line="480" w:lineRule="auto"/>
        <w:jc w:val="center"/>
        <w:rPr>
          <w:rFonts w:ascii="Times New Roman" w:hAnsi="Times New Roman" w:cs="Times New Roman"/>
          <w:b/>
          <w:bCs/>
          <w:sz w:val="28"/>
          <w:szCs w:val="28"/>
          <w:shd w:val="clear" w:color="auto" w:fill="FFFFFF"/>
        </w:rPr>
      </w:pPr>
    </w:p>
    <w:p w14:paraId="47CB9F5E" w14:textId="5ACEDA35" w:rsidR="007567DC" w:rsidRPr="00A60FD5" w:rsidRDefault="009211ED" w:rsidP="0018613D">
      <w:pPr>
        <w:pStyle w:val="PlainText"/>
        <w:spacing w:line="480" w:lineRule="auto"/>
        <w:jc w:val="center"/>
        <w:rPr>
          <w:rFonts w:ascii="Times New Roman" w:hAnsi="Times New Roman" w:cs="Times New Roman"/>
          <w:b/>
          <w:sz w:val="24"/>
          <w:szCs w:val="24"/>
        </w:rPr>
      </w:pPr>
      <w:r w:rsidRPr="00A60FD5">
        <w:rPr>
          <w:rFonts w:ascii="Times New Roman" w:hAnsi="Times New Roman" w:cs="Times New Roman"/>
          <w:b/>
          <w:bCs/>
          <w:sz w:val="28"/>
          <w:szCs w:val="28"/>
          <w:shd w:val="clear" w:color="auto" w:fill="FFFFFF"/>
        </w:rPr>
        <w:lastRenderedPageBreak/>
        <w:t xml:space="preserve">Contractual Governance and the Choice of </w:t>
      </w:r>
      <w:r w:rsidR="00DE271F" w:rsidRPr="00A60FD5">
        <w:rPr>
          <w:rFonts w:ascii="Times New Roman" w:hAnsi="Times New Roman" w:cs="Times New Roman"/>
          <w:b/>
          <w:bCs/>
          <w:sz w:val="28"/>
          <w:szCs w:val="28"/>
          <w:shd w:val="clear" w:color="auto" w:fill="FFFFFF"/>
        </w:rPr>
        <w:t>Dispute-</w:t>
      </w:r>
      <w:r w:rsidR="008A2E34" w:rsidRPr="00A60FD5">
        <w:rPr>
          <w:rFonts w:ascii="Times New Roman" w:hAnsi="Times New Roman" w:cs="Times New Roman"/>
          <w:b/>
          <w:bCs/>
          <w:sz w:val="28"/>
          <w:szCs w:val="28"/>
          <w:shd w:val="clear" w:color="auto" w:fill="FFFFFF"/>
        </w:rPr>
        <w:t>Resolution Mechanisms</w:t>
      </w:r>
      <w:r w:rsidRPr="00A60FD5">
        <w:rPr>
          <w:rFonts w:ascii="Times New Roman" w:hAnsi="Times New Roman" w:cs="Times New Roman"/>
          <w:b/>
          <w:bCs/>
          <w:sz w:val="28"/>
          <w:szCs w:val="28"/>
          <w:shd w:val="clear" w:color="auto" w:fill="FFFFFF"/>
        </w:rPr>
        <w:t>: Evidence on Technology Licensing</w:t>
      </w:r>
      <w:r w:rsidR="00E415BF" w:rsidRPr="00A60FD5">
        <w:rPr>
          <w:rFonts w:ascii="Times New Roman" w:hAnsi="Times New Roman" w:cs="Times New Roman"/>
          <w:b/>
          <w:bCs/>
          <w:sz w:val="28"/>
          <w:szCs w:val="28"/>
          <w:shd w:val="clear" w:color="auto" w:fill="FFFFFF"/>
        </w:rPr>
        <w:t xml:space="preserve">  </w:t>
      </w:r>
    </w:p>
    <w:p w14:paraId="79EE4995" w14:textId="77777777" w:rsidR="00217338" w:rsidRPr="00A60FD5" w:rsidRDefault="007567DC" w:rsidP="00217338">
      <w:pPr>
        <w:spacing w:line="480" w:lineRule="auto"/>
        <w:jc w:val="center"/>
        <w:rPr>
          <w:rFonts w:ascii="Times New Roman" w:hAnsi="Times New Roman" w:cs="Times New Roman"/>
          <w:b/>
          <w:sz w:val="24"/>
          <w:szCs w:val="24"/>
        </w:rPr>
      </w:pPr>
      <w:r w:rsidRPr="00A60FD5">
        <w:rPr>
          <w:rFonts w:ascii="Times New Roman" w:hAnsi="Times New Roman" w:cs="Times New Roman"/>
          <w:b/>
          <w:sz w:val="24"/>
          <w:szCs w:val="24"/>
        </w:rPr>
        <w:t>ABSTRACT</w:t>
      </w:r>
    </w:p>
    <w:p w14:paraId="10995AE0" w14:textId="035CB98E" w:rsidR="00726D8B" w:rsidRPr="00A60FD5" w:rsidRDefault="00981092" w:rsidP="00981092">
      <w:pPr>
        <w:spacing w:line="480" w:lineRule="auto"/>
        <w:rPr>
          <w:rFonts w:ascii="Times New Roman" w:hAnsi="Times New Roman" w:cs="Times New Roman"/>
        </w:rPr>
      </w:pPr>
      <w:r w:rsidRPr="00A60FD5">
        <w:rPr>
          <w:rFonts w:ascii="Times New Roman" w:hAnsi="Times New Roman" w:cs="Times New Roman"/>
        </w:rPr>
        <w:t>In fast-paced and knowledge-intensive environment</w:t>
      </w:r>
      <w:r w:rsidR="005C195C" w:rsidRPr="00A60FD5">
        <w:rPr>
          <w:rFonts w:ascii="Times New Roman" w:hAnsi="Times New Roman" w:cs="Times New Roman"/>
        </w:rPr>
        <w:t>s</w:t>
      </w:r>
      <w:r w:rsidRPr="00A60FD5">
        <w:rPr>
          <w:rFonts w:ascii="Times New Roman" w:hAnsi="Times New Roman" w:cs="Times New Roman"/>
        </w:rPr>
        <w:t xml:space="preserve">, </w:t>
      </w:r>
      <w:r w:rsidR="005C195C" w:rsidRPr="00A60FD5">
        <w:rPr>
          <w:rFonts w:ascii="Times New Roman" w:hAnsi="Times New Roman" w:cs="Times New Roman"/>
        </w:rPr>
        <w:t xml:space="preserve">licensing </w:t>
      </w:r>
      <w:r w:rsidRPr="00A60FD5">
        <w:rPr>
          <w:rFonts w:ascii="Times New Roman" w:hAnsi="Times New Roman" w:cs="Times New Roman"/>
        </w:rPr>
        <w:t xml:space="preserve">partnerships </w:t>
      </w:r>
      <w:r w:rsidR="005C195C" w:rsidRPr="00A60FD5">
        <w:rPr>
          <w:rFonts w:ascii="Times New Roman" w:hAnsi="Times New Roman" w:cs="Times New Roman"/>
        </w:rPr>
        <w:t>can be powerful levers for market expansion</w:t>
      </w:r>
      <w:r w:rsidRPr="00A60FD5">
        <w:rPr>
          <w:rFonts w:ascii="Times New Roman" w:hAnsi="Times New Roman" w:cs="Times New Roman"/>
        </w:rPr>
        <w:t xml:space="preserve">. </w:t>
      </w:r>
      <w:r w:rsidR="003D1832" w:rsidRPr="00A60FD5">
        <w:rPr>
          <w:rFonts w:ascii="Times New Roman" w:hAnsi="Times New Roman" w:cs="Times New Roman"/>
        </w:rPr>
        <w:t xml:space="preserve">Research on the management of </w:t>
      </w:r>
      <w:r w:rsidRPr="00A60FD5">
        <w:rPr>
          <w:rFonts w:ascii="Times New Roman" w:hAnsi="Times New Roman" w:cs="Times New Roman"/>
        </w:rPr>
        <w:t xml:space="preserve">technology-oriented </w:t>
      </w:r>
      <w:r w:rsidR="005C195C" w:rsidRPr="00A60FD5">
        <w:rPr>
          <w:rFonts w:ascii="Times New Roman" w:hAnsi="Times New Roman" w:cs="Times New Roman"/>
        </w:rPr>
        <w:t>licenses</w:t>
      </w:r>
      <w:r w:rsidR="003D1832" w:rsidRPr="00A60FD5">
        <w:rPr>
          <w:rFonts w:ascii="Times New Roman" w:hAnsi="Times New Roman" w:cs="Times New Roman"/>
        </w:rPr>
        <w:t xml:space="preserve"> has </w:t>
      </w:r>
      <w:r w:rsidR="00DB71C0" w:rsidRPr="00A60FD5">
        <w:rPr>
          <w:rFonts w:ascii="Times New Roman" w:hAnsi="Times New Roman" w:cs="Times New Roman"/>
        </w:rPr>
        <w:t xml:space="preserve">nonetheless </w:t>
      </w:r>
      <w:r w:rsidR="003D1832" w:rsidRPr="00A60FD5">
        <w:rPr>
          <w:rFonts w:ascii="Times New Roman" w:hAnsi="Times New Roman" w:cs="Times New Roman"/>
        </w:rPr>
        <w:t>pointed out t</w:t>
      </w:r>
      <w:r w:rsidR="008472A5" w:rsidRPr="00A60FD5">
        <w:rPr>
          <w:rFonts w:ascii="Times New Roman" w:hAnsi="Times New Roman" w:cs="Times New Roman"/>
        </w:rPr>
        <w:t>he r</w:t>
      </w:r>
      <w:r w:rsidR="007477AF" w:rsidRPr="00A60FD5">
        <w:rPr>
          <w:rFonts w:ascii="Times New Roman" w:hAnsi="Times New Roman" w:cs="Times New Roman"/>
        </w:rPr>
        <w:t>isk</w:t>
      </w:r>
      <w:r w:rsidR="005C195C" w:rsidRPr="00A60FD5">
        <w:rPr>
          <w:rFonts w:ascii="Times New Roman" w:hAnsi="Times New Roman" w:cs="Times New Roman"/>
        </w:rPr>
        <w:t>s</w:t>
      </w:r>
      <w:r w:rsidR="007477AF" w:rsidRPr="00A60FD5">
        <w:rPr>
          <w:rFonts w:ascii="Times New Roman" w:hAnsi="Times New Roman" w:cs="Times New Roman"/>
        </w:rPr>
        <w:t xml:space="preserve"> of </w:t>
      </w:r>
      <w:r w:rsidR="003D1832" w:rsidRPr="00A60FD5">
        <w:rPr>
          <w:rFonts w:ascii="Times New Roman" w:hAnsi="Times New Roman" w:cs="Times New Roman"/>
        </w:rPr>
        <w:t xml:space="preserve">corrosive </w:t>
      </w:r>
      <w:r w:rsidR="007477AF" w:rsidRPr="00A60FD5">
        <w:rPr>
          <w:rFonts w:ascii="Times New Roman" w:hAnsi="Times New Roman" w:cs="Times New Roman"/>
        </w:rPr>
        <w:t>d</w:t>
      </w:r>
      <w:r w:rsidR="00726D8B" w:rsidRPr="00A60FD5">
        <w:rPr>
          <w:rFonts w:ascii="Times New Roman" w:hAnsi="Times New Roman" w:cs="Times New Roman"/>
        </w:rPr>
        <w:t>isputes caused by conflicting interests or misunderstandings</w:t>
      </w:r>
      <w:r w:rsidR="00E52FD6" w:rsidRPr="00A60FD5">
        <w:rPr>
          <w:rFonts w:ascii="Times New Roman" w:hAnsi="Times New Roman" w:cs="Times New Roman"/>
        </w:rPr>
        <w:t xml:space="preserve"> among </w:t>
      </w:r>
      <w:r w:rsidR="00DA2ECD" w:rsidRPr="00A60FD5">
        <w:rPr>
          <w:rFonts w:ascii="Times New Roman" w:hAnsi="Times New Roman" w:cs="Times New Roman"/>
        </w:rPr>
        <w:t xml:space="preserve">licensing </w:t>
      </w:r>
      <w:r w:rsidR="00E52FD6" w:rsidRPr="00A60FD5">
        <w:rPr>
          <w:rFonts w:ascii="Times New Roman" w:hAnsi="Times New Roman" w:cs="Times New Roman"/>
        </w:rPr>
        <w:t>partners</w:t>
      </w:r>
      <w:r w:rsidR="00726D8B" w:rsidRPr="00A60FD5">
        <w:rPr>
          <w:rFonts w:ascii="Times New Roman" w:hAnsi="Times New Roman" w:cs="Times New Roman"/>
        </w:rPr>
        <w:t xml:space="preserve">. </w:t>
      </w:r>
      <w:r w:rsidR="003D1832" w:rsidRPr="00A60FD5">
        <w:rPr>
          <w:rFonts w:ascii="Times New Roman" w:hAnsi="Times New Roman" w:cs="Times New Roman"/>
        </w:rPr>
        <w:t xml:space="preserve">The choice made </w:t>
      </w:r>
      <w:r w:rsidR="003D1832" w:rsidRPr="00A60FD5">
        <w:rPr>
          <w:rFonts w:ascii="Times New Roman" w:hAnsi="Times New Roman" w:cs="Times New Roman"/>
          <w:i/>
        </w:rPr>
        <w:t>ex ante</w:t>
      </w:r>
      <w:r w:rsidR="003D1832" w:rsidRPr="00A60FD5">
        <w:rPr>
          <w:rFonts w:ascii="Times New Roman" w:hAnsi="Times New Roman" w:cs="Times New Roman"/>
        </w:rPr>
        <w:t xml:space="preserve"> </w:t>
      </w:r>
      <w:r w:rsidR="00DB71C0" w:rsidRPr="00A60FD5">
        <w:rPr>
          <w:rFonts w:ascii="Times New Roman" w:hAnsi="Times New Roman" w:cs="Times New Roman"/>
        </w:rPr>
        <w:t xml:space="preserve">on </w:t>
      </w:r>
      <w:r w:rsidR="003D1832" w:rsidRPr="00A60FD5">
        <w:rPr>
          <w:rFonts w:ascii="Times New Roman" w:hAnsi="Times New Roman" w:cs="Times New Roman"/>
        </w:rPr>
        <w:t>mechanism</w:t>
      </w:r>
      <w:r w:rsidR="005A4D42" w:rsidRPr="00A60FD5">
        <w:rPr>
          <w:rFonts w:ascii="Times New Roman" w:hAnsi="Times New Roman" w:cs="Times New Roman"/>
        </w:rPr>
        <w:t xml:space="preserve">s for resolving </w:t>
      </w:r>
      <w:r w:rsidR="00DB71C0" w:rsidRPr="00A60FD5">
        <w:rPr>
          <w:rFonts w:ascii="Times New Roman" w:hAnsi="Times New Roman" w:cs="Times New Roman"/>
        </w:rPr>
        <w:t xml:space="preserve">potential </w:t>
      </w:r>
      <w:r w:rsidR="003D1832" w:rsidRPr="00A60FD5">
        <w:rPr>
          <w:rFonts w:ascii="Times New Roman" w:hAnsi="Times New Roman" w:cs="Times New Roman"/>
        </w:rPr>
        <w:t xml:space="preserve">disputes </w:t>
      </w:r>
      <w:r w:rsidR="00DB71C0" w:rsidRPr="00A60FD5">
        <w:rPr>
          <w:rFonts w:ascii="Times New Roman" w:hAnsi="Times New Roman" w:cs="Times New Roman"/>
        </w:rPr>
        <w:t>is of prime importance</w:t>
      </w:r>
      <w:r w:rsidR="003D1832" w:rsidRPr="00A60FD5">
        <w:rPr>
          <w:rFonts w:ascii="Times New Roman" w:hAnsi="Times New Roman" w:cs="Times New Roman"/>
        </w:rPr>
        <w:t xml:space="preserve"> in the execution of </w:t>
      </w:r>
      <w:r w:rsidRPr="00A60FD5">
        <w:rPr>
          <w:rFonts w:ascii="Times New Roman" w:hAnsi="Times New Roman" w:cs="Times New Roman"/>
        </w:rPr>
        <w:t>licensing</w:t>
      </w:r>
      <w:r w:rsidR="003D1832" w:rsidRPr="00A60FD5">
        <w:rPr>
          <w:rFonts w:ascii="Times New Roman" w:hAnsi="Times New Roman" w:cs="Times New Roman"/>
        </w:rPr>
        <w:t xml:space="preserve"> exchanges. </w:t>
      </w:r>
      <w:r w:rsidRPr="00A60FD5">
        <w:rPr>
          <w:rFonts w:ascii="Times New Roman" w:hAnsi="Times New Roman" w:cs="Times New Roman"/>
        </w:rPr>
        <w:t xml:space="preserve">Although </w:t>
      </w:r>
      <w:r w:rsidR="00726D8B" w:rsidRPr="00A60FD5">
        <w:rPr>
          <w:rFonts w:ascii="Times New Roman" w:hAnsi="Times New Roman" w:cs="Times New Roman"/>
        </w:rPr>
        <w:t xml:space="preserve">the legal literature </w:t>
      </w:r>
      <w:r w:rsidRPr="00A60FD5">
        <w:rPr>
          <w:rFonts w:ascii="Times New Roman" w:hAnsi="Times New Roman" w:cs="Times New Roman"/>
        </w:rPr>
        <w:t xml:space="preserve">has widely emphasized the advantages of arbitration towards litigation, public ordering remains the “default” option in managers’ eyes. By adopting a transaction cost economics logic, our study explores the conditions under which </w:t>
      </w:r>
      <w:r w:rsidR="003D1832" w:rsidRPr="00A60FD5">
        <w:rPr>
          <w:rFonts w:ascii="Times New Roman" w:hAnsi="Times New Roman" w:cs="Times New Roman"/>
        </w:rPr>
        <w:t xml:space="preserve">licensing partners may </w:t>
      </w:r>
      <w:r w:rsidR="00592FE0" w:rsidRPr="00A60FD5">
        <w:rPr>
          <w:rFonts w:ascii="Times New Roman" w:hAnsi="Times New Roman" w:cs="Times New Roman"/>
        </w:rPr>
        <w:t xml:space="preserve">prefer </w:t>
      </w:r>
      <w:r w:rsidR="005A4D42" w:rsidRPr="00A60FD5">
        <w:rPr>
          <w:rFonts w:ascii="Times New Roman" w:hAnsi="Times New Roman" w:cs="Times New Roman"/>
        </w:rPr>
        <w:t xml:space="preserve">arbitration over public ordering during the contractual-design phase. </w:t>
      </w:r>
      <w:r w:rsidR="00BE54E2" w:rsidRPr="00A60FD5">
        <w:rPr>
          <w:rFonts w:ascii="Times New Roman" w:hAnsi="Times New Roman" w:cs="Times New Roman"/>
        </w:rPr>
        <w:t xml:space="preserve">In accordance with our theoretical arguments, findings </w:t>
      </w:r>
      <w:r w:rsidR="00726D8B" w:rsidRPr="00A60FD5">
        <w:rPr>
          <w:rFonts w:ascii="Times New Roman" w:hAnsi="Times New Roman" w:cs="Times New Roman"/>
        </w:rPr>
        <w:t>show that the occurrence of arbitration provision</w:t>
      </w:r>
      <w:r w:rsidR="005A4D42" w:rsidRPr="00A60FD5">
        <w:rPr>
          <w:rFonts w:ascii="Times New Roman" w:hAnsi="Times New Roman" w:cs="Times New Roman"/>
        </w:rPr>
        <w:t>s</w:t>
      </w:r>
      <w:r w:rsidR="00726D8B" w:rsidRPr="00A60FD5">
        <w:rPr>
          <w:rFonts w:ascii="Times New Roman" w:hAnsi="Times New Roman" w:cs="Times New Roman"/>
        </w:rPr>
        <w:t xml:space="preserve"> increases when </w:t>
      </w:r>
      <w:r w:rsidR="008472A5" w:rsidRPr="00A60FD5">
        <w:rPr>
          <w:rFonts w:ascii="Times New Roman" w:hAnsi="Times New Roman" w:cs="Times New Roman"/>
        </w:rPr>
        <w:t xml:space="preserve">the </w:t>
      </w:r>
      <w:r w:rsidR="00726D8B" w:rsidRPr="00A60FD5">
        <w:rPr>
          <w:rFonts w:ascii="Times New Roman" w:hAnsi="Times New Roman" w:cs="Times New Roman"/>
        </w:rPr>
        <w:t>coordination orientat</w:t>
      </w:r>
      <w:r w:rsidR="0022223B" w:rsidRPr="00A60FD5">
        <w:rPr>
          <w:rFonts w:ascii="Times New Roman" w:hAnsi="Times New Roman" w:cs="Times New Roman"/>
        </w:rPr>
        <w:t xml:space="preserve">ion </w:t>
      </w:r>
      <w:r w:rsidR="00726D8B" w:rsidRPr="00A60FD5">
        <w:rPr>
          <w:rFonts w:ascii="Times New Roman" w:hAnsi="Times New Roman" w:cs="Times New Roman"/>
        </w:rPr>
        <w:t xml:space="preserve">adopted by </w:t>
      </w:r>
      <w:r w:rsidR="0022223B" w:rsidRPr="00A60FD5">
        <w:rPr>
          <w:rFonts w:ascii="Times New Roman" w:hAnsi="Times New Roman" w:cs="Times New Roman"/>
        </w:rPr>
        <w:t>licensing partners</w:t>
      </w:r>
      <w:r w:rsidR="00726D8B" w:rsidRPr="00A60FD5">
        <w:rPr>
          <w:rFonts w:ascii="Times New Roman" w:hAnsi="Times New Roman" w:cs="Times New Roman"/>
        </w:rPr>
        <w:t xml:space="preserve"> </w:t>
      </w:r>
      <w:r w:rsidR="0022223B" w:rsidRPr="00A60FD5">
        <w:rPr>
          <w:rFonts w:ascii="Times New Roman" w:hAnsi="Times New Roman" w:cs="Times New Roman"/>
        </w:rPr>
        <w:t xml:space="preserve">is </w:t>
      </w:r>
      <w:r w:rsidR="00726D8B" w:rsidRPr="00A60FD5">
        <w:rPr>
          <w:rFonts w:ascii="Times New Roman" w:hAnsi="Times New Roman" w:cs="Times New Roman"/>
        </w:rPr>
        <w:t xml:space="preserve">extensive. </w:t>
      </w:r>
      <w:r w:rsidRPr="00A60FD5">
        <w:rPr>
          <w:rFonts w:ascii="Times New Roman" w:hAnsi="Times New Roman" w:cs="Times New Roman"/>
        </w:rPr>
        <w:t>I</w:t>
      </w:r>
      <w:r w:rsidR="00903B0D" w:rsidRPr="00A60FD5">
        <w:rPr>
          <w:rFonts w:ascii="Times New Roman" w:hAnsi="Times New Roman" w:cs="Times New Roman"/>
        </w:rPr>
        <w:t xml:space="preserve">n </w:t>
      </w:r>
      <w:r w:rsidR="00C53FA0" w:rsidRPr="00A60FD5">
        <w:rPr>
          <w:rFonts w:ascii="Times New Roman" w:hAnsi="Times New Roman" w:cs="Times New Roman"/>
        </w:rPr>
        <w:t xml:space="preserve">situations where </w:t>
      </w:r>
      <w:r w:rsidR="005A4D42" w:rsidRPr="00A60FD5">
        <w:rPr>
          <w:rFonts w:ascii="Times New Roman" w:hAnsi="Times New Roman" w:cs="Times New Roman"/>
        </w:rPr>
        <w:t>both monitoring</w:t>
      </w:r>
      <w:r w:rsidR="00BC3906" w:rsidRPr="00A60FD5">
        <w:rPr>
          <w:rFonts w:ascii="Times New Roman" w:hAnsi="Times New Roman" w:cs="Times New Roman"/>
        </w:rPr>
        <w:t xml:space="preserve"> and coordination orientations are </w:t>
      </w:r>
      <w:r w:rsidR="00D3181B" w:rsidRPr="00A60FD5">
        <w:rPr>
          <w:rFonts w:ascii="Times New Roman" w:hAnsi="Times New Roman" w:cs="Times New Roman"/>
        </w:rPr>
        <w:t xml:space="preserve">simultaneously </w:t>
      </w:r>
      <w:r w:rsidR="00C53FA0" w:rsidRPr="00A60FD5">
        <w:rPr>
          <w:rFonts w:ascii="Times New Roman" w:hAnsi="Times New Roman" w:cs="Times New Roman"/>
        </w:rPr>
        <w:t>ext</w:t>
      </w:r>
      <w:r w:rsidR="00903B0D" w:rsidRPr="00A60FD5">
        <w:rPr>
          <w:rFonts w:ascii="Times New Roman" w:hAnsi="Times New Roman" w:cs="Times New Roman"/>
        </w:rPr>
        <w:t>ensive</w:t>
      </w:r>
      <w:r w:rsidR="00BC3906" w:rsidRPr="00A60FD5">
        <w:rPr>
          <w:rFonts w:ascii="Times New Roman" w:hAnsi="Times New Roman" w:cs="Times New Roman"/>
        </w:rPr>
        <w:t xml:space="preserve">, </w:t>
      </w:r>
      <w:r w:rsidR="00ED58FC" w:rsidRPr="00A60FD5">
        <w:rPr>
          <w:rFonts w:ascii="Times New Roman" w:hAnsi="Times New Roman" w:cs="Times New Roman"/>
        </w:rPr>
        <w:t xml:space="preserve">results reveal </w:t>
      </w:r>
      <w:r w:rsidR="00BC3906" w:rsidRPr="00A60FD5">
        <w:rPr>
          <w:rFonts w:ascii="Times New Roman" w:hAnsi="Times New Roman" w:cs="Times New Roman"/>
        </w:rPr>
        <w:t>a greater propensity to prefer ar</w:t>
      </w:r>
      <w:r w:rsidR="00C53FA0" w:rsidRPr="00A60FD5">
        <w:rPr>
          <w:rFonts w:ascii="Times New Roman" w:hAnsi="Times New Roman" w:cs="Times New Roman"/>
        </w:rPr>
        <w:t xml:space="preserve">bitration </w:t>
      </w:r>
      <w:r w:rsidR="005A4D42" w:rsidRPr="00A60FD5">
        <w:rPr>
          <w:rFonts w:ascii="Times New Roman" w:hAnsi="Times New Roman" w:cs="Times New Roman"/>
        </w:rPr>
        <w:t>over</w:t>
      </w:r>
      <w:r w:rsidR="00C53FA0" w:rsidRPr="00A60FD5">
        <w:rPr>
          <w:rFonts w:ascii="Times New Roman" w:hAnsi="Times New Roman" w:cs="Times New Roman"/>
        </w:rPr>
        <w:t xml:space="preserve"> public ordering</w:t>
      </w:r>
      <w:r w:rsidR="00BC3906" w:rsidRPr="00A60FD5">
        <w:rPr>
          <w:rFonts w:ascii="Times New Roman" w:hAnsi="Times New Roman" w:cs="Times New Roman"/>
        </w:rPr>
        <w:t xml:space="preserve">. </w:t>
      </w:r>
      <w:r w:rsidR="00C53FA0" w:rsidRPr="00A60FD5">
        <w:rPr>
          <w:rFonts w:ascii="Times New Roman" w:hAnsi="Times New Roman" w:cs="Times New Roman"/>
        </w:rPr>
        <w:t>Our research</w:t>
      </w:r>
      <w:r w:rsidR="00E52FD6" w:rsidRPr="00A60FD5">
        <w:rPr>
          <w:rFonts w:ascii="Times New Roman" w:hAnsi="Times New Roman" w:cs="Times New Roman"/>
        </w:rPr>
        <w:t xml:space="preserve"> therefore</w:t>
      </w:r>
      <w:r w:rsidR="00C53FA0" w:rsidRPr="00A60FD5">
        <w:rPr>
          <w:rFonts w:ascii="Times New Roman" w:hAnsi="Times New Roman" w:cs="Times New Roman"/>
        </w:rPr>
        <w:t xml:space="preserve"> supports the view that corporate decision</w:t>
      </w:r>
      <w:r w:rsidR="0034432A" w:rsidRPr="00A60FD5">
        <w:rPr>
          <w:rFonts w:ascii="Times New Roman" w:hAnsi="Times New Roman" w:cs="Times New Roman"/>
        </w:rPr>
        <w:t>-</w:t>
      </w:r>
      <w:r w:rsidR="00C53FA0" w:rsidRPr="00A60FD5">
        <w:rPr>
          <w:rFonts w:ascii="Times New Roman" w:hAnsi="Times New Roman" w:cs="Times New Roman"/>
        </w:rPr>
        <w:t>makers tend to favor the conciliatory stance and compromising awards typically associated with arbitration</w:t>
      </w:r>
      <w:r w:rsidR="004501FF" w:rsidRPr="00A60FD5">
        <w:rPr>
          <w:rFonts w:ascii="Times New Roman" w:hAnsi="Times New Roman" w:cs="Times New Roman"/>
        </w:rPr>
        <w:t>,</w:t>
      </w:r>
      <w:r w:rsidR="00C53FA0" w:rsidRPr="00A60FD5">
        <w:rPr>
          <w:rFonts w:ascii="Times New Roman" w:hAnsi="Times New Roman" w:cs="Times New Roman"/>
        </w:rPr>
        <w:t xml:space="preserve"> </w:t>
      </w:r>
      <w:r w:rsidRPr="00A60FD5">
        <w:rPr>
          <w:rFonts w:ascii="Times New Roman" w:hAnsi="Times New Roman" w:cs="Times New Roman"/>
        </w:rPr>
        <w:t xml:space="preserve">only </w:t>
      </w:r>
      <w:r w:rsidR="00C53FA0" w:rsidRPr="00A60FD5">
        <w:rPr>
          <w:rFonts w:ascii="Times New Roman" w:hAnsi="Times New Roman" w:cs="Times New Roman"/>
        </w:rPr>
        <w:t xml:space="preserve">when exchanges are expected to be highly coordinative. </w:t>
      </w:r>
      <w:r w:rsidR="005A4D42" w:rsidRPr="00A60FD5">
        <w:rPr>
          <w:rFonts w:ascii="Times New Roman" w:hAnsi="Times New Roman" w:cs="Times New Roman"/>
        </w:rPr>
        <w:t>T</w:t>
      </w:r>
      <w:r w:rsidR="00C53FA0" w:rsidRPr="00A60FD5">
        <w:rPr>
          <w:rFonts w:ascii="Times New Roman" w:hAnsi="Times New Roman" w:cs="Times New Roman"/>
        </w:rPr>
        <w:t xml:space="preserve">heir preference for arbitration over </w:t>
      </w:r>
      <w:r w:rsidR="005B4A5B" w:rsidRPr="00A60FD5">
        <w:rPr>
          <w:rFonts w:ascii="Times New Roman" w:hAnsi="Times New Roman" w:cs="Times New Roman"/>
        </w:rPr>
        <w:t xml:space="preserve">litigation </w:t>
      </w:r>
      <w:r w:rsidR="00C53FA0" w:rsidRPr="00A60FD5">
        <w:rPr>
          <w:rFonts w:ascii="Times New Roman" w:hAnsi="Times New Roman" w:cs="Times New Roman"/>
        </w:rPr>
        <w:t xml:space="preserve">is </w:t>
      </w:r>
      <w:r w:rsidR="00363CD8" w:rsidRPr="00A60FD5">
        <w:rPr>
          <w:rFonts w:ascii="Times New Roman" w:hAnsi="Times New Roman" w:cs="Times New Roman"/>
        </w:rPr>
        <w:t xml:space="preserve">magnified </w:t>
      </w:r>
      <w:r w:rsidR="00903B0D" w:rsidRPr="00A60FD5">
        <w:rPr>
          <w:rFonts w:ascii="Times New Roman" w:hAnsi="Times New Roman" w:cs="Times New Roman"/>
        </w:rPr>
        <w:t>when the coordination orientation develops alongside the monitoring orientation.</w:t>
      </w:r>
      <w:r w:rsidRPr="00A60FD5">
        <w:rPr>
          <w:rFonts w:ascii="Times New Roman" w:hAnsi="Times New Roman" w:cs="Times New Roman"/>
        </w:rPr>
        <w:t xml:space="preserve"> </w:t>
      </w:r>
      <w:r w:rsidR="00903B0D" w:rsidRPr="00A60FD5">
        <w:rPr>
          <w:rFonts w:ascii="Times New Roman" w:hAnsi="Times New Roman" w:cs="Times New Roman"/>
        </w:rPr>
        <w:t xml:space="preserve"> </w:t>
      </w:r>
    </w:p>
    <w:p w14:paraId="60D09A4B" w14:textId="4B19F9BC" w:rsidR="00797BB8" w:rsidRPr="00A60FD5" w:rsidRDefault="00466E5F" w:rsidP="0018613D">
      <w:pPr>
        <w:spacing w:line="480" w:lineRule="auto"/>
        <w:rPr>
          <w:rFonts w:ascii="Times New Roman" w:hAnsi="Times New Roman" w:cs="Times New Roman"/>
          <w:b/>
          <w:sz w:val="24"/>
          <w:szCs w:val="24"/>
        </w:rPr>
      </w:pPr>
      <w:r w:rsidRPr="00A60FD5">
        <w:rPr>
          <w:rFonts w:ascii="Times New Roman" w:hAnsi="Times New Roman" w:cs="Times New Roman"/>
          <w:b/>
          <w:sz w:val="24"/>
          <w:szCs w:val="24"/>
        </w:rPr>
        <w:t xml:space="preserve">Keywords: arbitration, </w:t>
      </w:r>
      <w:r w:rsidR="00592FE0" w:rsidRPr="00A60FD5">
        <w:rPr>
          <w:rFonts w:ascii="Times New Roman" w:hAnsi="Times New Roman" w:cs="Times New Roman"/>
          <w:b/>
          <w:sz w:val="24"/>
          <w:szCs w:val="24"/>
        </w:rPr>
        <w:t xml:space="preserve">technology </w:t>
      </w:r>
      <w:r w:rsidRPr="00A60FD5">
        <w:rPr>
          <w:rFonts w:ascii="Times New Roman" w:hAnsi="Times New Roman" w:cs="Times New Roman"/>
          <w:b/>
          <w:sz w:val="24"/>
          <w:szCs w:val="24"/>
        </w:rPr>
        <w:t>licensing, contract design, dispute</w:t>
      </w:r>
    </w:p>
    <w:p w14:paraId="4552ECEA" w14:textId="77777777" w:rsidR="003A224E" w:rsidRPr="00A60FD5" w:rsidRDefault="003A224E" w:rsidP="007567DC">
      <w:pPr>
        <w:spacing w:line="480" w:lineRule="auto"/>
        <w:jc w:val="center"/>
        <w:rPr>
          <w:rFonts w:ascii="Times New Roman" w:hAnsi="Times New Roman" w:cs="Times New Roman"/>
          <w:b/>
          <w:sz w:val="24"/>
          <w:szCs w:val="24"/>
        </w:rPr>
      </w:pPr>
    </w:p>
    <w:p w14:paraId="74421E04" w14:textId="77777777" w:rsidR="0018613D" w:rsidRPr="00A60FD5" w:rsidRDefault="0018613D" w:rsidP="007567DC">
      <w:pPr>
        <w:spacing w:line="480" w:lineRule="auto"/>
        <w:jc w:val="center"/>
        <w:rPr>
          <w:rFonts w:ascii="Times New Roman" w:hAnsi="Times New Roman" w:cs="Times New Roman"/>
          <w:b/>
          <w:sz w:val="24"/>
          <w:szCs w:val="24"/>
        </w:rPr>
      </w:pPr>
    </w:p>
    <w:p w14:paraId="116EFD4D" w14:textId="77777777" w:rsidR="00E639A9" w:rsidRPr="00A60FD5" w:rsidRDefault="00E639A9" w:rsidP="007567DC">
      <w:pPr>
        <w:spacing w:line="480" w:lineRule="auto"/>
        <w:jc w:val="center"/>
        <w:rPr>
          <w:rFonts w:ascii="Times New Roman" w:hAnsi="Times New Roman" w:cs="Times New Roman"/>
          <w:b/>
          <w:sz w:val="24"/>
          <w:szCs w:val="24"/>
        </w:rPr>
      </w:pPr>
    </w:p>
    <w:p w14:paraId="69F83A27" w14:textId="77777777" w:rsidR="00E639A9" w:rsidRPr="00A60FD5" w:rsidRDefault="00E639A9" w:rsidP="007567DC">
      <w:pPr>
        <w:spacing w:line="480" w:lineRule="auto"/>
        <w:jc w:val="center"/>
        <w:rPr>
          <w:rFonts w:ascii="Times New Roman" w:hAnsi="Times New Roman" w:cs="Times New Roman"/>
          <w:b/>
          <w:sz w:val="24"/>
          <w:szCs w:val="24"/>
        </w:rPr>
      </w:pPr>
    </w:p>
    <w:p w14:paraId="36A684F9" w14:textId="64AA2C9C" w:rsidR="003E72CA" w:rsidRPr="00A60FD5" w:rsidRDefault="00707229" w:rsidP="008350D0">
      <w:pPr>
        <w:pStyle w:val="ListParagraph"/>
        <w:numPr>
          <w:ilvl w:val="0"/>
          <w:numId w:val="27"/>
        </w:numPr>
        <w:spacing w:after="0" w:line="480" w:lineRule="auto"/>
        <w:rPr>
          <w:rFonts w:ascii="Times New Roman" w:hAnsi="Times New Roman"/>
          <w:b/>
          <w:sz w:val="24"/>
          <w:szCs w:val="24"/>
        </w:rPr>
      </w:pPr>
      <w:r w:rsidRPr="00A60FD5">
        <w:rPr>
          <w:rFonts w:ascii="Times New Roman" w:hAnsi="Times New Roman"/>
          <w:b/>
          <w:sz w:val="24"/>
          <w:szCs w:val="24"/>
        </w:rPr>
        <w:lastRenderedPageBreak/>
        <w:t>I</w:t>
      </w:r>
      <w:r w:rsidR="00726D8B" w:rsidRPr="00A60FD5">
        <w:rPr>
          <w:rFonts w:ascii="Times New Roman" w:hAnsi="Times New Roman"/>
          <w:b/>
          <w:sz w:val="24"/>
          <w:szCs w:val="24"/>
        </w:rPr>
        <w:t>NT</w:t>
      </w:r>
      <w:r w:rsidR="003E72CA" w:rsidRPr="00A60FD5">
        <w:rPr>
          <w:rFonts w:ascii="Times New Roman" w:hAnsi="Times New Roman"/>
          <w:b/>
          <w:sz w:val="24"/>
          <w:szCs w:val="24"/>
        </w:rPr>
        <w:t>RODUCTION</w:t>
      </w:r>
    </w:p>
    <w:p w14:paraId="76D6DD10" w14:textId="7060AD50" w:rsidR="004E74EA" w:rsidRPr="00A60FD5" w:rsidRDefault="009B58EC" w:rsidP="0053556C">
      <w:pPr>
        <w:spacing w:after="0" w:line="480" w:lineRule="auto"/>
        <w:rPr>
          <w:rFonts w:ascii="Times New Roman" w:hAnsi="Times New Roman"/>
        </w:rPr>
      </w:pPr>
      <w:r w:rsidRPr="00A60FD5">
        <w:rPr>
          <w:rFonts w:ascii="Times New Roman" w:hAnsi="Times New Roman" w:cs="Times New Roman"/>
        </w:rPr>
        <w:t xml:space="preserve">Due to the risks </w:t>
      </w:r>
      <w:r w:rsidR="004501FF" w:rsidRPr="00A60FD5">
        <w:rPr>
          <w:rFonts w:ascii="Times New Roman" w:hAnsi="Times New Roman" w:cs="Times New Roman"/>
        </w:rPr>
        <w:t xml:space="preserve">of </w:t>
      </w:r>
      <w:r w:rsidRPr="00A60FD5">
        <w:rPr>
          <w:rFonts w:ascii="Times New Roman" w:hAnsi="Times New Roman" w:cs="Times New Roman"/>
        </w:rPr>
        <w:t>knowledge misappropriation (Arora and Fosfuri, 2000; Oxley, 1997; Teece, 1986) and the uncertainties surrounding the commercialization and implementation of non-proprietary technology (Nelson and Winter, 1982; Pisano, 1989), managing licensing exchange</w:t>
      </w:r>
      <w:r w:rsidR="00981092" w:rsidRPr="00A60FD5">
        <w:rPr>
          <w:rFonts w:ascii="Times New Roman" w:hAnsi="Times New Roman" w:cs="Times New Roman"/>
        </w:rPr>
        <w:t>s</w:t>
      </w:r>
      <w:r w:rsidRPr="00A60FD5">
        <w:rPr>
          <w:rFonts w:ascii="Times New Roman" w:hAnsi="Times New Roman" w:cs="Times New Roman"/>
        </w:rPr>
        <w:t xml:space="preserve"> requires anticipat</w:t>
      </w:r>
      <w:r w:rsidR="004501FF" w:rsidRPr="00A60FD5">
        <w:rPr>
          <w:rFonts w:ascii="Times New Roman" w:hAnsi="Times New Roman" w:cs="Times New Roman"/>
        </w:rPr>
        <w:t>ion of potential</w:t>
      </w:r>
      <w:r w:rsidRPr="00A60FD5">
        <w:rPr>
          <w:rFonts w:ascii="Times New Roman" w:hAnsi="Times New Roman" w:cs="Times New Roman"/>
        </w:rPr>
        <w:t xml:space="preserve"> </w:t>
      </w:r>
      <w:r w:rsidR="00981092" w:rsidRPr="00A60FD5">
        <w:rPr>
          <w:rFonts w:ascii="Times New Roman" w:hAnsi="Times New Roman" w:cs="Times New Roman"/>
        </w:rPr>
        <w:t>corrosive</w:t>
      </w:r>
      <w:r w:rsidRPr="00A60FD5">
        <w:rPr>
          <w:rFonts w:ascii="Times New Roman" w:hAnsi="Times New Roman" w:cs="Times New Roman"/>
        </w:rPr>
        <w:t xml:space="preserve"> disputes and conflicting interests. It is </w:t>
      </w:r>
      <w:r w:rsidR="004501FF" w:rsidRPr="00A60FD5">
        <w:rPr>
          <w:rFonts w:ascii="Times New Roman" w:hAnsi="Times New Roman" w:cs="Times New Roman"/>
        </w:rPr>
        <w:t xml:space="preserve">also </w:t>
      </w:r>
      <w:r w:rsidRPr="00A60FD5">
        <w:rPr>
          <w:rFonts w:ascii="Times New Roman" w:hAnsi="Times New Roman" w:cs="Times New Roman"/>
        </w:rPr>
        <w:t xml:space="preserve">essential to </w:t>
      </w:r>
      <w:r w:rsidR="005C24FB" w:rsidRPr="00A60FD5">
        <w:rPr>
          <w:rFonts w:ascii="Times New Roman" w:hAnsi="Times New Roman" w:cs="Times New Roman"/>
        </w:rPr>
        <w:t xml:space="preserve">craft appropriate remedies for mitigating the occurrence of </w:t>
      </w:r>
      <w:r w:rsidR="00AE23E2" w:rsidRPr="00A60FD5">
        <w:rPr>
          <w:rFonts w:ascii="Times New Roman" w:hAnsi="Times New Roman" w:cs="Times New Roman"/>
        </w:rPr>
        <w:t xml:space="preserve">technology-related </w:t>
      </w:r>
      <w:r w:rsidR="005C24FB" w:rsidRPr="00A60FD5">
        <w:rPr>
          <w:rFonts w:ascii="Times New Roman" w:hAnsi="Times New Roman" w:cs="Times New Roman"/>
        </w:rPr>
        <w:t xml:space="preserve">disputes over time or </w:t>
      </w:r>
      <w:r w:rsidR="004501FF" w:rsidRPr="00A60FD5">
        <w:rPr>
          <w:rFonts w:ascii="Times New Roman" w:hAnsi="Times New Roman" w:cs="Times New Roman"/>
        </w:rPr>
        <w:t xml:space="preserve">for </w:t>
      </w:r>
      <w:r w:rsidR="005C24FB" w:rsidRPr="00A60FD5">
        <w:rPr>
          <w:rFonts w:ascii="Times New Roman" w:hAnsi="Times New Roman" w:cs="Times New Roman"/>
        </w:rPr>
        <w:t>handling them when they surface</w:t>
      </w:r>
      <w:r w:rsidR="00D627EB" w:rsidRPr="00A60FD5">
        <w:rPr>
          <w:rFonts w:ascii="Times New Roman" w:hAnsi="Times New Roman" w:cs="Times New Roman"/>
        </w:rPr>
        <w:t xml:space="preserve"> (Williamson, 1985)</w:t>
      </w:r>
      <w:r w:rsidR="005C24FB" w:rsidRPr="00A60FD5">
        <w:rPr>
          <w:rFonts w:ascii="Times New Roman" w:hAnsi="Times New Roman" w:cs="Times New Roman"/>
        </w:rPr>
        <w:t xml:space="preserve">. </w:t>
      </w:r>
      <w:r w:rsidR="00981092" w:rsidRPr="00A60FD5">
        <w:rPr>
          <w:rFonts w:ascii="Times New Roman" w:hAnsi="Times New Roman" w:cs="Times New Roman"/>
        </w:rPr>
        <w:t>In this regard, t</w:t>
      </w:r>
      <w:r w:rsidR="005C24FB" w:rsidRPr="00A60FD5">
        <w:rPr>
          <w:rFonts w:ascii="Times New Roman" w:hAnsi="Times New Roman" w:cs="Times New Roman"/>
        </w:rPr>
        <w:t xml:space="preserve">he choice of dispute-resolution mechanisms made at the outset of licensing exchanges is far from being a purely legal matter. It can play a key strategic role in the governance of the partnership by disciplining licensing partners’ behavior and enforcing their contractual commitments over time. </w:t>
      </w:r>
      <w:r w:rsidR="00981092" w:rsidRPr="00A60FD5">
        <w:rPr>
          <w:rFonts w:ascii="Times New Roman" w:hAnsi="Times New Roman" w:cs="Times New Roman"/>
        </w:rPr>
        <w:t>S</w:t>
      </w:r>
      <w:r w:rsidR="00AE23E2" w:rsidRPr="00A60FD5">
        <w:rPr>
          <w:rFonts w:ascii="Times New Roman" w:hAnsi="Times New Roman" w:cs="Times New Roman"/>
        </w:rPr>
        <w:t xml:space="preserve">cholars in law have </w:t>
      </w:r>
      <w:r w:rsidR="00386BBA" w:rsidRPr="00A60FD5">
        <w:rPr>
          <w:rFonts w:ascii="Times New Roman" w:hAnsi="Times New Roman" w:cs="Times New Roman"/>
        </w:rPr>
        <w:t xml:space="preserve">highlighted </w:t>
      </w:r>
      <w:r w:rsidR="00AE23E2" w:rsidRPr="00A60FD5">
        <w:rPr>
          <w:rFonts w:ascii="Times New Roman" w:hAnsi="Times New Roman" w:cs="Times New Roman"/>
        </w:rPr>
        <w:t xml:space="preserve">the </w:t>
      </w:r>
      <w:r w:rsidR="00981092" w:rsidRPr="00A60FD5">
        <w:rPr>
          <w:rFonts w:ascii="Times New Roman" w:hAnsi="Times New Roman" w:cs="Times New Roman"/>
        </w:rPr>
        <w:t>numerous</w:t>
      </w:r>
      <w:r w:rsidR="00AE23E2" w:rsidRPr="00A60FD5">
        <w:rPr>
          <w:rFonts w:ascii="Times New Roman" w:hAnsi="Times New Roman" w:cs="Times New Roman"/>
        </w:rPr>
        <w:t xml:space="preserve"> advantage</w:t>
      </w:r>
      <w:r w:rsidR="00FB240E" w:rsidRPr="00A60FD5">
        <w:rPr>
          <w:rFonts w:ascii="Times New Roman" w:hAnsi="Times New Roman" w:cs="Times New Roman"/>
        </w:rPr>
        <w:t>s</w:t>
      </w:r>
      <w:r w:rsidR="00AE23E2" w:rsidRPr="00A60FD5">
        <w:rPr>
          <w:rFonts w:ascii="Times New Roman" w:hAnsi="Times New Roman" w:cs="Times New Roman"/>
        </w:rPr>
        <w:t xml:space="preserve"> of referring disputes</w:t>
      </w:r>
      <w:r w:rsidR="00372C4D" w:rsidRPr="00A60FD5">
        <w:rPr>
          <w:rFonts w:ascii="Times New Roman" w:hAnsi="Times New Roman" w:cs="Times New Roman"/>
        </w:rPr>
        <w:t>, and especially disputes</w:t>
      </w:r>
      <w:r w:rsidR="00981092" w:rsidRPr="00A60FD5">
        <w:rPr>
          <w:rFonts w:ascii="Times New Roman" w:hAnsi="Times New Roman" w:cs="Times New Roman"/>
        </w:rPr>
        <w:t xml:space="preserve"> on technological matters</w:t>
      </w:r>
      <w:r w:rsidR="00372C4D" w:rsidRPr="00A60FD5">
        <w:rPr>
          <w:rFonts w:ascii="Times New Roman" w:hAnsi="Times New Roman" w:cs="Times New Roman"/>
        </w:rPr>
        <w:t xml:space="preserve">, </w:t>
      </w:r>
      <w:r w:rsidR="00AE23E2" w:rsidRPr="00A60FD5">
        <w:rPr>
          <w:rFonts w:ascii="Times New Roman" w:hAnsi="Times New Roman" w:cs="Times New Roman"/>
        </w:rPr>
        <w:t xml:space="preserve">to arbitration </w:t>
      </w:r>
      <w:r w:rsidR="00386BBA" w:rsidRPr="00A60FD5">
        <w:rPr>
          <w:rFonts w:ascii="Times New Roman" w:hAnsi="Times New Roman" w:cs="Times New Roman"/>
        </w:rPr>
        <w:t>rather than</w:t>
      </w:r>
      <w:r w:rsidR="00AE23E2" w:rsidRPr="00A60FD5">
        <w:rPr>
          <w:rFonts w:ascii="Times New Roman" w:hAnsi="Times New Roman" w:cs="Times New Roman"/>
        </w:rPr>
        <w:t xml:space="preserve"> public court</w:t>
      </w:r>
      <w:r w:rsidR="004A156F" w:rsidRPr="00A60FD5">
        <w:rPr>
          <w:rFonts w:ascii="Times New Roman" w:hAnsi="Times New Roman" w:cs="Times New Roman"/>
        </w:rPr>
        <w:t>s</w:t>
      </w:r>
      <w:r w:rsidR="00052C07" w:rsidRPr="00A60FD5">
        <w:rPr>
          <w:rFonts w:ascii="Times New Roman" w:hAnsi="Times New Roman" w:cs="Times New Roman"/>
        </w:rPr>
        <w:t xml:space="preserve"> (e.g., Arnold et al., 1991; Mills, 1996)</w:t>
      </w:r>
      <w:r w:rsidR="00AE23E2" w:rsidRPr="00A60FD5">
        <w:rPr>
          <w:rFonts w:ascii="Times New Roman" w:hAnsi="Times New Roman" w:cs="Times New Roman"/>
        </w:rPr>
        <w:t xml:space="preserve">. </w:t>
      </w:r>
      <w:r w:rsidR="00AE23E2" w:rsidRPr="00A60FD5">
        <w:rPr>
          <w:rFonts w:ascii="Times New Roman" w:hAnsi="Times New Roman"/>
        </w:rPr>
        <w:t xml:space="preserve">These advantages include the arbitrators’ market and technical expertise (Bernstein, 2001; Bonn, 1972; Sternlight and Resnik, 2005), the flexibility of arbitration proceedings (Bernstein, 2001; Leeson, 2008), </w:t>
      </w:r>
      <w:r w:rsidR="00981092" w:rsidRPr="00A60FD5">
        <w:rPr>
          <w:rFonts w:ascii="Times New Roman" w:hAnsi="Times New Roman"/>
        </w:rPr>
        <w:t>the</w:t>
      </w:r>
      <w:r w:rsidR="00E52FD6" w:rsidRPr="00A60FD5">
        <w:rPr>
          <w:rFonts w:ascii="Times New Roman" w:hAnsi="Times New Roman"/>
        </w:rPr>
        <w:t xml:space="preserve"> </w:t>
      </w:r>
      <w:r w:rsidR="00AE23E2" w:rsidRPr="00A60FD5">
        <w:rPr>
          <w:rFonts w:ascii="Times New Roman" w:hAnsi="Times New Roman"/>
        </w:rPr>
        <w:t xml:space="preserve">gains in terms of speed and </w:t>
      </w:r>
      <w:r w:rsidR="00651455" w:rsidRPr="00A60FD5">
        <w:rPr>
          <w:rFonts w:ascii="Times New Roman" w:hAnsi="Times New Roman"/>
        </w:rPr>
        <w:t xml:space="preserve">costs </w:t>
      </w:r>
      <w:r w:rsidR="00AE23E2" w:rsidRPr="00A60FD5">
        <w:rPr>
          <w:rFonts w:ascii="Times New Roman" w:hAnsi="Times New Roman"/>
        </w:rPr>
        <w:t>relative to the public legal system (Bonn, 1972; Drahozal, 2008)</w:t>
      </w:r>
      <w:r w:rsidR="00FB240E" w:rsidRPr="00A60FD5">
        <w:rPr>
          <w:rFonts w:ascii="Times New Roman" w:hAnsi="Times New Roman"/>
        </w:rPr>
        <w:t>, and the confidentiality</w:t>
      </w:r>
      <w:r w:rsidR="00372C4D" w:rsidRPr="00A60FD5">
        <w:rPr>
          <w:rFonts w:ascii="Times New Roman" w:hAnsi="Times New Roman"/>
        </w:rPr>
        <w:t xml:space="preserve"> of the settlement</w:t>
      </w:r>
      <w:r w:rsidR="00FB240E" w:rsidRPr="00A60FD5">
        <w:rPr>
          <w:rFonts w:ascii="Times New Roman" w:hAnsi="Times New Roman"/>
        </w:rPr>
        <w:t xml:space="preserve"> (Leeson, 2008)</w:t>
      </w:r>
      <w:r w:rsidR="00EF7D3F" w:rsidRPr="00A60FD5">
        <w:rPr>
          <w:rFonts w:ascii="Times New Roman" w:hAnsi="Times New Roman"/>
        </w:rPr>
        <w:t xml:space="preserve">. </w:t>
      </w:r>
      <w:r w:rsidR="00AE23E2" w:rsidRPr="00A60FD5">
        <w:rPr>
          <w:rFonts w:ascii="Times New Roman" w:hAnsi="Times New Roman"/>
        </w:rPr>
        <w:t xml:space="preserve">Despite the </w:t>
      </w:r>
      <w:r w:rsidR="00981092" w:rsidRPr="00A60FD5">
        <w:rPr>
          <w:rFonts w:ascii="Times New Roman" w:hAnsi="Times New Roman"/>
        </w:rPr>
        <w:t xml:space="preserve">various </w:t>
      </w:r>
      <w:r w:rsidR="00651455" w:rsidRPr="00A60FD5">
        <w:rPr>
          <w:rFonts w:ascii="Times New Roman" w:hAnsi="Times New Roman"/>
        </w:rPr>
        <w:t xml:space="preserve">advantages of </w:t>
      </w:r>
      <w:r w:rsidR="00AE23E2" w:rsidRPr="00A60FD5">
        <w:rPr>
          <w:rFonts w:ascii="Times New Roman" w:hAnsi="Times New Roman"/>
        </w:rPr>
        <w:t xml:space="preserve">arbitration, prior empirical studies have provided evidence that arbitration provisions are not systematically included in </w:t>
      </w:r>
      <w:r w:rsidR="00E52FD6" w:rsidRPr="00A60FD5">
        <w:rPr>
          <w:rFonts w:ascii="Times New Roman" w:hAnsi="Times New Roman"/>
        </w:rPr>
        <w:t>inter-firm partnerships</w:t>
      </w:r>
      <w:r w:rsidR="00AE23E2" w:rsidRPr="00A60FD5">
        <w:rPr>
          <w:rFonts w:ascii="Times New Roman" w:hAnsi="Times New Roman"/>
        </w:rPr>
        <w:t xml:space="preserve"> (</w:t>
      </w:r>
      <w:r w:rsidR="00AE23E2" w:rsidRPr="00A60FD5">
        <w:rPr>
          <w:rFonts w:ascii="Times New Roman" w:hAnsi="Times New Roman" w:cs="Times New Roman"/>
        </w:rPr>
        <w:t>Drahozal and Hylton, 2003; Eisenberg and Miller, 2007; Hagedoorn and Hesen, 2009</w:t>
      </w:r>
      <w:r w:rsidR="00AE23E2" w:rsidRPr="00A60FD5">
        <w:rPr>
          <w:rFonts w:ascii="Times New Roman" w:hAnsi="Times New Roman"/>
        </w:rPr>
        <w:t>).</w:t>
      </w:r>
      <w:r w:rsidR="00CB528C" w:rsidRPr="00A60FD5">
        <w:rPr>
          <w:rFonts w:ascii="Times New Roman" w:hAnsi="Times New Roman"/>
        </w:rPr>
        <w:t xml:space="preserve"> </w:t>
      </w:r>
      <w:r w:rsidR="00804B21" w:rsidRPr="00A60FD5">
        <w:rPr>
          <w:rFonts w:ascii="Times New Roman" w:hAnsi="Times New Roman"/>
        </w:rPr>
        <w:t xml:space="preserve">Managers do not seem to consider this private mechanism as a “default” option and tend instead to favor public </w:t>
      </w:r>
      <w:r w:rsidR="00D55D51" w:rsidRPr="00A60FD5">
        <w:rPr>
          <w:rFonts w:ascii="Times New Roman" w:hAnsi="Times New Roman"/>
        </w:rPr>
        <w:t>litigation</w:t>
      </w:r>
      <w:r w:rsidR="00384A83" w:rsidRPr="00A60FD5">
        <w:rPr>
          <w:rFonts w:ascii="Times New Roman" w:hAnsi="Times New Roman"/>
        </w:rPr>
        <w:t xml:space="preserve"> </w:t>
      </w:r>
      <w:r w:rsidR="00804B21" w:rsidRPr="00A60FD5">
        <w:rPr>
          <w:rFonts w:ascii="Times New Roman" w:hAnsi="Times New Roman"/>
        </w:rPr>
        <w:t>(Hylton, 2005</w:t>
      </w:r>
      <w:r w:rsidR="00E52FD6" w:rsidRPr="00A60FD5">
        <w:rPr>
          <w:rFonts w:ascii="Times New Roman" w:hAnsi="Times New Roman"/>
        </w:rPr>
        <w:t>; Stipanowich, 2014</w:t>
      </w:r>
      <w:r w:rsidR="00804B21" w:rsidRPr="00A60FD5">
        <w:rPr>
          <w:rFonts w:ascii="Times New Roman" w:hAnsi="Times New Roman"/>
        </w:rPr>
        <w:t xml:space="preserve">). </w:t>
      </w:r>
    </w:p>
    <w:p w14:paraId="6F6DD185" w14:textId="08E138DB" w:rsidR="0065629F" w:rsidRPr="00A60FD5" w:rsidRDefault="00CB528C" w:rsidP="0065629F">
      <w:pPr>
        <w:spacing w:after="0" w:line="480" w:lineRule="auto"/>
        <w:ind w:firstLine="624"/>
        <w:rPr>
          <w:rFonts w:ascii="Times New Roman" w:hAnsi="Times New Roman"/>
        </w:rPr>
      </w:pPr>
      <w:r w:rsidRPr="00A60FD5">
        <w:rPr>
          <w:rFonts w:ascii="Times New Roman" w:hAnsi="Times New Roman" w:cs="Times New Roman"/>
        </w:rPr>
        <w:t xml:space="preserve">Our study </w:t>
      </w:r>
      <w:r w:rsidR="00384A83" w:rsidRPr="00A60FD5">
        <w:rPr>
          <w:rFonts w:ascii="Times New Roman" w:hAnsi="Times New Roman" w:cs="Times New Roman"/>
        </w:rPr>
        <w:t xml:space="preserve">primarily </w:t>
      </w:r>
      <w:r w:rsidRPr="00A60FD5">
        <w:rPr>
          <w:rFonts w:ascii="Times New Roman" w:hAnsi="Times New Roman" w:cs="Times New Roman"/>
        </w:rPr>
        <w:t>aims at understanding this paradox</w:t>
      </w:r>
      <w:r w:rsidR="00804B21" w:rsidRPr="00A60FD5">
        <w:rPr>
          <w:rFonts w:ascii="Times New Roman" w:hAnsi="Times New Roman" w:cs="Times New Roman"/>
        </w:rPr>
        <w:t xml:space="preserve"> by </w:t>
      </w:r>
      <w:r w:rsidR="000E606F" w:rsidRPr="00A60FD5">
        <w:rPr>
          <w:rFonts w:ascii="Times New Roman" w:hAnsi="Times New Roman" w:cs="Times New Roman"/>
        </w:rPr>
        <w:t>examining managers’</w:t>
      </w:r>
      <w:r w:rsidR="00D627EB" w:rsidRPr="00A60FD5">
        <w:rPr>
          <w:rFonts w:ascii="Times New Roman" w:hAnsi="Times New Roman" w:cs="Times New Roman"/>
        </w:rPr>
        <w:t xml:space="preserve"> rationality and </w:t>
      </w:r>
      <w:r w:rsidR="00981092" w:rsidRPr="00A60FD5">
        <w:rPr>
          <w:rFonts w:ascii="Times New Roman" w:hAnsi="Times New Roman" w:cs="Times New Roman"/>
        </w:rPr>
        <w:t>their</w:t>
      </w:r>
      <w:r w:rsidR="00D627EB" w:rsidRPr="00A60FD5">
        <w:rPr>
          <w:rFonts w:ascii="Times New Roman" w:hAnsi="Times New Roman" w:cs="Times New Roman"/>
        </w:rPr>
        <w:t xml:space="preserve"> decision criteria when </w:t>
      </w:r>
      <w:r w:rsidR="00981092" w:rsidRPr="00A60FD5">
        <w:rPr>
          <w:rFonts w:ascii="Times New Roman" w:hAnsi="Times New Roman" w:cs="Times New Roman"/>
        </w:rPr>
        <w:t>assessing</w:t>
      </w:r>
      <w:r w:rsidR="00D627EB" w:rsidRPr="00A60FD5">
        <w:rPr>
          <w:rFonts w:ascii="Times New Roman" w:hAnsi="Times New Roman" w:cs="Times New Roman"/>
        </w:rPr>
        <w:t xml:space="preserve"> alternative ordering systems</w:t>
      </w:r>
      <w:r w:rsidR="00981092" w:rsidRPr="00A60FD5">
        <w:rPr>
          <w:rFonts w:ascii="Times New Roman" w:hAnsi="Times New Roman" w:cs="Times New Roman"/>
        </w:rPr>
        <w:t>. We</w:t>
      </w:r>
      <w:r w:rsidR="00D627EB" w:rsidRPr="00A60FD5">
        <w:rPr>
          <w:rFonts w:ascii="Times New Roman" w:hAnsi="Times New Roman" w:cs="Times New Roman"/>
        </w:rPr>
        <w:t xml:space="preserve"> develop and propose a systematic and empirical framework, grounded in the transaction cost perspective, which predicts the conditions under which the advantages of public courts overcome those of arbitration from a managerial point of view. </w:t>
      </w:r>
      <w:r w:rsidR="00983242" w:rsidRPr="00A60FD5">
        <w:rPr>
          <w:rFonts w:ascii="Times New Roman" w:hAnsi="Times New Roman" w:cs="Times New Roman"/>
        </w:rPr>
        <w:t xml:space="preserve">In technology-oriented licensing, </w:t>
      </w:r>
      <w:r w:rsidR="00981092" w:rsidRPr="00A60FD5">
        <w:rPr>
          <w:rFonts w:ascii="Times New Roman" w:hAnsi="Times New Roman" w:cs="Times New Roman"/>
        </w:rPr>
        <w:t xml:space="preserve">partners are torn between safeguarding the appropriation value and </w:t>
      </w:r>
      <w:r w:rsidR="00FD1AD0" w:rsidRPr="00A60FD5">
        <w:rPr>
          <w:rFonts w:ascii="Times New Roman" w:hAnsi="Times New Roman" w:cs="Times New Roman"/>
        </w:rPr>
        <w:t xml:space="preserve">openly collaborating. They face these same contradicting imperatives </w:t>
      </w:r>
      <w:r w:rsidR="00651455" w:rsidRPr="00A60FD5">
        <w:rPr>
          <w:rFonts w:ascii="Times New Roman" w:hAnsi="Times New Roman" w:cs="Times New Roman"/>
        </w:rPr>
        <w:t xml:space="preserve">when </w:t>
      </w:r>
      <w:r w:rsidR="00FD1AD0" w:rsidRPr="00A60FD5">
        <w:rPr>
          <w:rFonts w:ascii="Times New Roman" w:hAnsi="Times New Roman" w:cs="Times New Roman"/>
        </w:rPr>
        <w:t xml:space="preserve">assessing the ordering systems. </w:t>
      </w:r>
      <w:r w:rsidR="0035382B" w:rsidRPr="00A60FD5">
        <w:rPr>
          <w:rFonts w:ascii="Times New Roman" w:hAnsi="Times New Roman"/>
        </w:rPr>
        <w:t>On the one hand, the expectation of severe damage</w:t>
      </w:r>
      <w:r w:rsidR="00E52FD6" w:rsidRPr="00A60FD5">
        <w:rPr>
          <w:rFonts w:ascii="Times New Roman" w:hAnsi="Times New Roman"/>
        </w:rPr>
        <w:t>s</w:t>
      </w:r>
      <w:r w:rsidR="0035382B" w:rsidRPr="00A60FD5">
        <w:rPr>
          <w:rFonts w:ascii="Times New Roman" w:hAnsi="Times New Roman"/>
        </w:rPr>
        <w:t xml:space="preserve"> and coercive awards is essential for disciplining the exchange and sanctioning deviation from contractual </w:t>
      </w:r>
      <w:r w:rsidR="0035382B" w:rsidRPr="00A60FD5">
        <w:rPr>
          <w:rFonts w:ascii="Times New Roman" w:hAnsi="Times New Roman"/>
        </w:rPr>
        <w:lastRenderedPageBreak/>
        <w:t xml:space="preserve">obligations. On the other hand, more nuanced settlements and a win-win stance signal a willingness to “work things out” and to foster realignment of each party’s actions and interests </w:t>
      </w:r>
      <w:r w:rsidR="00E52FD6" w:rsidRPr="00A60FD5">
        <w:rPr>
          <w:rFonts w:ascii="Times New Roman" w:hAnsi="Times New Roman"/>
        </w:rPr>
        <w:t xml:space="preserve">beyond disputes </w:t>
      </w:r>
      <w:r w:rsidR="0035382B" w:rsidRPr="00A60FD5">
        <w:rPr>
          <w:rFonts w:ascii="Times New Roman" w:hAnsi="Times New Roman"/>
        </w:rPr>
        <w:t xml:space="preserve">(Lumineau and Oxley, 2012). </w:t>
      </w:r>
      <w:r w:rsidR="00BD6B12" w:rsidRPr="00A60FD5">
        <w:rPr>
          <w:rFonts w:ascii="Times New Roman" w:hAnsi="Times New Roman"/>
        </w:rPr>
        <w:t xml:space="preserve">Although arbitration can be valuable because it enables partners to accommodate adaptation </w:t>
      </w:r>
      <w:r w:rsidR="00BD6B12" w:rsidRPr="00A60FD5">
        <w:rPr>
          <w:rFonts w:ascii="Times New Roman" w:hAnsi="Times New Roman"/>
          <w:i/>
        </w:rPr>
        <w:t>ex post</w:t>
      </w:r>
      <w:r w:rsidR="00BD6B12" w:rsidRPr="00A60FD5">
        <w:rPr>
          <w:rFonts w:ascii="Times New Roman" w:hAnsi="Times New Roman"/>
        </w:rPr>
        <w:t xml:space="preserve"> in an amicable way (Friedman, 1965; Williamson, 1979), it </w:t>
      </w:r>
      <w:r w:rsidR="00052C07" w:rsidRPr="00A60FD5">
        <w:rPr>
          <w:rFonts w:ascii="Times New Roman" w:hAnsi="Times New Roman"/>
        </w:rPr>
        <w:t>may be perceived as ill-suited and not coercive enough in managers</w:t>
      </w:r>
      <w:r w:rsidR="00A43FBE" w:rsidRPr="00A60FD5">
        <w:rPr>
          <w:rFonts w:ascii="Times New Roman" w:hAnsi="Times New Roman"/>
        </w:rPr>
        <w:t>’</w:t>
      </w:r>
      <w:r w:rsidR="00052C07" w:rsidRPr="00A60FD5">
        <w:rPr>
          <w:rFonts w:ascii="Times New Roman" w:hAnsi="Times New Roman"/>
        </w:rPr>
        <w:t xml:space="preserve"> eyes </w:t>
      </w:r>
      <w:r w:rsidR="0035382B" w:rsidRPr="00A60FD5">
        <w:rPr>
          <w:rFonts w:ascii="Times New Roman" w:hAnsi="Times New Roman"/>
        </w:rPr>
        <w:t xml:space="preserve">due to its </w:t>
      </w:r>
      <w:r w:rsidR="00BD6B12" w:rsidRPr="00A60FD5">
        <w:rPr>
          <w:rFonts w:ascii="Times New Roman" w:hAnsi="Times New Roman"/>
        </w:rPr>
        <w:t>conciliatory approach</w:t>
      </w:r>
      <w:r w:rsidR="0035382B" w:rsidRPr="00A60FD5">
        <w:rPr>
          <w:rFonts w:ascii="Times New Roman" w:hAnsi="Times New Roman"/>
        </w:rPr>
        <w:t xml:space="preserve"> </w:t>
      </w:r>
      <w:r w:rsidR="00BD6B12" w:rsidRPr="00A60FD5">
        <w:rPr>
          <w:rFonts w:ascii="Times New Roman" w:hAnsi="Times New Roman"/>
        </w:rPr>
        <w:t>(</w:t>
      </w:r>
      <w:r w:rsidR="00BD6B12" w:rsidRPr="00A60FD5">
        <w:rPr>
          <w:rFonts w:ascii="Times New Roman" w:hAnsi="Times New Roman" w:cs="Times New Roman"/>
        </w:rPr>
        <w:t>Drahozal and Ware, 2010; Stipnowich and Lamare, 201</w:t>
      </w:r>
      <w:r w:rsidR="00E9636D" w:rsidRPr="00A60FD5">
        <w:rPr>
          <w:rFonts w:ascii="Times New Roman" w:hAnsi="Times New Roman" w:cs="Times New Roman"/>
        </w:rPr>
        <w:t>4</w:t>
      </w:r>
      <w:r w:rsidR="00BD6B12" w:rsidRPr="00A60FD5">
        <w:rPr>
          <w:rFonts w:ascii="Times New Roman" w:hAnsi="Times New Roman"/>
        </w:rPr>
        <w:t>).</w:t>
      </w:r>
      <w:r w:rsidR="0035382B" w:rsidRPr="00A60FD5">
        <w:rPr>
          <w:rFonts w:ascii="Times New Roman" w:hAnsi="Times New Roman"/>
        </w:rPr>
        <w:t xml:space="preserve"> </w:t>
      </w:r>
      <w:r w:rsidR="00173EA2" w:rsidRPr="00A60FD5">
        <w:rPr>
          <w:rFonts w:ascii="Times New Roman" w:hAnsi="Times New Roman"/>
        </w:rPr>
        <w:t xml:space="preserve">In the choice of ordering systems, we can recognize the roots of the dual “control-coordination” perspective, which is widely defended in the literature on governance modes (Gulati and Singh, 1998; Luo, 2005; Malhotra and Lumineau, 2011; White and Lui, 2005). </w:t>
      </w:r>
      <w:r w:rsidR="00FD1AD0" w:rsidRPr="00A60FD5">
        <w:rPr>
          <w:rFonts w:ascii="Times New Roman" w:hAnsi="Times New Roman" w:cs="Times New Roman"/>
        </w:rPr>
        <w:t>T</w:t>
      </w:r>
      <w:r w:rsidR="0065629F" w:rsidRPr="00A60FD5">
        <w:rPr>
          <w:rFonts w:ascii="Times New Roman" w:hAnsi="Times New Roman"/>
        </w:rPr>
        <w:t xml:space="preserve">o unravel how partners balance the features of public ordering and arbitration, we </w:t>
      </w:r>
      <w:r w:rsidR="00FD1AD0" w:rsidRPr="00A60FD5">
        <w:rPr>
          <w:rFonts w:ascii="Times New Roman" w:hAnsi="Times New Roman"/>
        </w:rPr>
        <w:t>therefore</w:t>
      </w:r>
      <w:r w:rsidR="00983242" w:rsidRPr="00A60FD5">
        <w:rPr>
          <w:rFonts w:ascii="Times New Roman" w:hAnsi="Times New Roman"/>
        </w:rPr>
        <w:t xml:space="preserve"> </w:t>
      </w:r>
      <w:r w:rsidR="00FD1AD0" w:rsidRPr="00A60FD5">
        <w:rPr>
          <w:rFonts w:ascii="Times New Roman" w:hAnsi="Times New Roman"/>
        </w:rPr>
        <w:t xml:space="preserve">endeavor to </w:t>
      </w:r>
      <w:r w:rsidR="0065629F" w:rsidRPr="00A60FD5">
        <w:rPr>
          <w:rFonts w:ascii="Times New Roman" w:hAnsi="Times New Roman"/>
        </w:rPr>
        <w:t>disentangle control concerns from coordination concerns.</w:t>
      </w:r>
      <w:r w:rsidR="00FD1AD0" w:rsidRPr="00A60FD5">
        <w:rPr>
          <w:rFonts w:ascii="Times New Roman" w:hAnsi="Times New Roman"/>
        </w:rPr>
        <w:t xml:space="preserve"> We</w:t>
      </w:r>
      <w:r w:rsidR="0065629F" w:rsidRPr="00A60FD5">
        <w:rPr>
          <w:rFonts w:ascii="Times New Roman" w:hAnsi="Times New Roman"/>
        </w:rPr>
        <w:t xml:space="preserve"> appraise the threat of opportunism as perceived by decision</w:t>
      </w:r>
      <w:r w:rsidR="005762CE" w:rsidRPr="00A60FD5">
        <w:rPr>
          <w:rFonts w:ascii="Times New Roman" w:hAnsi="Times New Roman"/>
        </w:rPr>
        <w:t>-</w:t>
      </w:r>
      <w:r w:rsidR="0065629F" w:rsidRPr="00A60FD5">
        <w:rPr>
          <w:rFonts w:ascii="Times New Roman" w:hAnsi="Times New Roman"/>
        </w:rPr>
        <w:t>makers</w:t>
      </w:r>
      <w:r w:rsidR="00FD1AD0" w:rsidRPr="00A60FD5">
        <w:rPr>
          <w:rFonts w:ascii="Times New Roman" w:hAnsi="Times New Roman"/>
        </w:rPr>
        <w:t xml:space="preserve"> through </w:t>
      </w:r>
      <w:r w:rsidR="0065629F" w:rsidRPr="00A60FD5">
        <w:rPr>
          <w:rFonts w:ascii="Times New Roman" w:hAnsi="Times New Roman"/>
        </w:rPr>
        <w:t>the inclusion of monitoring provisions</w:t>
      </w:r>
      <w:r w:rsidR="00983242" w:rsidRPr="00A60FD5">
        <w:rPr>
          <w:rFonts w:ascii="Times New Roman" w:hAnsi="Times New Roman"/>
        </w:rPr>
        <w:t xml:space="preserve"> in licensing contracts</w:t>
      </w:r>
      <w:r w:rsidR="0065629F" w:rsidRPr="00A60FD5">
        <w:rPr>
          <w:rFonts w:ascii="Times New Roman" w:hAnsi="Times New Roman"/>
        </w:rPr>
        <w:t xml:space="preserve">. Requirements for collaboration and interdependent actions </w:t>
      </w:r>
      <w:r w:rsidR="0065629F" w:rsidRPr="00A60FD5">
        <w:rPr>
          <w:rFonts w:ascii="Times New Roman" w:hAnsi="Times New Roman"/>
          <w:i/>
        </w:rPr>
        <w:t>ex post</w:t>
      </w:r>
      <w:r w:rsidR="0065629F" w:rsidRPr="00A60FD5">
        <w:rPr>
          <w:rFonts w:ascii="Times New Roman" w:hAnsi="Times New Roman"/>
        </w:rPr>
        <w:t xml:space="preserve"> are evaluated based on the extent of coordination provisions included in </w:t>
      </w:r>
      <w:r w:rsidR="00983242" w:rsidRPr="00A60FD5">
        <w:rPr>
          <w:rFonts w:ascii="Times New Roman" w:hAnsi="Times New Roman"/>
        </w:rPr>
        <w:t xml:space="preserve">those </w:t>
      </w:r>
      <w:r w:rsidR="0065629F" w:rsidRPr="00A60FD5">
        <w:rPr>
          <w:rFonts w:ascii="Times New Roman" w:hAnsi="Times New Roman"/>
        </w:rPr>
        <w:t xml:space="preserve">contracts. </w:t>
      </w:r>
    </w:p>
    <w:p w14:paraId="1F078193" w14:textId="576DE32F" w:rsidR="00972C2B" w:rsidRPr="00A60FD5" w:rsidRDefault="005C195C" w:rsidP="006D3C91">
      <w:pPr>
        <w:spacing w:after="0" w:line="480" w:lineRule="auto"/>
        <w:ind w:firstLine="624"/>
        <w:rPr>
          <w:rFonts w:ascii="Times New Roman" w:hAnsi="Times New Roman"/>
        </w:rPr>
      </w:pPr>
      <w:r w:rsidRPr="00A60FD5">
        <w:rPr>
          <w:rFonts w:ascii="Times New Roman" w:hAnsi="Times New Roman" w:cs="Times New Roman"/>
        </w:rPr>
        <w:t>We contend</w:t>
      </w:r>
      <w:r w:rsidR="00173EA2" w:rsidRPr="00A60FD5">
        <w:rPr>
          <w:rFonts w:ascii="Times New Roman" w:hAnsi="Times New Roman" w:cs="Times New Roman"/>
        </w:rPr>
        <w:t xml:space="preserve"> that, from a managerial point of view, public courts may be perceived as more suitable in situations where moral hazards and risks of knowledge and asset misappropriation are salient. Judges’ awards tend to be more severe </w:t>
      </w:r>
      <w:r w:rsidR="0052302D" w:rsidRPr="00A60FD5">
        <w:rPr>
          <w:rFonts w:ascii="Times New Roman" w:hAnsi="Times New Roman" w:cs="Times New Roman"/>
        </w:rPr>
        <w:t>than</w:t>
      </w:r>
      <w:r w:rsidR="00173EA2" w:rsidRPr="00A60FD5">
        <w:rPr>
          <w:rFonts w:ascii="Times New Roman" w:hAnsi="Times New Roman" w:cs="Times New Roman"/>
        </w:rPr>
        <w:t xml:space="preserve"> arbitrators</w:t>
      </w:r>
      <w:r w:rsidR="0052302D" w:rsidRPr="00A60FD5">
        <w:rPr>
          <w:rFonts w:ascii="Times New Roman" w:hAnsi="Times New Roman" w:cs="Times New Roman"/>
        </w:rPr>
        <w:t>’</w:t>
      </w:r>
      <w:r w:rsidR="00173EA2" w:rsidRPr="00A60FD5">
        <w:rPr>
          <w:rFonts w:ascii="Times New Roman" w:hAnsi="Times New Roman" w:cs="Times New Roman"/>
        </w:rPr>
        <w:t xml:space="preserve"> awards (Macneil, 1974</w:t>
      </w:r>
      <w:r w:rsidR="00E9636D" w:rsidRPr="00A60FD5">
        <w:rPr>
          <w:rFonts w:ascii="Times New Roman" w:hAnsi="Times New Roman" w:cs="Times New Roman"/>
        </w:rPr>
        <w:t xml:space="preserve"> &amp;</w:t>
      </w:r>
      <w:r w:rsidR="00173EA2" w:rsidRPr="00A60FD5">
        <w:rPr>
          <w:rFonts w:ascii="Times New Roman" w:hAnsi="Times New Roman" w:cs="Times New Roman"/>
        </w:rPr>
        <w:t xml:space="preserve"> 1978; Williamson, 1985). Legal scholars and practitioners acknowledge the conciliatory and win-win stance usually adopted by arbitrators (Friedman, 1965; </w:t>
      </w:r>
      <w:r w:rsidR="0020691D" w:rsidRPr="00A60FD5">
        <w:rPr>
          <w:rFonts w:ascii="Times New Roman" w:hAnsi="Times New Roman" w:cs="Times New Roman"/>
        </w:rPr>
        <w:t>Stipanowich</w:t>
      </w:r>
      <w:r w:rsidR="00173EA2" w:rsidRPr="00A60FD5">
        <w:rPr>
          <w:rFonts w:ascii="Times New Roman" w:hAnsi="Times New Roman" w:cs="Times New Roman"/>
        </w:rPr>
        <w:t xml:space="preserve"> and Lamare, 201</w:t>
      </w:r>
      <w:r w:rsidR="004051F5" w:rsidRPr="00A60FD5">
        <w:rPr>
          <w:rFonts w:ascii="Times New Roman" w:hAnsi="Times New Roman" w:cs="Times New Roman"/>
        </w:rPr>
        <w:t>4</w:t>
      </w:r>
      <w:r w:rsidR="00173EA2" w:rsidRPr="00A60FD5">
        <w:rPr>
          <w:rFonts w:ascii="Times New Roman" w:hAnsi="Times New Roman" w:cs="Times New Roman"/>
        </w:rPr>
        <w:t xml:space="preserve">). Such </w:t>
      </w:r>
      <w:r w:rsidR="0052302D" w:rsidRPr="00A60FD5">
        <w:rPr>
          <w:rFonts w:ascii="Times New Roman" w:hAnsi="Times New Roman" w:cs="Times New Roman"/>
        </w:rPr>
        <w:t xml:space="preserve">a </w:t>
      </w:r>
      <w:r w:rsidR="00173EA2" w:rsidRPr="00A60FD5">
        <w:rPr>
          <w:rFonts w:ascii="Times New Roman" w:hAnsi="Times New Roman" w:cs="Times New Roman"/>
        </w:rPr>
        <w:t xml:space="preserve">stance may not be favorable </w:t>
      </w:r>
      <w:r w:rsidR="0052302D" w:rsidRPr="00A60FD5">
        <w:rPr>
          <w:rFonts w:ascii="Times New Roman" w:hAnsi="Times New Roman" w:cs="Times New Roman"/>
        </w:rPr>
        <w:t xml:space="preserve">or </w:t>
      </w:r>
      <w:r w:rsidR="00173EA2" w:rsidRPr="00A60FD5">
        <w:rPr>
          <w:rFonts w:ascii="Times New Roman" w:hAnsi="Times New Roman" w:cs="Times New Roman"/>
        </w:rPr>
        <w:t xml:space="preserve">suitable in situations where concerns for opportunism prevail. </w:t>
      </w:r>
      <w:r w:rsidR="00FD1AD0" w:rsidRPr="00A60FD5">
        <w:rPr>
          <w:rFonts w:ascii="Times New Roman" w:hAnsi="Times New Roman" w:cs="Times New Roman"/>
        </w:rPr>
        <w:t xml:space="preserve">It can however be </w:t>
      </w:r>
      <w:r w:rsidR="00C43407" w:rsidRPr="00A60FD5">
        <w:rPr>
          <w:rFonts w:ascii="Times New Roman" w:hAnsi="Times New Roman" w:cs="Times New Roman"/>
        </w:rPr>
        <w:t>sought</w:t>
      </w:r>
      <w:r w:rsidR="00FD1AD0" w:rsidRPr="00A60FD5">
        <w:rPr>
          <w:rFonts w:ascii="Times New Roman" w:hAnsi="Times New Roman" w:cs="Times New Roman"/>
        </w:rPr>
        <w:t xml:space="preserve"> when the licensing partnership involves </w:t>
      </w:r>
      <w:r w:rsidR="00C43407" w:rsidRPr="00A60FD5">
        <w:rPr>
          <w:rFonts w:ascii="Times New Roman" w:hAnsi="Times New Roman" w:cs="Times New Roman"/>
        </w:rPr>
        <w:t xml:space="preserve">significant </w:t>
      </w:r>
      <w:r w:rsidR="00FD1AD0" w:rsidRPr="00A60FD5">
        <w:rPr>
          <w:rFonts w:ascii="Times New Roman" w:hAnsi="Times New Roman" w:cs="Times New Roman"/>
        </w:rPr>
        <w:t xml:space="preserve">inter-partner coordination over time. </w:t>
      </w:r>
      <w:r w:rsidR="00CC5A8A" w:rsidRPr="00A60FD5">
        <w:rPr>
          <w:rFonts w:ascii="Times New Roman" w:hAnsi="Times New Roman"/>
        </w:rPr>
        <w:t>To test our</w:t>
      </w:r>
      <w:r w:rsidRPr="00A60FD5">
        <w:rPr>
          <w:rFonts w:ascii="Times New Roman" w:hAnsi="Times New Roman"/>
        </w:rPr>
        <w:t xml:space="preserve"> arguments</w:t>
      </w:r>
      <w:r w:rsidR="00CC5A8A" w:rsidRPr="00A60FD5">
        <w:rPr>
          <w:rFonts w:ascii="Times New Roman" w:hAnsi="Times New Roman"/>
        </w:rPr>
        <w:t xml:space="preserve">, we assembled a detailed survey sample of technology licensing exchanges for which we collected data on </w:t>
      </w:r>
      <w:r w:rsidR="00FD1AD0" w:rsidRPr="00A60FD5">
        <w:rPr>
          <w:rFonts w:ascii="Times New Roman" w:hAnsi="Times New Roman"/>
        </w:rPr>
        <w:t xml:space="preserve">technology-based and exchange </w:t>
      </w:r>
      <w:r w:rsidR="00CC5A8A" w:rsidRPr="00A60FD5">
        <w:rPr>
          <w:rFonts w:ascii="Times New Roman" w:hAnsi="Times New Roman"/>
        </w:rPr>
        <w:t xml:space="preserve">attributes, contract design and the selected dispute-resolution mechanism. </w:t>
      </w:r>
      <w:r w:rsidR="003671B7" w:rsidRPr="00A60FD5">
        <w:rPr>
          <w:rFonts w:ascii="Times New Roman" w:hAnsi="Times New Roman"/>
        </w:rPr>
        <w:t xml:space="preserve">We propose a two-stage model aimed at </w:t>
      </w:r>
      <w:r w:rsidR="00204357" w:rsidRPr="00A60FD5">
        <w:rPr>
          <w:rFonts w:ascii="Times New Roman" w:hAnsi="Times New Roman"/>
        </w:rPr>
        <w:t xml:space="preserve">examining </w:t>
      </w:r>
      <w:r w:rsidR="003671B7" w:rsidRPr="00A60FD5">
        <w:rPr>
          <w:rFonts w:ascii="Times New Roman" w:hAnsi="Times New Roman"/>
        </w:rPr>
        <w:t xml:space="preserve">the </w:t>
      </w:r>
      <w:r w:rsidRPr="00A60FD5">
        <w:rPr>
          <w:rFonts w:ascii="Times New Roman" w:hAnsi="Times New Roman"/>
        </w:rPr>
        <w:t>ra</w:t>
      </w:r>
      <w:r w:rsidR="007F22C0" w:rsidRPr="00A60FD5">
        <w:rPr>
          <w:rFonts w:ascii="Times New Roman" w:hAnsi="Times New Roman"/>
        </w:rPr>
        <w:t>t</w:t>
      </w:r>
      <w:r w:rsidRPr="00A60FD5">
        <w:rPr>
          <w:rFonts w:ascii="Times New Roman" w:hAnsi="Times New Roman"/>
        </w:rPr>
        <w:t xml:space="preserve">ionale </w:t>
      </w:r>
      <w:r w:rsidR="003671B7" w:rsidRPr="00A60FD5">
        <w:rPr>
          <w:rFonts w:ascii="Times New Roman" w:hAnsi="Times New Roman"/>
        </w:rPr>
        <w:t>of the negotiation process: the technology-based characteristics of the transaction are our starting point and key drivers for the adoption of protective and/or coordinative stances in technological collaborations; decision</w:t>
      </w:r>
      <w:r w:rsidR="00204357" w:rsidRPr="00A60FD5">
        <w:rPr>
          <w:rFonts w:ascii="Times New Roman" w:hAnsi="Times New Roman"/>
        </w:rPr>
        <w:t>-</w:t>
      </w:r>
      <w:r w:rsidR="003671B7" w:rsidRPr="00A60FD5">
        <w:rPr>
          <w:rFonts w:ascii="Times New Roman" w:hAnsi="Times New Roman"/>
        </w:rPr>
        <w:t>makers then select the suitable dispute-resolution mechanism for enforcing their commitments a</w:t>
      </w:r>
      <w:r w:rsidR="00E52FD6" w:rsidRPr="00A60FD5">
        <w:rPr>
          <w:rFonts w:ascii="Times New Roman" w:hAnsi="Times New Roman"/>
        </w:rPr>
        <w:t>n</w:t>
      </w:r>
      <w:r w:rsidR="003671B7" w:rsidRPr="00A60FD5">
        <w:rPr>
          <w:rFonts w:ascii="Times New Roman" w:hAnsi="Times New Roman"/>
        </w:rPr>
        <w:t xml:space="preserve">d fostering partners’ </w:t>
      </w:r>
      <w:r w:rsidR="00204357" w:rsidRPr="00A60FD5">
        <w:rPr>
          <w:rFonts w:ascii="Times New Roman" w:hAnsi="Times New Roman"/>
        </w:rPr>
        <w:t xml:space="preserve">expected </w:t>
      </w:r>
      <w:r w:rsidR="003671B7" w:rsidRPr="00A60FD5">
        <w:rPr>
          <w:rFonts w:ascii="Times New Roman" w:hAnsi="Times New Roman"/>
        </w:rPr>
        <w:t xml:space="preserve">behaviors over time. Our </w:t>
      </w:r>
      <w:r w:rsidR="007F22C0" w:rsidRPr="00A60FD5">
        <w:rPr>
          <w:rFonts w:ascii="Times New Roman" w:hAnsi="Times New Roman"/>
        </w:rPr>
        <w:t xml:space="preserve">empirical </w:t>
      </w:r>
      <w:r w:rsidR="003671B7" w:rsidRPr="00A60FD5">
        <w:rPr>
          <w:rFonts w:ascii="Times New Roman" w:hAnsi="Times New Roman"/>
        </w:rPr>
        <w:t>findings reveal first</w:t>
      </w:r>
      <w:r w:rsidR="00CC5A8A" w:rsidRPr="00A60FD5">
        <w:rPr>
          <w:rFonts w:ascii="Times New Roman" w:hAnsi="Times New Roman"/>
        </w:rPr>
        <w:t xml:space="preserve"> that arbitration is favored in the presence of an extensive coordination orientation that reflects the need </w:t>
      </w:r>
      <w:r w:rsidR="00CC5A8A" w:rsidRPr="00A60FD5">
        <w:rPr>
          <w:rFonts w:ascii="Times New Roman" w:hAnsi="Times New Roman"/>
        </w:rPr>
        <w:lastRenderedPageBreak/>
        <w:t>for joint effort</w:t>
      </w:r>
      <w:r w:rsidR="00E52FD6" w:rsidRPr="00A60FD5">
        <w:rPr>
          <w:rFonts w:ascii="Times New Roman" w:hAnsi="Times New Roman"/>
        </w:rPr>
        <w:t>s</w:t>
      </w:r>
      <w:r w:rsidR="00CC5A8A" w:rsidRPr="00A60FD5">
        <w:rPr>
          <w:rFonts w:ascii="Times New Roman" w:hAnsi="Times New Roman"/>
        </w:rPr>
        <w:t xml:space="preserve"> and interdependencies. In contrast, our findings do not support evidence of a direct impact of a monitoring orientation on firms’ preference for public courts. However, as expected </w:t>
      </w:r>
      <w:r w:rsidR="00204357" w:rsidRPr="00A60FD5">
        <w:rPr>
          <w:rFonts w:ascii="Times New Roman" w:hAnsi="Times New Roman"/>
        </w:rPr>
        <w:t xml:space="preserve">we do find </w:t>
      </w:r>
      <w:r w:rsidR="00CC5A8A" w:rsidRPr="00A60FD5">
        <w:rPr>
          <w:rFonts w:ascii="Times New Roman" w:hAnsi="Times New Roman"/>
        </w:rPr>
        <w:t xml:space="preserve">that the willingness to “work things out” amicably and to benefit from the expertise of arbitral judges overcomes possible needs for severe sanctions when licensing contracts are simultaneously characterized by </w:t>
      </w:r>
      <w:r w:rsidR="00204357" w:rsidRPr="00A60FD5">
        <w:rPr>
          <w:rFonts w:ascii="Times New Roman" w:hAnsi="Times New Roman"/>
        </w:rPr>
        <w:t xml:space="preserve">significant </w:t>
      </w:r>
      <w:r w:rsidR="00CC5A8A" w:rsidRPr="00A60FD5">
        <w:rPr>
          <w:rFonts w:ascii="Times New Roman" w:hAnsi="Times New Roman"/>
        </w:rPr>
        <w:t>monitoring and coordination orientations. Stated differently, in highly collaborative licensing exchanges, the monitoring provisions tend to magnify rather than inhibit partners’ preference</w:t>
      </w:r>
      <w:r w:rsidR="00204357" w:rsidRPr="00A60FD5">
        <w:rPr>
          <w:rFonts w:ascii="Times New Roman" w:hAnsi="Times New Roman"/>
        </w:rPr>
        <w:t>s</w:t>
      </w:r>
      <w:r w:rsidR="00CC5A8A" w:rsidRPr="00A60FD5">
        <w:rPr>
          <w:rFonts w:ascii="Times New Roman" w:hAnsi="Times New Roman"/>
        </w:rPr>
        <w:t xml:space="preserve"> for arbitration over litigation. </w:t>
      </w:r>
    </w:p>
    <w:p w14:paraId="7AAEF017" w14:textId="5E6F8918" w:rsidR="00EC7ABE" w:rsidRPr="00A60FD5" w:rsidRDefault="00E52FD6" w:rsidP="006D3C91">
      <w:pPr>
        <w:spacing w:after="0" w:line="480" w:lineRule="auto"/>
        <w:ind w:firstLine="624"/>
        <w:rPr>
          <w:rFonts w:ascii="Times New Roman" w:hAnsi="Times New Roman" w:cs="Times New Roman"/>
        </w:rPr>
      </w:pPr>
      <w:r w:rsidRPr="00A60FD5">
        <w:rPr>
          <w:rFonts w:ascii="Times New Roman" w:hAnsi="Times New Roman" w:cs="Times New Roman"/>
        </w:rPr>
        <w:t xml:space="preserve">Our contributions to the literature on the governance of licensing exchanges are threefold. First, we contribute to the remarkably scant research on dispute-resolution choices in the managerial and organizational literature. </w:t>
      </w:r>
      <w:r w:rsidR="006D3C91" w:rsidRPr="00A60FD5">
        <w:rPr>
          <w:rFonts w:ascii="Times New Roman" w:hAnsi="Times New Roman" w:cs="Times New Roman"/>
        </w:rPr>
        <w:t xml:space="preserve">Three studies, leveraging </w:t>
      </w:r>
      <w:r w:rsidR="00204357" w:rsidRPr="00A60FD5">
        <w:rPr>
          <w:rFonts w:ascii="Times New Roman" w:hAnsi="Times New Roman" w:cs="Times New Roman"/>
        </w:rPr>
        <w:t>the</w:t>
      </w:r>
      <w:r w:rsidR="006D3C91" w:rsidRPr="00A60FD5">
        <w:rPr>
          <w:rFonts w:ascii="Times New Roman" w:hAnsi="Times New Roman" w:cs="Times New Roman"/>
        </w:rPr>
        <w:t xml:space="preserve"> same dataset on business disputes in vertical partnerships, are noteworthy (Lumineau and Malhotra, 2011; Lumineau and Oxley, 2012; Malhotra and Lumineau</w:t>
      </w:r>
      <w:r w:rsidR="00EF0C68" w:rsidRPr="00A60FD5">
        <w:rPr>
          <w:rFonts w:ascii="Times New Roman" w:hAnsi="Times New Roman" w:cs="Times New Roman"/>
        </w:rPr>
        <w:t>,</w:t>
      </w:r>
      <w:r w:rsidR="006D3C91" w:rsidRPr="00A60FD5">
        <w:rPr>
          <w:rFonts w:ascii="Times New Roman" w:hAnsi="Times New Roman" w:cs="Times New Roman"/>
        </w:rPr>
        <w:t xml:space="preserve"> 2011). </w:t>
      </w:r>
      <w:r w:rsidR="00204357" w:rsidRPr="00A60FD5">
        <w:rPr>
          <w:rFonts w:ascii="Times New Roman" w:hAnsi="Times New Roman" w:cs="Times New Roman"/>
        </w:rPr>
        <w:t>However, t</w:t>
      </w:r>
      <w:r w:rsidRPr="00A60FD5">
        <w:rPr>
          <w:rFonts w:ascii="Times New Roman" w:hAnsi="Times New Roman" w:cs="Times New Roman"/>
        </w:rPr>
        <w:t xml:space="preserve">hey </w:t>
      </w:r>
      <w:r w:rsidR="00E277A3" w:rsidRPr="00A60FD5">
        <w:rPr>
          <w:rFonts w:ascii="Times New Roman" w:hAnsi="Times New Roman" w:cs="Times New Roman"/>
        </w:rPr>
        <w:t>examine actual</w:t>
      </w:r>
      <w:r w:rsidR="006D3C91" w:rsidRPr="00A60FD5">
        <w:rPr>
          <w:rFonts w:ascii="Times New Roman" w:hAnsi="Times New Roman" w:cs="Times New Roman"/>
        </w:rPr>
        <w:t xml:space="preserve"> </w:t>
      </w:r>
      <w:r w:rsidRPr="00A60FD5">
        <w:rPr>
          <w:rFonts w:ascii="Times New Roman" w:hAnsi="Times New Roman" w:cs="Times New Roman"/>
        </w:rPr>
        <w:t>dispute-resolution choices once disputes surface</w:t>
      </w:r>
      <w:r w:rsidR="006D3C91" w:rsidRPr="00A60FD5">
        <w:rPr>
          <w:rFonts w:ascii="Times New Roman" w:hAnsi="Times New Roman" w:cs="Times New Roman"/>
        </w:rPr>
        <w:t>.</w:t>
      </w:r>
      <w:r w:rsidRPr="00A60FD5">
        <w:rPr>
          <w:rFonts w:ascii="Times New Roman" w:hAnsi="Times New Roman" w:cs="Times New Roman"/>
        </w:rPr>
        <w:t xml:space="preserve">  </w:t>
      </w:r>
      <w:r w:rsidR="00204357" w:rsidRPr="00A60FD5">
        <w:rPr>
          <w:rFonts w:ascii="Times New Roman" w:hAnsi="Times New Roman" w:cs="Times New Roman"/>
        </w:rPr>
        <w:t xml:space="preserve">Very </w:t>
      </w:r>
      <w:r w:rsidR="006D3C91" w:rsidRPr="00A60FD5">
        <w:rPr>
          <w:rFonts w:ascii="Times New Roman" w:hAnsi="Times New Roman" w:cs="Times New Roman"/>
        </w:rPr>
        <w:t xml:space="preserve">few studies have </w:t>
      </w:r>
      <w:r w:rsidR="00061630" w:rsidRPr="00A60FD5">
        <w:rPr>
          <w:rFonts w:ascii="Times New Roman" w:hAnsi="Times New Roman" w:cs="Times New Roman"/>
        </w:rPr>
        <w:t xml:space="preserve">explored </w:t>
      </w:r>
      <w:r w:rsidR="006D3C91" w:rsidRPr="00A60FD5">
        <w:rPr>
          <w:rFonts w:ascii="Times New Roman" w:hAnsi="Times New Roman" w:cs="Times New Roman"/>
        </w:rPr>
        <w:t>decision</w:t>
      </w:r>
      <w:r w:rsidR="00204357" w:rsidRPr="00A60FD5">
        <w:rPr>
          <w:rFonts w:ascii="Times New Roman" w:hAnsi="Times New Roman" w:cs="Times New Roman"/>
        </w:rPr>
        <w:t>s</w:t>
      </w:r>
      <w:r w:rsidR="006D3C91" w:rsidRPr="00A60FD5">
        <w:rPr>
          <w:rFonts w:ascii="Times New Roman" w:hAnsi="Times New Roman" w:cs="Times New Roman"/>
        </w:rPr>
        <w:t xml:space="preserve"> on dispute</w:t>
      </w:r>
      <w:r w:rsidRPr="00A60FD5">
        <w:rPr>
          <w:rFonts w:ascii="Times New Roman" w:hAnsi="Times New Roman" w:cs="Times New Roman"/>
        </w:rPr>
        <w:t>-</w:t>
      </w:r>
      <w:r w:rsidR="006D3C91" w:rsidRPr="00A60FD5">
        <w:rPr>
          <w:rFonts w:ascii="Times New Roman" w:hAnsi="Times New Roman" w:cs="Times New Roman"/>
        </w:rPr>
        <w:t xml:space="preserve">resolution </w:t>
      </w:r>
      <w:r w:rsidR="0054108C" w:rsidRPr="00A60FD5">
        <w:rPr>
          <w:rFonts w:ascii="Times New Roman" w:hAnsi="Times New Roman" w:cs="Times New Roman"/>
        </w:rPr>
        <w:t xml:space="preserve">fora </w:t>
      </w:r>
      <w:r w:rsidR="006D3C91" w:rsidRPr="00A60FD5">
        <w:rPr>
          <w:rFonts w:ascii="Times New Roman" w:hAnsi="Times New Roman" w:cs="Times New Roman"/>
        </w:rPr>
        <w:t>made at the negotiation stage of an exchange</w:t>
      </w:r>
      <w:r w:rsidRPr="00A60FD5">
        <w:rPr>
          <w:rFonts w:ascii="Times New Roman" w:hAnsi="Times New Roman" w:cs="Times New Roman"/>
        </w:rPr>
        <w:t xml:space="preserve">. </w:t>
      </w:r>
      <w:r w:rsidR="00061630" w:rsidRPr="00A60FD5">
        <w:rPr>
          <w:rFonts w:ascii="Times New Roman" w:hAnsi="Times New Roman" w:cs="Times New Roman"/>
        </w:rPr>
        <w:t xml:space="preserve">By focusing on decisions made </w:t>
      </w:r>
      <w:r w:rsidR="00061630" w:rsidRPr="00A60FD5">
        <w:rPr>
          <w:rFonts w:ascii="Times New Roman" w:hAnsi="Times New Roman" w:cs="Times New Roman"/>
          <w:i/>
        </w:rPr>
        <w:t>ex ante</w:t>
      </w:r>
      <w:r w:rsidR="00061630" w:rsidRPr="00A60FD5">
        <w:rPr>
          <w:rFonts w:ascii="Times New Roman" w:hAnsi="Times New Roman" w:cs="Times New Roman"/>
        </w:rPr>
        <w:t xml:space="preserve">, </w:t>
      </w:r>
      <w:r w:rsidR="00204357" w:rsidRPr="00A60FD5">
        <w:rPr>
          <w:rFonts w:ascii="Times New Roman" w:hAnsi="Times New Roman" w:cs="Times New Roman"/>
        </w:rPr>
        <w:t xml:space="preserve">it is possible to study </w:t>
      </w:r>
      <w:r w:rsidR="00061630" w:rsidRPr="00A60FD5">
        <w:rPr>
          <w:rFonts w:ascii="Times New Roman" w:hAnsi="Times New Roman" w:cs="Times New Roman"/>
        </w:rPr>
        <w:t xml:space="preserve">the extent to which partner firms perceive either public courts or arbitration as more suitable for inducing appropriate behaviors </w:t>
      </w:r>
      <w:r w:rsidR="00061630" w:rsidRPr="00A60FD5">
        <w:rPr>
          <w:rFonts w:ascii="Times New Roman" w:hAnsi="Times New Roman" w:cs="Times New Roman"/>
          <w:i/>
        </w:rPr>
        <w:t>ex post</w:t>
      </w:r>
      <w:r w:rsidR="00061630" w:rsidRPr="00A60FD5">
        <w:rPr>
          <w:rFonts w:ascii="Times New Roman" w:hAnsi="Times New Roman" w:cs="Times New Roman"/>
        </w:rPr>
        <w:t xml:space="preserve">, and for handling conflicts that could arise along the way. </w:t>
      </w:r>
      <w:r w:rsidR="006D3C91" w:rsidRPr="00A60FD5">
        <w:rPr>
          <w:rFonts w:ascii="Times New Roman" w:hAnsi="Times New Roman" w:cs="Times New Roman"/>
        </w:rPr>
        <w:t>In qualitative analyses, Hagedoorn and Hesen (2007) study the occurrence of an arbitration provision across equity-based joint venture, non-equity joint venture and licensing.  Drahozal and Hylton (2003)</w:t>
      </w:r>
      <w:r w:rsidR="00061630" w:rsidRPr="00A60FD5">
        <w:rPr>
          <w:rFonts w:ascii="Times New Roman" w:hAnsi="Times New Roman" w:cs="Times New Roman"/>
        </w:rPr>
        <w:t xml:space="preserve">, </w:t>
      </w:r>
      <w:r w:rsidR="006D3C91" w:rsidRPr="00A60FD5">
        <w:rPr>
          <w:rFonts w:ascii="Times New Roman" w:hAnsi="Times New Roman" w:cs="Times New Roman"/>
        </w:rPr>
        <w:t>Drahozal and Ware (2010)</w:t>
      </w:r>
      <w:r w:rsidR="00061630" w:rsidRPr="00A60FD5">
        <w:rPr>
          <w:rFonts w:ascii="Times New Roman" w:hAnsi="Times New Roman" w:cs="Times New Roman"/>
        </w:rPr>
        <w:t>,</w:t>
      </w:r>
      <w:r w:rsidR="006D3C91" w:rsidRPr="00A60FD5">
        <w:rPr>
          <w:rFonts w:ascii="Times New Roman" w:hAnsi="Times New Roman" w:cs="Times New Roman"/>
        </w:rPr>
        <w:t xml:space="preserve"> </w:t>
      </w:r>
      <w:r w:rsidR="00061630" w:rsidRPr="00A60FD5">
        <w:rPr>
          <w:rFonts w:ascii="Times New Roman" w:hAnsi="Times New Roman" w:cs="Times New Roman"/>
        </w:rPr>
        <w:t xml:space="preserve">Eisenberg and Miller (2007) and Eisenberg, Miller and Sherwin (2008) </w:t>
      </w:r>
      <w:r w:rsidR="006D3C91" w:rsidRPr="00A60FD5">
        <w:rPr>
          <w:rFonts w:ascii="Times New Roman" w:hAnsi="Times New Roman" w:cs="Times New Roman"/>
        </w:rPr>
        <w:t>explore the decisions to include an arbitration provision in franchising contracts</w:t>
      </w:r>
      <w:r w:rsidR="00061630" w:rsidRPr="00A60FD5">
        <w:rPr>
          <w:rFonts w:ascii="Times New Roman" w:hAnsi="Times New Roman" w:cs="Times New Roman"/>
        </w:rPr>
        <w:t xml:space="preserve"> and </w:t>
      </w:r>
      <w:r w:rsidR="006D3C91" w:rsidRPr="00A60FD5">
        <w:rPr>
          <w:rFonts w:ascii="Times New Roman" w:hAnsi="Times New Roman" w:cs="Times New Roman"/>
        </w:rPr>
        <w:t>material contracts. Brousseau, Coeurderoy and Chasserant (2007) conduct an initial exploration of the likelihood of finding a dispute resolution provision, among other provisions, using survey data on licensing.</w:t>
      </w:r>
      <w:r w:rsidR="00E1021D" w:rsidRPr="00A60FD5">
        <w:rPr>
          <w:rFonts w:ascii="Times New Roman" w:hAnsi="Times New Roman" w:cs="Times New Roman"/>
        </w:rPr>
        <w:t xml:space="preserve"> </w:t>
      </w:r>
      <w:r w:rsidR="002E0BB6" w:rsidRPr="00A60FD5">
        <w:rPr>
          <w:rFonts w:ascii="Times New Roman" w:hAnsi="Times New Roman" w:cs="Times New Roman"/>
        </w:rPr>
        <w:t xml:space="preserve">Also, </w:t>
      </w:r>
      <w:r w:rsidR="00E1021D" w:rsidRPr="00A60FD5">
        <w:rPr>
          <w:rFonts w:ascii="Times New Roman" w:hAnsi="Times New Roman" w:cs="Times New Roman"/>
        </w:rPr>
        <w:t>Pinkham and Peng (2017)</w:t>
      </w:r>
      <w:r w:rsidR="00EA5CC9" w:rsidRPr="00A60FD5">
        <w:rPr>
          <w:rFonts w:ascii="Times New Roman" w:hAnsi="Times New Roman" w:cs="Times New Roman"/>
        </w:rPr>
        <w:t xml:space="preserve"> investigate how institutional differences between </w:t>
      </w:r>
      <w:r w:rsidR="002B4A60" w:rsidRPr="00A60FD5">
        <w:rPr>
          <w:rFonts w:ascii="Times New Roman" w:hAnsi="Times New Roman" w:cs="Times New Roman"/>
        </w:rPr>
        <w:t>the home countries of firms engaged in international joint ventures</w:t>
      </w:r>
      <w:r w:rsidR="00061630" w:rsidRPr="00A60FD5">
        <w:rPr>
          <w:rFonts w:ascii="Times New Roman" w:hAnsi="Times New Roman" w:cs="Times New Roman"/>
        </w:rPr>
        <w:t xml:space="preserve"> influence arbitration choices</w:t>
      </w:r>
      <w:r w:rsidR="002B4A60" w:rsidRPr="00A60FD5">
        <w:rPr>
          <w:rFonts w:ascii="Times New Roman" w:hAnsi="Times New Roman" w:cs="Times New Roman"/>
        </w:rPr>
        <w:t xml:space="preserve">. </w:t>
      </w:r>
      <w:r w:rsidR="006D3C91" w:rsidRPr="00A60FD5">
        <w:rPr>
          <w:rFonts w:ascii="Times New Roman" w:hAnsi="Times New Roman" w:cs="Times New Roman"/>
        </w:rPr>
        <w:t xml:space="preserve">Compared to those earlier studies, our analysis strictly focuses on the presence of an arbitration provision and goes beyond the mere comparison of generic governance modes (i.e., market, hybrid, and hierarchy) or cross-industry </w:t>
      </w:r>
      <w:r w:rsidR="00061630" w:rsidRPr="00A60FD5">
        <w:rPr>
          <w:rFonts w:ascii="Times New Roman" w:hAnsi="Times New Roman" w:cs="Times New Roman"/>
        </w:rPr>
        <w:t xml:space="preserve">and cross-country </w:t>
      </w:r>
      <w:r w:rsidR="006D3C91" w:rsidRPr="00A60FD5">
        <w:rPr>
          <w:rFonts w:ascii="Times New Roman" w:hAnsi="Times New Roman" w:cs="Times New Roman"/>
        </w:rPr>
        <w:t xml:space="preserve">comparisons. Finally, </w:t>
      </w:r>
      <w:r w:rsidR="00372C4D" w:rsidRPr="00A60FD5">
        <w:rPr>
          <w:rFonts w:ascii="Times New Roman" w:hAnsi="Times New Roman" w:cs="Times New Roman"/>
        </w:rPr>
        <w:t>v</w:t>
      </w:r>
      <w:r w:rsidR="006D3C91" w:rsidRPr="00A60FD5">
        <w:rPr>
          <w:rFonts w:ascii="Times New Roman" w:hAnsi="Times New Roman" w:cs="Times New Roman"/>
        </w:rPr>
        <w:t xml:space="preserve">aluable insights </w:t>
      </w:r>
      <w:r w:rsidR="00372C4D" w:rsidRPr="00A60FD5">
        <w:rPr>
          <w:rFonts w:ascii="Times New Roman" w:hAnsi="Times New Roman" w:cs="Times New Roman"/>
        </w:rPr>
        <w:t xml:space="preserve">are </w:t>
      </w:r>
      <w:r w:rsidR="006D3C91" w:rsidRPr="00A60FD5">
        <w:rPr>
          <w:rFonts w:ascii="Times New Roman" w:hAnsi="Times New Roman" w:cs="Times New Roman"/>
        </w:rPr>
        <w:t xml:space="preserve">provided by a stream of the literature in strategic management which focuses on the </w:t>
      </w:r>
      <w:r w:rsidR="006D3C91" w:rsidRPr="00A60FD5">
        <w:rPr>
          <w:rFonts w:ascii="Times New Roman" w:hAnsi="Times New Roman" w:cs="Times New Roman"/>
          <w:i/>
        </w:rPr>
        <w:t>styles</w:t>
      </w:r>
      <w:r w:rsidR="006D3C91" w:rsidRPr="00A60FD5">
        <w:rPr>
          <w:rFonts w:ascii="Times New Roman" w:hAnsi="Times New Roman" w:cs="Times New Roman"/>
        </w:rPr>
        <w:t xml:space="preserve"> adopted </w:t>
      </w:r>
      <w:r w:rsidR="00204357" w:rsidRPr="00A60FD5">
        <w:rPr>
          <w:rFonts w:ascii="Times New Roman" w:hAnsi="Times New Roman" w:cs="Times New Roman"/>
        </w:rPr>
        <w:t xml:space="preserve">in </w:t>
      </w:r>
      <w:r w:rsidR="006D3C91" w:rsidRPr="00A60FD5">
        <w:rPr>
          <w:rFonts w:ascii="Times New Roman" w:hAnsi="Times New Roman" w:cs="Times New Roman"/>
        </w:rPr>
        <w:t xml:space="preserve">resolving disputes in inter-organizational </w:t>
      </w:r>
      <w:r w:rsidR="006D3C91" w:rsidRPr="00A60FD5">
        <w:rPr>
          <w:rFonts w:ascii="Times New Roman" w:hAnsi="Times New Roman" w:cs="Times New Roman"/>
        </w:rPr>
        <w:lastRenderedPageBreak/>
        <w:t>partnerships (</w:t>
      </w:r>
      <w:r w:rsidR="00EB08AC" w:rsidRPr="00A60FD5">
        <w:rPr>
          <w:rFonts w:ascii="Times New Roman" w:hAnsi="Times New Roman" w:cs="Times New Roman"/>
        </w:rPr>
        <w:t xml:space="preserve">e.g., </w:t>
      </w:r>
      <w:r w:rsidR="006D3C91" w:rsidRPr="00A60FD5">
        <w:rPr>
          <w:rFonts w:ascii="Times New Roman" w:hAnsi="Times New Roman" w:cs="Times New Roman"/>
        </w:rPr>
        <w:t>Lin and Germain</w:t>
      </w:r>
      <w:r w:rsidR="00EB08AC" w:rsidRPr="00A60FD5">
        <w:rPr>
          <w:rFonts w:ascii="Times New Roman" w:hAnsi="Times New Roman" w:cs="Times New Roman"/>
        </w:rPr>
        <w:t>,</w:t>
      </w:r>
      <w:r w:rsidR="006D3C91" w:rsidRPr="00A60FD5">
        <w:rPr>
          <w:rFonts w:ascii="Times New Roman" w:hAnsi="Times New Roman" w:cs="Times New Roman"/>
        </w:rPr>
        <w:t xml:space="preserve"> 1998</w:t>
      </w:r>
      <w:r w:rsidR="00EB08AC" w:rsidRPr="00A60FD5">
        <w:rPr>
          <w:rFonts w:ascii="Times New Roman" w:hAnsi="Times New Roman" w:cs="Times New Roman"/>
        </w:rPr>
        <w:t>;</w:t>
      </w:r>
      <w:r w:rsidR="006D3C91" w:rsidRPr="00A60FD5">
        <w:rPr>
          <w:rFonts w:ascii="Times New Roman" w:hAnsi="Times New Roman" w:cs="Times New Roman"/>
        </w:rPr>
        <w:t xml:space="preserve"> Lin and Wang</w:t>
      </w:r>
      <w:r w:rsidR="00EB08AC" w:rsidRPr="00A60FD5">
        <w:rPr>
          <w:rFonts w:ascii="Times New Roman" w:hAnsi="Times New Roman" w:cs="Times New Roman"/>
        </w:rPr>
        <w:t>,</w:t>
      </w:r>
      <w:r w:rsidR="006D3C91" w:rsidRPr="00A60FD5">
        <w:rPr>
          <w:rFonts w:ascii="Times New Roman" w:hAnsi="Times New Roman" w:cs="Times New Roman"/>
        </w:rPr>
        <w:t xml:space="preserve"> 2002). </w:t>
      </w:r>
      <w:r w:rsidR="00061630" w:rsidRPr="00A60FD5">
        <w:rPr>
          <w:rFonts w:ascii="Times New Roman" w:hAnsi="Times New Roman" w:cs="Times New Roman"/>
        </w:rPr>
        <w:t xml:space="preserve">Styles </w:t>
      </w:r>
      <w:r w:rsidR="00204357" w:rsidRPr="00A60FD5">
        <w:rPr>
          <w:rFonts w:ascii="Times New Roman" w:hAnsi="Times New Roman" w:cs="Times New Roman"/>
        </w:rPr>
        <w:t>include</w:t>
      </w:r>
      <w:r w:rsidR="00061630" w:rsidRPr="00A60FD5">
        <w:rPr>
          <w:rFonts w:ascii="Times New Roman" w:hAnsi="Times New Roman" w:cs="Times New Roman"/>
        </w:rPr>
        <w:t xml:space="preserve">, for instance, </w:t>
      </w:r>
      <w:r w:rsidR="006D3C91" w:rsidRPr="00A60FD5">
        <w:rPr>
          <w:rFonts w:ascii="Times New Roman" w:hAnsi="Times New Roman" w:cs="Times New Roman"/>
        </w:rPr>
        <w:t>problem-solving, compromising, forcing one’s position, and legalistic strategy. A</w:t>
      </w:r>
      <w:r w:rsidR="00061630" w:rsidRPr="00A60FD5">
        <w:rPr>
          <w:rFonts w:ascii="Times New Roman" w:hAnsi="Times New Roman" w:cs="Times New Roman"/>
        </w:rPr>
        <w:t xml:space="preserve">gain, </w:t>
      </w:r>
      <w:r w:rsidR="006D3C91" w:rsidRPr="00A60FD5">
        <w:rPr>
          <w:rFonts w:ascii="Times New Roman" w:hAnsi="Times New Roman" w:cs="Times New Roman"/>
        </w:rPr>
        <w:t xml:space="preserve">the focus </w:t>
      </w:r>
      <w:r w:rsidR="00061630" w:rsidRPr="00A60FD5">
        <w:rPr>
          <w:rFonts w:ascii="Times New Roman" w:hAnsi="Times New Roman" w:cs="Times New Roman"/>
        </w:rPr>
        <w:t xml:space="preserve">in those studies </w:t>
      </w:r>
      <w:r w:rsidR="006D3C91" w:rsidRPr="00A60FD5">
        <w:rPr>
          <w:rFonts w:ascii="Times New Roman" w:hAnsi="Times New Roman" w:cs="Times New Roman"/>
        </w:rPr>
        <w:t>is on dispute resolution stances adopted when disputes surface rather than on the decision made on dispute-resolution mechanisms at the outset of th</w:t>
      </w:r>
      <w:r w:rsidR="004E1DE3" w:rsidRPr="00A60FD5">
        <w:rPr>
          <w:rFonts w:ascii="Times New Roman" w:hAnsi="Times New Roman" w:cs="Times New Roman"/>
        </w:rPr>
        <w:t>e</w:t>
      </w:r>
      <w:r w:rsidR="006D3C91" w:rsidRPr="00A60FD5">
        <w:rPr>
          <w:rFonts w:ascii="Times New Roman" w:hAnsi="Times New Roman" w:cs="Times New Roman"/>
        </w:rPr>
        <w:t xml:space="preserve">se exchanges.   </w:t>
      </w:r>
    </w:p>
    <w:p w14:paraId="3BFA2764" w14:textId="5240DA3E" w:rsidR="00125FB4" w:rsidRPr="00A60FD5" w:rsidRDefault="00372C4D" w:rsidP="00372C4D">
      <w:pPr>
        <w:spacing w:after="0" w:line="480" w:lineRule="auto"/>
        <w:ind w:firstLine="624"/>
        <w:rPr>
          <w:rFonts w:ascii="Times New Roman" w:hAnsi="Times New Roman"/>
        </w:rPr>
      </w:pPr>
      <w:r w:rsidRPr="00A60FD5">
        <w:rPr>
          <w:rFonts w:ascii="Times New Roman" w:hAnsi="Times New Roman"/>
        </w:rPr>
        <w:t xml:space="preserve">Besides </w:t>
      </w:r>
      <w:r w:rsidR="00524C59" w:rsidRPr="00A60FD5">
        <w:rPr>
          <w:rFonts w:ascii="Times New Roman" w:hAnsi="Times New Roman"/>
        </w:rPr>
        <w:t xml:space="preserve">adding </w:t>
      </w:r>
      <w:r w:rsidRPr="00A60FD5">
        <w:rPr>
          <w:rFonts w:ascii="Times New Roman" w:hAnsi="Times New Roman"/>
        </w:rPr>
        <w:t>to th</w:t>
      </w:r>
      <w:r w:rsidR="00524C59" w:rsidRPr="00A60FD5">
        <w:rPr>
          <w:rFonts w:ascii="Times New Roman" w:hAnsi="Times New Roman"/>
        </w:rPr>
        <w:t>is</w:t>
      </w:r>
      <w:r w:rsidRPr="00A60FD5">
        <w:rPr>
          <w:rFonts w:ascii="Times New Roman" w:hAnsi="Times New Roman"/>
        </w:rPr>
        <w:t xml:space="preserve"> </w:t>
      </w:r>
      <w:r w:rsidR="00FD1AD0" w:rsidRPr="00A60FD5">
        <w:rPr>
          <w:rFonts w:ascii="Times New Roman" w:hAnsi="Times New Roman"/>
        </w:rPr>
        <w:t>scant</w:t>
      </w:r>
      <w:r w:rsidRPr="00A60FD5">
        <w:rPr>
          <w:rFonts w:ascii="Times New Roman" w:hAnsi="Times New Roman"/>
        </w:rPr>
        <w:t xml:space="preserve"> research on dispute-resolution </w:t>
      </w:r>
      <w:r w:rsidR="00FD1AD0" w:rsidRPr="00A60FD5">
        <w:rPr>
          <w:rFonts w:ascii="Times New Roman" w:hAnsi="Times New Roman"/>
        </w:rPr>
        <w:t xml:space="preserve">choices in </w:t>
      </w:r>
      <w:r w:rsidR="00524C59" w:rsidRPr="00A60FD5">
        <w:rPr>
          <w:rFonts w:ascii="Times New Roman" w:hAnsi="Times New Roman"/>
        </w:rPr>
        <w:t xml:space="preserve">the </w:t>
      </w:r>
      <w:r w:rsidR="00FD1AD0" w:rsidRPr="00A60FD5">
        <w:rPr>
          <w:rFonts w:ascii="Times New Roman" w:hAnsi="Times New Roman"/>
        </w:rPr>
        <w:t>inter-organizational literature</w:t>
      </w:r>
      <w:r w:rsidRPr="00A60FD5">
        <w:rPr>
          <w:rFonts w:ascii="Times New Roman" w:hAnsi="Times New Roman"/>
        </w:rPr>
        <w:t xml:space="preserve">, our study offers two other contributions. First, we contribute to research that </w:t>
      </w:r>
      <w:r w:rsidR="00656FA7" w:rsidRPr="00A60FD5">
        <w:rPr>
          <w:rFonts w:ascii="Times New Roman" w:hAnsi="Times New Roman" w:cs="Times New Roman"/>
        </w:rPr>
        <w:t>distinguishes the control</w:t>
      </w:r>
      <w:r w:rsidR="00542C70" w:rsidRPr="00A60FD5">
        <w:rPr>
          <w:rFonts w:ascii="Times New Roman" w:hAnsi="Times New Roman" w:cs="Times New Roman"/>
        </w:rPr>
        <w:t xml:space="preserve"> functions of contractual agreements</w:t>
      </w:r>
      <w:r w:rsidR="00656FA7" w:rsidRPr="00A60FD5">
        <w:rPr>
          <w:rFonts w:ascii="Times New Roman" w:hAnsi="Times New Roman" w:cs="Times New Roman"/>
        </w:rPr>
        <w:t xml:space="preserve"> from the coordination functions (</w:t>
      </w:r>
      <w:r w:rsidR="00075E6F" w:rsidRPr="00A60FD5">
        <w:rPr>
          <w:rFonts w:ascii="Times New Roman" w:hAnsi="Times New Roman" w:cs="Times New Roman"/>
        </w:rPr>
        <w:t xml:space="preserve">e.g., </w:t>
      </w:r>
      <w:r w:rsidR="009C18CD" w:rsidRPr="00A60FD5">
        <w:rPr>
          <w:rFonts w:ascii="Times New Roman" w:hAnsi="Times New Roman" w:cs="Times New Roman"/>
        </w:rPr>
        <w:t>Gulati and Singh</w:t>
      </w:r>
      <w:r w:rsidR="006D753B" w:rsidRPr="00A60FD5">
        <w:rPr>
          <w:rFonts w:ascii="Times New Roman" w:hAnsi="Times New Roman" w:cs="Times New Roman"/>
        </w:rPr>
        <w:t xml:space="preserve">, </w:t>
      </w:r>
      <w:r w:rsidR="00784463" w:rsidRPr="00A60FD5">
        <w:rPr>
          <w:rFonts w:ascii="Times New Roman" w:hAnsi="Times New Roman" w:cs="Times New Roman"/>
        </w:rPr>
        <w:t>1998</w:t>
      </w:r>
      <w:r w:rsidR="00656FA7" w:rsidRPr="00A60FD5">
        <w:rPr>
          <w:rFonts w:ascii="Times New Roman" w:hAnsi="Times New Roman" w:cs="Times New Roman"/>
        </w:rPr>
        <w:t>)</w:t>
      </w:r>
      <w:r w:rsidR="0091063C" w:rsidRPr="00A60FD5">
        <w:rPr>
          <w:rFonts w:ascii="Times New Roman" w:hAnsi="Times New Roman" w:cs="Times New Roman"/>
        </w:rPr>
        <w:t xml:space="preserve">. </w:t>
      </w:r>
      <w:r w:rsidRPr="00A60FD5">
        <w:rPr>
          <w:rFonts w:ascii="Times New Roman" w:hAnsi="Times New Roman" w:cs="Times New Roman"/>
        </w:rPr>
        <w:t xml:space="preserve">Our study </w:t>
      </w:r>
      <w:r w:rsidR="0091063C" w:rsidRPr="00A60FD5">
        <w:rPr>
          <w:rFonts w:ascii="Times New Roman" w:hAnsi="Times New Roman" w:cs="Times New Roman"/>
        </w:rPr>
        <w:t>e</w:t>
      </w:r>
      <w:r w:rsidR="00C124AA" w:rsidRPr="00A60FD5">
        <w:rPr>
          <w:rFonts w:ascii="Times New Roman" w:hAnsi="Times New Roman" w:cs="Times New Roman"/>
        </w:rPr>
        <w:t>xplores their joint influence</w:t>
      </w:r>
      <w:r w:rsidR="00524C59" w:rsidRPr="00A60FD5">
        <w:rPr>
          <w:rFonts w:ascii="Times New Roman" w:hAnsi="Times New Roman" w:cs="Times New Roman"/>
        </w:rPr>
        <w:t>,</w:t>
      </w:r>
      <w:r w:rsidR="00C124AA" w:rsidRPr="00A60FD5">
        <w:rPr>
          <w:rFonts w:ascii="Times New Roman" w:hAnsi="Times New Roman" w:cs="Times New Roman"/>
        </w:rPr>
        <w:t xml:space="preserve"> in </w:t>
      </w:r>
      <w:r w:rsidR="00061630" w:rsidRPr="00A60FD5">
        <w:rPr>
          <w:rFonts w:ascii="Times New Roman" w:hAnsi="Times New Roman" w:cs="Times New Roman"/>
        </w:rPr>
        <w:t>particular</w:t>
      </w:r>
      <w:r w:rsidR="00656FA7" w:rsidRPr="00A60FD5">
        <w:rPr>
          <w:rFonts w:ascii="Times New Roman" w:hAnsi="Times New Roman" w:cs="Times New Roman"/>
        </w:rPr>
        <w:t xml:space="preserve">. </w:t>
      </w:r>
      <w:r w:rsidR="007B3749" w:rsidRPr="00A60FD5">
        <w:rPr>
          <w:rFonts w:ascii="Times New Roman" w:hAnsi="Times New Roman" w:cs="Times New Roman"/>
        </w:rPr>
        <w:t xml:space="preserve">We </w:t>
      </w:r>
      <w:r w:rsidR="00061630" w:rsidRPr="00A60FD5">
        <w:rPr>
          <w:rFonts w:ascii="Times New Roman" w:hAnsi="Times New Roman" w:cs="Times New Roman"/>
        </w:rPr>
        <w:t>show</w:t>
      </w:r>
      <w:r w:rsidR="00903B0D" w:rsidRPr="00A60FD5">
        <w:rPr>
          <w:rFonts w:ascii="Times New Roman" w:hAnsi="Times New Roman" w:cs="Times New Roman"/>
        </w:rPr>
        <w:t xml:space="preserve"> that </w:t>
      </w:r>
      <w:r w:rsidR="00ED3C16" w:rsidRPr="00A60FD5">
        <w:rPr>
          <w:rFonts w:ascii="Times New Roman" w:hAnsi="Times New Roman"/>
        </w:rPr>
        <w:t xml:space="preserve">contracts </w:t>
      </w:r>
      <w:r w:rsidR="008322E3" w:rsidRPr="00A60FD5">
        <w:rPr>
          <w:rFonts w:ascii="Times New Roman" w:hAnsi="Times New Roman"/>
        </w:rPr>
        <w:t>with</w:t>
      </w:r>
      <w:r w:rsidR="00ED3C16" w:rsidRPr="00A60FD5">
        <w:rPr>
          <w:rFonts w:ascii="Times New Roman" w:hAnsi="Times New Roman"/>
        </w:rPr>
        <w:t xml:space="preserve"> an arbitration provision are </w:t>
      </w:r>
      <w:r w:rsidR="002830A5" w:rsidRPr="00A60FD5">
        <w:rPr>
          <w:rFonts w:ascii="Times New Roman" w:hAnsi="Times New Roman"/>
        </w:rPr>
        <w:t>projected</w:t>
      </w:r>
      <w:r w:rsidR="00ED3C16" w:rsidRPr="00A60FD5">
        <w:rPr>
          <w:rFonts w:ascii="Times New Roman" w:hAnsi="Times New Roman"/>
        </w:rPr>
        <w:t xml:space="preserve"> to be of a “coordinative” nature </w:t>
      </w:r>
      <w:r w:rsidR="00ED3C16" w:rsidRPr="00A60FD5">
        <w:rPr>
          <w:rFonts w:ascii="Times New Roman" w:hAnsi="Times New Roman"/>
          <w:i/>
        </w:rPr>
        <w:t>ex post</w:t>
      </w:r>
      <w:r w:rsidR="00ED3C16" w:rsidRPr="00A60FD5">
        <w:rPr>
          <w:rFonts w:ascii="Times New Roman" w:hAnsi="Times New Roman"/>
        </w:rPr>
        <w:t xml:space="preserve">, while those referring </w:t>
      </w:r>
      <w:r w:rsidR="00542C70" w:rsidRPr="00A60FD5">
        <w:rPr>
          <w:rFonts w:ascii="Times New Roman" w:hAnsi="Times New Roman"/>
        </w:rPr>
        <w:t xml:space="preserve">exclusively </w:t>
      </w:r>
      <w:r w:rsidR="00ED3C16" w:rsidRPr="00A60FD5">
        <w:rPr>
          <w:rFonts w:ascii="Times New Roman" w:hAnsi="Times New Roman"/>
        </w:rPr>
        <w:t xml:space="preserve">to public courts are </w:t>
      </w:r>
      <w:r w:rsidR="008A2E34" w:rsidRPr="00A60FD5">
        <w:rPr>
          <w:rFonts w:ascii="Times New Roman" w:hAnsi="Times New Roman"/>
        </w:rPr>
        <w:t xml:space="preserve">simple exchanges, typically </w:t>
      </w:r>
      <w:r w:rsidR="00ED3C16" w:rsidRPr="00A60FD5">
        <w:rPr>
          <w:rFonts w:ascii="Times New Roman" w:hAnsi="Times New Roman"/>
        </w:rPr>
        <w:t xml:space="preserve">executed </w:t>
      </w:r>
      <w:r w:rsidR="00524C59" w:rsidRPr="00A60FD5">
        <w:rPr>
          <w:rFonts w:ascii="Times New Roman" w:hAnsi="Times New Roman"/>
        </w:rPr>
        <w:t xml:space="preserve">under </w:t>
      </w:r>
      <w:r w:rsidR="00ED3C16" w:rsidRPr="00A60FD5">
        <w:rPr>
          <w:rFonts w:ascii="Times New Roman" w:hAnsi="Times New Roman"/>
        </w:rPr>
        <w:t xml:space="preserve">the shadow of severe possible sanctions in case of non-compliance. </w:t>
      </w:r>
      <w:r w:rsidR="00022FFD" w:rsidRPr="00A60FD5">
        <w:rPr>
          <w:rFonts w:ascii="Times New Roman" w:hAnsi="Times New Roman"/>
        </w:rPr>
        <w:t xml:space="preserve">We theoretically and empirically </w:t>
      </w:r>
      <w:r w:rsidR="008322E3" w:rsidRPr="00A60FD5">
        <w:rPr>
          <w:rFonts w:ascii="Times New Roman" w:hAnsi="Times New Roman"/>
        </w:rPr>
        <w:t xml:space="preserve">explore </w:t>
      </w:r>
      <w:r w:rsidR="00022FFD" w:rsidRPr="00A60FD5">
        <w:rPr>
          <w:rFonts w:ascii="Times New Roman" w:hAnsi="Times New Roman"/>
        </w:rPr>
        <w:t>a case of “trilateral governance</w:t>
      </w:r>
      <w:r w:rsidR="002830A5" w:rsidRPr="00A60FD5">
        <w:rPr>
          <w:rFonts w:ascii="Times New Roman" w:hAnsi="Times New Roman"/>
        </w:rPr>
        <w:t>”</w:t>
      </w:r>
      <w:r w:rsidR="00022FFD" w:rsidRPr="00A60FD5">
        <w:rPr>
          <w:rFonts w:ascii="Times New Roman" w:hAnsi="Times New Roman"/>
        </w:rPr>
        <w:t xml:space="preserve"> </w:t>
      </w:r>
      <w:r w:rsidR="00542C70" w:rsidRPr="00A60FD5">
        <w:rPr>
          <w:rFonts w:ascii="Times New Roman" w:hAnsi="Times New Roman"/>
        </w:rPr>
        <w:t xml:space="preserve">(i.e., the licensor, the licensee, and the arbitrator) </w:t>
      </w:r>
      <w:r w:rsidR="00022FFD" w:rsidRPr="00A60FD5">
        <w:rPr>
          <w:rFonts w:ascii="Times New Roman" w:hAnsi="Times New Roman"/>
        </w:rPr>
        <w:t xml:space="preserve">as introduced by </w:t>
      </w:r>
      <w:r w:rsidR="008E3C54" w:rsidRPr="00A60FD5">
        <w:rPr>
          <w:rFonts w:ascii="Times New Roman" w:hAnsi="Times New Roman"/>
        </w:rPr>
        <w:t xml:space="preserve">Williamson (1979). </w:t>
      </w:r>
      <w:r w:rsidR="00022FFD" w:rsidRPr="00A60FD5">
        <w:rPr>
          <w:rFonts w:ascii="Times New Roman" w:hAnsi="Times New Roman"/>
        </w:rPr>
        <w:t>Since the evocation of third parties by Williamson (1979), t</w:t>
      </w:r>
      <w:r w:rsidR="004B53E7" w:rsidRPr="00A60FD5">
        <w:rPr>
          <w:rFonts w:ascii="Times New Roman" w:hAnsi="Times New Roman"/>
        </w:rPr>
        <w:t xml:space="preserve">he </w:t>
      </w:r>
      <w:r w:rsidR="00720CE3" w:rsidRPr="00A60FD5">
        <w:rPr>
          <w:rFonts w:ascii="Times New Roman" w:hAnsi="Times New Roman"/>
        </w:rPr>
        <w:t xml:space="preserve">contribution </w:t>
      </w:r>
      <w:r w:rsidR="004B53E7" w:rsidRPr="00A60FD5">
        <w:rPr>
          <w:rFonts w:ascii="Times New Roman" w:hAnsi="Times New Roman"/>
        </w:rPr>
        <w:t xml:space="preserve">provided by </w:t>
      </w:r>
      <w:r w:rsidR="00022FFD" w:rsidRPr="00A60FD5">
        <w:rPr>
          <w:rFonts w:ascii="Times New Roman" w:hAnsi="Times New Roman"/>
        </w:rPr>
        <w:t>those</w:t>
      </w:r>
      <w:r w:rsidR="004B53E7" w:rsidRPr="00A60FD5">
        <w:rPr>
          <w:rFonts w:ascii="Times New Roman" w:hAnsi="Times New Roman"/>
        </w:rPr>
        <w:t xml:space="preserve"> parties in exchanges </w:t>
      </w:r>
      <w:r w:rsidR="00022FFD" w:rsidRPr="00A60FD5">
        <w:rPr>
          <w:rFonts w:ascii="Times New Roman" w:hAnsi="Times New Roman"/>
        </w:rPr>
        <w:t xml:space="preserve">has received </w:t>
      </w:r>
      <w:r w:rsidR="00061630" w:rsidRPr="00A60FD5">
        <w:rPr>
          <w:rFonts w:ascii="Times New Roman" w:hAnsi="Times New Roman"/>
        </w:rPr>
        <w:t xml:space="preserve">extremely </w:t>
      </w:r>
      <w:r w:rsidR="00022FFD" w:rsidRPr="00A60FD5">
        <w:rPr>
          <w:rFonts w:ascii="Times New Roman" w:hAnsi="Times New Roman"/>
        </w:rPr>
        <w:t>limited attention</w:t>
      </w:r>
      <w:r w:rsidR="00FF2484" w:rsidRPr="00A60FD5">
        <w:rPr>
          <w:rFonts w:ascii="Times New Roman" w:hAnsi="Times New Roman"/>
        </w:rPr>
        <w:t xml:space="preserve"> (Nooteboom, 1999)</w:t>
      </w:r>
      <w:r w:rsidR="004B53E7" w:rsidRPr="00A60FD5">
        <w:rPr>
          <w:rFonts w:ascii="Times New Roman" w:hAnsi="Times New Roman"/>
        </w:rPr>
        <w:t xml:space="preserve">. </w:t>
      </w:r>
      <w:r w:rsidR="00022FFD" w:rsidRPr="00A60FD5">
        <w:rPr>
          <w:rFonts w:ascii="Times New Roman" w:hAnsi="Times New Roman"/>
        </w:rPr>
        <w:t xml:space="preserve">Our study </w:t>
      </w:r>
      <w:r w:rsidR="00542C70" w:rsidRPr="00A60FD5">
        <w:rPr>
          <w:rFonts w:ascii="Times New Roman" w:hAnsi="Times New Roman"/>
        </w:rPr>
        <w:t>expa</w:t>
      </w:r>
      <w:r w:rsidR="004B53E7" w:rsidRPr="00A60FD5">
        <w:rPr>
          <w:rFonts w:ascii="Times New Roman" w:hAnsi="Times New Roman"/>
        </w:rPr>
        <w:t>nd</w:t>
      </w:r>
      <w:r w:rsidR="00022FFD" w:rsidRPr="00A60FD5">
        <w:rPr>
          <w:rFonts w:ascii="Times New Roman" w:hAnsi="Times New Roman"/>
        </w:rPr>
        <w:t>s</w:t>
      </w:r>
      <w:r w:rsidR="004B53E7" w:rsidRPr="00A60FD5">
        <w:rPr>
          <w:rFonts w:ascii="Times New Roman" w:hAnsi="Times New Roman"/>
        </w:rPr>
        <w:t xml:space="preserve"> on the </w:t>
      </w:r>
      <w:r w:rsidR="00542C70" w:rsidRPr="00A60FD5">
        <w:rPr>
          <w:rFonts w:ascii="Times New Roman" w:hAnsi="Times New Roman"/>
        </w:rPr>
        <w:t>proposition that</w:t>
      </w:r>
      <w:r w:rsidR="00022FFD" w:rsidRPr="00A60FD5">
        <w:rPr>
          <w:rFonts w:ascii="Times New Roman" w:hAnsi="Times New Roman"/>
        </w:rPr>
        <w:t xml:space="preserve"> </w:t>
      </w:r>
      <w:r w:rsidR="004B53E7" w:rsidRPr="00A60FD5">
        <w:rPr>
          <w:rFonts w:ascii="Times New Roman" w:hAnsi="Times New Roman"/>
        </w:rPr>
        <w:t>arbitrat</w:t>
      </w:r>
      <w:r w:rsidR="00022FFD" w:rsidRPr="00A60FD5">
        <w:rPr>
          <w:rFonts w:ascii="Times New Roman" w:hAnsi="Times New Roman"/>
        </w:rPr>
        <w:t>ors</w:t>
      </w:r>
      <w:r w:rsidR="004B53E7" w:rsidRPr="00A60FD5">
        <w:rPr>
          <w:rFonts w:ascii="Times New Roman" w:hAnsi="Times New Roman"/>
        </w:rPr>
        <w:t xml:space="preserve"> act as gap filler</w:t>
      </w:r>
      <w:r w:rsidR="00542C70" w:rsidRPr="00A60FD5">
        <w:rPr>
          <w:rFonts w:ascii="Times New Roman" w:hAnsi="Times New Roman"/>
        </w:rPr>
        <w:t>s</w:t>
      </w:r>
      <w:r w:rsidR="004B53E7" w:rsidRPr="00A60FD5">
        <w:rPr>
          <w:rFonts w:ascii="Times New Roman" w:hAnsi="Times New Roman"/>
        </w:rPr>
        <w:t xml:space="preserve"> and </w:t>
      </w:r>
      <w:r w:rsidR="00542C70" w:rsidRPr="00A60FD5">
        <w:rPr>
          <w:rFonts w:ascii="Times New Roman" w:hAnsi="Times New Roman"/>
        </w:rPr>
        <w:t>help to</w:t>
      </w:r>
      <w:r w:rsidR="004B53E7" w:rsidRPr="00A60FD5">
        <w:rPr>
          <w:rFonts w:ascii="Times New Roman" w:hAnsi="Times New Roman"/>
        </w:rPr>
        <w:t xml:space="preserve"> </w:t>
      </w:r>
      <w:r w:rsidR="008322E3" w:rsidRPr="00A60FD5">
        <w:rPr>
          <w:rFonts w:ascii="Times New Roman" w:hAnsi="Times New Roman"/>
        </w:rPr>
        <w:t>ensure</w:t>
      </w:r>
      <w:r w:rsidR="00542C70" w:rsidRPr="00A60FD5">
        <w:rPr>
          <w:rFonts w:ascii="Times New Roman" w:hAnsi="Times New Roman"/>
        </w:rPr>
        <w:t xml:space="preserve"> continuation of </w:t>
      </w:r>
      <w:r w:rsidR="004B53E7" w:rsidRPr="00A60FD5">
        <w:rPr>
          <w:rFonts w:ascii="Times New Roman" w:hAnsi="Times New Roman"/>
        </w:rPr>
        <w:t xml:space="preserve">the exchange beyond disputes. </w:t>
      </w:r>
    </w:p>
    <w:p w14:paraId="40E9E2AD" w14:textId="6950BAC7" w:rsidR="002B6804" w:rsidRPr="00A60FD5" w:rsidRDefault="00622959" w:rsidP="00A05DE5">
      <w:pPr>
        <w:spacing w:after="0" w:line="480" w:lineRule="auto"/>
        <w:ind w:firstLine="624"/>
        <w:rPr>
          <w:rFonts w:ascii="Times New Roman" w:hAnsi="Times New Roman" w:cs="Times New Roman"/>
        </w:rPr>
      </w:pPr>
      <w:r w:rsidRPr="00A60FD5">
        <w:rPr>
          <w:rFonts w:ascii="Times New Roman" w:hAnsi="Times New Roman" w:cs="Times New Roman"/>
        </w:rPr>
        <w:t xml:space="preserve">Our </w:t>
      </w:r>
      <w:r w:rsidR="00077D93" w:rsidRPr="00A60FD5">
        <w:rPr>
          <w:rFonts w:ascii="Times New Roman" w:hAnsi="Times New Roman" w:cs="Times New Roman"/>
        </w:rPr>
        <w:t>last</w:t>
      </w:r>
      <w:r w:rsidRPr="00A60FD5">
        <w:rPr>
          <w:rFonts w:ascii="Times New Roman" w:hAnsi="Times New Roman" w:cs="Times New Roman"/>
        </w:rPr>
        <w:t xml:space="preserve"> contribution relates to the </w:t>
      </w:r>
      <w:r w:rsidR="007F22C0" w:rsidRPr="00A60FD5">
        <w:rPr>
          <w:rFonts w:ascii="Times New Roman" w:hAnsi="Times New Roman" w:cs="Times New Roman"/>
        </w:rPr>
        <w:t>law and management</w:t>
      </w:r>
      <w:r w:rsidRPr="00A60FD5">
        <w:rPr>
          <w:rFonts w:ascii="Times New Roman" w:hAnsi="Times New Roman" w:cs="Times New Roman"/>
        </w:rPr>
        <w:t xml:space="preserve"> literature on </w:t>
      </w:r>
      <w:r w:rsidR="007F22C0" w:rsidRPr="00A60FD5">
        <w:rPr>
          <w:rFonts w:ascii="Times New Roman" w:hAnsi="Times New Roman" w:cs="Times New Roman"/>
        </w:rPr>
        <w:t>contractual conflicts</w:t>
      </w:r>
      <w:r w:rsidRPr="00A60FD5">
        <w:rPr>
          <w:rFonts w:ascii="Times New Roman" w:hAnsi="Times New Roman" w:cs="Times New Roman"/>
        </w:rPr>
        <w:t xml:space="preserve">. Scholars in law and, to a lesser extent, in management have </w:t>
      </w:r>
      <w:r w:rsidR="00524C59" w:rsidRPr="00A60FD5">
        <w:rPr>
          <w:rFonts w:ascii="Times New Roman" w:hAnsi="Times New Roman" w:cs="Times New Roman"/>
        </w:rPr>
        <w:t xml:space="preserve">demonstrated </w:t>
      </w:r>
      <w:r w:rsidRPr="00A60FD5">
        <w:rPr>
          <w:rFonts w:ascii="Times New Roman" w:hAnsi="Times New Roman" w:cs="Times New Roman"/>
        </w:rPr>
        <w:t>the various advantages of referring to the arbitration forum in inter-organizational exchange</w:t>
      </w:r>
      <w:r w:rsidR="00FD1AD0" w:rsidRPr="00A60FD5">
        <w:rPr>
          <w:rFonts w:ascii="Times New Roman" w:hAnsi="Times New Roman" w:cs="Times New Roman"/>
        </w:rPr>
        <w:t>s</w:t>
      </w:r>
      <w:r w:rsidRPr="00A60FD5">
        <w:rPr>
          <w:rFonts w:ascii="Times New Roman" w:hAnsi="Times New Roman" w:cs="Times New Roman"/>
        </w:rPr>
        <w:t xml:space="preserve"> (e.g., Bernstein, 2001; Bonn, 1972; Sternlight and Resnik, 2005). Much less has been written </w:t>
      </w:r>
      <w:r w:rsidR="00C03802" w:rsidRPr="00A60FD5">
        <w:rPr>
          <w:rFonts w:ascii="Times New Roman" w:hAnsi="Times New Roman" w:cs="Times New Roman"/>
        </w:rPr>
        <w:t xml:space="preserve">about </w:t>
      </w:r>
      <w:r w:rsidRPr="00A60FD5">
        <w:rPr>
          <w:rFonts w:ascii="Times New Roman" w:hAnsi="Times New Roman" w:cs="Times New Roman"/>
        </w:rPr>
        <w:t>the disadvantages of using arbitration in the eyes of corporate decision</w:t>
      </w:r>
      <w:r w:rsidR="00C03802" w:rsidRPr="00A60FD5">
        <w:rPr>
          <w:rFonts w:ascii="Times New Roman" w:hAnsi="Times New Roman" w:cs="Times New Roman"/>
        </w:rPr>
        <w:t>-</w:t>
      </w:r>
      <w:r w:rsidRPr="00A60FD5">
        <w:rPr>
          <w:rFonts w:ascii="Times New Roman" w:hAnsi="Times New Roman" w:cs="Times New Roman"/>
        </w:rPr>
        <w:t>makers</w:t>
      </w:r>
      <w:r w:rsidR="00061630" w:rsidRPr="00A60FD5">
        <w:rPr>
          <w:rFonts w:ascii="Times New Roman" w:hAnsi="Times New Roman" w:cs="Times New Roman"/>
        </w:rPr>
        <w:t xml:space="preserve"> (Stipanowich, 2014)</w:t>
      </w:r>
      <w:r w:rsidRPr="00A60FD5">
        <w:rPr>
          <w:rFonts w:ascii="Times New Roman" w:hAnsi="Times New Roman" w:cs="Times New Roman"/>
        </w:rPr>
        <w:t>. However, as evidenced by prior studies, referr</w:t>
      </w:r>
      <w:r w:rsidR="00C03802" w:rsidRPr="00A60FD5">
        <w:rPr>
          <w:rFonts w:ascii="Times New Roman" w:hAnsi="Times New Roman" w:cs="Times New Roman"/>
        </w:rPr>
        <w:t>al</w:t>
      </w:r>
      <w:r w:rsidRPr="00A60FD5">
        <w:rPr>
          <w:rFonts w:ascii="Times New Roman" w:hAnsi="Times New Roman" w:cs="Times New Roman"/>
        </w:rPr>
        <w:t xml:space="preserve"> to arbitration in partnership contracts is not systematic (Drahozal and Hylton, 2003; Eisenberg </w:t>
      </w:r>
      <w:r w:rsidR="00FD1AD0" w:rsidRPr="00A60FD5">
        <w:rPr>
          <w:rFonts w:ascii="Times New Roman" w:hAnsi="Times New Roman" w:cs="Times New Roman"/>
        </w:rPr>
        <w:t xml:space="preserve">and Miller, 2007; Hagedoorn and </w:t>
      </w:r>
      <w:r w:rsidRPr="00A60FD5">
        <w:rPr>
          <w:rFonts w:ascii="Times New Roman" w:hAnsi="Times New Roman" w:cs="Times New Roman"/>
        </w:rPr>
        <w:t>Hesen, 2007).</w:t>
      </w:r>
      <w:r w:rsidR="00077D93" w:rsidRPr="00A60FD5">
        <w:rPr>
          <w:rFonts w:ascii="Times New Roman" w:hAnsi="Times New Roman" w:cs="Times New Roman"/>
        </w:rPr>
        <w:t xml:space="preserve"> </w:t>
      </w:r>
      <w:r w:rsidR="00A41497" w:rsidRPr="00A60FD5">
        <w:rPr>
          <w:rFonts w:ascii="Times New Roman" w:hAnsi="Times New Roman" w:cs="Times New Roman"/>
        </w:rPr>
        <w:t xml:space="preserve">We take the </w:t>
      </w:r>
      <w:r w:rsidRPr="00A60FD5">
        <w:rPr>
          <w:rFonts w:ascii="Times New Roman" w:hAnsi="Times New Roman" w:cs="Times New Roman"/>
        </w:rPr>
        <w:t>transaction</w:t>
      </w:r>
      <w:r w:rsidR="00FD1AD0" w:rsidRPr="00A60FD5">
        <w:rPr>
          <w:rFonts w:ascii="Times New Roman" w:hAnsi="Times New Roman" w:cs="Times New Roman"/>
        </w:rPr>
        <w:t xml:space="preserve"> (i.e., licensing exchange)</w:t>
      </w:r>
      <w:r w:rsidRPr="00A60FD5">
        <w:rPr>
          <w:rFonts w:ascii="Times New Roman" w:hAnsi="Times New Roman" w:cs="Times New Roman"/>
        </w:rPr>
        <w:t xml:space="preserve"> as </w:t>
      </w:r>
      <w:r w:rsidR="00061630" w:rsidRPr="00A60FD5">
        <w:rPr>
          <w:rFonts w:ascii="Times New Roman" w:hAnsi="Times New Roman" w:cs="Times New Roman"/>
        </w:rPr>
        <w:t xml:space="preserve">our </w:t>
      </w:r>
      <w:r w:rsidRPr="00A60FD5">
        <w:rPr>
          <w:rFonts w:ascii="Times New Roman" w:hAnsi="Times New Roman" w:cs="Times New Roman"/>
        </w:rPr>
        <w:t>unit of analysis and offer new insights on arbitration choice</w:t>
      </w:r>
      <w:r w:rsidR="00A41497" w:rsidRPr="00A60FD5">
        <w:rPr>
          <w:rFonts w:ascii="Times New Roman" w:hAnsi="Times New Roman" w:cs="Times New Roman"/>
        </w:rPr>
        <w:t xml:space="preserve"> </w:t>
      </w:r>
      <w:r w:rsidR="00061630" w:rsidRPr="00A60FD5">
        <w:rPr>
          <w:rFonts w:ascii="Times New Roman" w:hAnsi="Times New Roman" w:cs="Times New Roman"/>
        </w:rPr>
        <w:t>by combining</w:t>
      </w:r>
      <w:r w:rsidR="00A41497" w:rsidRPr="00A60FD5">
        <w:rPr>
          <w:rFonts w:ascii="Times New Roman" w:hAnsi="Times New Roman" w:cs="Times New Roman"/>
        </w:rPr>
        <w:t xml:space="preserve"> insights from the legal, management, and economics literatures</w:t>
      </w:r>
      <w:r w:rsidRPr="00A60FD5">
        <w:rPr>
          <w:rFonts w:ascii="Times New Roman" w:hAnsi="Times New Roman" w:cs="Times New Roman"/>
        </w:rPr>
        <w:t xml:space="preserve">. </w:t>
      </w:r>
    </w:p>
    <w:p w14:paraId="6894D63D" w14:textId="77777777" w:rsidR="00061630" w:rsidRPr="00A60FD5" w:rsidRDefault="00061630" w:rsidP="00A05DE5">
      <w:pPr>
        <w:spacing w:after="0" w:line="480" w:lineRule="auto"/>
        <w:ind w:firstLine="624"/>
        <w:rPr>
          <w:rFonts w:ascii="Times New Roman" w:hAnsi="Times New Roman"/>
        </w:rPr>
      </w:pPr>
    </w:p>
    <w:p w14:paraId="496B32AD" w14:textId="77777777" w:rsidR="003C3489" w:rsidRPr="00A60FD5" w:rsidRDefault="003C3489" w:rsidP="00A05DE5">
      <w:pPr>
        <w:spacing w:after="0" w:line="480" w:lineRule="auto"/>
        <w:ind w:firstLine="624"/>
        <w:rPr>
          <w:rFonts w:ascii="Times New Roman" w:hAnsi="Times New Roman"/>
        </w:rPr>
      </w:pPr>
    </w:p>
    <w:p w14:paraId="3083E1ED" w14:textId="77777777" w:rsidR="003C3489" w:rsidRPr="00A60FD5" w:rsidRDefault="003C3489" w:rsidP="00A05DE5">
      <w:pPr>
        <w:spacing w:after="0" w:line="480" w:lineRule="auto"/>
        <w:ind w:firstLine="624"/>
        <w:rPr>
          <w:rFonts w:ascii="Times New Roman" w:hAnsi="Times New Roman"/>
        </w:rPr>
      </w:pPr>
    </w:p>
    <w:p w14:paraId="7B832447" w14:textId="02C05586" w:rsidR="007567DC" w:rsidRPr="00A60FD5" w:rsidRDefault="007567DC" w:rsidP="008350D0">
      <w:pPr>
        <w:pStyle w:val="ListParagraph"/>
        <w:numPr>
          <w:ilvl w:val="0"/>
          <w:numId w:val="27"/>
        </w:numPr>
        <w:spacing w:after="0" w:line="480" w:lineRule="auto"/>
        <w:rPr>
          <w:rFonts w:ascii="Times New Roman" w:hAnsi="Times New Roman"/>
          <w:b/>
          <w:sz w:val="24"/>
          <w:szCs w:val="24"/>
        </w:rPr>
      </w:pPr>
      <w:r w:rsidRPr="00A60FD5">
        <w:rPr>
          <w:rFonts w:ascii="Times New Roman" w:hAnsi="Times New Roman"/>
          <w:b/>
          <w:sz w:val="24"/>
          <w:szCs w:val="24"/>
        </w:rPr>
        <w:lastRenderedPageBreak/>
        <w:t>THEORY AND HYPOTHESES</w:t>
      </w:r>
    </w:p>
    <w:p w14:paraId="77832BB7" w14:textId="4913AAD5" w:rsidR="007567DC" w:rsidRPr="00A60FD5" w:rsidRDefault="007F22C0" w:rsidP="0018013B">
      <w:pPr>
        <w:pStyle w:val="ListParagraph"/>
        <w:numPr>
          <w:ilvl w:val="1"/>
          <w:numId w:val="27"/>
        </w:numPr>
        <w:spacing w:after="0" w:line="480" w:lineRule="auto"/>
        <w:rPr>
          <w:rFonts w:ascii="Times New Roman" w:hAnsi="Times New Roman"/>
          <w:b/>
        </w:rPr>
      </w:pPr>
      <w:r w:rsidRPr="00A60FD5">
        <w:rPr>
          <w:rFonts w:ascii="Times New Roman" w:hAnsi="Times New Roman"/>
          <w:b/>
        </w:rPr>
        <w:t>Why includ</w:t>
      </w:r>
      <w:r w:rsidR="00C03802" w:rsidRPr="00A60FD5">
        <w:rPr>
          <w:rFonts w:ascii="Times New Roman" w:hAnsi="Times New Roman"/>
          <w:b/>
        </w:rPr>
        <w:t>e</w:t>
      </w:r>
      <w:r w:rsidRPr="00A60FD5">
        <w:rPr>
          <w:rFonts w:ascii="Times New Roman" w:hAnsi="Times New Roman"/>
          <w:b/>
        </w:rPr>
        <w:t xml:space="preserve"> an arbitration provision in partnership contracts? A review of key arguments for the selection of the dispute</w:t>
      </w:r>
      <w:r w:rsidR="00D46E54" w:rsidRPr="00A60FD5">
        <w:rPr>
          <w:rFonts w:ascii="Times New Roman" w:hAnsi="Times New Roman"/>
          <w:b/>
        </w:rPr>
        <w:t>-</w:t>
      </w:r>
      <w:r w:rsidRPr="00A60FD5">
        <w:rPr>
          <w:rFonts w:ascii="Times New Roman" w:hAnsi="Times New Roman"/>
          <w:b/>
        </w:rPr>
        <w:t>resolution mechanism</w:t>
      </w:r>
      <w:r w:rsidR="00636D82" w:rsidRPr="00A60FD5">
        <w:rPr>
          <w:rFonts w:ascii="Times New Roman" w:hAnsi="Times New Roman"/>
          <w:b/>
        </w:rPr>
        <w:t xml:space="preserve"> </w:t>
      </w:r>
    </w:p>
    <w:p w14:paraId="7BE5DAFD" w14:textId="50231F45" w:rsidR="00A006B2" w:rsidRPr="00A60FD5" w:rsidRDefault="00636D82" w:rsidP="00636D82">
      <w:pPr>
        <w:spacing w:line="480" w:lineRule="auto"/>
        <w:contextualSpacing/>
        <w:rPr>
          <w:rFonts w:ascii="Times New Roman" w:hAnsi="Times New Roman"/>
        </w:rPr>
      </w:pPr>
      <w:r w:rsidRPr="00A60FD5">
        <w:rPr>
          <w:rFonts w:ascii="Times New Roman" w:hAnsi="Times New Roman"/>
        </w:rPr>
        <w:t xml:space="preserve">Public courts and contract law are key institutions </w:t>
      </w:r>
      <w:r w:rsidR="000973D1" w:rsidRPr="00A60FD5">
        <w:rPr>
          <w:rFonts w:ascii="Times New Roman" w:hAnsi="Times New Roman"/>
        </w:rPr>
        <w:t>that allow</w:t>
      </w:r>
      <w:r w:rsidRPr="00A60FD5">
        <w:rPr>
          <w:rFonts w:ascii="Times New Roman" w:hAnsi="Times New Roman"/>
        </w:rPr>
        <w:t xml:space="preserve"> voluntary exchange</w:t>
      </w:r>
      <w:r w:rsidR="00D164EF" w:rsidRPr="00A60FD5">
        <w:rPr>
          <w:rFonts w:ascii="Times New Roman" w:hAnsi="Times New Roman"/>
        </w:rPr>
        <w:t>s</w:t>
      </w:r>
      <w:r w:rsidRPr="00A60FD5">
        <w:rPr>
          <w:rFonts w:ascii="Times New Roman" w:hAnsi="Times New Roman"/>
        </w:rPr>
        <w:t xml:space="preserve"> to take place. They provide general rules that shape post-contractual behaviors and</w:t>
      </w:r>
      <w:r w:rsidR="00D164EF" w:rsidRPr="00A60FD5">
        <w:rPr>
          <w:rFonts w:ascii="Times New Roman" w:hAnsi="Times New Roman"/>
        </w:rPr>
        <w:t xml:space="preserve"> they</w:t>
      </w:r>
      <w:r w:rsidRPr="00A60FD5">
        <w:rPr>
          <w:rFonts w:ascii="Times New Roman" w:hAnsi="Times New Roman"/>
        </w:rPr>
        <w:t xml:space="preserve"> induce </w:t>
      </w:r>
      <w:r w:rsidR="00BB7A97" w:rsidRPr="00A60FD5">
        <w:rPr>
          <w:rFonts w:ascii="Times New Roman" w:hAnsi="Times New Roman"/>
        </w:rPr>
        <w:t xml:space="preserve">parties </w:t>
      </w:r>
      <w:r w:rsidRPr="00A60FD5">
        <w:rPr>
          <w:rFonts w:ascii="Times New Roman" w:hAnsi="Times New Roman"/>
        </w:rPr>
        <w:t>to credibly commit to their contractual obligations by imposing legal sanctions (</w:t>
      </w:r>
      <w:r w:rsidR="00D46E54" w:rsidRPr="00A60FD5">
        <w:rPr>
          <w:rFonts w:ascii="Times New Roman" w:hAnsi="Times New Roman"/>
          <w:bCs/>
        </w:rPr>
        <w:t xml:space="preserve">Cooter and Rubinfeld, 1989; </w:t>
      </w:r>
      <w:r w:rsidRPr="00A60FD5">
        <w:rPr>
          <w:rFonts w:ascii="Times New Roman" w:hAnsi="Times New Roman"/>
        </w:rPr>
        <w:t>Llewellyn</w:t>
      </w:r>
      <w:r w:rsidR="00705FE3" w:rsidRPr="00A60FD5">
        <w:rPr>
          <w:rFonts w:ascii="Times New Roman" w:hAnsi="Times New Roman"/>
        </w:rPr>
        <w:t>,</w:t>
      </w:r>
      <w:r w:rsidRPr="00A60FD5">
        <w:rPr>
          <w:rFonts w:ascii="Times New Roman" w:hAnsi="Times New Roman"/>
        </w:rPr>
        <w:t xml:space="preserve"> 1931</w:t>
      </w:r>
      <w:r w:rsidR="00705FE3" w:rsidRPr="00A60FD5">
        <w:rPr>
          <w:rFonts w:ascii="Times New Roman" w:hAnsi="Times New Roman"/>
        </w:rPr>
        <w:t>;</w:t>
      </w:r>
      <w:r w:rsidRPr="00A60FD5">
        <w:rPr>
          <w:rFonts w:ascii="Times New Roman" w:hAnsi="Times New Roman"/>
        </w:rPr>
        <w:t xml:space="preserve"> Williamson</w:t>
      </w:r>
      <w:r w:rsidR="00705FE3" w:rsidRPr="00A60FD5">
        <w:rPr>
          <w:rFonts w:ascii="Times New Roman" w:hAnsi="Times New Roman"/>
        </w:rPr>
        <w:t>,</w:t>
      </w:r>
      <w:r w:rsidRPr="00A60FD5">
        <w:rPr>
          <w:rFonts w:ascii="Times New Roman" w:hAnsi="Times New Roman"/>
        </w:rPr>
        <w:t xml:space="preserve"> 1979). Despite the support offered by </w:t>
      </w:r>
      <w:r w:rsidR="00D164EF" w:rsidRPr="00A60FD5">
        <w:rPr>
          <w:rFonts w:ascii="Times New Roman" w:hAnsi="Times New Roman"/>
        </w:rPr>
        <w:t>public</w:t>
      </w:r>
      <w:r w:rsidRPr="00A60FD5">
        <w:rPr>
          <w:rFonts w:ascii="Times New Roman" w:hAnsi="Times New Roman"/>
        </w:rPr>
        <w:t xml:space="preserve"> institutions, transaction cost economics </w:t>
      </w:r>
      <w:r w:rsidR="00614166" w:rsidRPr="00A60FD5">
        <w:rPr>
          <w:rFonts w:ascii="Times New Roman" w:hAnsi="Times New Roman"/>
        </w:rPr>
        <w:t>disputes</w:t>
      </w:r>
      <w:r w:rsidR="00942F25" w:rsidRPr="00A60FD5">
        <w:rPr>
          <w:rFonts w:ascii="Times New Roman" w:hAnsi="Times New Roman"/>
        </w:rPr>
        <w:t xml:space="preserve"> the assertion</w:t>
      </w:r>
      <w:r w:rsidR="00614166" w:rsidRPr="00A60FD5">
        <w:rPr>
          <w:rFonts w:ascii="Times New Roman" w:hAnsi="Times New Roman"/>
        </w:rPr>
        <w:t xml:space="preserve"> </w:t>
      </w:r>
      <w:r w:rsidRPr="00A60FD5">
        <w:rPr>
          <w:rFonts w:ascii="Times New Roman" w:hAnsi="Times New Roman"/>
        </w:rPr>
        <w:t xml:space="preserve">that public ordering </w:t>
      </w:r>
      <w:r w:rsidR="00614166" w:rsidRPr="00A60FD5">
        <w:rPr>
          <w:rFonts w:ascii="Times New Roman" w:hAnsi="Times New Roman"/>
        </w:rPr>
        <w:t>is efficacious</w:t>
      </w:r>
      <w:r w:rsidRPr="00A60FD5">
        <w:rPr>
          <w:rFonts w:ascii="Times New Roman" w:hAnsi="Times New Roman"/>
        </w:rPr>
        <w:t xml:space="preserve"> in </w:t>
      </w:r>
      <w:r w:rsidR="00AA6351" w:rsidRPr="00A60FD5">
        <w:rPr>
          <w:rFonts w:ascii="Times New Roman" w:hAnsi="Times New Roman"/>
        </w:rPr>
        <w:t>empowering any contract</w:t>
      </w:r>
      <w:r w:rsidRPr="00A60FD5">
        <w:rPr>
          <w:rFonts w:ascii="Times New Roman" w:hAnsi="Times New Roman"/>
        </w:rPr>
        <w:t xml:space="preserve">. </w:t>
      </w:r>
      <w:r w:rsidR="000973D1" w:rsidRPr="00A60FD5">
        <w:rPr>
          <w:rFonts w:ascii="Times New Roman" w:hAnsi="Times New Roman"/>
        </w:rPr>
        <w:t>Under certain conditions, c</w:t>
      </w:r>
      <w:r w:rsidR="00FE0F2C" w:rsidRPr="00A60FD5">
        <w:rPr>
          <w:rFonts w:ascii="Times New Roman" w:hAnsi="Times New Roman"/>
        </w:rPr>
        <w:t xml:space="preserve">ontracting parties may prefer arbitration. </w:t>
      </w:r>
      <w:r w:rsidR="000973D1" w:rsidRPr="00A60FD5">
        <w:rPr>
          <w:rFonts w:ascii="Times New Roman" w:hAnsi="Times New Roman"/>
        </w:rPr>
        <w:t>A</w:t>
      </w:r>
      <w:r w:rsidR="007567DC" w:rsidRPr="00A60FD5">
        <w:rPr>
          <w:rFonts w:ascii="Times New Roman" w:hAnsi="Times New Roman"/>
        </w:rPr>
        <w:t xml:space="preserve">rbitration </w:t>
      </w:r>
      <w:r w:rsidR="008700CC" w:rsidRPr="00A60FD5">
        <w:rPr>
          <w:rFonts w:ascii="Times New Roman" w:hAnsi="Times New Roman"/>
        </w:rPr>
        <w:t xml:space="preserve">has long been recognized as </w:t>
      </w:r>
      <w:r w:rsidR="007567DC" w:rsidRPr="00A60FD5">
        <w:rPr>
          <w:rFonts w:ascii="Times New Roman" w:hAnsi="Times New Roman"/>
        </w:rPr>
        <w:t xml:space="preserve">a private </w:t>
      </w:r>
      <w:r w:rsidR="00A3514C" w:rsidRPr="00A60FD5">
        <w:rPr>
          <w:rFonts w:ascii="Times New Roman" w:hAnsi="Times New Roman"/>
        </w:rPr>
        <w:t xml:space="preserve">resolution </w:t>
      </w:r>
      <w:r w:rsidR="00EB1BE5" w:rsidRPr="00A60FD5">
        <w:rPr>
          <w:rFonts w:ascii="Times New Roman" w:hAnsi="Times New Roman"/>
        </w:rPr>
        <w:t xml:space="preserve">mechanism </w:t>
      </w:r>
      <w:r w:rsidR="007567DC" w:rsidRPr="00A60FD5">
        <w:rPr>
          <w:rFonts w:ascii="Times New Roman" w:hAnsi="Times New Roman"/>
        </w:rPr>
        <w:t xml:space="preserve">that may </w:t>
      </w:r>
      <w:r w:rsidR="00BF4B84" w:rsidRPr="00A60FD5">
        <w:rPr>
          <w:rFonts w:ascii="Times New Roman" w:hAnsi="Times New Roman"/>
        </w:rPr>
        <w:t xml:space="preserve">temper </w:t>
      </w:r>
      <w:r w:rsidR="00D46E54" w:rsidRPr="00A60FD5">
        <w:rPr>
          <w:rFonts w:ascii="Times New Roman" w:hAnsi="Times New Roman"/>
        </w:rPr>
        <w:t xml:space="preserve">tensions </w:t>
      </w:r>
      <w:r w:rsidR="008700CC" w:rsidRPr="00A60FD5">
        <w:rPr>
          <w:rFonts w:ascii="Times New Roman" w:hAnsi="Times New Roman"/>
        </w:rPr>
        <w:t xml:space="preserve">when </w:t>
      </w:r>
      <w:r w:rsidR="007567DC" w:rsidRPr="00A60FD5">
        <w:rPr>
          <w:rFonts w:ascii="Times New Roman" w:hAnsi="Times New Roman"/>
        </w:rPr>
        <w:t xml:space="preserve">disputes </w:t>
      </w:r>
      <w:r w:rsidR="008700CC" w:rsidRPr="00A60FD5">
        <w:rPr>
          <w:rFonts w:ascii="Times New Roman" w:hAnsi="Times New Roman"/>
        </w:rPr>
        <w:t xml:space="preserve">arise </w:t>
      </w:r>
      <w:r w:rsidR="00A006B2" w:rsidRPr="00A60FD5">
        <w:rPr>
          <w:rFonts w:ascii="Times New Roman" w:hAnsi="Times New Roman"/>
        </w:rPr>
        <w:t>over</w:t>
      </w:r>
      <w:r w:rsidR="007567DC" w:rsidRPr="00A60FD5">
        <w:rPr>
          <w:rFonts w:ascii="Times New Roman" w:hAnsi="Times New Roman"/>
        </w:rPr>
        <w:t xml:space="preserve"> the course of </w:t>
      </w:r>
      <w:r w:rsidR="00A006B2" w:rsidRPr="00A60FD5">
        <w:rPr>
          <w:rFonts w:ascii="Times New Roman" w:hAnsi="Times New Roman"/>
        </w:rPr>
        <w:t xml:space="preserve">an </w:t>
      </w:r>
      <w:r w:rsidR="007567DC" w:rsidRPr="00A60FD5">
        <w:rPr>
          <w:rFonts w:ascii="Times New Roman" w:hAnsi="Times New Roman"/>
        </w:rPr>
        <w:t>exchange (Bonn</w:t>
      </w:r>
      <w:r w:rsidR="00705FE3" w:rsidRPr="00A60FD5">
        <w:rPr>
          <w:rFonts w:ascii="Times New Roman" w:hAnsi="Times New Roman"/>
        </w:rPr>
        <w:t>,</w:t>
      </w:r>
      <w:r w:rsidR="007567DC" w:rsidRPr="00A60FD5">
        <w:rPr>
          <w:rFonts w:ascii="Times New Roman" w:hAnsi="Times New Roman"/>
        </w:rPr>
        <w:t xml:space="preserve"> 1972). Th</w:t>
      </w:r>
      <w:r w:rsidR="00EB1BE5" w:rsidRPr="00A60FD5">
        <w:rPr>
          <w:rFonts w:ascii="Times New Roman" w:hAnsi="Times New Roman"/>
        </w:rPr>
        <w:t xml:space="preserve">e arbitral </w:t>
      </w:r>
      <w:r w:rsidR="007567DC" w:rsidRPr="00A60FD5">
        <w:rPr>
          <w:rFonts w:ascii="Times New Roman" w:hAnsi="Times New Roman"/>
        </w:rPr>
        <w:t>forum</w:t>
      </w:r>
      <w:r w:rsidR="000973D1" w:rsidRPr="00A60FD5">
        <w:rPr>
          <w:rFonts w:ascii="Times New Roman" w:hAnsi="Times New Roman"/>
        </w:rPr>
        <w:t xml:space="preserve"> is</w:t>
      </w:r>
      <w:r w:rsidR="007567DC" w:rsidRPr="00A60FD5">
        <w:rPr>
          <w:rFonts w:ascii="Times New Roman" w:hAnsi="Times New Roman"/>
        </w:rPr>
        <w:t xml:space="preserve"> essentially outside the public legal system (Friedman</w:t>
      </w:r>
      <w:r w:rsidR="00705FE3" w:rsidRPr="00A60FD5">
        <w:rPr>
          <w:rFonts w:ascii="Times New Roman" w:hAnsi="Times New Roman"/>
        </w:rPr>
        <w:t>,</w:t>
      </w:r>
      <w:r w:rsidR="007567DC" w:rsidRPr="00A60FD5">
        <w:rPr>
          <w:rFonts w:ascii="Times New Roman" w:hAnsi="Times New Roman"/>
        </w:rPr>
        <w:t xml:space="preserve"> 1965)</w:t>
      </w:r>
      <w:r w:rsidR="000973D1" w:rsidRPr="00A60FD5">
        <w:rPr>
          <w:rFonts w:ascii="Times New Roman" w:hAnsi="Times New Roman"/>
        </w:rPr>
        <w:t>,</w:t>
      </w:r>
      <w:r w:rsidR="007567DC" w:rsidRPr="00A60FD5">
        <w:rPr>
          <w:rFonts w:ascii="Times New Roman" w:hAnsi="Times New Roman"/>
        </w:rPr>
        <w:t xml:space="preserve"> and it provides an alternative set of rules and enforcement procedures (Hylton</w:t>
      </w:r>
      <w:r w:rsidR="00705FE3" w:rsidRPr="00A60FD5">
        <w:rPr>
          <w:rFonts w:ascii="Times New Roman" w:hAnsi="Times New Roman"/>
        </w:rPr>
        <w:t>,</w:t>
      </w:r>
      <w:r w:rsidR="007567DC" w:rsidRPr="00A60FD5">
        <w:rPr>
          <w:rFonts w:ascii="Times New Roman" w:hAnsi="Times New Roman"/>
        </w:rPr>
        <w:t xml:space="preserve"> 2005). </w:t>
      </w:r>
    </w:p>
    <w:p w14:paraId="360D88A8" w14:textId="2DB16D00" w:rsidR="006A3B44" w:rsidRPr="00A60FD5" w:rsidRDefault="007567DC" w:rsidP="009F721B">
      <w:pPr>
        <w:spacing w:after="100" w:afterAutospacing="1" w:line="480" w:lineRule="auto"/>
        <w:ind w:firstLine="624"/>
        <w:contextualSpacing/>
        <w:rPr>
          <w:rFonts w:ascii="Times New Roman" w:hAnsi="Times New Roman"/>
        </w:rPr>
      </w:pPr>
      <w:r w:rsidRPr="00A60FD5">
        <w:rPr>
          <w:rFonts w:ascii="Times New Roman" w:hAnsi="Times New Roman"/>
        </w:rPr>
        <w:t xml:space="preserve">Arbitrators are selected on the basis of their expertise </w:t>
      </w:r>
      <w:r w:rsidR="00A006B2" w:rsidRPr="00A60FD5">
        <w:rPr>
          <w:rFonts w:ascii="Times New Roman" w:hAnsi="Times New Roman"/>
        </w:rPr>
        <w:t>in</w:t>
      </w:r>
      <w:r w:rsidRPr="00A60FD5">
        <w:rPr>
          <w:rFonts w:ascii="Times New Roman" w:hAnsi="Times New Roman"/>
        </w:rPr>
        <w:t xml:space="preserve"> the </w:t>
      </w:r>
      <w:r w:rsidR="000973D1" w:rsidRPr="00A60FD5">
        <w:rPr>
          <w:rFonts w:ascii="Times New Roman" w:hAnsi="Times New Roman"/>
        </w:rPr>
        <w:t xml:space="preserve">focal </w:t>
      </w:r>
      <w:r w:rsidRPr="00A60FD5">
        <w:rPr>
          <w:rFonts w:ascii="Times New Roman" w:hAnsi="Times New Roman"/>
        </w:rPr>
        <w:t>subject matter</w:t>
      </w:r>
      <w:r w:rsidR="00FB4966" w:rsidRPr="00A60FD5">
        <w:rPr>
          <w:rFonts w:ascii="Times New Roman" w:hAnsi="Times New Roman"/>
        </w:rPr>
        <w:t xml:space="preserve"> </w:t>
      </w:r>
      <w:r w:rsidRPr="00A60FD5">
        <w:rPr>
          <w:rFonts w:ascii="Times New Roman" w:hAnsi="Times New Roman"/>
        </w:rPr>
        <w:t>(</w:t>
      </w:r>
      <w:r w:rsidR="00337040" w:rsidRPr="00A60FD5">
        <w:rPr>
          <w:rFonts w:ascii="Times New Roman" w:hAnsi="Times New Roman"/>
        </w:rPr>
        <w:t>Bernstein</w:t>
      </w:r>
      <w:r w:rsidR="00F41C01" w:rsidRPr="00A60FD5">
        <w:rPr>
          <w:rFonts w:ascii="Times New Roman" w:hAnsi="Times New Roman"/>
        </w:rPr>
        <w:t>,</w:t>
      </w:r>
      <w:r w:rsidR="00337040" w:rsidRPr="00A60FD5">
        <w:rPr>
          <w:rFonts w:ascii="Times New Roman" w:hAnsi="Times New Roman"/>
        </w:rPr>
        <w:t xml:space="preserve"> 2001</w:t>
      </w:r>
      <w:r w:rsidR="00F41C01" w:rsidRPr="00A60FD5">
        <w:rPr>
          <w:rFonts w:ascii="Times New Roman" w:hAnsi="Times New Roman"/>
        </w:rPr>
        <w:t>;</w:t>
      </w:r>
      <w:r w:rsidR="00337040" w:rsidRPr="00A60FD5">
        <w:rPr>
          <w:rFonts w:ascii="Times New Roman" w:hAnsi="Times New Roman"/>
        </w:rPr>
        <w:t xml:space="preserve"> </w:t>
      </w:r>
      <w:r w:rsidR="0020019E" w:rsidRPr="00A60FD5">
        <w:rPr>
          <w:rFonts w:ascii="Times New Roman" w:hAnsi="Times New Roman"/>
        </w:rPr>
        <w:t>Bonn</w:t>
      </w:r>
      <w:r w:rsidR="00F41C01" w:rsidRPr="00A60FD5">
        <w:rPr>
          <w:rFonts w:ascii="Times New Roman" w:hAnsi="Times New Roman"/>
        </w:rPr>
        <w:t>,</w:t>
      </w:r>
      <w:r w:rsidR="00337040" w:rsidRPr="00A60FD5">
        <w:rPr>
          <w:rFonts w:ascii="Times New Roman" w:hAnsi="Times New Roman"/>
        </w:rPr>
        <w:t xml:space="preserve"> </w:t>
      </w:r>
      <w:r w:rsidR="0020019E" w:rsidRPr="00A60FD5">
        <w:rPr>
          <w:rFonts w:ascii="Times New Roman" w:hAnsi="Times New Roman"/>
        </w:rPr>
        <w:t>1972</w:t>
      </w:r>
      <w:r w:rsidR="00F41C01" w:rsidRPr="00A60FD5">
        <w:rPr>
          <w:rFonts w:ascii="Times New Roman" w:hAnsi="Times New Roman"/>
        </w:rPr>
        <w:t>;</w:t>
      </w:r>
      <w:r w:rsidR="0020019E" w:rsidRPr="00A60FD5">
        <w:rPr>
          <w:rFonts w:ascii="Times New Roman" w:hAnsi="Times New Roman"/>
        </w:rPr>
        <w:t xml:space="preserve"> </w:t>
      </w:r>
      <w:r w:rsidRPr="00A60FD5">
        <w:rPr>
          <w:rFonts w:ascii="Times New Roman" w:hAnsi="Times New Roman"/>
        </w:rPr>
        <w:t xml:space="preserve">Sternlight </w:t>
      </w:r>
      <w:r w:rsidR="00337040" w:rsidRPr="00A60FD5">
        <w:rPr>
          <w:rFonts w:ascii="Times New Roman" w:hAnsi="Times New Roman"/>
        </w:rPr>
        <w:t>and</w:t>
      </w:r>
      <w:r w:rsidR="00EB1BE5" w:rsidRPr="00A60FD5">
        <w:rPr>
          <w:rFonts w:ascii="Times New Roman" w:hAnsi="Times New Roman"/>
        </w:rPr>
        <w:t xml:space="preserve"> </w:t>
      </w:r>
      <w:r w:rsidRPr="00A60FD5">
        <w:rPr>
          <w:rFonts w:ascii="Times New Roman" w:hAnsi="Times New Roman"/>
        </w:rPr>
        <w:t>Resnik</w:t>
      </w:r>
      <w:r w:rsidR="00F41C01" w:rsidRPr="00A60FD5">
        <w:rPr>
          <w:rFonts w:ascii="Times New Roman" w:hAnsi="Times New Roman"/>
        </w:rPr>
        <w:t>,</w:t>
      </w:r>
      <w:r w:rsidRPr="00A60FD5">
        <w:rPr>
          <w:rFonts w:ascii="Times New Roman" w:hAnsi="Times New Roman"/>
        </w:rPr>
        <w:t xml:space="preserve"> 2005)</w:t>
      </w:r>
      <w:r w:rsidR="00337040" w:rsidRPr="00A60FD5">
        <w:rPr>
          <w:rFonts w:ascii="Times New Roman" w:hAnsi="Times New Roman"/>
        </w:rPr>
        <w:t>, as well as their reputation for integrity and fairness</w:t>
      </w:r>
      <w:r w:rsidRPr="00A60FD5">
        <w:rPr>
          <w:rFonts w:ascii="Times New Roman" w:hAnsi="Times New Roman"/>
        </w:rPr>
        <w:t xml:space="preserve"> (Stipanowich </w:t>
      </w:r>
      <w:r w:rsidR="00337040" w:rsidRPr="00A60FD5">
        <w:rPr>
          <w:rFonts w:ascii="Times New Roman" w:hAnsi="Times New Roman"/>
        </w:rPr>
        <w:t>and</w:t>
      </w:r>
      <w:r w:rsidR="00EB1BE5" w:rsidRPr="00A60FD5">
        <w:rPr>
          <w:rFonts w:ascii="Times New Roman" w:hAnsi="Times New Roman"/>
        </w:rPr>
        <w:t xml:space="preserve"> </w:t>
      </w:r>
      <w:r w:rsidRPr="00A60FD5">
        <w:rPr>
          <w:rFonts w:ascii="Times New Roman" w:hAnsi="Times New Roman"/>
        </w:rPr>
        <w:t>Lamare</w:t>
      </w:r>
      <w:r w:rsidR="00F41C01" w:rsidRPr="00A60FD5">
        <w:rPr>
          <w:rFonts w:ascii="Times New Roman" w:hAnsi="Times New Roman"/>
        </w:rPr>
        <w:t>,</w:t>
      </w:r>
      <w:r w:rsidRPr="00A60FD5">
        <w:rPr>
          <w:rFonts w:ascii="Times New Roman" w:hAnsi="Times New Roman"/>
        </w:rPr>
        <w:t xml:space="preserve"> </w:t>
      </w:r>
      <w:r w:rsidR="004051F5" w:rsidRPr="00A60FD5">
        <w:rPr>
          <w:rFonts w:ascii="Times New Roman" w:hAnsi="Times New Roman"/>
        </w:rPr>
        <w:t>2014</w:t>
      </w:r>
      <w:r w:rsidRPr="00A60FD5">
        <w:rPr>
          <w:rFonts w:ascii="Times New Roman" w:hAnsi="Times New Roman"/>
        </w:rPr>
        <w:t>). Parties can also decide</w:t>
      </w:r>
      <w:r w:rsidR="00A006B2" w:rsidRPr="00A60FD5">
        <w:rPr>
          <w:rFonts w:ascii="Times New Roman" w:hAnsi="Times New Roman"/>
        </w:rPr>
        <w:t xml:space="preserve"> on</w:t>
      </w:r>
      <w:r w:rsidRPr="00A60FD5">
        <w:rPr>
          <w:rFonts w:ascii="Times New Roman" w:hAnsi="Times New Roman"/>
        </w:rPr>
        <w:t xml:space="preserve"> the site of dispute resolution, </w:t>
      </w:r>
      <w:r w:rsidR="00A006B2" w:rsidRPr="00A60FD5">
        <w:rPr>
          <w:rFonts w:ascii="Times New Roman" w:hAnsi="Times New Roman"/>
        </w:rPr>
        <w:t xml:space="preserve">the </w:t>
      </w:r>
      <w:r w:rsidRPr="00A60FD5">
        <w:rPr>
          <w:rFonts w:ascii="Times New Roman" w:hAnsi="Times New Roman"/>
        </w:rPr>
        <w:t>laws that will govern their dispute, the number of arbitrators</w:t>
      </w:r>
      <w:r w:rsidR="00FF7A4A" w:rsidRPr="00A60FD5">
        <w:rPr>
          <w:rFonts w:ascii="Times New Roman" w:hAnsi="Times New Roman"/>
        </w:rPr>
        <w:t>,</w:t>
      </w:r>
      <w:r w:rsidRPr="00A60FD5">
        <w:rPr>
          <w:rFonts w:ascii="Times New Roman" w:hAnsi="Times New Roman"/>
        </w:rPr>
        <w:t xml:space="preserve"> and the process by which </w:t>
      </w:r>
      <w:r w:rsidR="00FF7A4A" w:rsidRPr="00A60FD5">
        <w:rPr>
          <w:rFonts w:ascii="Times New Roman" w:hAnsi="Times New Roman"/>
        </w:rPr>
        <w:t>arbitrators</w:t>
      </w:r>
      <w:r w:rsidRPr="00A60FD5">
        <w:rPr>
          <w:rFonts w:ascii="Times New Roman" w:hAnsi="Times New Roman"/>
        </w:rPr>
        <w:t xml:space="preserve"> are appointed (Leeson</w:t>
      </w:r>
      <w:r w:rsidR="00F41C01" w:rsidRPr="00A60FD5">
        <w:rPr>
          <w:rFonts w:ascii="Times New Roman" w:hAnsi="Times New Roman"/>
        </w:rPr>
        <w:t>,</w:t>
      </w:r>
      <w:r w:rsidRPr="00A60FD5">
        <w:rPr>
          <w:rFonts w:ascii="Times New Roman" w:hAnsi="Times New Roman"/>
        </w:rPr>
        <w:t xml:space="preserve"> 2008). Arbitrators are </w:t>
      </w:r>
      <w:r w:rsidR="000973D1" w:rsidRPr="00A60FD5">
        <w:rPr>
          <w:rFonts w:ascii="Times New Roman" w:hAnsi="Times New Roman"/>
        </w:rPr>
        <w:t xml:space="preserve">not </w:t>
      </w:r>
      <w:r w:rsidRPr="00A60FD5">
        <w:rPr>
          <w:rFonts w:ascii="Times New Roman" w:hAnsi="Times New Roman"/>
        </w:rPr>
        <w:t>bound by the usual courtroom rules of evidence nor by legal precedent</w:t>
      </w:r>
      <w:r w:rsidR="00A006B2" w:rsidRPr="00A60FD5">
        <w:rPr>
          <w:rFonts w:ascii="Times New Roman" w:hAnsi="Times New Roman"/>
        </w:rPr>
        <w:t xml:space="preserve">. They </w:t>
      </w:r>
      <w:r w:rsidRPr="00A60FD5">
        <w:rPr>
          <w:rFonts w:ascii="Times New Roman" w:hAnsi="Times New Roman"/>
        </w:rPr>
        <w:t xml:space="preserve">often </w:t>
      </w:r>
      <w:r w:rsidR="00A006B2" w:rsidRPr="00A60FD5">
        <w:rPr>
          <w:rFonts w:ascii="Times New Roman" w:hAnsi="Times New Roman"/>
        </w:rPr>
        <w:t xml:space="preserve">reach a decision regarding </w:t>
      </w:r>
      <w:r w:rsidRPr="00A60FD5">
        <w:rPr>
          <w:rFonts w:ascii="Times New Roman" w:hAnsi="Times New Roman"/>
        </w:rPr>
        <w:t xml:space="preserve">a particular dispute </w:t>
      </w:r>
      <w:r w:rsidR="00A006B2" w:rsidRPr="00A60FD5">
        <w:rPr>
          <w:rFonts w:ascii="Times New Roman" w:hAnsi="Times New Roman"/>
        </w:rPr>
        <w:t>based on</w:t>
      </w:r>
      <w:r w:rsidRPr="00A60FD5">
        <w:rPr>
          <w:rFonts w:ascii="Times New Roman" w:hAnsi="Times New Roman"/>
        </w:rPr>
        <w:t xml:space="preserve"> the norms of fair commercial practice and trade customs (</w:t>
      </w:r>
      <w:r w:rsidR="00337040" w:rsidRPr="00A60FD5">
        <w:rPr>
          <w:rFonts w:ascii="Times New Roman" w:hAnsi="Times New Roman"/>
        </w:rPr>
        <w:t>Bonn</w:t>
      </w:r>
      <w:r w:rsidR="00F41C01" w:rsidRPr="00A60FD5">
        <w:rPr>
          <w:rFonts w:ascii="Times New Roman" w:hAnsi="Times New Roman"/>
        </w:rPr>
        <w:t>,</w:t>
      </w:r>
      <w:r w:rsidR="00337040" w:rsidRPr="00A60FD5">
        <w:rPr>
          <w:rFonts w:ascii="Times New Roman" w:hAnsi="Times New Roman"/>
        </w:rPr>
        <w:t xml:space="preserve"> 1972</w:t>
      </w:r>
      <w:r w:rsidRPr="00A60FD5">
        <w:rPr>
          <w:rFonts w:ascii="Times New Roman" w:hAnsi="Times New Roman"/>
        </w:rPr>
        <w:t xml:space="preserve">). </w:t>
      </w:r>
    </w:p>
    <w:p w14:paraId="68A69B31" w14:textId="17471CCF" w:rsidR="009F721B" w:rsidRPr="00A60FD5" w:rsidRDefault="007567DC" w:rsidP="009F721B">
      <w:pPr>
        <w:spacing w:after="100" w:afterAutospacing="1" w:line="480" w:lineRule="auto"/>
        <w:ind w:firstLine="624"/>
        <w:contextualSpacing/>
        <w:rPr>
          <w:rFonts w:ascii="Times New Roman" w:hAnsi="Times New Roman"/>
        </w:rPr>
      </w:pPr>
      <w:r w:rsidRPr="00A60FD5">
        <w:rPr>
          <w:rFonts w:ascii="Times New Roman" w:hAnsi="Times New Roman"/>
        </w:rPr>
        <w:t>Arbitration is there</w:t>
      </w:r>
      <w:r w:rsidR="00A006B2" w:rsidRPr="00A60FD5">
        <w:rPr>
          <w:rFonts w:ascii="Times New Roman" w:hAnsi="Times New Roman"/>
        </w:rPr>
        <w:t xml:space="preserve">fore typically </w:t>
      </w:r>
      <w:r w:rsidR="0087565B" w:rsidRPr="00A60FD5">
        <w:rPr>
          <w:rFonts w:ascii="Times New Roman" w:hAnsi="Times New Roman"/>
        </w:rPr>
        <w:t>characterized</w:t>
      </w:r>
      <w:r w:rsidRPr="00A60FD5">
        <w:rPr>
          <w:rFonts w:ascii="Times New Roman" w:hAnsi="Times New Roman"/>
        </w:rPr>
        <w:t xml:space="preserve"> as more flexible than the public system (</w:t>
      </w:r>
      <w:r w:rsidR="00337040" w:rsidRPr="00A60FD5">
        <w:rPr>
          <w:rFonts w:ascii="Times New Roman" w:hAnsi="Times New Roman"/>
        </w:rPr>
        <w:t>Coulson</w:t>
      </w:r>
      <w:r w:rsidR="00F41C01" w:rsidRPr="00A60FD5">
        <w:rPr>
          <w:rFonts w:ascii="Times New Roman" w:hAnsi="Times New Roman"/>
        </w:rPr>
        <w:t>,</w:t>
      </w:r>
      <w:r w:rsidR="00337040" w:rsidRPr="00A60FD5">
        <w:rPr>
          <w:rFonts w:ascii="Times New Roman" w:hAnsi="Times New Roman"/>
        </w:rPr>
        <w:t xml:space="preserve"> 1965</w:t>
      </w:r>
      <w:r w:rsidRPr="00A60FD5">
        <w:rPr>
          <w:rFonts w:ascii="Times New Roman" w:hAnsi="Times New Roman"/>
        </w:rPr>
        <w:t xml:space="preserve">). When opting for arbitration, parties voluntarily </w:t>
      </w:r>
      <w:r w:rsidR="00A54DB8" w:rsidRPr="00A60FD5">
        <w:rPr>
          <w:rFonts w:ascii="Times New Roman" w:hAnsi="Times New Roman"/>
        </w:rPr>
        <w:t>decide</w:t>
      </w:r>
      <w:r w:rsidRPr="00A60FD5">
        <w:rPr>
          <w:rFonts w:ascii="Times New Roman" w:hAnsi="Times New Roman"/>
        </w:rPr>
        <w:t xml:space="preserve"> to refer their dispute to </w:t>
      </w:r>
      <w:r w:rsidR="00FF7A4A" w:rsidRPr="00A60FD5">
        <w:rPr>
          <w:rFonts w:ascii="Times New Roman" w:hAnsi="Times New Roman"/>
        </w:rPr>
        <w:t xml:space="preserve">at least </w:t>
      </w:r>
      <w:r w:rsidRPr="00A60FD5">
        <w:rPr>
          <w:rFonts w:ascii="Times New Roman" w:hAnsi="Times New Roman"/>
        </w:rPr>
        <w:t xml:space="preserve">one impartial third person and agree to be bound by the decision of </w:t>
      </w:r>
      <w:r w:rsidR="00FF7A4A" w:rsidRPr="00A60FD5">
        <w:rPr>
          <w:rFonts w:ascii="Times New Roman" w:hAnsi="Times New Roman"/>
        </w:rPr>
        <w:t>that person</w:t>
      </w:r>
      <w:r w:rsidRPr="00A60FD5">
        <w:rPr>
          <w:rFonts w:ascii="Times New Roman" w:hAnsi="Times New Roman"/>
        </w:rPr>
        <w:t xml:space="preserve">. </w:t>
      </w:r>
      <w:r w:rsidR="00A006B2" w:rsidRPr="00A60FD5">
        <w:rPr>
          <w:rFonts w:ascii="Times New Roman" w:hAnsi="Times New Roman"/>
        </w:rPr>
        <w:t>A losing party has little leeway to a</w:t>
      </w:r>
      <w:r w:rsidRPr="00A60FD5">
        <w:rPr>
          <w:rFonts w:ascii="Times New Roman" w:hAnsi="Times New Roman"/>
        </w:rPr>
        <w:t>ppeal (Bonn</w:t>
      </w:r>
      <w:r w:rsidR="00F41C01" w:rsidRPr="00A60FD5">
        <w:rPr>
          <w:rFonts w:ascii="Times New Roman" w:hAnsi="Times New Roman"/>
        </w:rPr>
        <w:t>,</w:t>
      </w:r>
      <w:r w:rsidRPr="00A60FD5">
        <w:rPr>
          <w:rFonts w:ascii="Times New Roman" w:hAnsi="Times New Roman"/>
        </w:rPr>
        <w:t xml:space="preserve"> 1972). Given the limited possibility of appeal, arbitration tends to compare favorably with public court litigation </w:t>
      </w:r>
      <w:r w:rsidR="00A006B2" w:rsidRPr="00A60FD5">
        <w:rPr>
          <w:rFonts w:ascii="Times New Roman" w:hAnsi="Times New Roman"/>
        </w:rPr>
        <w:t xml:space="preserve">in terms of </w:t>
      </w:r>
      <w:r w:rsidRPr="00A60FD5">
        <w:rPr>
          <w:rFonts w:ascii="Times New Roman" w:hAnsi="Times New Roman"/>
        </w:rPr>
        <w:t>speed</w:t>
      </w:r>
      <w:r w:rsidR="00623319" w:rsidRPr="00A60FD5">
        <w:rPr>
          <w:rFonts w:ascii="Times New Roman" w:hAnsi="Times New Roman"/>
        </w:rPr>
        <w:t xml:space="preserve"> and</w:t>
      </w:r>
      <w:r w:rsidRPr="00A60FD5">
        <w:rPr>
          <w:rFonts w:ascii="Times New Roman" w:hAnsi="Times New Roman"/>
        </w:rPr>
        <w:t xml:space="preserve"> economy (Bonn</w:t>
      </w:r>
      <w:r w:rsidR="00F41C01" w:rsidRPr="00A60FD5">
        <w:rPr>
          <w:rFonts w:ascii="Times New Roman" w:hAnsi="Times New Roman"/>
        </w:rPr>
        <w:t>,</w:t>
      </w:r>
      <w:r w:rsidRPr="00A60FD5">
        <w:rPr>
          <w:rFonts w:ascii="Times New Roman" w:hAnsi="Times New Roman"/>
        </w:rPr>
        <w:t xml:space="preserve"> 1972</w:t>
      </w:r>
      <w:r w:rsidR="00F41C01" w:rsidRPr="00A60FD5">
        <w:rPr>
          <w:rFonts w:ascii="Times New Roman" w:hAnsi="Times New Roman"/>
        </w:rPr>
        <w:t>;</w:t>
      </w:r>
      <w:r w:rsidRPr="00A60FD5">
        <w:rPr>
          <w:rFonts w:ascii="Times New Roman" w:hAnsi="Times New Roman"/>
        </w:rPr>
        <w:t xml:space="preserve"> Drahozal</w:t>
      </w:r>
      <w:r w:rsidR="00F41C01" w:rsidRPr="00A60FD5">
        <w:rPr>
          <w:rFonts w:ascii="Times New Roman" w:hAnsi="Times New Roman"/>
        </w:rPr>
        <w:t>,</w:t>
      </w:r>
      <w:r w:rsidRPr="00A60FD5">
        <w:rPr>
          <w:rFonts w:ascii="Times New Roman" w:hAnsi="Times New Roman"/>
        </w:rPr>
        <w:t xml:space="preserve"> 2008</w:t>
      </w:r>
      <w:r w:rsidR="00221FF4" w:rsidRPr="00A60FD5">
        <w:rPr>
          <w:rFonts w:ascii="Times New Roman" w:hAnsi="Times New Roman"/>
        </w:rPr>
        <w:t>; Pinkham and Peng, 2017</w:t>
      </w:r>
      <w:r w:rsidRPr="00A60FD5">
        <w:rPr>
          <w:rFonts w:ascii="Times New Roman" w:hAnsi="Times New Roman"/>
        </w:rPr>
        <w:t>).</w:t>
      </w:r>
      <w:r w:rsidRPr="00A60FD5">
        <w:rPr>
          <w:rStyle w:val="FootnoteReference"/>
          <w:rFonts w:ascii="Times New Roman" w:hAnsi="Times New Roman"/>
        </w:rPr>
        <w:footnoteReference w:id="2"/>
      </w:r>
      <w:r w:rsidRPr="00A60FD5">
        <w:rPr>
          <w:rFonts w:ascii="Times New Roman" w:hAnsi="Times New Roman"/>
        </w:rPr>
        <w:t xml:space="preserve"> </w:t>
      </w:r>
      <w:r w:rsidR="009F721B" w:rsidRPr="00A60FD5">
        <w:rPr>
          <w:rFonts w:ascii="Times New Roman" w:hAnsi="Times New Roman"/>
        </w:rPr>
        <w:t>Comparatively, l</w:t>
      </w:r>
      <w:r w:rsidR="008C266F" w:rsidRPr="00A60FD5">
        <w:rPr>
          <w:rFonts w:ascii="Times New Roman" w:hAnsi="Times New Roman"/>
        </w:rPr>
        <w:t xml:space="preserve">itigation </w:t>
      </w:r>
      <w:r w:rsidR="00D46E54" w:rsidRPr="00A60FD5">
        <w:rPr>
          <w:rFonts w:ascii="Times New Roman" w:hAnsi="Times New Roman"/>
        </w:rPr>
        <w:t>tend</w:t>
      </w:r>
      <w:r w:rsidR="00DA2ECD" w:rsidRPr="00A60FD5">
        <w:rPr>
          <w:rFonts w:ascii="Times New Roman" w:hAnsi="Times New Roman"/>
        </w:rPr>
        <w:t>s</w:t>
      </w:r>
      <w:r w:rsidR="00D46E54" w:rsidRPr="00A60FD5">
        <w:rPr>
          <w:rFonts w:ascii="Times New Roman" w:hAnsi="Times New Roman"/>
        </w:rPr>
        <w:t xml:space="preserve"> to </w:t>
      </w:r>
      <w:r w:rsidR="008C266F" w:rsidRPr="00A60FD5">
        <w:rPr>
          <w:rFonts w:ascii="Times New Roman" w:hAnsi="Times New Roman"/>
        </w:rPr>
        <w:t xml:space="preserve">involve </w:t>
      </w:r>
      <w:r w:rsidR="00D46E54" w:rsidRPr="00A60FD5">
        <w:rPr>
          <w:rFonts w:ascii="Times New Roman" w:hAnsi="Times New Roman"/>
        </w:rPr>
        <w:t>more t</w:t>
      </w:r>
      <w:r w:rsidR="008C266F" w:rsidRPr="00A60FD5">
        <w:rPr>
          <w:rFonts w:ascii="Times New Roman" w:hAnsi="Times New Roman"/>
        </w:rPr>
        <w:t xml:space="preserve">ime and energy </w:t>
      </w:r>
      <w:r w:rsidR="00942F25" w:rsidRPr="00A60FD5">
        <w:rPr>
          <w:rFonts w:ascii="Times New Roman" w:hAnsi="Times New Roman"/>
        </w:rPr>
        <w:lastRenderedPageBreak/>
        <w:t xml:space="preserve">from </w:t>
      </w:r>
      <w:r w:rsidR="008C266F" w:rsidRPr="00A60FD5">
        <w:rPr>
          <w:rFonts w:ascii="Times New Roman" w:hAnsi="Times New Roman"/>
        </w:rPr>
        <w:t>key managers, la</w:t>
      </w:r>
      <w:r w:rsidR="00B75227" w:rsidRPr="00A60FD5">
        <w:rPr>
          <w:rFonts w:ascii="Times New Roman" w:hAnsi="Times New Roman"/>
        </w:rPr>
        <w:t>w</w:t>
      </w:r>
      <w:r w:rsidR="008C266F" w:rsidRPr="00A60FD5">
        <w:rPr>
          <w:rFonts w:ascii="Times New Roman" w:hAnsi="Times New Roman"/>
        </w:rPr>
        <w:t xml:space="preserve">yers, engineers and scientists in </w:t>
      </w:r>
      <w:r w:rsidR="00D46E54" w:rsidRPr="00A60FD5">
        <w:rPr>
          <w:rFonts w:ascii="Times New Roman" w:hAnsi="Times New Roman"/>
        </w:rPr>
        <w:t xml:space="preserve">disputing </w:t>
      </w:r>
      <w:r w:rsidR="009F721B" w:rsidRPr="00A60FD5">
        <w:rPr>
          <w:rFonts w:ascii="Times New Roman" w:hAnsi="Times New Roman"/>
        </w:rPr>
        <w:t>firms</w:t>
      </w:r>
      <w:r w:rsidR="008C266F" w:rsidRPr="00A60FD5">
        <w:rPr>
          <w:rFonts w:ascii="Times New Roman" w:hAnsi="Times New Roman"/>
        </w:rPr>
        <w:t xml:space="preserve">. </w:t>
      </w:r>
      <w:r w:rsidR="00A006B2" w:rsidRPr="00A60FD5">
        <w:rPr>
          <w:rFonts w:ascii="Times New Roman" w:hAnsi="Times New Roman"/>
        </w:rPr>
        <w:t>In addition</w:t>
      </w:r>
      <w:r w:rsidRPr="00A60FD5">
        <w:rPr>
          <w:rFonts w:ascii="Times New Roman" w:hAnsi="Times New Roman"/>
        </w:rPr>
        <w:t xml:space="preserve">, </w:t>
      </w:r>
      <w:r w:rsidR="00A006B2" w:rsidRPr="00A60FD5">
        <w:rPr>
          <w:rFonts w:ascii="Times New Roman" w:hAnsi="Times New Roman"/>
        </w:rPr>
        <w:t>as</w:t>
      </w:r>
      <w:r w:rsidRPr="00A60FD5">
        <w:rPr>
          <w:rFonts w:ascii="Times New Roman" w:hAnsi="Times New Roman"/>
        </w:rPr>
        <w:t xml:space="preserve"> arbitration is a private process, it makes unfavorable publicity less likely. </w:t>
      </w:r>
    </w:p>
    <w:p w14:paraId="348CC64E" w14:textId="033DC8AD" w:rsidR="003451A7" w:rsidRPr="00A60FD5" w:rsidRDefault="000163B3" w:rsidP="009F721B">
      <w:pPr>
        <w:spacing w:after="100" w:afterAutospacing="1" w:line="480" w:lineRule="auto"/>
        <w:ind w:firstLine="624"/>
        <w:contextualSpacing/>
        <w:rPr>
          <w:rFonts w:ascii="Times New Roman" w:hAnsi="Times New Roman" w:cs="Times New Roman"/>
        </w:rPr>
      </w:pPr>
      <w:r w:rsidRPr="00A60FD5">
        <w:rPr>
          <w:rFonts w:ascii="Times New Roman" w:hAnsi="Times New Roman" w:cs="Times New Roman"/>
        </w:rPr>
        <w:t>In contractual exchanges, tensions and disputes can emanate from two main categories of impediments: opportunistic behaviors</w:t>
      </w:r>
      <w:r w:rsidR="00C4686D" w:rsidRPr="00A60FD5">
        <w:rPr>
          <w:rFonts w:ascii="Times New Roman" w:hAnsi="Times New Roman" w:cs="Times New Roman"/>
        </w:rPr>
        <w:t xml:space="preserve"> (</w:t>
      </w:r>
      <w:r w:rsidR="00711E12" w:rsidRPr="00A60FD5">
        <w:rPr>
          <w:rFonts w:ascii="Times New Roman" w:hAnsi="Times New Roman" w:cs="Times New Roman"/>
        </w:rPr>
        <w:t>Macneil</w:t>
      </w:r>
      <w:r w:rsidR="00F41C01" w:rsidRPr="00A60FD5">
        <w:rPr>
          <w:rFonts w:ascii="Times New Roman" w:hAnsi="Times New Roman" w:cs="Times New Roman"/>
        </w:rPr>
        <w:t>,</w:t>
      </w:r>
      <w:r w:rsidR="00711E12" w:rsidRPr="00A60FD5">
        <w:rPr>
          <w:rFonts w:ascii="Times New Roman" w:hAnsi="Times New Roman" w:cs="Times New Roman"/>
        </w:rPr>
        <w:t xml:space="preserve"> 1978</w:t>
      </w:r>
      <w:r w:rsidR="00F41C01" w:rsidRPr="00A60FD5">
        <w:rPr>
          <w:rFonts w:ascii="Times New Roman" w:hAnsi="Times New Roman" w:cs="Times New Roman"/>
        </w:rPr>
        <w:t xml:space="preserve">; </w:t>
      </w:r>
      <w:r w:rsidR="00C4686D" w:rsidRPr="00A60FD5">
        <w:rPr>
          <w:rFonts w:ascii="Times New Roman" w:hAnsi="Times New Roman" w:cs="Times New Roman"/>
        </w:rPr>
        <w:t>Williamson</w:t>
      </w:r>
      <w:r w:rsidR="00F41C01" w:rsidRPr="00A60FD5">
        <w:rPr>
          <w:rFonts w:ascii="Times New Roman" w:hAnsi="Times New Roman" w:cs="Times New Roman"/>
        </w:rPr>
        <w:t>,</w:t>
      </w:r>
      <w:r w:rsidR="00C4686D" w:rsidRPr="00A60FD5">
        <w:rPr>
          <w:rFonts w:ascii="Times New Roman" w:hAnsi="Times New Roman" w:cs="Times New Roman"/>
        </w:rPr>
        <w:t xml:space="preserve"> 1985), </w:t>
      </w:r>
      <w:r w:rsidRPr="00A60FD5">
        <w:rPr>
          <w:rFonts w:ascii="Times New Roman" w:hAnsi="Times New Roman" w:cs="Times New Roman"/>
        </w:rPr>
        <w:t xml:space="preserve">or </w:t>
      </w:r>
      <w:r w:rsidR="00BB7A97" w:rsidRPr="00A60FD5">
        <w:rPr>
          <w:rFonts w:ascii="Times New Roman" w:hAnsi="Times New Roman" w:cs="Times New Roman"/>
        </w:rPr>
        <w:t xml:space="preserve">misunderstandings </w:t>
      </w:r>
      <w:r w:rsidR="00C4686D" w:rsidRPr="00A60FD5">
        <w:rPr>
          <w:rFonts w:ascii="Times New Roman" w:hAnsi="Times New Roman" w:cs="Times New Roman"/>
        </w:rPr>
        <w:t xml:space="preserve">and </w:t>
      </w:r>
      <w:r w:rsidR="00BB7A97" w:rsidRPr="00A60FD5">
        <w:rPr>
          <w:rFonts w:ascii="Times New Roman" w:hAnsi="Times New Roman" w:cs="Times New Roman"/>
        </w:rPr>
        <w:t xml:space="preserve">collaboration failures </w:t>
      </w:r>
      <w:r w:rsidR="00C4686D" w:rsidRPr="00A60FD5">
        <w:rPr>
          <w:rFonts w:ascii="Times New Roman" w:hAnsi="Times New Roman" w:cs="Times New Roman"/>
        </w:rPr>
        <w:t>(Gulati et al</w:t>
      </w:r>
      <w:r w:rsidR="008E4D9B" w:rsidRPr="00A60FD5">
        <w:rPr>
          <w:rFonts w:ascii="Times New Roman" w:hAnsi="Times New Roman" w:cs="Times New Roman"/>
        </w:rPr>
        <w:t>.</w:t>
      </w:r>
      <w:r w:rsidR="00F41C01" w:rsidRPr="00A60FD5">
        <w:rPr>
          <w:rFonts w:ascii="Times New Roman" w:hAnsi="Times New Roman" w:cs="Times New Roman"/>
        </w:rPr>
        <w:t>,</w:t>
      </w:r>
      <w:r w:rsidR="00C4686D" w:rsidRPr="00A60FD5">
        <w:rPr>
          <w:rFonts w:ascii="Times New Roman" w:hAnsi="Times New Roman" w:cs="Times New Roman"/>
        </w:rPr>
        <w:t xml:space="preserve"> 2005)</w:t>
      </w:r>
      <w:r w:rsidRPr="00A60FD5">
        <w:rPr>
          <w:rFonts w:ascii="Times New Roman" w:hAnsi="Times New Roman" w:cs="Times New Roman"/>
        </w:rPr>
        <w:t xml:space="preserve">. </w:t>
      </w:r>
      <w:r w:rsidR="008865BC" w:rsidRPr="00A60FD5">
        <w:rPr>
          <w:rFonts w:ascii="Times New Roman" w:hAnsi="Times New Roman" w:cs="Times New Roman"/>
        </w:rPr>
        <w:t>In terms of</w:t>
      </w:r>
      <w:r w:rsidR="00910E8F" w:rsidRPr="00A60FD5">
        <w:rPr>
          <w:rFonts w:ascii="Times New Roman" w:hAnsi="Times New Roman" w:cs="Times New Roman"/>
        </w:rPr>
        <w:t xml:space="preserve"> alleviat</w:t>
      </w:r>
      <w:r w:rsidR="008865BC" w:rsidRPr="00A60FD5">
        <w:rPr>
          <w:rFonts w:ascii="Times New Roman" w:hAnsi="Times New Roman" w:cs="Times New Roman"/>
        </w:rPr>
        <w:t>ing</w:t>
      </w:r>
      <w:r w:rsidR="00910E8F" w:rsidRPr="00A60FD5">
        <w:rPr>
          <w:rFonts w:ascii="Times New Roman" w:hAnsi="Times New Roman" w:cs="Times New Roman"/>
        </w:rPr>
        <w:t xml:space="preserve"> opportunism </w:t>
      </w:r>
      <w:r w:rsidR="00910E8F" w:rsidRPr="00A60FD5">
        <w:rPr>
          <w:rFonts w:ascii="Times New Roman" w:hAnsi="Times New Roman" w:cs="Times New Roman"/>
          <w:i/>
        </w:rPr>
        <w:t>ex post</w:t>
      </w:r>
      <w:r w:rsidR="00910E8F" w:rsidRPr="00A60FD5">
        <w:rPr>
          <w:rFonts w:ascii="Times New Roman" w:hAnsi="Times New Roman" w:cs="Times New Roman"/>
        </w:rPr>
        <w:t xml:space="preserve">, partners may perceive the public system as more dissuasive </w:t>
      </w:r>
      <w:r w:rsidR="008865BC" w:rsidRPr="00A60FD5">
        <w:rPr>
          <w:rFonts w:ascii="Times New Roman" w:hAnsi="Times New Roman" w:cs="Times New Roman"/>
        </w:rPr>
        <w:t>than</w:t>
      </w:r>
      <w:r w:rsidR="00910E8F" w:rsidRPr="00A60FD5">
        <w:rPr>
          <w:rFonts w:ascii="Times New Roman" w:hAnsi="Times New Roman" w:cs="Times New Roman"/>
        </w:rPr>
        <w:t xml:space="preserve"> arbitration. </w:t>
      </w:r>
      <w:r w:rsidR="005F23EB" w:rsidRPr="00A60FD5">
        <w:rPr>
          <w:rFonts w:ascii="Times New Roman" w:hAnsi="Times New Roman" w:cs="Times New Roman"/>
        </w:rPr>
        <w:t>In</w:t>
      </w:r>
      <w:r w:rsidR="000E5C3E" w:rsidRPr="00A60FD5">
        <w:rPr>
          <w:rFonts w:ascii="Times New Roman" w:hAnsi="Times New Roman" w:cs="Times New Roman"/>
        </w:rPr>
        <w:t>deed</w:t>
      </w:r>
      <w:r w:rsidR="005F23EB" w:rsidRPr="00A60FD5">
        <w:rPr>
          <w:rFonts w:ascii="Times New Roman" w:hAnsi="Times New Roman" w:cs="Times New Roman"/>
        </w:rPr>
        <w:t xml:space="preserve">, </w:t>
      </w:r>
      <w:r w:rsidR="005F23EB" w:rsidRPr="00A60FD5">
        <w:rPr>
          <w:rFonts w:ascii="Times New Roman" w:hAnsi="Times New Roman"/>
          <w:bCs/>
        </w:rPr>
        <w:t xml:space="preserve">public judges tend to adopt a more adversarial position and </w:t>
      </w:r>
      <w:r w:rsidR="008539BD" w:rsidRPr="00A60FD5">
        <w:rPr>
          <w:rFonts w:ascii="Times New Roman" w:hAnsi="Times New Roman"/>
          <w:bCs/>
        </w:rPr>
        <w:t xml:space="preserve">to </w:t>
      </w:r>
      <w:r w:rsidR="005F23EB" w:rsidRPr="00A60FD5">
        <w:rPr>
          <w:rFonts w:ascii="Times New Roman" w:hAnsi="Times New Roman"/>
          <w:bCs/>
        </w:rPr>
        <w:t>deliver severe punitive damages</w:t>
      </w:r>
      <w:r w:rsidR="00424061" w:rsidRPr="00A60FD5">
        <w:rPr>
          <w:rFonts w:ascii="Times New Roman" w:hAnsi="Times New Roman"/>
          <w:bCs/>
        </w:rPr>
        <w:t xml:space="preserve"> (Cooter and Rubinfeld, 1989)</w:t>
      </w:r>
      <w:r w:rsidR="008539BD" w:rsidRPr="00A60FD5">
        <w:rPr>
          <w:rFonts w:ascii="Times New Roman" w:hAnsi="Times New Roman"/>
          <w:bCs/>
        </w:rPr>
        <w:t xml:space="preserve">. </w:t>
      </w:r>
      <w:r w:rsidR="008539BD" w:rsidRPr="00A60FD5">
        <w:rPr>
          <w:rFonts w:ascii="Times New Roman" w:hAnsi="Times New Roman" w:cs="Times New Roman"/>
          <w:bCs/>
        </w:rPr>
        <w:t xml:space="preserve">The adversarial mindset, in which each party tries to win as much of the stakes as possible, prevails in trials (Cooter and Rubinfeld, 1989). </w:t>
      </w:r>
      <w:r w:rsidR="003451A7" w:rsidRPr="00A60FD5">
        <w:rPr>
          <w:rFonts w:ascii="Times New Roman" w:hAnsi="Times New Roman"/>
          <w:bCs/>
        </w:rPr>
        <w:t xml:space="preserve">Moreover, public courts strictly apply and enforce </w:t>
      </w:r>
      <w:r w:rsidR="003451A7" w:rsidRPr="00A60FD5">
        <w:rPr>
          <w:rFonts w:ascii="Times New Roman" w:hAnsi="Times New Roman" w:cs="Times New Roman"/>
          <w:bCs/>
        </w:rPr>
        <w:t>the rules of contract law and the letter of the original contract (Hylton</w:t>
      </w:r>
      <w:r w:rsidR="00F41C01" w:rsidRPr="00A60FD5">
        <w:rPr>
          <w:rFonts w:ascii="Times New Roman" w:hAnsi="Times New Roman" w:cs="Times New Roman"/>
          <w:bCs/>
        </w:rPr>
        <w:t>,</w:t>
      </w:r>
      <w:r w:rsidR="003451A7" w:rsidRPr="00A60FD5">
        <w:rPr>
          <w:rFonts w:ascii="Times New Roman" w:hAnsi="Times New Roman" w:cs="Times New Roman"/>
          <w:bCs/>
        </w:rPr>
        <w:t xml:space="preserve"> 200</w:t>
      </w:r>
      <w:r w:rsidR="008C2D92" w:rsidRPr="00A60FD5">
        <w:rPr>
          <w:rFonts w:ascii="Times New Roman" w:hAnsi="Times New Roman" w:cs="Times New Roman"/>
          <w:bCs/>
        </w:rPr>
        <w:t>5</w:t>
      </w:r>
      <w:r w:rsidR="008A2E34" w:rsidRPr="00A60FD5">
        <w:rPr>
          <w:rFonts w:ascii="Times New Roman" w:hAnsi="Times New Roman" w:cs="Times New Roman"/>
          <w:bCs/>
        </w:rPr>
        <w:t>; Macneil, 1974</w:t>
      </w:r>
      <w:r w:rsidR="000F2017" w:rsidRPr="00A60FD5">
        <w:rPr>
          <w:rFonts w:ascii="Times New Roman" w:hAnsi="Times New Roman" w:cs="Times New Roman"/>
          <w:bCs/>
        </w:rPr>
        <w:t xml:space="preserve"> &amp;</w:t>
      </w:r>
      <w:r w:rsidR="008A2E34" w:rsidRPr="00A60FD5">
        <w:rPr>
          <w:rFonts w:ascii="Times New Roman" w:hAnsi="Times New Roman" w:cs="Times New Roman"/>
          <w:bCs/>
        </w:rPr>
        <w:t xml:space="preserve"> 1978</w:t>
      </w:r>
      <w:r w:rsidR="003451A7" w:rsidRPr="00A60FD5">
        <w:rPr>
          <w:rFonts w:ascii="Times New Roman" w:hAnsi="Times New Roman" w:cs="Times New Roman"/>
          <w:bCs/>
        </w:rPr>
        <w:t xml:space="preserve">). </w:t>
      </w:r>
      <w:r w:rsidR="008539BD" w:rsidRPr="00A60FD5">
        <w:rPr>
          <w:rFonts w:ascii="Times New Roman" w:hAnsi="Times New Roman" w:cs="Times New Roman"/>
          <w:bCs/>
        </w:rPr>
        <w:t>T</w:t>
      </w:r>
      <w:r w:rsidR="005F23EB" w:rsidRPr="00A60FD5">
        <w:rPr>
          <w:rFonts w:ascii="Times New Roman" w:hAnsi="Times New Roman" w:cs="Times New Roman"/>
        </w:rPr>
        <w:t>he efficacy of public systems in allocating the responsibility for performance shortfalls depends</w:t>
      </w:r>
      <w:r w:rsidR="008539BD" w:rsidRPr="00A60FD5">
        <w:rPr>
          <w:rFonts w:ascii="Times New Roman" w:hAnsi="Times New Roman" w:cs="Times New Roman"/>
        </w:rPr>
        <w:t xml:space="preserve"> however</w:t>
      </w:r>
      <w:r w:rsidR="003451A7" w:rsidRPr="00A60FD5">
        <w:rPr>
          <w:rFonts w:ascii="Times New Roman" w:hAnsi="Times New Roman" w:cs="Times New Roman"/>
        </w:rPr>
        <w:t xml:space="preserve"> </w:t>
      </w:r>
      <w:r w:rsidR="005F23EB" w:rsidRPr="00A60FD5">
        <w:rPr>
          <w:rFonts w:ascii="Times New Roman" w:hAnsi="Times New Roman" w:cs="Times New Roman"/>
        </w:rPr>
        <w:t>on judges’ abilit</w:t>
      </w:r>
      <w:r w:rsidR="008865BC" w:rsidRPr="00A60FD5">
        <w:rPr>
          <w:rFonts w:ascii="Times New Roman" w:hAnsi="Times New Roman" w:cs="Times New Roman"/>
        </w:rPr>
        <w:t>ies</w:t>
      </w:r>
      <w:r w:rsidR="005F23EB" w:rsidRPr="00A60FD5">
        <w:rPr>
          <w:rFonts w:ascii="Times New Roman" w:hAnsi="Times New Roman" w:cs="Times New Roman"/>
        </w:rPr>
        <w:t xml:space="preserve"> to verify the information related to the exchange and to ascertain </w:t>
      </w:r>
      <w:r w:rsidR="008865BC" w:rsidRPr="00A60FD5">
        <w:rPr>
          <w:rFonts w:ascii="Times New Roman" w:hAnsi="Times New Roman" w:cs="Times New Roman"/>
        </w:rPr>
        <w:t>whether the</w:t>
      </w:r>
      <w:r w:rsidR="005F23EB" w:rsidRPr="00A60FD5">
        <w:rPr>
          <w:rFonts w:ascii="Times New Roman" w:hAnsi="Times New Roman" w:cs="Times New Roman"/>
        </w:rPr>
        <w:t xml:space="preserve"> disputing parties have </w:t>
      </w:r>
      <w:r w:rsidR="008865BC" w:rsidRPr="00A60FD5">
        <w:rPr>
          <w:rFonts w:ascii="Times New Roman" w:hAnsi="Times New Roman" w:cs="Times New Roman"/>
        </w:rPr>
        <w:t>acted in accordance</w:t>
      </w:r>
      <w:r w:rsidR="005F23EB" w:rsidRPr="00A60FD5">
        <w:rPr>
          <w:rFonts w:ascii="Times New Roman" w:hAnsi="Times New Roman" w:cs="Times New Roman"/>
        </w:rPr>
        <w:t xml:space="preserve"> with </w:t>
      </w:r>
      <w:r w:rsidR="008865BC" w:rsidRPr="00A60FD5">
        <w:rPr>
          <w:rFonts w:ascii="Times New Roman" w:hAnsi="Times New Roman" w:cs="Times New Roman"/>
        </w:rPr>
        <w:t xml:space="preserve">the </w:t>
      </w:r>
      <w:r w:rsidR="005F23EB" w:rsidRPr="00A60FD5">
        <w:rPr>
          <w:rFonts w:ascii="Times New Roman" w:hAnsi="Times New Roman" w:cs="Times New Roman"/>
        </w:rPr>
        <w:t>contractual terms (</w:t>
      </w:r>
      <w:r w:rsidR="008E4D9B" w:rsidRPr="00A60FD5">
        <w:rPr>
          <w:rFonts w:ascii="Times New Roman" w:hAnsi="Times New Roman" w:cs="Times New Roman"/>
        </w:rPr>
        <w:t>Gr</w:t>
      </w:r>
      <w:r w:rsidR="00BA316D" w:rsidRPr="00A60FD5">
        <w:rPr>
          <w:rFonts w:ascii="Times New Roman" w:hAnsi="Times New Roman" w:cs="Times New Roman"/>
        </w:rPr>
        <w:t>eif</w:t>
      </w:r>
      <w:r w:rsidR="00F41C01" w:rsidRPr="00A60FD5">
        <w:rPr>
          <w:rFonts w:ascii="Times New Roman" w:hAnsi="Times New Roman" w:cs="Times New Roman"/>
        </w:rPr>
        <w:t>,</w:t>
      </w:r>
      <w:r w:rsidR="008E4D9B" w:rsidRPr="00A60FD5">
        <w:rPr>
          <w:rFonts w:ascii="Times New Roman" w:hAnsi="Times New Roman" w:cs="Times New Roman"/>
        </w:rPr>
        <w:t xml:space="preserve"> 2005</w:t>
      </w:r>
      <w:r w:rsidR="00F41C01" w:rsidRPr="00A60FD5">
        <w:rPr>
          <w:rFonts w:ascii="Times New Roman" w:hAnsi="Times New Roman" w:cs="Times New Roman"/>
        </w:rPr>
        <w:t>;</w:t>
      </w:r>
      <w:r w:rsidR="008E4D9B" w:rsidRPr="00A60FD5">
        <w:rPr>
          <w:rFonts w:ascii="Times New Roman" w:hAnsi="Times New Roman" w:cs="Times New Roman"/>
        </w:rPr>
        <w:t xml:space="preserve"> </w:t>
      </w:r>
      <w:r w:rsidR="00FD1AD0" w:rsidRPr="00A60FD5">
        <w:rPr>
          <w:rFonts w:ascii="Times New Roman" w:hAnsi="Times New Roman" w:cs="Times New Roman"/>
        </w:rPr>
        <w:t xml:space="preserve">Joskow, 1977; </w:t>
      </w:r>
      <w:r w:rsidR="005F23EB" w:rsidRPr="00A60FD5">
        <w:rPr>
          <w:rFonts w:ascii="Times New Roman" w:hAnsi="Times New Roman" w:cs="Times New Roman"/>
        </w:rPr>
        <w:t>Williamson</w:t>
      </w:r>
      <w:r w:rsidR="00F41C01" w:rsidRPr="00A60FD5">
        <w:rPr>
          <w:rFonts w:ascii="Times New Roman" w:hAnsi="Times New Roman" w:cs="Times New Roman"/>
        </w:rPr>
        <w:t>,</w:t>
      </w:r>
      <w:r w:rsidR="005F23EB" w:rsidRPr="00A60FD5">
        <w:rPr>
          <w:rFonts w:ascii="Times New Roman" w:hAnsi="Times New Roman" w:cs="Times New Roman"/>
        </w:rPr>
        <w:t xml:space="preserve"> 1985). </w:t>
      </w:r>
      <w:r w:rsidR="00FF7A4A" w:rsidRPr="00A60FD5">
        <w:rPr>
          <w:rFonts w:ascii="Times New Roman" w:hAnsi="Times New Roman" w:cs="Times New Roman"/>
        </w:rPr>
        <w:t>The i</w:t>
      </w:r>
      <w:r w:rsidR="003451A7" w:rsidRPr="00A60FD5">
        <w:rPr>
          <w:rFonts w:ascii="Times New Roman" w:hAnsi="Times New Roman" w:cs="Times New Roman"/>
        </w:rPr>
        <w:t xml:space="preserve">nformation required for making such </w:t>
      </w:r>
      <w:r w:rsidR="00FF7A4A" w:rsidRPr="00A60FD5">
        <w:rPr>
          <w:rFonts w:ascii="Times New Roman" w:hAnsi="Times New Roman" w:cs="Times New Roman"/>
        </w:rPr>
        <w:t xml:space="preserve">a </w:t>
      </w:r>
      <w:r w:rsidR="003451A7" w:rsidRPr="00A60FD5">
        <w:rPr>
          <w:rFonts w:ascii="Times New Roman" w:hAnsi="Times New Roman" w:cs="Times New Roman"/>
        </w:rPr>
        <w:t>judgment may not be readily accessible</w:t>
      </w:r>
      <w:r w:rsidR="00FB6F63" w:rsidRPr="00A60FD5">
        <w:rPr>
          <w:rFonts w:ascii="Times New Roman" w:hAnsi="Times New Roman" w:cs="Times New Roman"/>
        </w:rPr>
        <w:t xml:space="preserve"> in public courts</w:t>
      </w:r>
      <w:r w:rsidR="003451A7" w:rsidRPr="00A60FD5">
        <w:rPr>
          <w:rFonts w:ascii="Times New Roman" w:hAnsi="Times New Roman" w:cs="Times New Roman"/>
        </w:rPr>
        <w:t xml:space="preserve">. </w:t>
      </w:r>
    </w:p>
    <w:p w14:paraId="70359161" w14:textId="07652BDE" w:rsidR="00B628D4" w:rsidRPr="00A60FD5" w:rsidRDefault="00FB6F63" w:rsidP="00A05DE5">
      <w:pPr>
        <w:spacing w:after="0" w:line="480" w:lineRule="auto"/>
        <w:ind w:firstLine="624"/>
        <w:rPr>
          <w:rFonts w:ascii="Times New Roman" w:hAnsi="Times New Roman" w:cs="Times New Roman"/>
          <w:bCs/>
        </w:rPr>
      </w:pPr>
      <w:r w:rsidRPr="00A60FD5">
        <w:rPr>
          <w:rFonts w:ascii="Times New Roman" w:hAnsi="Times New Roman" w:cs="Times New Roman"/>
        </w:rPr>
        <w:t xml:space="preserve">Although the threat of adjudicating possible disputes through public courts can discipline </w:t>
      </w:r>
      <w:r w:rsidR="000614D3" w:rsidRPr="00A60FD5">
        <w:rPr>
          <w:rFonts w:ascii="Times New Roman" w:hAnsi="Times New Roman" w:cs="Times New Roman"/>
        </w:rPr>
        <w:t>behaviors</w:t>
      </w:r>
      <w:r w:rsidRPr="00A60FD5">
        <w:rPr>
          <w:rFonts w:ascii="Times New Roman" w:hAnsi="Times New Roman" w:cs="Times New Roman"/>
        </w:rPr>
        <w:t xml:space="preserve"> and mitigate the occurrence of disputes </w:t>
      </w:r>
      <w:r w:rsidR="000614D3" w:rsidRPr="00A60FD5">
        <w:rPr>
          <w:rFonts w:ascii="Times New Roman" w:hAnsi="Times New Roman" w:cs="Times New Roman"/>
        </w:rPr>
        <w:t xml:space="preserve">overall </w:t>
      </w:r>
      <w:r w:rsidRPr="00A60FD5">
        <w:rPr>
          <w:rFonts w:ascii="Times New Roman" w:hAnsi="Times New Roman" w:cs="Times New Roman"/>
        </w:rPr>
        <w:t>(Shavell</w:t>
      </w:r>
      <w:r w:rsidR="00F41C01" w:rsidRPr="00A60FD5">
        <w:rPr>
          <w:rFonts w:ascii="Times New Roman" w:hAnsi="Times New Roman" w:cs="Times New Roman"/>
        </w:rPr>
        <w:t>,</w:t>
      </w:r>
      <w:r w:rsidRPr="00A60FD5">
        <w:rPr>
          <w:rFonts w:ascii="Times New Roman" w:hAnsi="Times New Roman" w:cs="Times New Roman"/>
        </w:rPr>
        <w:t xml:space="preserve"> 1995), litigation may not be perceived as suitable for </w:t>
      </w:r>
      <w:r w:rsidR="0073493D" w:rsidRPr="00A60FD5">
        <w:rPr>
          <w:rFonts w:ascii="Times New Roman" w:hAnsi="Times New Roman" w:cs="Times New Roman"/>
        </w:rPr>
        <w:t>exchanges</w:t>
      </w:r>
      <w:r w:rsidR="00FF7A4A" w:rsidRPr="00A60FD5">
        <w:rPr>
          <w:rFonts w:ascii="Times New Roman" w:hAnsi="Times New Roman" w:cs="Times New Roman"/>
        </w:rPr>
        <w:t xml:space="preserve"> </w:t>
      </w:r>
      <w:r w:rsidR="008E5DCB" w:rsidRPr="00A60FD5">
        <w:rPr>
          <w:rFonts w:ascii="Times New Roman" w:hAnsi="Times New Roman" w:cs="Times New Roman"/>
        </w:rPr>
        <w:t xml:space="preserve">calling </w:t>
      </w:r>
      <w:r w:rsidR="000614D3" w:rsidRPr="00A60FD5">
        <w:rPr>
          <w:rFonts w:ascii="Times New Roman" w:hAnsi="Times New Roman" w:cs="Times New Roman"/>
        </w:rPr>
        <w:t xml:space="preserve">for fruitful </w:t>
      </w:r>
      <w:r w:rsidR="008539BD" w:rsidRPr="00A60FD5">
        <w:rPr>
          <w:rFonts w:ascii="Times New Roman" w:hAnsi="Times New Roman" w:cs="Times New Roman"/>
        </w:rPr>
        <w:t xml:space="preserve">and smooth </w:t>
      </w:r>
      <w:r w:rsidR="000614D3" w:rsidRPr="00A60FD5">
        <w:rPr>
          <w:rFonts w:ascii="Times New Roman" w:hAnsi="Times New Roman" w:cs="Times New Roman"/>
        </w:rPr>
        <w:t>collaboration beyond disputes</w:t>
      </w:r>
      <w:r w:rsidRPr="00A60FD5">
        <w:rPr>
          <w:rFonts w:ascii="Times New Roman" w:hAnsi="Times New Roman" w:cs="Times New Roman"/>
        </w:rPr>
        <w:t xml:space="preserve">. </w:t>
      </w:r>
      <w:r w:rsidR="000614D3" w:rsidRPr="00A60FD5">
        <w:rPr>
          <w:rFonts w:ascii="Times New Roman" w:hAnsi="Times New Roman" w:cs="Times New Roman"/>
        </w:rPr>
        <w:t xml:space="preserve">In this regard </w:t>
      </w:r>
      <w:r w:rsidRPr="00A60FD5">
        <w:rPr>
          <w:rFonts w:ascii="Times New Roman" w:hAnsi="Times New Roman" w:cs="Times New Roman"/>
          <w:bCs/>
        </w:rPr>
        <w:t>Macneil (1962</w:t>
      </w:r>
      <w:r w:rsidR="0073493D" w:rsidRPr="00A60FD5">
        <w:rPr>
          <w:rFonts w:ascii="Times New Roman" w:hAnsi="Times New Roman" w:cs="Times New Roman"/>
          <w:bCs/>
        </w:rPr>
        <w:t>, p.</w:t>
      </w:r>
      <w:r w:rsidRPr="00A60FD5">
        <w:rPr>
          <w:rFonts w:ascii="Times New Roman" w:hAnsi="Times New Roman" w:cs="Times New Roman"/>
          <w:bCs/>
        </w:rPr>
        <w:t xml:space="preserve"> 525)</w:t>
      </w:r>
      <w:r w:rsidR="002D074C" w:rsidRPr="00A60FD5">
        <w:rPr>
          <w:rFonts w:ascii="Times New Roman" w:hAnsi="Times New Roman" w:cs="Times New Roman"/>
          <w:bCs/>
        </w:rPr>
        <w:t xml:space="preserve"> note</w:t>
      </w:r>
      <w:r w:rsidR="00110C60" w:rsidRPr="00A60FD5">
        <w:rPr>
          <w:rFonts w:ascii="Times New Roman" w:hAnsi="Times New Roman" w:cs="Times New Roman"/>
          <w:bCs/>
        </w:rPr>
        <w:t>d</w:t>
      </w:r>
      <w:r w:rsidR="002D074C" w:rsidRPr="00A60FD5">
        <w:rPr>
          <w:rFonts w:ascii="Times New Roman" w:hAnsi="Times New Roman" w:cs="Times New Roman"/>
          <w:bCs/>
        </w:rPr>
        <w:t xml:space="preserve"> that </w:t>
      </w:r>
      <w:r w:rsidRPr="00A60FD5">
        <w:rPr>
          <w:rFonts w:ascii="Times New Roman" w:hAnsi="Times New Roman" w:cs="Times New Roman"/>
          <w:bCs/>
        </w:rPr>
        <w:t xml:space="preserve">“arbitration is often </w:t>
      </w:r>
      <w:r w:rsidR="0073493D" w:rsidRPr="00A60FD5">
        <w:rPr>
          <w:rFonts w:ascii="Times New Roman" w:hAnsi="Times New Roman" w:cs="Times New Roman"/>
          <w:bCs/>
        </w:rPr>
        <w:t xml:space="preserve">a </w:t>
      </w:r>
      <w:r w:rsidRPr="00A60FD5">
        <w:rPr>
          <w:rFonts w:ascii="Times New Roman" w:hAnsi="Times New Roman" w:cs="Times New Roman"/>
          <w:bCs/>
        </w:rPr>
        <w:t xml:space="preserve">more satisfactory system for handling alleged breaches if the contractual relations of the parties are of a continuing nature.” </w:t>
      </w:r>
      <w:r w:rsidR="0073493D" w:rsidRPr="00A60FD5">
        <w:rPr>
          <w:rFonts w:ascii="Times New Roman" w:hAnsi="Times New Roman"/>
        </w:rPr>
        <w:t>A</w:t>
      </w:r>
      <w:r w:rsidR="002E372C" w:rsidRPr="00A60FD5">
        <w:rPr>
          <w:rFonts w:ascii="Times New Roman" w:hAnsi="Times New Roman"/>
        </w:rPr>
        <w:t xml:space="preserve">rbitrators have a tendency to evenly allocate responsibilities for damages rather than offering total victory to one party. </w:t>
      </w:r>
      <w:r w:rsidR="00B628D4" w:rsidRPr="00A60FD5">
        <w:rPr>
          <w:rFonts w:ascii="Times New Roman" w:hAnsi="Times New Roman" w:cs="Times New Roman"/>
          <w:bCs/>
        </w:rPr>
        <w:t>Also, g</w:t>
      </w:r>
      <w:r w:rsidR="00B628D4" w:rsidRPr="00A60FD5">
        <w:rPr>
          <w:rFonts w:ascii="Times New Roman" w:hAnsi="Times New Roman"/>
          <w:bCs/>
        </w:rPr>
        <w:t>iven the expertise of arbitrators as well as the flexibility offered by arbitration proceedings, arbitrators may deliver more nuanced outcomes than a judge (Bernstein</w:t>
      </w:r>
      <w:r w:rsidR="00F41C01" w:rsidRPr="00A60FD5">
        <w:rPr>
          <w:rFonts w:ascii="Times New Roman" w:hAnsi="Times New Roman"/>
          <w:bCs/>
        </w:rPr>
        <w:t>,</w:t>
      </w:r>
      <w:r w:rsidR="00B628D4" w:rsidRPr="00A60FD5">
        <w:rPr>
          <w:rFonts w:ascii="Times New Roman" w:hAnsi="Times New Roman"/>
          <w:bCs/>
        </w:rPr>
        <w:t xml:space="preserve"> 2001</w:t>
      </w:r>
      <w:r w:rsidR="00F41C01" w:rsidRPr="00A60FD5">
        <w:rPr>
          <w:rFonts w:ascii="Times New Roman" w:hAnsi="Times New Roman"/>
          <w:bCs/>
        </w:rPr>
        <w:t>;</w:t>
      </w:r>
      <w:r w:rsidR="00B628D4" w:rsidRPr="00A60FD5">
        <w:rPr>
          <w:rFonts w:ascii="Times New Roman" w:hAnsi="Times New Roman"/>
          <w:bCs/>
        </w:rPr>
        <w:t xml:space="preserve"> Drahozal </w:t>
      </w:r>
      <w:r w:rsidR="0073493D" w:rsidRPr="00A60FD5">
        <w:rPr>
          <w:rFonts w:ascii="Times New Roman" w:hAnsi="Times New Roman"/>
          <w:bCs/>
        </w:rPr>
        <w:t>and</w:t>
      </w:r>
      <w:r w:rsidR="00B628D4" w:rsidRPr="00A60FD5">
        <w:rPr>
          <w:rFonts w:ascii="Times New Roman" w:hAnsi="Times New Roman"/>
          <w:bCs/>
        </w:rPr>
        <w:t xml:space="preserve"> Hylton</w:t>
      </w:r>
      <w:r w:rsidR="00F41C01" w:rsidRPr="00A60FD5">
        <w:rPr>
          <w:rFonts w:ascii="Times New Roman" w:hAnsi="Times New Roman"/>
          <w:bCs/>
        </w:rPr>
        <w:t>,</w:t>
      </w:r>
      <w:r w:rsidR="00B628D4" w:rsidRPr="00A60FD5">
        <w:rPr>
          <w:rFonts w:ascii="Times New Roman" w:hAnsi="Times New Roman"/>
          <w:bCs/>
        </w:rPr>
        <w:t xml:space="preserve"> 2003).</w:t>
      </w:r>
      <w:r w:rsidR="00B628D4" w:rsidRPr="00A60FD5">
        <w:rPr>
          <w:rFonts w:ascii="Times New Roman" w:hAnsi="Times New Roman"/>
        </w:rPr>
        <w:t xml:space="preserve"> </w:t>
      </w:r>
      <w:r w:rsidR="00B628D4" w:rsidRPr="00A60FD5">
        <w:rPr>
          <w:rFonts w:ascii="Times New Roman" w:hAnsi="Times New Roman"/>
          <w:bCs/>
        </w:rPr>
        <w:t>As stated by Johnson, McMillan</w:t>
      </w:r>
      <w:r w:rsidR="008865BC" w:rsidRPr="00A60FD5">
        <w:rPr>
          <w:rFonts w:ascii="Times New Roman" w:hAnsi="Times New Roman"/>
          <w:bCs/>
        </w:rPr>
        <w:t>,</w:t>
      </w:r>
      <w:r w:rsidR="00B628D4" w:rsidRPr="00A60FD5">
        <w:rPr>
          <w:rFonts w:ascii="Times New Roman" w:hAnsi="Times New Roman"/>
          <w:bCs/>
        </w:rPr>
        <w:t xml:space="preserve"> and Woodruff (2002</w:t>
      </w:r>
      <w:r w:rsidR="0073493D" w:rsidRPr="00A60FD5">
        <w:rPr>
          <w:rFonts w:ascii="Times New Roman" w:hAnsi="Times New Roman"/>
          <w:bCs/>
        </w:rPr>
        <w:t>, p.</w:t>
      </w:r>
      <w:r w:rsidR="00B628D4" w:rsidRPr="00A60FD5">
        <w:rPr>
          <w:rFonts w:ascii="Times New Roman" w:hAnsi="Times New Roman"/>
          <w:bCs/>
        </w:rPr>
        <w:t xml:space="preserve"> 229), arbitrators can base their decisions on information that </w:t>
      </w:r>
      <w:r w:rsidR="008865BC" w:rsidRPr="00A60FD5">
        <w:rPr>
          <w:rFonts w:ascii="Times New Roman" w:hAnsi="Times New Roman"/>
          <w:bCs/>
        </w:rPr>
        <w:t>might</w:t>
      </w:r>
      <w:r w:rsidR="00B628D4" w:rsidRPr="00A60FD5">
        <w:rPr>
          <w:rFonts w:ascii="Times New Roman" w:hAnsi="Times New Roman"/>
          <w:bCs/>
        </w:rPr>
        <w:t xml:space="preserve"> not be admissible in public courts</w:t>
      </w:r>
      <w:r w:rsidR="008865BC" w:rsidRPr="00A60FD5">
        <w:rPr>
          <w:rFonts w:ascii="Times New Roman" w:hAnsi="Times New Roman"/>
          <w:bCs/>
        </w:rPr>
        <w:t>,</w:t>
      </w:r>
      <w:r w:rsidR="00B628D4" w:rsidRPr="00A60FD5">
        <w:rPr>
          <w:rFonts w:ascii="Times New Roman" w:hAnsi="Times New Roman"/>
          <w:bCs/>
        </w:rPr>
        <w:t xml:space="preserve"> such as </w:t>
      </w:r>
      <w:r w:rsidR="00FF7A4A" w:rsidRPr="00A60FD5">
        <w:rPr>
          <w:rFonts w:ascii="Times New Roman" w:hAnsi="Times New Roman"/>
          <w:bCs/>
        </w:rPr>
        <w:t xml:space="preserve">the firms’ </w:t>
      </w:r>
      <w:r w:rsidR="00B628D4" w:rsidRPr="00A60FD5">
        <w:rPr>
          <w:rFonts w:ascii="Times New Roman" w:hAnsi="Times New Roman"/>
          <w:bCs/>
        </w:rPr>
        <w:t xml:space="preserve">behaviors over time and probabilistic patterns, or “impressionistic evidence about </w:t>
      </w:r>
      <w:r w:rsidR="00B628D4" w:rsidRPr="00A60FD5">
        <w:rPr>
          <w:rFonts w:ascii="Times New Roman" w:hAnsi="Times New Roman"/>
          <w:bCs/>
        </w:rPr>
        <w:lastRenderedPageBreak/>
        <w:t>business trends or judgments about the quality of items sold.”</w:t>
      </w:r>
      <w:r w:rsidR="00330DF0" w:rsidRPr="00A60FD5">
        <w:rPr>
          <w:rFonts w:ascii="Times New Roman" w:hAnsi="Times New Roman"/>
          <w:bCs/>
        </w:rPr>
        <w:t xml:space="preserve"> </w:t>
      </w:r>
      <w:r w:rsidR="008539BD" w:rsidRPr="00A60FD5">
        <w:rPr>
          <w:rFonts w:ascii="Times New Roman" w:hAnsi="Times New Roman"/>
          <w:bCs/>
        </w:rPr>
        <w:t>A</w:t>
      </w:r>
      <w:r w:rsidR="002D074C" w:rsidRPr="00A60FD5">
        <w:rPr>
          <w:rFonts w:ascii="Times New Roman" w:hAnsi="Times New Roman"/>
          <w:bCs/>
        </w:rPr>
        <w:t xml:space="preserve">lthough arbitration may be viewed as appropriate for adjusting </w:t>
      </w:r>
      <w:r w:rsidR="008865BC" w:rsidRPr="00A60FD5">
        <w:rPr>
          <w:rFonts w:ascii="Times New Roman" w:hAnsi="Times New Roman"/>
          <w:bCs/>
        </w:rPr>
        <w:t>an</w:t>
      </w:r>
      <w:r w:rsidR="002D074C" w:rsidRPr="00A60FD5">
        <w:rPr>
          <w:rFonts w:ascii="Times New Roman" w:hAnsi="Times New Roman"/>
          <w:bCs/>
        </w:rPr>
        <w:t xml:space="preserve"> exchange </w:t>
      </w:r>
      <w:r w:rsidR="0001195C" w:rsidRPr="00A60FD5">
        <w:rPr>
          <w:rFonts w:ascii="Times New Roman" w:hAnsi="Times New Roman"/>
          <w:bCs/>
          <w:i/>
        </w:rPr>
        <w:t>ex post</w:t>
      </w:r>
      <w:r w:rsidR="0001195C" w:rsidRPr="00A60FD5">
        <w:rPr>
          <w:rFonts w:ascii="Times New Roman" w:hAnsi="Times New Roman"/>
          <w:bCs/>
        </w:rPr>
        <w:t xml:space="preserve"> </w:t>
      </w:r>
      <w:r w:rsidR="002D074C" w:rsidRPr="00A60FD5">
        <w:rPr>
          <w:rFonts w:ascii="Times New Roman" w:hAnsi="Times New Roman"/>
          <w:bCs/>
        </w:rPr>
        <w:t xml:space="preserve">and filling </w:t>
      </w:r>
      <w:r w:rsidR="0001195C" w:rsidRPr="00A60FD5">
        <w:rPr>
          <w:rFonts w:ascii="Times New Roman" w:hAnsi="Times New Roman"/>
          <w:bCs/>
        </w:rPr>
        <w:t xml:space="preserve">possible </w:t>
      </w:r>
      <w:r w:rsidR="002D074C" w:rsidRPr="00A60FD5">
        <w:rPr>
          <w:rFonts w:ascii="Times New Roman" w:hAnsi="Times New Roman"/>
          <w:bCs/>
        </w:rPr>
        <w:t>contractual gaps</w:t>
      </w:r>
      <w:r w:rsidR="008865BC" w:rsidRPr="00A60FD5">
        <w:rPr>
          <w:rFonts w:ascii="Times New Roman" w:hAnsi="Times New Roman"/>
          <w:bCs/>
        </w:rPr>
        <w:t>,</w:t>
      </w:r>
      <w:r w:rsidR="002D074C" w:rsidRPr="00A60FD5">
        <w:rPr>
          <w:rFonts w:ascii="Times New Roman" w:hAnsi="Times New Roman"/>
          <w:bCs/>
        </w:rPr>
        <w:t xml:space="preserve"> damage measures may be </w:t>
      </w:r>
      <w:r w:rsidR="008865BC" w:rsidRPr="00A60FD5">
        <w:rPr>
          <w:rFonts w:ascii="Times New Roman" w:hAnsi="Times New Roman"/>
          <w:bCs/>
        </w:rPr>
        <w:t>perceived</w:t>
      </w:r>
      <w:r w:rsidR="002D074C" w:rsidRPr="00A60FD5">
        <w:rPr>
          <w:rFonts w:ascii="Times New Roman" w:hAnsi="Times New Roman"/>
          <w:bCs/>
        </w:rPr>
        <w:t xml:space="preserve"> as </w:t>
      </w:r>
      <w:r w:rsidR="008865BC" w:rsidRPr="00A60FD5">
        <w:rPr>
          <w:rFonts w:ascii="Times New Roman" w:hAnsi="Times New Roman"/>
          <w:bCs/>
        </w:rPr>
        <w:t>less than satisfactory</w:t>
      </w:r>
      <w:r w:rsidR="008539BD" w:rsidRPr="00A60FD5">
        <w:rPr>
          <w:rFonts w:ascii="Times New Roman" w:hAnsi="Times New Roman"/>
          <w:bCs/>
        </w:rPr>
        <w:t xml:space="preserve"> </w:t>
      </w:r>
      <w:r w:rsidR="002D074C" w:rsidRPr="00A60FD5">
        <w:rPr>
          <w:rFonts w:ascii="Times New Roman" w:hAnsi="Times New Roman"/>
        </w:rPr>
        <w:t>(Bernstein</w:t>
      </w:r>
      <w:r w:rsidR="00F41C01" w:rsidRPr="00A60FD5">
        <w:rPr>
          <w:rFonts w:ascii="Times New Roman" w:hAnsi="Times New Roman"/>
        </w:rPr>
        <w:t>,</w:t>
      </w:r>
      <w:r w:rsidR="002D074C" w:rsidRPr="00A60FD5">
        <w:rPr>
          <w:rFonts w:ascii="Times New Roman" w:hAnsi="Times New Roman"/>
        </w:rPr>
        <w:t xml:space="preserve"> 2001).</w:t>
      </w:r>
      <w:r w:rsidR="002D074C" w:rsidRPr="00A60FD5">
        <w:rPr>
          <w:rFonts w:ascii="Times New Roman" w:hAnsi="Times New Roman" w:cs="Times New Roman"/>
          <w:bCs/>
        </w:rPr>
        <w:t xml:space="preserve"> </w:t>
      </w:r>
      <w:r w:rsidR="008539BD" w:rsidRPr="00A60FD5">
        <w:rPr>
          <w:rFonts w:ascii="Times New Roman" w:hAnsi="Times New Roman" w:cs="Times New Roman"/>
          <w:bCs/>
        </w:rPr>
        <w:t xml:space="preserve">Private judges tend to offer decisions that both disputing parties prefer. </w:t>
      </w:r>
      <w:r w:rsidR="009F721B" w:rsidRPr="00A60FD5">
        <w:rPr>
          <w:rFonts w:ascii="Times New Roman" w:hAnsi="Times New Roman" w:cs="Times New Roman"/>
          <w:bCs/>
        </w:rPr>
        <w:t xml:space="preserve">In this regard, Cooter and Rubinfeld (1989) point out that arbitrators maximize their own incomes by </w:t>
      </w:r>
      <w:r w:rsidR="008E5DCB" w:rsidRPr="00A60FD5">
        <w:rPr>
          <w:rFonts w:ascii="Times New Roman" w:hAnsi="Times New Roman" w:cs="Times New Roman"/>
          <w:bCs/>
        </w:rPr>
        <w:t xml:space="preserve">resolving </w:t>
      </w:r>
      <w:r w:rsidR="009F721B" w:rsidRPr="00A60FD5">
        <w:rPr>
          <w:rFonts w:ascii="Times New Roman" w:hAnsi="Times New Roman" w:cs="Times New Roman"/>
          <w:bCs/>
        </w:rPr>
        <w:t xml:space="preserve">disputes </w:t>
      </w:r>
      <w:r w:rsidR="008E5DCB" w:rsidRPr="00A60FD5">
        <w:rPr>
          <w:rFonts w:ascii="Times New Roman" w:hAnsi="Times New Roman" w:cs="Times New Roman"/>
          <w:bCs/>
        </w:rPr>
        <w:t xml:space="preserve">in such a way </w:t>
      </w:r>
      <w:r w:rsidR="009F721B" w:rsidRPr="00A60FD5">
        <w:rPr>
          <w:rFonts w:ascii="Times New Roman" w:hAnsi="Times New Roman" w:cs="Times New Roman"/>
          <w:bCs/>
        </w:rPr>
        <w:t xml:space="preserve">as to maximize the demand </w:t>
      </w:r>
      <w:r w:rsidR="008E5DCB" w:rsidRPr="00A60FD5">
        <w:rPr>
          <w:rFonts w:ascii="Times New Roman" w:hAnsi="Times New Roman" w:cs="Times New Roman"/>
          <w:bCs/>
        </w:rPr>
        <w:t xml:space="preserve">for </w:t>
      </w:r>
      <w:r w:rsidR="009F721B" w:rsidRPr="00A60FD5">
        <w:rPr>
          <w:rFonts w:ascii="Times New Roman" w:hAnsi="Times New Roman" w:cs="Times New Roman"/>
          <w:bCs/>
        </w:rPr>
        <w:t xml:space="preserve">their services. </w:t>
      </w:r>
    </w:p>
    <w:p w14:paraId="2377181F" w14:textId="4F5086A4" w:rsidR="0001195C" w:rsidRPr="00A60FD5" w:rsidRDefault="002E372C" w:rsidP="00A05DE5">
      <w:pPr>
        <w:autoSpaceDE w:val="0"/>
        <w:autoSpaceDN w:val="0"/>
        <w:adjustRightInd w:val="0"/>
        <w:spacing w:after="0" w:line="480" w:lineRule="auto"/>
        <w:ind w:firstLine="624"/>
        <w:rPr>
          <w:rFonts w:ascii="Times New Roman" w:hAnsi="Times New Roman" w:cs="Times New Roman"/>
        </w:rPr>
      </w:pPr>
      <w:r w:rsidRPr="00A60FD5">
        <w:rPr>
          <w:rFonts w:ascii="Times New Roman" w:hAnsi="Times New Roman" w:cs="Times New Roman"/>
          <w:bCs/>
        </w:rPr>
        <w:t>Consequently, the two fora do not share the same presumption of exchange continuity beyond disputes</w:t>
      </w:r>
      <w:r w:rsidR="008865BC" w:rsidRPr="00A60FD5">
        <w:rPr>
          <w:rFonts w:ascii="Times New Roman" w:hAnsi="Times New Roman" w:cs="Times New Roman"/>
          <w:bCs/>
        </w:rPr>
        <w:t>,</w:t>
      </w:r>
      <w:r w:rsidR="00B628D4" w:rsidRPr="00A60FD5">
        <w:rPr>
          <w:rFonts w:ascii="Times New Roman" w:hAnsi="Times New Roman" w:cs="Times New Roman"/>
          <w:bCs/>
        </w:rPr>
        <w:t xml:space="preserve"> and </w:t>
      </w:r>
      <w:r w:rsidR="008865BC" w:rsidRPr="00A60FD5">
        <w:rPr>
          <w:rFonts w:ascii="Times New Roman" w:hAnsi="Times New Roman" w:cs="Times New Roman"/>
          <w:bCs/>
        </w:rPr>
        <w:t xml:space="preserve">they </w:t>
      </w:r>
      <w:r w:rsidR="00B628D4" w:rsidRPr="00A60FD5">
        <w:rPr>
          <w:rFonts w:ascii="Times New Roman" w:hAnsi="Times New Roman" w:cs="Times New Roman"/>
          <w:bCs/>
        </w:rPr>
        <w:t xml:space="preserve">differ in their ability </w:t>
      </w:r>
      <w:r w:rsidR="00B628D4" w:rsidRPr="00A60FD5">
        <w:rPr>
          <w:rFonts w:ascii="Times New Roman" w:hAnsi="Times New Roman" w:cs="Times New Roman"/>
        </w:rPr>
        <w:t>to efficiently and intelligently deliver a settlement</w:t>
      </w:r>
      <w:r w:rsidRPr="00A60FD5">
        <w:rPr>
          <w:rFonts w:ascii="Times New Roman" w:hAnsi="Times New Roman" w:cs="Times New Roman"/>
          <w:bCs/>
        </w:rPr>
        <w:t>.</w:t>
      </w:r>
      <w:r w:rsidR="00090F96" w:rsidRPr="00A60FD5">
        <w:rPr>
          <w:rFonts w:ascii="Times New Roman" w:hAnsi="Times New Roman" w:cs="Times New Roman"/>
          <w:bCs/>
        </w:rPr>
        <w:t xml:space="preserve"> </w:t>
      </w:r>
      <w:r w:rsidR="00D468CD" w:rsidRPr="00A60FD5">
        <w:rPr>
          <w:rFonts w:ascii="Times New Roman" w:hAnsi="Times New Roman" w:cs="Times New Roman"/>
        </w:rPr>
        <w:t xml:space="preserve">Such </w:t>
      </w:r>
      <w:r w:rsidR="00F64CB6" w:rsidRPr="00A60FD5">
        <w:rPr>
          <w:rFonts w:ascii="Times New Roman" w:hAnsi="Times New Roman" w:cs="Times New Roman"/>
        </w:rPr>
        <w:t>discrepancies</w:t>
      </w:r>
      <w:r w:rsidR="00FB029B" w:rsidRPr="00A60FD5">
        <w:rPr>
          <w:rFonts w:ascii="Times New Roman" w:hAnsi="Times New Roman" w:cs="Times New Roman"/>
        </w:rPr>
        <w:t xml:space="preserve"> explain</w:t>
      </w:r>
      <w:r w:rsidR="00D468CD" w:rsidRPr="00A60FD5">
        <w:rPr>
          <w:rFonts w:ascii="Times New Roman" w:hAnsi="Times New Roman" w:cs="Times New Roman"/>
        </w:rPr>
        <w:t xml:space="preserve"> </w:t>
      </w:r>
      <w:r w:rsidR="00FB029B" w:rsidRPr="00A60FD5">
        <w:rPr>
          <w:rFonts w:ascii="Times New Roman" w:hAnsi="Times New Roman" w:cs="Times New Roman"/>
        </w:rPr>
        <w:t>t</w:t>
      </w:r>
      <w:r w:rsidR="00120CFB" w:rsidRPr="00A60FD5">
        <w:rPr>
          <w:rFonts w:ascii="Times New Roman" w:hAnsi="Times New Roman" w:cs="Times New Roman"/>
        </w:rPr>
        <w:t>he</w:t>
      </w:r>
      <w:r w:rsidR="002A69AC" w:rsidRPr="00A60FD5">
        <w:rPr>
          <w:rFonts w:ascii="Times New Roman" w:hAnsi="Times New Roman" w:cs="Times New Roman"/>
        </w:rPr>
        <w:t xml:space="preserve"> </w:t>
      </w:r>
      <w:r w:rsidR="009F4338" w:rsidRPr="00A60FD5">
        <w:rPr>
          <w:rFonts w:ascii="Times New Roman" w:hAnsi="Times New Roman" w:cs="Times New Roman"/>
        </w:rPr>
        <w:t>link</w:t>
      </w:r>
      <w:r w:rsidR="00120CFB" w:rsidRPr="00A60FD5">
        <w:rPr>
          <w:rFonts w:ascii="Times New Roman" w:hAnsi="Times New Roman" w:cs="Times New Roman"/>
        </w:rPr>
        <w:t xml:space="preserve"> between public ordering and simple exchange</w:t>
      </w:r>
      <w:r w:rsidR="0099000F" w:rsidRPr="00A60FD5">
        <w:rPr>
          <w:rFonts w:ascii="Times New Roman" w:hAnsi="Times New Roman" w:cs="Times New Roman"/>
        </w:rPr>
        <w:t>s</w:t>
      </w:r>
      <w:r w:rsidR="00FB029B" w:rsidRPr="00A60FD5">
        <w:rPr>
          <w:rFonts w:ascii="Times New Roman" w:hAnsi="Times New Roman" w:cs="Times New Roman"/>
        </w:rPr>
        <w:t>.</w:t>
      </w:r>
      <w:r w:rsidR="002A69AC" w:rsidRPr="00A60FD5">
        <w:rPr>
          <w:rFonts w:ascii="Times New Roman" w:hAnsi="Times New Roman" w:cs="Times New Roman"/>
        </w:rPr>
        <w:t xml:space="preserve"> First, </w:t>
      </w:r>
      <w:r w:rsidR="00541096" w:rsidRPr="00A60FD5">
        <w:rPr>
          <w:rFonts w:ascii="Times New Roman" w:hAnsi="Times New Roman" w:cs="Times New Roman"/>
        </w:rPr>
        <w:t>in simple and discrete exchanges</w:t>
      </w:r>
      <w:r w:rsidR="008865BC" w:rsidRPr="00A60FD5">
        <w:rPr>
          <w:rFonts w:ascii="Times New Roman" w:hAnsi="Times New Roman" w:cs="Times New Roman"/>
        </w:rPr>
        <w:t>,</w:t>
      </w:r>
      <w:r w:rsidR="00541096" w:rsidRPr="00A60FD5">
        <w:rPr>
          <w:rFonts w:ascii="Times New Roman" w:hAnsi="Times New Roman" w:cs="Times New Roman"/>
        </w:rPr>
        <w:t xml:space="preserve"> </w:t>
      </w:r>
      <w:r w:rsidR="006F627E" w:rsidRPr="00A60FD5">
        <w:rPr>
          <w:rFonts w:ascii="Times New Roman" w:hAnsi="Times New Roman" w:cs="Times New Roman"/>
        </w:rPr>
        <w:t xml:space="preserve">there are </w:t>
      </w:r>
      <w:r w:rsidR="00541096" w:rsidRPr="00A60FD5">
        <w:rPr>
          <w:rFonts w:ascii="Times New Roman" w:hAnsi="Times New Roman" w:cs="Times New Roman"/>
        </w:rPr>
        <w:t xml:space="preserve">no significant relations </w:t>
      </w:r>
      <w:r w:rsidR="006F627E" w:rsidRPr="00A60FD5">
        <w:rPr>
          <w:rFonts w:ascii="Times New Roman" w:hAnsi="Times New Roman" w:cs="Times New Roman"/>
        </w:rPr>
        <w:t xml:space="preserve">that need </w:t>
      </w:r>
      <w:r w:rsidR="00541096" w:rsidRPr="00A60FD5">
        <w:rPr>
          <w:rFonts w:ascii="Times New Roman" w:hAnsi="Times New Roman" w:cs="Times New Roman"/>
        </w:rPr>
        <w:t>to be preserved beyond possible disputes.</w:t>
      </w:r>
      <w:r w:rsidR="00DE5906" w:rsidRPr="00A60FD5">
        <w:rPr>
          <w:rFonts w:ascii="Times New Roman" w:hAnsi="Times New Roman" w:cs="Times New Roman"/>
        </w:rPr>
        <w:t xml:space="preserve"> By definition, partner identity is </w:t>
      </w:r>
      <w:r w:rsidR="00D23AD0" w:rsidRPr="00A60FD5">
        <w:rPr>
          <w:rFonts w:ascii="Times New Roman" w:hAnsi="Times New Roman" w:cs="Times New Roman"/>
        </w:rPr>
        <w:t xml:space="preserve">treated as irrelevant </w:t>
      </w:r>
      <w:r w:rsidR="00DE5906" w:rsidRPr="00A60FD5">
        <w:rPr>
          <w:rFonts w:ascii="Times New Roman" w:hAnsi="Times New Roman" w:cs="Times New Roman"/>
        </w:rPr>
        <w:t>and resources can be readily deployed to other exchanges (Klein et al.</w:t>
      </w:r>
      <w:r w:rsidR="00F41C01" w:rsidRPr="00A60FD5">
        <w:rPr>
          <w:rFonts w:ascii="Times New Roman" w:hAnsi="Times New Roman" w:cs="Times New Roman"/>
        </w:rPr>
        <w:t>,</w:t>
      </w:r>
      <w:r w:rsidR="00DE5906" w:rsidRPr="00A60FD5">
        <w:rPr>
          <w:rFonts w:ascii="Times New Roman" w:hAnsi="Times New Roman" w:cs="Times New Roman"/>
        </w:rPr>
        <w:t xml:space="preserve"> 1978</w:t>
      </w:r>
      <w:r w:rsidR="00F41C01" w:rsidRPr="00A60FD5">
        <w:rPr>
          <w:rFonts w:ascii="Times New Roman" w:hAnsi="Times New Roman" w:cs="Times New Roman"/>
        </w:rPr>
        <w:t>;</w:t>
      </w:r>
      <w:r w:rsidR="00DE5906" w:rsidRPr="00A60FD5">
        <w:rPr>
          <w:rFonts w:ascii="Times New Roman" w:hAnsi="Times New Roman" w:cs="Times New Roman"/>
        </w:rPr>
        <w:t xml:space="preserve"> Williamson</w:t>
      </w:r>
      <w:r w:rsidR="00F41C01" w:rsidRPr="00A60FD5">
        <w:rPr>
          <w:rFonts w:ascii="Times New Roman" w:hAnsi="Times New Roman" w:cs="Times New Roman"/>
        </w:rPr>
        <w:t>,</w:t>
      </w:r>
      <w:r w:rsidR="00DE5906" w:rsidRPr="00A60FD5">
        <w:rPr>
          <w:rFonts w:ascii="Times New Roman" w:hAnsi="Times New Roman" w:cs="Times New Roman"/>
        </w:rPr>
        <w:t xml:space="preserve"> 1991). </w:t>
      </w:r>
      <w:r w:rsidR="002A69AC" w:rsidRPr="00A60FD5">
        <w:rPr>
          <w:rFonts w:ascii="Times New Roman" w:hAnsi="Times New Roman" w:cs="Times New Roman"/>
        </w:rPr>
        <w:t xml:space="preserve">Second, </w:t>
      </w:r>
      <w:r w:rsidR="00541096" w:rsidRPr="00A60FD5">
        <w:rPr>
          <w:rFonts w:ascii="Times New Roman" w:hAnsi="Times New Roman" w:cs="Times New Roman"/>
        </w:rPr>
        <w:t>in such exchanges</w:t>
      </w:r>
      <w:r w:rsidR="006F627E" w:rsidRPr="00A60FD5">
        <w:rPr>
          <w:rFonts w:ascii="Times New Roman" w:hAnsi="Times New Roman" w:cs="Times New Roman"/>
        </w:rPr>
        <w:t>,</w:t>
      </w:r>
      <w:r w:rsidR="00541096" w:rsidRPr="00A60FD5">
        <w:rPr>
          <w:rFonts w:ascii="Times New Roman" w:hAnsi="Times New Roman" w:cs="Times New Roman"/>
        </w:rPr>
        <w:t xml:space="preserve"> </w:t>
      </w:r>
      <w:r w:rsidR="00A022B4" w:rsidRPr="00A60FD5">
        <w:rPr>
          <w:rFonts w:ascii="Times New Roman" w:hAnsi="Times New Roman" w:cs="Times New Roman"/>
        </w:rPr>
        <w:t>qualified as “sharp in by clear agreement; sharp out by clear performance” by Macneil (1974)</w:t>
      </w:r>
      <w:r w:rsidR="00541096" w:rsidRPr="00A60FD5">
        <w:rPr>
          <w:rFonts w:ascii="Times New Roman" w:hAnsi="Times New Roman" w:cs="Times New Roman"/>
        </w:rPr>
        <w:t>,</w:t>
      </w:r>
      <w:r w:rsidR="008865BC" w:rsidRPr="00A60FD5">
        <w:rPr>
          <w:rFonts w:ascii="Times New Roman" w:hAnsi="Times New Roman" w:cs="Times New Roman"/>
        </w:rPr>
        <w:t xml:space="preserve"> the</w:t>
      </w:r>
      <w:r w:rsidR="00541096" w:rsidRPr="00A60FD5">
        <w:rPr>
          <w:rFonts w:ascii="Times New Roman" w:hAnsi="Times New Roman" w:cs="Times New Roman"/>
        </w:rPr>
        <w:t xml:space="preserve"> information needed for </w:t>
      </w:r>
      <w:r w:rsidR="0001195C" w:rsidRPr="00A60FD5">
        <w:rPr>
          <w:rFonts w:ascii="Times New Roman" w:hAnsi="Times New Roman" w:cs="Times New Roman"/>
        </w:rPr>
        <w:t>settling</w:t>
      </w:r>
      <w:r w:rsidR="00541096" w:rsidRPr="00A60FD5">
        <w:rPr>
          <w:rFonts w:ascii="Times New Roman" w:hAnsi="Times New Roman" w:cs="Times New Roman"/>
        </w:rPr>
        <w:t xml:space="preserve"> disputes is likely to be readily accessible to courts and disputes can be resolved </w:t>
      </w:r>
      <w:r w:rsidR="008865BC" w:rsidRPr="00A60FD5">
        <w:rPr>
          <w:rFonts w:ascii="Times New Roman" w:hAnsi="Times New Roman" w:cs="Times New Roman"/>
        </w:rPr>
        <w:t>on the basis of the contract’s</w:t>
      </w:r>
      <w:r w:rsidR="00541096" w:rsidRPr="00A60FD5">
        <w:rPr>
          <w:rFonts w:ascii="Times New Roman" w:hAnsi="Times New Roman" w:cs="Times New Roman"/>
        </w:rPr>
        <w:t xml:space="preserve"> content. </w:t>
      </w:r>
      <w:r w:rsidR="008865BC" w:rsidRPr="00A60FD5">
        <w:rPr>
          <w:rFonts w:ascii="Times New Roman" w:hAnsi="Times New Roman" w:cs="Times New Roman"/>
        </w:rPr>
        <w:t>Therefore, d</w:t>
      </w:r>
      <w:r w:rsidR="00541096" w:rsidRPr="00A60FD5">
        <w:rPr>
          <w:rFonts w:ascii="Times New Roman" w:hAnsi="Times New Roman" w:cs="Times New Roman"/>
        </w:rPr>
        <w:t xml:space="preserve">efection from the original agreement </w:t>
      </w:r>
      <w:r w:rsidR="009F4338" w:rsidRPr="00A60FD5">
        <w:rPr>
          <w:rFonts w:ascii="Times New Roman" w:hAnsi="Times New Roman" w:cs="Times New Roman"/>
        </w:rPr>
        <w:t xml:space="preserve">can often </w:t>
      </w:r>
      <w:r w:rsidR="00541096" w:rsidRPr="00A60FD5">
        <w:rPr>
          <w:rFonts w:ascii="Times New Roman" w:hAnsi="Times New Roman" w:cs="Times New Roman"/>
        </w:rPr>
        <w:t>be efficiently deterred by public courts and their promise of legal sanctions (Macneil</w:t>
      </w:r>
      <w:r w:rsidR="00F41C01" w:rsidRPr="00A60FD5">
        <w:rPr>
          <w:rFonts w:ascii="Times New Roman" w:hAnsi="Times New Roman" w:cs="Times New Roman"/>
        </w:rPr>
        <w:t>,</w:t>
      </w:r>
      <w:r w:rsidR="00541096" w:rsidRPr="00A60FD5">
        <w:rPr>
          <w:rFonts w:ascii="Times New Roman" w:hAnsi="Times New Roman" w:cs="Times New Roman"/>
        </w:rPr>
        <w:t xml:space="preserve"> 1962</w:t>
      </w:r>
      <w:r w:rsidR="00F41C01" w:rsidRPr="00A60FD5">
        <w:rPr>
          <w:rFonts w:ascii="Times New Roman" w:hAnsi="Times New Roman" w:cs="Times New Roman"/>
        </w:rPr>
        <w:t>;</w:t>
      </w:r>
      <w:r w:rsidR="00541096" w:rsidRPr="00A60FD5">
        <w:rPr>
          <w:rFonts w:ascii="Times New Roman" w:hAnsi="Times New Roman" w:cs="Times New Roman"/>
        </w:rPr>
        <w:t xml:space="preserve"> Williamson</w:t>
      </w:r>
      <w:r w:rsidR="00F41C01" w:rsidRPr="00A60FD5">
        <w:rPr>
          <w:rFonts w:ascii="Times New Roman" w:hAnsi="Times New Roman" w:cs="Times New Roman"/>
        </w:rPr>
        <w:t>,</w:t>
      </w:r>
      <w:r w:rsidR="00541096" w:rsidRPr="00A60FD5">
        <w:rPr>
          <w:rFonts w:ascii="Times New Roman" w:hAnsi="Times New Roman" w:cs="Times New Roman"/>
        </w:rPr>
        <w:t xml:space="preserve"> 1991). </w:t>
      </w:r>
    </w:p>
    <w:p w14:paraId="0164F232" w14:textId="76525F5C" w:rsidR="00B1236E" w:rsidRPr="00A60FD5" w:rsidRDefault="0001195C" w:rsidP="00A05DE5">
      <w:pPr>
        <w:autoSpaceDE w:val="0"/>
        <w:autoSpaceDN w:val="0"/>
        <w:adjustRightInd w:val="0"/>
        <w:spacing w:after="0" w:line="480" w:lineRule="auto"/>
        <w:ind w:firstLine="624"/>
        <w:rPr>
          <w:rFonts w:ascii="Times New Roman" w:hAnsi="Times New Roman" w:cs="Times New Roman"/>
        </w:rPr>
      </w:pPr>
      <w:r w:rsidRPr="00A60FD5">
        <w:rPr>
          <w:rFonts w:ascii="Times New Roman" w:hAnsi="Times New Roman" w:cs="Times New Roman"/>
        </w:rPr>
        <w:t>E</w:t>
      </w:r>
      <w:r w:rsidR="004A2DBA" w:rsidRPr="00A60FD5">
        <w:rPr>
          <w:rFonts w:ascii="Times New Roman" w:hAnsi="Times New Roman" w:cs="Times New Roman"/>
        </w:rPr>
        <w:t xml:space="preserve">stablishing </w:t>
      </w:r>
      <w:r w:rsidR="0099000F" w:rsidRPr="00A60FD5">
        <w:rPr>
          <w:rFonts w:ascii="Times New Roman" w:hAnsi="Times New Roman" w:cs="Times New Roman"/>
        </w:rPr>
        <w:t>the greater perceived suitability of one resolution mechanism</w:t>
      </w:r>
      <w:r w:rsidR="00457F40" w:rsidRPr="00A60FD5">
        <w:rPr>
          <w:rFonts w:ascii="Times New Roman" w:hAnsi="Times New Roman" w:cs="Times New Roman"/>
        </w:rPr>
        <w:t xml:space="preserve"> over the other</w:t>
      </w:r>
      <w:r w:rsidR="0099000F" w:rsidRPr="00A60FD5">
        <w:rPr>
          <w:rFonts w:ascii="Times New Roman" w:hAnsi="Times New Roman" w:cs="Times New Roman"/>
        </w:rPr>
        <w:t xml:space="preserve"> is </w:t>
      </w:r>
      <w:r w:rsidR="008865BC" w:rsidRPr="00A60FD5">
        <w:rPr>
          <w:rFonts w:ascii="Times New Roman" w:hAnsi="Times New Roman" w:cs="Times New Roman"/>
        </w:rPr>
        <w:t>more difficult</w:t>
      </w:r>
      <w:r w:rsidR="00D468CD" w:rsidRPr="00A60FD5">
        <w:rPr>
          <w:rFonts w:ascii="Times New Roman" w:hAnsi="Times New Roman" w:cs="Times New Roman"/>
        </w:rPr>
        <w:t xml:space="preserve"> </w:t>
      </w:r>
      <w:r w:rsidR="0099000F" w:rsidRPr="00A60FD5">
        <w:rPr>
          <w:rFonts w:ascii="Times New Roman" w:hAnsi="Times New Roman" w:cs="Times New Roman"/>
        </w:rPr>
        <w:t>when exchange</w:t>
      </w:r>
      <w:r w:rsidR="00961C71" w:rsidRPr="00A60FD5">
        <w:rPr>
          <w:rFonts w:ascii="Times New Roman" w:hAnsi="Times New Roman" w:cs="Times New Roman"/>
        </w:rPr>
        <w:t>s are o</w:t>
      </w:r>
      <w:r w:rsidR="0099000F" w:rsidRPr="00A60FD5">
        <w:rPr>
          <w:rFonts w:ascii="Times New Roman" w:hAnsi="Times New Roman" w:cs="Times New Roman"/>
        </w:rPr>
        <w:t xml:space="preserve">f a </w:t>
      </w:r>
      <w:r w:rsidR="00B30B33" w:rsidRPr="00A60FD5">
        <w:rPr>
          <w:rFonts w:ascii="Times New Roman" w:hAnsi="Times New Roman" w:cs="Times New Roman"/>
        </w:rPr>
        <w:t xml:space="preserve">more </w:t>
      </w:r>
      <w:r w:rsidR="0099000F" w:rsidRPr="00A60FD5">
        <w:rPr>
          <w:rFonts w:ascii="Times New Roman" w:hAnsi="Times New Roman" w:cs="Times New Roman"/>
        </w:rPr>
        <w:t>relational nature</w:t>
      </w:r>
      <w:r w:rsidR="00457F40" w:rsidRPr="00A60FD5">
        <w:rPr>
          <w:rFonts w:ascii="Times New Roman" w:hAnsi="Times New Roman" w:cs="Times New Roman"/>
        </w:rPr>
        <w:t>,</w:t>
      </w:r>
      <w:r w:rsidRPr="00A60FD5">
        <w:rPr>
          <w:rFonts w:ascii="Times New Roman" w:hAnsi="Times New Roman" w:cs="Times New Roman"/>
        </w:rPr>
        <w:t xml:space="preserve"> however</w:t>
      </w:r>
      <w:r w:rsidR="0099000F" w:rsidRPr="00A60FD5">
        <w:rPr>
          <w:rFonts w:ascii="Times New Roman" w:hAnsi="Times New Roman" w:cs="Times New Roman"/>
        </w:rPr>
        <w:t xml:space="preserve">. </w:t>
      </w:r>
      <w:r w:rsidR="00961C71" w:rsidRPr="00A60FD5">
        <w:rPr>
          <w:rFonts w:ascii="Times New Roman" w:hAnsi="Times New Roman" w:cs="Times New Roman"/>
        </w:rPr>
        <w:t xml:space="preserve">In what follows, </w:t>
      </w:r>
      <w:r w:rsidR="009F4338" w:rsidRPr="00A60FD5">
        <w:rPr>
          <w:rFonts w:ascii="Times New Roman" w:hAnsi="Times New Roman" w:cs="Times New Roman"/>
        </w:rPr>
        <w:t>we</w:t>
      </w:r>
      <w:r w:rsidR="00F64CB6" w:rsidRPr="00A60FD5">
        <w:rPr>
          <w:rFonts w:ascii="Times New Roman" w:hAnsi="Times New Roman" w:cs="Times New Roman"/>
        </w:rPr>
        <w:t xml:space="preserve"> theor</w:t>
      </w:r>
      <w:r w:rsidR="009F4338" w:rsidRPr="00A60FD5">
        <w:rPr>
          <w:rFonts w:ascii="Times New Roman" w:hAnsi="Times New Roman" w:cs="Times New Roman"/>
        </w:rPr>
        <w:t>eticall</w:t>
      </w:r>
      <w:r w:rsidR="00F64CB6" w:rsidRPr="00A60FD5">
        <w:rPr>
          <w:rFonts w:ascii="Times New Roman" w:hAnsi="Times New Roman" w:cs="Times New Roman"/>
        </w:rPr>
        <w:t xml:space="preserve">y explore how contractual orientations adopted by </w:t>
      </w:r>
      <w:r w:rsidR="008539BD" w:rsidRPr="00A60FD5">
        <w:rPr>
          <w:rFonts w:ascii="Times New Roman" w:hAnsi="Times New Roman" w:cs="Times New Roman"/>
        </w:rPr>
        <w:t xml:space="preserve">licensing </w:t>
      </w:r>
      <w:r w:rsidR="00F64CB6" w:rsidRPr="00A60FD5">
        <w:rPr>
          <w:rFonts w:ascii="Times New Roman" w:hAnsi="Times New Roman" w:cs="Times New Roman"/>
        </w:rPr>
        <w:t>partner</w:t>
      </w:r>
      <w:r w:rsidR="008539BD" w:rsidRPr="00A60FD5">
        <w:rPr>
          <w:rFonts w:ascii="Times New Roman" w:hAnsi="Times New Roman" w:cs="Times New Roman"/>
        </w:rPr>
        <w:t>s</w:t>
      </w:r>
      <w:r w:rsidR="00F64CB6" w:rsidRPr="00A60FD5">
        <w:rPr>
          <w:rFonts w:ascii="Times New Roman" w:hAnsi="Times New Roman" w:cs="Times New Roman"/>
        </w:rPr>
        <w:t xml:space="preserve"> </w:t>
      </w:r>
      <w:r w:rsidR="008865BC" w:rsidRPr="00A60FD5">
        <w:rPr>
          <w:rFonts w:ascii="Times New Roman" w:hAnsi="Times New Roman" w:cs="Times New Roman"/>
        </w:rPr>
        <w:t>in</w:t>
      </w:r>
      <w:r w:rsidR="00F64CB6" w:rsidRPr="00A60FD5">
        <w:rPr>
          <w:rFonts w:ascii="Times New Roman" w:hAnsi="Times New Roman" w:cs="Times New Roman"/>
        </w:rPr>
        <w:t xml:space="preserve"> response to anticipated moral hazards and coordination challenges </w:t>
      </w:r>
      <w:r w:rsidR="008865BC" w:rsidRPr="00A60FD5">
        <w:rPr>
          <w:rFonts w:ascii="Times New Roman" w:hAnsi="Times New Roman" w:cs="Times New Roman"/>
        </w:rPr>
        <w:t>are</w:t>
      </w:r>
      <w:r w:rsidR="00F64CB6" w:rsidRPr="00A60FD5">
        <w:rPr>
          <w:rFonts w:ascii="Times New Roman" w:hAnsi="Times New Roman" w:cs="Times New Roman"/>
        </w:rPr>
        <w:t xml:space="preserve"> likely to influence the choice of dispute</w:t>
      </w:r>
      <w:r w:rsidR="008865BC" w:rsidRPr="00A60FD5">
        <w:rPr>
          <w:rFonts w:ascii="Times New Roman" w:hAnsi="Times New Roman" w:cs="Times New Roman"/>
        </w:rPr>
        <w:t>-</w:t>
      </w:r>
      <w:r w:rsidR="00F64CB6" w:rsidRPr="00A60FD5">
        <w:rPr>
          <w:rFonts w:ascii="Times New Roman" w:hAnsi="Times New Roman" w:cs="Times New Roman"/>
        </w:rPr>
        <w:t xml:space="preserve">resolution mechanism. </w:t>
      </w:r>
    </w:p>
    <w:p w14:paraId="7A9BCB97" w14:textId="0DE57DA9" w:rsidR="007567DC" w:rsidRPr="00A60FD5" w:rsidRDefault="008350D0" w:rsidP="00FB7187">
      <w:pPr>
        <w:tabs>
          <w:tab w:val="left" w:pos="2663"/>
        </w:tabs>
        <w:spacing w:after="0" w:line="480" w:lineRule="auto"/>
        <w:rPr>
          <w:rFonts w:ascii="Times New Roman" w:hAnsi="Times New Roman" w:cs="Times New Roman"/>
          <w:b/>
        </w:rPr>
      </w:pPr>
      <w:r w:rsidRPr="00A60FD5">
        <w:rPr>
          <w:rFonts w:ascii="Times New Roman" w:hAnsi="Times New Roman" w:cs="Times New Roman"/>
          <w:b/>
        </w:rPr>
        <w:t xml:space="preserve">2.2 </w:t>
      </w:r>
      <w:r w:rsidR="007F22C0" w:rsidRPr="00A60FD5">
        <w:rPr>
          <w:rFonts w:ascii="Times New Roman" w:hAnsi="Times New Roman" w:cs="Times New Roman"/>
          <w:b/>
        </w:rPr>
        <w:t xml:space="preserve">The choice of arbitration </w:t>
      </w:r>
      <w:r w:rsidR="008539BD" w:rsidRPr="00A60FD5">
        <w:rPr>
          <w:rFonts w:ascii="Times New Roman" w:hAnsi="Times New Roman" w:cs="Times New Roman"/>
          <w:b/>
        </w:rPr>
        <w:t xml:space="preserve">in </w:t>
      </w:r>
      <w:r w:rsidR="007F22C0" w:rsidRPr="00A60FD5">
        <w:rPr>
          <w:rFonts w:ascii="Times New Roman" w:hAnsi="Times New Roman" w:cs="Times New Roman"/>
          <w:b/>
        </w:rPr>
        <w:t>licensing</w:t>
      </w:r>
      <w:r w:rsidR="00077D93" w:rsidRPr="00A60FD5">
        <w:rPr>
          <w:rFonts w:ascii="Times New Roman" w:hAnsi="Times New Roman" w:cs="Times New Roman"/>
          <w:b/>
        </w:rPr>
        <w:t xml:space="preserve"> contracts</w:t>
      </w:r>
      <w:r w:rsidR="007F22C0" w:rsidRPr="00A60FD5">
        <w:rPr>
          <w:rFonts w:ascii="Times New Roman" w:hAnsi="Times New Roman" w:cs="Times New Roman"/>
          <w:b/>
        </w:rPr>
        <w:t>: Research Hypotheses</w:t>
      </w:r>
    </w:p>
    <w:p w14:paraId="3A6CDC4F" w14:textId="19D1DE37" w:rsidR="006B18D3" w:rsidRPr="00A60FD5" w:rsidRDefault="002F5BD7" w:rsidP="00FB7187">
      <w:pPr>
        <w:tabs>
          <w:tab w:val="left" w:pos="2663"/>
        </w:tabs>
        <w:spacing w:after="0" w:line="480" w:lineRule="auto"/>
        <w:rPr>
          <w:rFonts w:ascii="Times New Roman" w:hAnsi="Times New Roman" w:cs="Times New Roman"/>
        </w:rPr>
      </w:pPr>
      <w:r w:rsidRPr="00A60FD5">
        <w:rPr>
          <w:rFonts w:ascii="Times New Roman" w:hAnsi="Times New Roman" w:cs="Times New Roman"/>
        </w:rPr>
        <w:t>Licensing is a particular type of collaboration, characterized by an important asymmetry in the nature of partners’ contributions and</w:t>
      </w:r>
      <w:r w:rsidR="008539BD" w:rsidRPr="00A60FD5">
        <w:rPr>
          <w:rFonts w:ascii="Times New Roman" w:hAnsi="Times New Roman" w:cs="Times New Roman"/>
        </w:rPr>
        <w:t xml:space="preserve"> of</w:t>
      </w:r>
      <w:r w:rsidRPr="00A60FD5">
        <w:rPr>
          <w:rFonts w:ascii="Times New Roman" w:hAnsi="Times New Roman" w:cs="Times New Roman"/>
        </w:rPr>
        <w:t xml:space="preserve"> their moral hazards (Arora, 1995; Aulakh et al., 1998). </w:t>
      </w:r>
      <w:r w:rsidR="00FD1AD0" w:rsidRPr="00A60FD5">
        <w:rPr>
          <w:rFonts w:ascii="Times New Roman" w:hAnsi="Times New Roman" w:cs="Times New Roman"/>
        </w:rPr>
        <w:t>It</w:t>
      </w:r>
      <w:r w:rsidRPr="00A60FD5">
        <w:rPr>
          <w:rFonts w:ascii="Times New Roman" w:hAnsi="Times New Roman" w:cs="Times New Roman"/>
        </w:rPr>
        <w:t xml:space="preserve"> offers the advantage of employing valuable complementary assets owned by a firm – the licensee – in the commercialization and implementation of another firm</w:t>
      </w:r>
      <w:r w:rsidR="00E57B08" w:rsidRPr="00A60FD5">
        <w:rPr>
          <w:rFonts w:ascii="Times New Roman" w:hAnsi="Times New Roman" w:cs="Times New Roman"/>
        </w:rPr>
        <w:t>’s</w:t>
      </w:r>
      <w:r w:rsidRPr="00A60FD5">
        <w:rPr>
          <w:rFonts w:ascii="Times New Roman" w:hAnsi="Times New Roman" w:cs="Times New Roman"/>
        </w:rPr>
        <w:t xml:space="preserve"> – the licensor –  proprietary technology (Arora and Ceccagnoli, 2006; Teece, 1986). </w:t>
      </w:r>
      <w:r w:rsidR="006B18D3" w:rsidRPr="00A60FD5">
        <w:rPr>
          <w:rFonts w:ascii="Times New Roman" w:hAnsi="Times New Roman" w:cs="Times New Roman"/>
        </w:rPr>
        <w:t xml:space="preserve">Like in any </w:t>
      </w:r>
      <w:r w:rsidR="00FD1AD0" w:rsidRPr="00A60FD5">
        <w:rPr>
          <w:rFonts w:ascii="Times New Roman" w:hAnsi="Times New Roman" w:cs="Times New Roman"/>
        </w:rPr>
        <w:t xml:space="preserve">other </w:t>
      </w:r>
      <w:r w:rsidR="006B18D3" w:rsidRPr="00A60FD5">
        <w:rPr>
          <w:rFonts w:ascii="Times New Roman" w:hAnsi="Times New Roman" w:cs="Times New Roman"/>
        </w:rPr>
        <w:t xml:space="preserve">form of partnership, control and </w:t>
      </w:r>
      <w:r w:rsidR="006B18D3" w:rsidRPr="00A60FD5">
        <w:rPr>
          <w:rFonts w:ascii="Times New Roman" w:hAnsi="Times New Roman" w:cs="Times New Roman"/>
        </w:rPr>
        <w:lastRenderedPageBreak/>
        <w:t xml:space="preserve">coordination concerns may co-exist. This dichotomy faced by partners has been widely </w:t>
      </w:r>
      <w:r w:rsidR="008539BD" w:rsidRPr="00A60FD5">
        <w:rPr>
          <w:rFonts w:ascii="Times New Roman" w:hAnsi="Times New Roman" w:cs="Times New Roman"/>
        </w:rPr>
        <w:t xml:space="preserve">studied </w:t>
      </w:r>
      <w:r w:rsidR="006B18D3" w:rsidRPr="00A60FD5">
        <w:rPr>
          <w:rFonts w:ascii="Times New Roman" w:hAnsi="Times New Roman" w:cs="Times New Roman"/>
        </w:rPr>
        <w:t xml:space="preserve">in the literature on inter-organizational exchanges: the </w:t>
      </w:r>
      <w:r w:rsidR="008539BD" w:rsidRPr="00A60FD5">
        <w:rPr>
          <w:rFonts w:ascii="Times New Roman" w:hAnsi="Times New Roman" w:cs="Times New Roman"/>
        </w:rPr>
        <w:t xml:space="preserve">fear </w:t>
      </w:r>
      <w:r w:rsidR="00E57B08" w:rsidRPr="00A60FD5">
        <w:rPr>
          <w:rFonts w:ascii="Times New Roman" w:hAnsi="Times New Roman" w:cs="Times New Roman"/>
        </w:rPr>
        <w:t xml:space="preserve">of </w:t>
      </w:r>
      <w:r w:rsidR="006B18D3" w:rsidRPr="00A60FD5">
        <w:rPr>
          <w:rFonts w:ascii="Times New Roman" w:hAnsi="Times New Roman" w:cs="Times New Roman"/>
        </w:rPr>
        <w:t xml:space="preserve">misappropriation of assets and knowledge by the trading parties on the one hand; and the difficulties of fruitfully collaborating and adjusting actions on the other hand (e.g., Dekker, 2004; Gulati et al., 2005; White and Lui, 2005). Misappropriation concerns arise when </w:t>
      </w:r>
      <w:r w:rsidR="008539BD" w:rsidRPr="00A60FD5">
        <w:rPr>
          <w:rFonts w:ascii="Times New Roman" w:hAnsi="Times New Roman" w:cs="Times New Roman"/>
        </w:rPr>
        <w:t xml:space="preserve">firms </w:t>
      </w:r>
      <w:r w:rsidR="006B18D3" w:rsidRPr="00A60FD5">
        <w:rPr>
          <w:rFonts w:ascii="Times New Roman" w:hAnsi="Times New Roman" w:cs="Times New Roman"/>
        </w:rPr>
        <w:t xml:space="preserve">mislead, renege, cheat or take advantage of </w:t>
      </w:r>
      <w:r w:rsidR="008539BD" w:rsidRPr="00A60FD5">
        <w:rPr>
          <w:rFonts w:ascii="Times New Roman" w:hAnsi="Times New Roman" w:cs="Times New Roman"/>
        </w:rPr>
        <w:t xml:space="preserve">the </w:t>
      </w:r>
      <w:r w:rsidR="006B18D3" w:rsidRPr="00A60FD5">
        <w:rPr>
          <w:rFonts w:ascii="Times New Roman" w:hAnsi="Times New Roman" w:cs="Times New Roman"/>
        </w:rPr>
        <w:t>vulnerabilities of the other parties in hopes of achieving a more favorable distribution of the rents accruing to the exchanges (Williamson, 1985).  Th</w:t>
      </w:r>
      <w:r w:rsidR="00E57B08" w:rsidRPr="00A60FD5">
        <w:rPr>
          <w:rFonts w:ascii="Times New Roman" w:hAnsi="Times New Roman" w:cs="Times New Roman"/>
        </w:rPr>
        <w:t>e</w:t>
      </w:r>
      <w:r w:rsidR="006B18D3" w:rsidRPr="00A60FD5">
        <w:rPr>
          <w:rFonts w:ascii="Times New Roman" w:hAnsi="Times New Roman" w:cs="Times New Roman"/>
        </w:rPr>
        <w:t>se concerns</w:t>
      </w:r>
      <w:r w:rsidR="00E57B08" w:rsidRPr="00A60FD5">
        <w:rPr>
          <w:rFonts w:ascii="Times New Roman" w:hAnsi="Times New Roman" w:cs="Times New Roman"/>
        </w:rPr>
        <w:t>,</w:t>
      </w:r>
      <w:r w:rsidR="006B18D3" w:rsidRPr="00A60FD5">
        <w:rPr>
          <w:rFonts w:ascii="Times New Roman" w:hAnsi="Times New Roman" w:cs="Times New Roman"/>
        </w:rPr>
        <w:t xml:space="preserve"> </w:t>
      </w:r>
      <w:r w:rsidR="008539BD" w:rsidRPr="00A60FD5">
        <w:rPr>
          <w:rFonts w:ascii="Times New Roman" w:hAnsi="Times New Roman" w:cs="Times New Roman"/>
        </w:rPr>
        <w:t xml:space="preserve">extensively </w:t>
      </w:r>
      <w:r w:rsidR="006B18D3" w:rsidRPr="00A60FD5">
        <w:rPr>
          <w:rFonts w:ascii="Times New Roman" w:hAnsi="Times New Roman" w:cs="Times New Roman"/>
        </w:rPr>
        <w:t>emphasized by transaction cost scholars</w:t>
      </w:r>
      <w:r w:rsidR="00E57B08" w:rsidRPr="00A60FD5">
        <w:rPr>
          <w:rFonts w:ascii="Times New Roman" w:hAnsi="Times New Roman" w:cs="Times New Roman"/>
        </w:rPr>
        <w:t>,</w:t>
      </w:r>
      <w:r w:rsidR="006B18D3" w:rsidRPr="00A60FD5">
        <w:rPr>
          <w:rFonts w:ascii="Times New Roman" w:hAnsi="Times New Roman" w:cs="Times New Roman"/>
        </w:rPr>
        <w:t xml:space="preserve"> occur with opportunism (e.g., Williamson, 1985). Coordination concerns refer to another subset of organizational issues, which persist even in the absence of opportunism and surface due to cognitive limitations (Gulati and Singh, 1998). Th</w:t>
      </w:r>
      <w:r w:rsidR="00E57B08" w:rsidRPr="00A60FD5">
        <w:rPr>
          <w:rFonts w:ascii="Times New Roman" w:hAnsi="Times New Roman" w:cs="Times New Roman"/>
        </w:rPr>
        <w:t>e</w:t>
      </w:r>
      <w:r w:rsidR="006B18D3" w:rsidRPr="00A60FD5">
        <w:rPr>
          <w:rFonts w:ascii="Times New Roman" w:hAnsi="Times New Roman" w:cs="Times New Roman"/>
        </w:rPr>
        <w:t xml:space="preserve">se latter concerns correspond to the difficulties of aligning and adjusting actions mutually (Gulati et al., 2005). </w:t>
      </w:r>
    </w:p>
    <w:p w14:paraId="674274AA" w14:textId="6456762A" w:rsidR="008539BD" w:rsidRPr="00A60FD5" w:rsidRDefault="006B18D3" w:rsidP="006B18D3">
      <w:pPr>
        <w:tabs>
          <w:tab w:val="left" w:pos="2663"/>
        </w:tabs>
        <w:spacing w:after="0" w:line="480" w:lineRule="auto"/>
        <w:ind w:firstLine="624"/>
        <w:rPr>
          <w:rFonts w:ascii="Times New Roman" w:hAnsi="Times New Roman" w:cs="Times New Roman"/>
        </w:rPr>
      </w:pPr>
      <w:r w:rsidRPr="00A60FD5">
        <w:rPr>
          <w:rFonts w:ascii="Times New Roman" w:hAnsi="Times New Roman" w:cs="Times New Roman"/>
        </w:rPr>
        <w:t>Scholars have shown that the factors driving th</w:t>
      </w:r>
      <w:r w:rsidR="00E57B08" w:rsidRPr="00A60FD5">
        <w:rPr>
          <w:rFonts w:ascii="Times New Roman" w:hAnsi="Times New Roman" w:cs="Times New Roman"/>
        </w:rPr>
        <w:t>e</w:t>
      </w:r>
      <w:r w:rsidRPr="00A60FD5">
        <w:rPr>
          <w:rFonts w:ascii="Times New Roman" w:hAnsi="Times New Roman" w:cs="Times New Roman"/>
        </w:rPr>
        <w:t xml:space="preserve">se </w:t>
      </w:r>
      <w:r w:rsidR="00DA2ECD" w:rsidRPr="00A60FD5">
        <w:rPr>
          <w:rFonts w:ascii="Times New Roman" w:hAnsi="Times New Roman" w:cs="Times New Roman"/>
        </w:rPr>
        <w:t xml:space="preserve">two sets of </w:t>
      </w:r>
      <w:r w:rsidRPr="00A60FD5">
        <w:rPr>
          <w:rFonts w:ascii="Times New Roman" w:hAnsi="Times New Roman" w:cs="Times New Roman"/>
        </w:rPr>
        <w:t xml:space="preserve">concerns differ. </w:t>
      </w:r>
      <w:r w:rsidR="00E57B08" w:rsidRPr="00A60FD5">
        <w:rPr>
          <w:rFonts w:ascii="Times New Roman" w:hAnsi="Times New Roman" w:cs="Times New Roman"/>
        </w:rPr>
        <w:t>M</w:t>
      </w:r>
      <w:r w:rsidR="008539BD" w:rsidRPr="00A60FD5">
        <w:rPr>
          <w:rFonts w:ascii="Times New Roman" w:hAnsi="Times New Roman" w:cs="Times New Roman"/>
        </w:rPr>
        <w:t>is</w:t>
      </w:r>
      <w:r w:rsidRPr="00A60FD5">
        <w:rPr>
          <w:rFonts w:ascii="Times New Roman" w:hAnsi="Times New Roman" w:cs="Times New Roman"/>
        </w:rPr>
        <w:t>appropriation concerns mostly originate from the investments made by collaborating firms specifically for the exchange</w:t>
      </w:r>
      <w:r w:rsidR="008539BD" w:rsidRPr="00A60FD5">
        <w:rPr>
          <w:rFonts w:ascii="Times New Roman" w:hAnsi="Times New Roman" w:cs="Times New Roman"/>
        </w:rPr>
        <w:t>. Th</w:t>
      </w:r>
      <w:r w:rsidR="00E57B08" w:rsidRPr="00A60FD5">
        <w:rPr>
          <w:rFonts w:ascii="Times New Roman" w:hAnsi="Times New Roman" w:cs="Times New Roman"/>
        </w:rPr>
        <w:t>e</w:t>
      </w:r>
      <w:r w:rsidR="008539BD" w:rsidRPr="00A60FD5">
        <w:rPr>
          <w:rFonts w:ascii="Times New Roman" w:hAnsi="Times New Roman" w:cs="Times New Roman"/>
        </w:rPr>
        <w:t>se investments</w:t>
      </w:r>
      <w:r w:rsidRPr="00A60FD5">
        <w:rPr>
          <w:rFonts w:ascii="Times New Roman" w:hAnsi="Times New Roman" w:cs="Times New Roman"/>
        </w:rPr>
        <w:t xml:space="preserve"> have little alternative use, and hence little alternative value outside the exchange (Klein et al., 1978; Williamson, 1985). Coordination concerns arise “because autonomous parties read and react to signals differently, even though their purpose is to achieve a timely and compatible combined response” (Williamson, 199</w:t>
      </w:r>
      <w:r w:rsidR="00F5313F">
        <w:rPr>
          <w:rFonts w:ascii="Times New Roman" w:hAnsi="Times New Roman" w:cs="Times New Roman"/>
        </w:rPr>
        <w:t>9</w:t>
      </w:r>
      <w:r w:rsidRPr="00A60FD5">
        <w:rPr>
          <w:rFonts w:ascii="Times New Roman" w:hAnsi="Times New Roman" w:cs="Times New Roman"/>
        </w:rPr>
        <w:t>, p.</w:t>
      </w:r>
      <w:r w:rsidR="00DB7756" w:rsidRPr="00A60FD5">
        <w:rPr>
          <w:rFonts w:ascii="Times New Roman" w:hAnsi="Times New Roman" w:cs="Times New Roman"/>
        </w:rPr>
        <w:t>10</w:t>
      </w:r>
      <w:r w:rsidR="00F5313F">
        <w:rPr>
          <w:rFonts w:ascii="Times New Roman" w:hAnsi="Times New Roman" w:cs="Times New Roman"/>
        </w:rPr>
        <w:t>2</w:t>
      </w:r>
      <w:r w:rsidRPr="00A60FD5">
        <w:rPr>
          <w:rFonts w:ascii="Times New Roman" w:hAnsi="Times New Roman" w:cs="Times New Roman"/>
        </w:rPr>
        <w:t xml:space="preserve">). Due to cognitive limitations, partners may not be able to respond in a coordinated manner to the changed circumstances. </w:t>
      </w:r>
    </w:p>
    <w:p w14:paraId="394A88D6" w14:textId="01ED7B31" w:rsidR="002F5BD7" w:rsidRPr="00A60FD5" w:rsidRDefault="006B18D3" w:rsidP="006B18D3">
      <w:pPr>
        <w:tabs>
          <w:tab w:val="left" w:pos="2663"/>
        </w:tabs>
        <w:spacing w:after="0" w:line="480" w:lineRule="auto"/>
        <w:ind w:firstLine="624"/>
        <w:rPr>
          <w:rFonts w:ascii="Times New Roman" w:hAnsi="Times New Roman" w:cs="Times New Roman"/>
          <w:bCs/>
        </w:rPr>
      </w:pPr>
      <w:r w:rsidRPr="00A60FD5">
        <w:rPr>
          <w:rFonts w:ascii="Times New Roman" w:hAnsi="Times New Roman" w:cs="Times New Roman"/>
        </w:rPr>
        <w:t>In the licensing context, both concerns can obviously surface.</w:t>
      </w:r>
      <w:r w:rsidR="00886B11" w:rsidRPr="00A60FD5">
        <w:rPr>
          <w:rFonts w:ascii="Times New Roman" w:hAnsi="Times New Roman" w:cs="Times New Roman"/>
        </w:rPr>
        <w:t xml:space="preserve"> In the pursuit of desirable outcomes, the choice of dispute-resolution mechanisms – arbitration </w:t>
      </w:r>
      <w:r w:rsidR="00886B11" w:rsidRPr="00A60FD5">
        <w:rPr>
          <w:rFonts w:ascii="Times New Roman" w:hAnsi="Times New Roman" w:cs="Times New Roman"/>
          <w:i/>
        </w:rPr>
        <w:t>versus</w:t>
      </w:r>
      <w:r w:rsidR="00886B11" w:rsidRPr="00A60FD5">
        <w:rPr>
          <w:rFonts w:ascii="Times New Roman" w:hAnsi="Times New Roman" w:cs="Times New Roman"/>
        </w:rPr>
        <w:t xml:space="preserve"> public court – plays a key role. </w:t>
      </w:r>
      <w:r w:rsidR="00E57B08" w:rsidRPr="00A60FD5">
        <w:rPr>
          <w:rFonts w:ascii="Times New Roman" w:hAnsi="Times New Roman" w:cs="Times New Roman"/>
        </w:rPr>
        <w:t xml:space="preserve">The two </w:t>
      </w:r>
      <w:r w:rsidR="00886B11" w:rsidRPr="00A60FD5">
        <w:rPr>
          <w:rFonts w:ascii="Times New Roman" w:hAnsi="Times New Roman" w:cs="Times New Roman"/>
        </w:rPr>
        <w:t xml:space="preserve">mechanisms are </w:t>
      </w:r>
      <w:r w:rsidR="008539BD" w:rsidRPr="00A60FD5">
        <w:rPr>
          <w:rFonts w:ascii="Times New Roman" w:hAnsi="Times New Roman" w:cs="Times New Roman"/>
        </w:rPr>
        <w:t xml:space="preserve">indeed </w:t>
      </w:r>
      <w:r w:rsidR="00886B11" w:rsidRPr="00A60FD5">
        <w:rPr>
          <w:rFonts w:ascii="Times New Roman" w:hAnsi="Times New Roman" w:cs="Times New Roman"/>
        </w:rPr>
        <w:t xml:space="preserve">not equally suited for preventing or handling disputes caused by control or coordination matters. </w:t>
      </w:r>
      <w:r w:rsidR="00E57B08" w:rsidRPr="00A60FD5">
        <w:rPr>
          <w:rFonts w:ascii="Times New Roman" w:hAnsi="Times New Roman" w:cs="Times New Roman"/>
        </w:rPr>
        <w:t>C</w:t>
      </w:r>
      <w:r w:rsidR="00886B11" w:rsidRPr="00A60FD5">
        <w:rPr>
          <w:rFonts w:ascii="Times New Roman" w:hAnsi="Times New Roman" w:cs="Times New Roman"/>
        </w:rPr>
        <w:t xml:space="preserve">ontrol concerns tend to </w:t>
      </w:r>
      <w:r w:rsidR="00E57B08" w:rsidRPr="00A60FD5">
        <w:rPr>
          <w:rFonts w:ascii="Times New Roman" w:hAnsi="Times New Roman" w:cs="Times New Roman"/>
        </w:rPr>
        <w:t xml:space="preserve">call </w:t>
      </w:r>
      <w:r w:rsidR="00886B11" w:rsidRPr="00A60FD5">
        <w:rPr>
          <w:rFonts w:ascii="Times New Roman" w:hAnsi="Times New Roman" w:cs="Times New Roman"/>
        </w:rPr>
        <w:t>for a dispute-resolution mechanism that safeguards the appropriation value and leads to strong sanctions in case of dilatory tactics. In situation</w:t>
      </w:r>
      <w:r w:rsidR="00E57B08" w:rsidRPr="00A60FD5">
        <w:rPr>
          <w:rFonts w:ascii="Times New Roman" w:hAnsi="Times New Roman" w:cs="Times New Roman"/>
        </w:rPr>
        <w:t>s</w:t>
      </w:r>
      <w:r w:rsidR="00886B11" w:rsidRPr="00A60FD5">
        <w:rPr>
          <w:rFonts w:ascii="Times New Roman" w:hAnsi="Times New Roman" w:cs="Times New Roman"/>
        </w:rPr>
        <w:t xml:space="preserve"> of intensive coordination concerns</w:t>
      </w:r>
      <w:r w:rsidR="00E57B08" w:rsidRPr="00A60FD5">
        <w:rPr>
          <w:rFonts w:ascii="Times New Roman" w:hAnsi="Times New Roman" w:cs="Times New Roman"/>
        </w:rPr>
        <w:t>,</w:t>
      </w:r>
      <w:r w:rsidR="00886B11" w:rsidRPr="00A60FD5">
        <w:rPr>
          <w:rFonts w:ascii="Times New Roman" w:hAnsi="Times New Roman" w:cs="Times New Roman"/>
        </w:rPr>
        <w:t xml:space="preserve"> however, partners are likely to favor a dispute-resolution mechanism which </w:t>
      </w:r>
      <w:r w:rsidR="008539BD" w:rsidRPr="00A60FD5">
        <w:rPr>
          <w:rFonts w:ascii="Times New Roman" w:hAnsi="Times New Roman" w:cs="Times New Roman"/>
        </w:rPr>
        <w:t xml:space="preserve">fosters </w:t>
      </w:r>
      <w:r w:rsidR="00886B11" w:rsidRPr="00A60FD5">
        <w:rPr>
          <w:rFonts w:ascii="Times New Roman" w:hAnsi="Times New Roman" w:cs="Times New Roman"/>
        </w:rPr>
        <w:t xml:space="preserve">smooth collaboration and adjustments of tasks over time. Our framework therefore presents appropriation concerns and coordination requirements as powerful concepts in explaining the choice of dispute-resolution mechanisms. We also investigate the effect of their co-existence on the likelihood </w:t>
      </w:r>
      <w:r w:rsidR="00E57B08" w:rsidRPr="00A60FD5">
        <w:rPr>
          <w:rFonts w:ascii="Times New Roman" w:hAnsi="Times New Roman" w:cs="Times New Roman"/>
        </w:rPr>
        <w:t xml:space="preserve">of </w:t>
      </w:r>
      <w:r w:rsidR="00886B11" w:rsidRPr="00A60FD5">
        <w:rPr>
          <w:rFonts w:ascii="Times New Roman" w:hAnsi="Times New Roman" w:cs="Times New Roman"/>
        </w:rPr>
        <w:t>find</w:t>
      </w:r>
      <w:r w:rsidR="00E57B08" w:rsidRPr="00A60FD5">
        <w:rPr>
          <w:rFonts w:ascii="Times New Roman" w:hAnsi="Times New Roman" w:cs="Times New Roman"/>
        </w:rPr>
        <w:t>ing</w:t>
      </w:r>
      <w:r w:rsidR="00886B11" w:rsidRPr="00A60FD5">
        <w:rPr>
          <w:rFonts w:ascii="Times New Roman" w:hAnsi="Times New Roman" w:cs="Times New Roman"/>
        </w:rPr>
        <w:t xml:space="preserve"> an arbitration provision. </w:t>
      </w:r>
      <w:r w:rsidRPr="00A60FD5">
        <w:rPr>
          <w:rFonts w:ascii="Times New Roman" w:hAnsi="Times New Roman" w:cs="Times New Roman"/>
        </w:rPr>
        <w:t xml:space="preserve"> </w:t>
      </w:r>
      <w:r w:rsidR="002F5BD7" w:rsidRPr="00A60FD5">
        <w:rPr>
          <w:rFonts w:ascii="Times New Roman" w:hAnsi="Times New Roman" w:cs="Times New Roman"/>
        </w:rPr>
        <w:t xml:space="preserve"> </w:t>
      </w:r>
    </w:p>
    <w:p w14:paraId="41B82D23" w14:textId="0DC76A55" w:rsidR="00EE2610" w:rsidRPr="00A60FD5" w:rsidRDefault="007567DC" w:rsidP="00A05DE5">
      <w:pPr>
        <w:pStyle w:val="PlainText"/>
        <w:spacing w:line="480" w:lineRule="auto"/>
        <w:ind w:firstLine="624"/>
        <w:rPr>
          <w:rFonts w:ascii="Times New Roman" w:hAnsi="Times New Roman" w:cs="Times New Roman"/>
          <w:bCs/>
          <w:szCs w:val="22"/>
        </w:rPr>
      </w:pPr>
      <w:r w:rsidRPr="00A60FD5">
        <w:rPr>
          <w:rFonts w:ascii="Times New Roman" w:hAnsi="Times New Roman" w:cs="Times New Roman"/>
          <w:b/>
          <w:bCs/>
          <w:szCs w:val="22"/>
        </w:rPr>
        <w:lastRenderedPageBreak/>
        <w:t xml:space="preserve">Monitoring </w:t>
      </w:r>
      <w:r w:rsidR="00D164EF" w:rsidRPr="00A60FD5">
        <w:rPr>
          <w:rFonts w:ascii="Times New Roman" w:hAnsi="Times New Roman" w:cs="Times New Roman"/>
          <w:b/>
          <w:bCs/>
          <w:szCs w:val="22"/>
        </w:rPr>
        <w:t>O</w:t>
      </w:r>
      <w:r w:rsidR="0034094E" w:rsidRPr="00A60FD5">
        <w:rPr>
          <w:rFonts w:ascii="Times New Roman" w:hAnsi="Times New Roman" w:cs="Times New Roman"/>
          <w:b/>
          <w:bCs/>
          <w:szCs w:val="22"/>
        </w:rPr>
        <w:t>rientation</w:t>
      </w:r>
      <w:r w:rsidRPr="00A60FD5">
        <w:rPr>
          <w:rFonts w:ascii="Times New Roman" w:hAnsi="Times New Roman" w:cs="Times New Roman"/>
          <w:bCs/>
          <w:szCs w:val="22"/>
        </w:rPr>
        <w:t xml:space="preserve">. </w:t>
      </w:r>
      <w:r w:rsidR="006E2F4D" w:rsidRPr="00A60FD5">
        <w:rPr>
          <w:rFonts w:ascii="Times New Roman" w:hAnsi="Times New Roman" w:cs="Times New Roman"/>
          <w:bCs/>
          <w:szCs w:val="22"/>
        </w:rPr>
        <w:t xml:space="preserve">In licensing exchanges, partners </w:t>
      </w:r>
      <w:r w:rsidR="00886B11" w:rsidRPr="00A60FD5">
        <w:rPr>
          <w:rFonts w:ascii="Times New Roman" w:hAnsi="Times New Roman" w:cs="Times New Roman"/>
          <w:bCs/>
          <w:szCs w:val="22"/>
        </w:rPr>
        <w:t xml:space="preserve">may have </w:t>
      </w:r>
      <w:r w:rsidR="006E2F4D" w:rsidRPr="00A60FD5">
        <w:rPr>
          <w:rFonts w:ascii="Times New Roman" w:hAnsi="Times New Roman" w:cs="Times New Roman"/>
          <w:bCs/>
          <w:szCs w:val="22"/>
        </w:rPr>
        <w:t xml:space="preserve">to curb non-negligible moral hazards. </w:t>
      </w:r>
      <w:r w:rsidR="00886B11" w:rsidRPr="00A60FD5">
        <w:rPr>
          <w:rFonts w:ascii="Times New Roman" w:hAnsi="Times New Roman" w:cs="Times New Roman"/>
          <w:bCs/>
          <w:szCs w:val="22"/>
        </w:rPr>
        <w:t xml:space="preserve">Moral hazards from the licensor’s point of view relate mostly to the chances that the licensees </w:t>
      </w:r>
      <w:r w:rsidR="00E57B08" w:rsidRPr="00A60FD5">
        <w:rPr>
          <w:rFonts w:ascii="Times New Roman" w:hAnsi="Times New Roman" w:cs="Times New Roman"/>
          <w:bCs/>
          <w:szCs w:val="22"/>
        </w:rPr>
        <w:t xml:space="preserve">may </w:t>
      </w:r>
      <w:r w:rsidR="00886B11" w:rsidRPr="00A60FD5">
        <w:rPr>
          <w:rFonts w:ascii="Times New Roman" w:hAnsi="Times New Roman" w:cs="Times New Roman"/>
          <w:bCs/>
          <w:szCs w:val="22"/>
        </w:rPr>
        <w:t xml:space="preserve">“invent around” patents or misuse confidential information (e.g., Oxley, 1997). </w:t>
      </w:r>
      <w:r w:rsidR="004F2971" w:rsidRPr="00A60FD5">
        <w:rPr>
          <w:rFonts w:ascii="Times New Roman" w:hAnsi="Times New Roman" w:cs="Times New Roman"/>
          <w:bCs/>
          <w:szCs w:val="22"/>
        </w:rPr>
        <w:t xml:space="preserve">If a substantial part of the exchanged knowledge is tacit, it can be difficult to legally protect against unintended leakage (Oxley, 1997; Teece, 1986). </w:t>
      </w:r>
      <w:r w:rsidR="00886B11" w:rsidRPr="00A60FD5">
        <w:rPr>
          <w:rFonts w:ascii="Times New Roman" w:hAnsi="Times New Roman" w:cs="Times New Roman"/>
          <w:bCs/>
          <w:szCs w:val="22"/>
        </w:rPr>
        <w:t>The licensees may also free</w:t>
      </w:r>
      <w:r w:rsidR="000F5E75" w:rsidRPr="00A60FD5">
        <w:rPr>
          <w:rFonts w:ascii="Times New Roman" w:hAnsi="Times New Roman" w:cs="Times New Roman"/>
          <w:bCs/>
          <w:szCs w:val="22"/>
        </w:rPr>
        <w:t>-</w:t>
      </w:r>
      <w:r w:rsidR="00886B11" w:rsidRPr="00A60FD5">
        <w:rPr>
          <w:rFonts w:ascii="Times New Roman" w:hAnsi="Times New Roman" w:cs="Times New Roman"/>
          <w:bCs/>
          <w:szCs w:val="22"/>
        </w:rPr>
        <w:t>ride and contribute less than agreed</w:t>
      </w:r>
      <w:r w:rsidR="000F5E75" w:rsidRPr="00A60FD5">
        <w:rPr>
          <w:rFonts w:ascii="Times New Roman" w:hAnsi="Times New Roman" w:cs="Times New Roman"/>
          <w:bCs/>
          <w:szCs w:val="22"/>
        </w:rPr>
        <w:t xml:space="preserve"> </w:t>
      </w:r>
      <w:r w:rsidR="00886B11" w:rsidRPr="00A60FD5">
        <w:rPr>
          <w:rFonts w:ascii="Times New Roman" w:hAnsi="Times New Roman" w:cs="Times New Roman"/>
          <w:bCs/>
          <w:szCs w:val="22"/>
        </w:rPr>
        <w:t>on when commercializing the licens</w:t>
      </w:r>
      <w:r w:rsidR="00DA2ECD" w:rsidRPr="00A60FD5">
        <w:rPr>
          <w:rFonts w:ascii="Times New Roman" w:hAnsi="Times New Roman" w:cs="Times New Roman"/>
          <w:bCs/>
          <w:szCs w:val="22"/>
        </w:rPr>
        <w:t>ed</w:t>
      </w:r>
      <w:r w:rsidR="00886B11" w:rsidRPr="00A60FD5">
        <w:rPr>
          <w:rFonts w:ascii="Times New Roman" w:hAnsi="Times New Roman" w:cs="Times New Roman"/>
          <w:bCs/>
          <w:szCs w:val="22"/>
        </w:rPr>
        <w:t xml:space="preserve"> technology (Bergen et al., 1992). The licensor accounts for the licensee’s incentives to participate productively in the license. </w:t>
      </w:r>
      <w:r w:rsidR="004F2971" w:rsidRPr="00A60FD5">
        <w:rPr>
          <w:rFonts w:ascii="Times New Roman" w:hAnsi="Times New Roman" w:cs="Times New Roman"/>
          <w:bCs/>
          <w:szCs w:val="22"/>
        </w:rPr>
        <w:t xml:space="preserve">Also, technology may evolve in unexpected ways and the key performance metrics might change, making pre-specified targets and benchmarks less relevant. This increases the potential for shirking, contributing less than agreed, misappropriating resources or outcomes, or exploiting a superior bargaining position (Aulakh et al., 1998). </w:t>
      </w:r>
      <w:r w:rsidR="00886B11" w:rsidRPr="00A60FD5">
        <w:rPr>
          <w:rFonts w:ascii="Times New Roman" w:hAnsi="Times New Roman" w:cs="Times New Roman"/>
          <w:bCs/>
          <w:szCs w:val="22"/>
        </w:rPr>
        <w:t xml:space="preserve">On </w:t>
      </w:r>
      <w:r w:rsidR="00A41497" w:rsidRPr="00A60FD5">
        <w:rPr>
          <w:rFonts w:ascii="Times New Roman" w:hAnsi="Times New Roman" w:cs="Times New Roman"/>
          <w:bCs/>
          <w:szCs w:val="22"/>
        </w:rPr>
        <w:t xml:space="preserve">the </w:t>
      </w:r>
      <w:r w:rsidR="00886B11" w:rsidRPr="00A60FD5">
        <w:rPr>
          <w:rFonts w:ascii="Times New Roman" w:hAnsi="Times New Roman" w:cs="Times New Roman"/>
          <w:bCs/>
          <w:szCs w:val="22"/>
        </w:rPr>
        <w:t>licensee’</w:t>
      </w:r>
      <w:r w:rsidR="00A41497" w:rsidRPr="00A60FD5">
        <w:rPr>
          <w:rFonts w:ascii="Times New Roman" w:hAnsi="Times New Roman" w:cs="Times New Roman"/>
          <w:bCs/>
          <w:szCs w:val="22"/>
        </w:rPr>
        <w:t>s</w:t>
      </w:r>
      <w:r w:rsidR="00886B11" w:rsidRPr="00A60FD5">
        <w:rPr>
          <w:rFonts w:ascii="Times New Roman" w:hAnsi="Times New Roman" w:cs="Times New Roman"/>
          <w:bCs/>
          <w:szCs w:val="22"/>
        </w:rPr>
        <w:t xml:space="preserve"> side, great uncertainty can surround the implementation of the technology while important marketing- or manufacturing-related specific investments may be required (e.g., Somaya et al., 2010). </w:t>
      </w:r>
      <w:r w:rsidR="00A44E05" w:rsidRPr="00A60FD5">
        <w:rPr>
          <w:rFonts w:ascii="Times New Roman" w:hAnsi="Times New Roman" w:cs="Times New Roman"/>
          <w:bCs/>
          <w:szCs w:val="22"/>
        </w:rPr>
        <w:t>L</w:t>
      </w:r>
      <w:r w:rsidR="00886B11" w:rsidRPr="00A60FD5">
        <w:rPr>
          <w:rFonts w:ascii="Times New Roman" w:hAnsi="Times New Roman" w:cs="Times New Roman"/>
          <w:bCs/>
          <w:szCs w:val="22"/>
        </w:rPr>
        <w:t xml:space="preserve">icensees face concerns about whether </w:t>
      </w:r>
      <w:r w:rsidR="008D6AA4" w:rsidRPr="00A60FD5">
        <w:rPr>
          <w:rFonts w:ascii="Times New Roman" w:hAnsi="Times New Roman" w:cs="Times New Roman"/>
          <w:bCs/>
          <w:szCs w:val="22"/>
        </w:rPr>
        <w:t xml:space="preserve">they </w:t>
      </w:r>
      <w:r w:rsidR="00886B11" w:rsidRPr="00A60FD5">
        <w:rPr>
          <w:rFonts w:ascii="Times New Roman" w:hAnsi="Times New Roman" w:cs="Times New Roman"/>
          <w:bCs/>
          <w:szCs w:val="22"/>
        </w:rPr>
        <w:t xml:space="preserve">will be able to obtain adequate returns for </w:t>
      </w:r>
      <w:r w:rsidR="008D6AA4" w:rsidRPr="00A60FD5">
        <w:rPr>
          <w:rFonts w:ascii="Times New Roman" w:hAnsi="Times New Roman" w:cs="Times New Roman"/>
          <w:bCs/>
          <w:szCs w:val="22"/>
        </w:rPr>
        <w:t xml:space="preserve">their </w:t>
      </w:r>
      <w:r w:rsidR="00886B11" w:rsidRPr="00A60FD5">
        <w:rPr>
          <w:rFonts w:ascii="Times New Roman" w:hAnsi="Times New Roman" w:cs="Times New Roman"/>
          <w:bCs/>
          <w:szCs w:val="22"/>
        </w:rPr>
        <w:t>valuable complementary assets</w:t>
      </w:r>
      <w:r w:rsidR="004F2971" w:rsidRPr="00A60FD5">
        <w:rPr>
          <w:rFonts w:ascii="Times New Roman" w:hAnsi="Times New Roman" w:cs="Times New Roman"/>
          <w:bCs/>
          <w:szCs w:val="22"/>
        </w:rPr>
        <w:t xml:space="preserve"> (Arora and Ceccagnoli, 2006; Somaya et al., 2010)</w:t>
      </w:r>
      <w:r w:rsidR="00886B11" w:rsidRPr="00A60FD5">
        <w:rPr>
          <w:rFonts w:ascii="Times New Roman" w:hAnsi="Times New Roman" w:cs="Times New Roman"/>
          <w:bCs/>
          <w:szCs w:val="22"/>
        </w:rPr>
        <w:t xml:space="preserve">. </w:t>
      </w:r>
      <w:r w:rsidR="004F2971" w:rsidRPr="00A60FD5">
        <w:rPr>
          <w:rFonts w:ascii="Times New Roman" w:hAnsi="Times New Roman" w:cs="Times New Roman"/>
          <w:bCs/>
          <w:szCs w:val="22"/>
        </w:rPr>
        <w:t xml:space="preserve">Specific investments required to implement the licensed technology pave the way for hold-up situations (Klein et al., 1978; Williamson, 1985). </w:t>
      </w:r>
      <w:r w:rsidR="00E00298" w:rsidRPr="00A60FD5">
        <w:rPr>
          <w:rFonts w:ascii="Times New Roman" w:hAnsi="Times New Roman" w:cs="Times New Roman"/>
          <w:bCs/>
          <w:szCs w:val="22"/>
        </w:rPr>
        <w:t xml:space="preserve">When </w:t>
      </w:r>
      <w:r w:rsidR="008539BD" w:rsidRPr="00A60FD5">
        <w:rPr>
          <w:rFonts w:ascii="Times New Roman" w:hAnsi="Times New Roman" w:cs="Times New Roman"/>
          <w:bCs/>
          <w:szCs w:val="22"/>
        </w:rPr>
        <w:t xml:space="preserve">technology-based and </w:t>
      </w:r>
      <w:r w:rsidR="00E00298" w:rsidRPr="00A60FD5">
        <w:rPr>
          <w:rFonts w:ascii="Times New Roman" w:hAnsi="Times New Roman" w:cs="Times New Roman"/>
          <w:bCs/>
          <w:szCs w:val="22"/>
        </w:rPr>
        <w:t xml:space="preserve">exchange attributes make licensing partners </w:t>
      </w:r>
      <w:r w:rsidR="00C05FFD" w:rsidRPr="00A60FD5">
        <w:rPr>
          <w:rFonts w:ascii="Times New Roman" w:hAnsi="Times New Roman" w:cs="Times New Roman"/>
          <w:bCs/>
          <w:szCs w:val="22"/>
        </w:rPr>
        <w:t xml:space="preserve">particularly </w:t>
      </w:r>
      <w:r w:rsidR="00E00298" w:rsidRPr="00A60FD5">
        <w:rPr>
          <w:rFonts w:ascii="Times New Roman" w:hAnsi="Times New Roman" w:cs="Times New Roman"/>
          <w:bCs/>
          <w:szCs w:val="22"/>
        </w:rPr>
        <w:t xml:space="preserve">vulnerable to counterparties’ behaviors, provisions aimed at </w:t>
      </w:r>
      <w:r w:rsidR="003278B1" w:rsidRPr="00A60FD5">
        <w:rPr>
          <w:rFonts w:ascii="Times New Roman" w:hAnsi="Times New Roman" w:cs="Times New Roman"/>
          <w:bCs/>
          <w:szCs w:val="22"/>
        </w:rPr>
        <w:t>enhancing compliance with expectations</w:t>
      </w:r>
      <w:r w:rsidR="008539BD" w:rsidRPr="00A60FD5">
        <w:rPr>
          <w:rFonts w:ascii="Times New Roman" w:hAnsi="Times New Roman" w:cs="Times New Roman"/>
          <w:bCs/>
          <w:szCs w:val="22"/>
        </w:rPr>
        <w:t xml:space="preserve"> </w:t>
      </w:r>
      <w:r w:rsidR="00F77B49" w:rsidRPr="00A60FD5">
        <w:rPr>
          <w:rFonts w:ascii="Times New Roman" w:hAnsi="Times New Roman" w:cs="Times New Roman"/>
          <w:bCs/>
          <w:szCs w:val="22"/>
        </w:rPr>
        <w:t>are negotiated</w:t>
      </w:r>
      <w:r w:rsidR="00E00298" w:rsidRPr="00A60FD5">
        <w:rPr>
          <w:rFonts w:ascii="Times New Roman" w:hAnsi="Times New Roman" w:cs="Times New Roman"/>
          <w:bCs/>
          <w:szCs w:val="22"/>
        </w:rPr>
        <w:t xml:space="preserve"> (</w:t>
      </w:r>
      <w:r w:rsidR="004F2971" w:rsidRPr="00A60FD5">
        <w:rPr>
          <w:rFonts w:ascii="Times New Roman" w:hAnsi="Times New Roman" w:cs="Times New Roman"/>
          <w:bCs/>
          <w:szCs w:val="22"/>
        </w:rPr>
        <w:t xml:space="preserve">Das and Teng, 2000; </w:t>
      </w:r>
      <w:r w:rsidR="00E00298" w:rsidRPr="00A60FD5">
        <w:rPr>
          <w:rFonts w:ascii="Times New Roman" w:hAnsi="Times New Roman" w:cs="Times New Roman"/>
          <w:bCs/>
          <w:szCs w:val="22"/>
        </w:rPr>
        <w:t>Heide</w:t>
      </w:r>
      <w:r w:rsidR="00F97832" w:rsidRPr="00A60FD5">
        <w:rPr>
          <w:rFonts w:ascii="Times New Roman" w:hAnsi="Times New Roman" w:cs="Times New Roman"/>
          <w:bCs/>
          <w:szCs w:val="22"/>
        </w:rPr>
        <w:t>,</w:t>
      </w:r>
      <w:r w:rsidR="00E00298" w:rsidRPr="00A60FD5">
        <w:rPr>
          <w:rFonts w:ascii="Times New Roman" w:hAnsi="Times New Roman" w:cs="Times New Roman"/>
          <w:bCs/>
          <w:szCs w:val="22"/>
        </w:rPr>
        <w:t xml:space="preserve"> 1994). </w:t>
      </w:r>
      <w:r w:rsidR="00D91B7B" w:rsidRPr="00A60FD5">
        <w:rPr>
          <w:rFonts w:ascii="Times New Roman" w:hAnsi="Times New Roman" w:cs="Times New Roman"/>
          <w:bCs/>
          <w:szCs w:val="22"/>
        </w:rPr>
        <w:t>M</w:t>
      </w:r>
      <w:r w:rsidR="004F2971" w:rsidRPr="00A60FD5">
        <w:rPr>
          <w:rFonts w:ascii="Times New Roman" w:hAnsi="Times New Roman" w:cs="Times New Roman"/>
          <w:bCs/>
          <w:szCs w:val="22"/>
        </w:rPr>
        <w:t>onitoring</w:t>
      </w:r>
      <w:r w:rsidR="00C05FFD" w:rsidRPr="00A60FD5">
        <w:rPr>
          <w:rFonts w:ascii="Times New Roman" w:hAnsi="Times New Roman" w:cs="Times New Roman"/>
          <w:bCs/>
          <w:szCs w:val="22"/>
        </w:rPr>
        <w:t xml:space="preserve"> provisions</w:t>
      </w:r>
      <w:r w:rsidR="004F2971" w:rsidRPr="00A60FD5">
        <w:rPr>
          <w:rFonts w:ascii="Times New Roman" w:hAnsi="Times New Roman" w:cs="Times New Roman"/>
          <w:bCs/>
          <w:szCs w:val="22"/>
        </w:rPr>
        <w:t xml:space="preserve"> can focus on the licensees’ performance in terms of technology commercialization, </w:t>
      </w:r>
      <w:r w:rsidR="00B855F6" w:rsidRPr="00A60FD5">
        <w:rPr>
          <w:rFonts w:ascii="Times New Roman" w:hAnsi="Times New Roman" w:cs="Times New Roman"/>
          <w:bCs/>
          <w:szCs w:val="22"/>
        </w:rPr>
        <w:t xml:space="preserve">and </w:t>
      </w:r>
      <w:r w:rsidR="00C05FFD" w:rsidRPr="00A60FD5">
        <w:rPr>
          <w:rFonts w:ascii="Times New Roman" w:hAnsi="Times New Roman" w:cs="Times New Roman"/>
          <w:bCs/>
          <w:szCs w:val="22"/>
        </w:rPr>
        <w:t>they</w:t>
      </w:r>
      <w:r w:rsidR="004F2971" w:rsidRPr="00A60FD5">
        <w:rPr>
          <w:rFonts w:ascii="Times New Roman" w:hAnsi="Times New Roman" w:cs="Times New Roman"/>
          <w:bCs/>
          <w:szCs w:val="22"/>
        </w:rPr>
        <w:t xml:space="preserve"> may also concern the quality of the products delivered on the market or of the industrial and R&amp;D installations (Dekker, 2004; Ittner et al., 1999; Ouchi, 1979). Provisions for monitoring behaviors imply reporting and checking activities, written notice of any departure from the agreement, accounting examination, cost control or quality control (Das and Teng, 1998). While th</w:t>
      </w:r>
      <w:r w:rsidR="00B855F6" w:rsidRPr="00A60FD5">
        <w:rPr>
          <w:rFonts w:ascii="Times New Roman" w:hAnsi="Times New Roman" w:cs="Times New Roman"/>
          <w:bCs/>
          <w:szCs w:val="22"/>
        </w:rPr>
        <w:t>e</w:t>
      </w:r>
      <w:r w:rsidR="004F2971" w:rsidRPr="00A60FD5">
        <w:rPr>
          <w:rFonts w:ascii="Times New Roman" w:hAnsi="Times New Roman" w:cs="Times New Roman"/>
          <w:bCs/>
          <w:szCs w:val="22"/>
        </w:rPr>
        <w:t xml:space="preserve">se provisions are costly to draft and implement, they lead to superior verifiability, and greater ease of demonstrating and penalizing non-compliance (Carson et al., 2006; </w:t>
      </w:r>
      <w:r w:rsidR="00F5313F" w:rsidRPr="00A60FD5">
        <w:rPr>
          <w:rFonts w:ascii="Times New Roman" w:hAnsi="Times New Roman"/>
        </w:rPr>
        <w:t>Holmström</w:t>
      </w:r>
      <w:r w:rsidR="004F2971" w:rsidRPr="00A60FD5">
        <w:rPr>
          <w:rFonts w:ascii="Times New Roman" w:hAnsi="Times New Roman" w:cs="Times New Roman"/>
          <w:bCs/>
          <w:szCs w:val="22"/>
        </w:rPr>
        <w:t xml:space="preserve">, 1979; Parkhe, 1993).  </w:t>
      </w:r>
    </w:p>
    <w:p w14:paraId="42D02363" w14:textId="197981F3" w:rsidR="008539BD" w:rsidRPr="00A60FD5" w:rsidRDefault="00B30B33" w:rsidP="00495BC6">
      <w:pPr>
        <w:pStyle w:val="PlainText"/>
        <w:spacing w:line="480" w:lineRule="auto"/>
        <w:ind w:firstLine="624"/>
        <w:rPr>
          <w:rFonts w:ascii="Times New Roman" w:hAnsi="Times New Roman" w:cs="Times New Roman"/>
          <w:bCs/>
          <w:szCs w:val="22"/>
        </w:rPr>
      </w:pPr>
      <w:r w:rsidRPr="00A60FD5">
        <w:rPr>
          <w:rFonts w:ascii="Times New Roman" w:hAnsi="Times New Roman" w:cs="Times New Roman"/>
          <w:bCs/>
          <w:szCs w:val="22"/>
        </w:rPr>
        <w:t>W</w:t>
      </w:r>
      <w:r w:rsidR="00351A8B" w:rsidRPr="00A60FD5">
        <w:rPr>
          <w:rFonts w:ascii="Times New Roman" w:hAnsi="Times New Roman" w:cs="Times New Roman"/>
          <w:bCs/>
          <w:szCs w:val="22"/>
        </w:rPr>
        <w:t xml:space="preserve">hen partners emphasize explicit monitoring provisions as a means </w:t>
      </w:r>
      <w:r w:rsidR="00F77B49" w:rsidRPr="00A60FD5">
        <w:rPr>
          <w:rFonts w:ascii="Times New Roman" w:hAnsi="Times New Roman" w:cs="Times New Roman"/>
          <w:bCs/>
          <w:szCs w:val="22"/>
        </w:rPr>
        <w:t>to</w:t>
      </w:r>
      <w:r w:rsidR="00351A8B" w:rsidRPr="00A60FD5">
        <w:rPr>
          <w:rFonts w:ascii="Times New Roman" w:hAnsi="Times New Roman" w:cs="Times New Roman"/>
          <w:bCs/>
          <w:szCs w:val="22"/>
        </w:rPr>
        <w:t xml:space="preserve"> </w:t>
      </w:r>
      <w:r w:rsidRPr="00A60FD5">
        <w:rPr>
          <w:rFonts w:ascii="Times New Roman" w:hAnsi="Times New Roman" w:cs="Times New Roman"/>
          <w:bCs/>
          <w:szCs w:val="22"/>
        </w:rPr>
        <w:t xml:space="preserve">deter </w:t>
      </w:r>
      <w:r w:rsidR="00ED3F71" w:rsidRPr="00A60FD5">
        <w:rPr>
          <w:rFonts w:ascii="Times New Roman" w:hAnsi="Times New Roman" w:cs="Times New Roman"/>
          <w:bCs/>
          <w:szCs w:val="22"/>
        </w:rPr>
        <w:t>likely dilatory tactics</w:t>
      </w:r>
      <w:r w:rsidRPr="00A60FD5">
        <w:rPr>
          <w:rFonts w:ascii="Times New Roman" w:hAnsi="Times New Roman" w:cs="Times New Roman"/>
          <w:bCs/>
          <w:szCs w:val="22"/>
        </w:rPr>
        <w:t xml:space="preserve">, </w:t>
      </w:r>
      <w:r w:rsidR="00351A8B" w:rsidRPr="00A60FD5">
        <w:rPr>
          <w:rFonts w:ascii="Times New Roman" w:hAnsi="Times New Roman" w:cs="Times New Roman"/>
          <w:bCs/>
          <w:szCs w:val="22"/>
        </w:rPr>
        <w:t xml:space="preserve">incentives are created </w:t>
      </w:r>
      <w:r w:rsidRPr="00A60FD5">
        <w:rPr>
          <w:rFonts w:ascii="Times New Roman" w:hAnsi="Times New Roman" w:cs="Times New Roman"/>
          <w:bCs/>
          <w:szCs w:val="22"/>
        </w:rPr>
        <w:t xml:space="preserve">for firms </w:t>
      </w:r>
      <w:r w:rsidR="00351A8B" w:rsidRPr="00A60FD5">
        <w:rPr>
          <w:rFonts w:ascii="Times New Roman" w:hAnsi="Times New Roman" w:cs="Times New Roman"/>
          <w:bCs/>
          <w:szCs w:val="22"/>
        </w:rPr>
        <w:t xml:space="preserve">to defend </w:t>
      </w:r>
      <w:r w:rsidRPr="00A60FD5">
        <w:rPr>
          <w:rFonts w:ascii="Times New Roman" w:hAnsi="Times New Roman" w:cs="Times New Roman"/>
          <w:bCs/>
          <w:szCs w:val="22"/>
        </w:rPr>
        <w:t>their</w:t>
      </w:r>
      <w:r w:rsidR="00351A8B" w:rsidRPr="00A60FD5">
        <w:rPr>
          <w:rFonts w:ascii="Times New Roman" w:hAnsi="Times New Roman" w:cs="Times New Roman"/>
          <w:bCs/>
          <w:szCs w:val="22"/>
        </w:rPr>
        <w:t xml:space="preserve"> </w:t>
      </w:r>
      <w:r w:rsidR="00A0647C" w:rsidRPr="00A60FD5">
        <w:rPr>
          <w:rFonts w:ascii="Times New Roman" w:hAnsi="Times New Roman" w:cs="Times New Roman"/>
          <w:bCs/>
          <w:szCs w:val="22"/>
        </w:rPr>
        <w:t xml:space="preserve">own </w:t>
      </w:r>
      <w:r w:rsidR="00351A8B" w:rsidRPr="00A60FD5">
        <w:rPr>
          <w:rFonts w:ascii="Times New Roman" w:hAnsi="Times New Roman" w:cs="Times New Roman"/>
          <w:bCs/>
          <w:szCs w:val="22"/>
        </w:rPr>
        <w:t>behavior</w:t>
      </w:r>
      <w:r w:rsidRPr="00A60FD5">
        <w:rPr>
          <w:rFonts w:ascii="Times New Roman" w:hAnsi="Times New Roman" w:cs="Times New Roman"/>
          <w:bCs/>
          <w:szCs w:val="22"/>
        </w:rPr>
        <w:t>s</w:t>
      </w:r>
      <w:r w:rsidR="00351A8B" w:rsidRPr="00A60FD5">
        <w:rPr>
          <w:rFonts w:ascii="Times New Roman" w:hAnsi="Times New Roman" w:cs="Times New Roman"/>
          <w:bCs/>
          <w:szCs w:val="22"/>
        </w:rPr>
        <w:t xml:space="preserve"> and </w:t>
      </w:r>
      <w:r w:rsidR="001475C6" w:rsidRPr="00A60FD5">
        <w:rPr>
          <w:rFonts w:ascii="Times New Roman" w:hAnsi="Times New Roman" w:cs="Times New Roman"/>
          <w:bCs/>
          <w:szCs w:val="22"/>
        </w:rPr>
        <w:t xml:space="preserve">to </w:t>
      </w:r>
      <w:r w:rsidR="00351A8B" w:rsidRPr="00A60FD5">
        <w:rPr>
          <w:rFonts w:ascii="Times New Roman" w:hAnsi="Times New Roman" w:cs="Times New Roman"/>
          <w:bCs/>
          <w:szCs w:val="22"/>
        </w:rPr>
        <w:t>question the appropriateness of other</w:t>
      </w:r>
      <w:r w:rsidR="008539BD" w:rsidRPr="00A60FD5">
        <w:rPr>
          <w:rFonts w:ascii="Times New Roman" w:hAnsi="Times New Roman" w:cs="Times New Roman"/>
          <w:bCs/>
          <w:szCs w:val="22"/>
        </w:rPr>
        <w:t>s’</w:t>
      </w:r>
      <w:r w:rsidR="00351A8B" w:rsidRPr="00A60FD5">
        <w:rPr>
          <w:rFonts w:ascii="Times New Roman" w:hAnsi="Times New Roman" w:cs="Times New Roman"/>
          <w:bCs/>
          <w:szCs w:val="22"/>
        </w:rPr>
        <w:t xml:space="preserve"> actions (De Dreu et al</w:t>
      </w:r>
      <w:r w:rsidR="00351A8B" w:rsidRPr="00A60FD5">
        <w:rPr>
          <w:rFonts w:ascii="Times New Roman" w:hAnsi="Times New Roman" w:cs="Times New Roman"/>
          <w:bCs/>
          <w:i/>
          <w:szCs w:val="22"/>
        </w:rPr>
        <w:t>.</w:t>
      </w:r>
      <w:r w:rsidR="00F97832" w:rsidRPr="00A60FD5">
        <w:rPr>
          <w:rFonts w:ascii="Times New Roman" w:hAnsi="Times New Roman" w:cs="Times New Roman"/>
          <w:bCs/>
          <w:i/>
          <w:szCs w:val="22"/>
        </w:rPr>
        <w:t>,</w:t>
      </w:r>
      <w:r w:rsidR="00351A8B" w:rsidRPr="00A60FD5">
        <w:rPr>
          <w:rFonts w:ascii="Times New Roman" w:hAnsi="Times New Roman" w:cs="Times New Roman"/>
          <w:bCs/>
          <w:szCs w:val="22"/>
        </w:rPr>
        <w:t xml:space="preserve"> 2006). T</w:t>
      </w:r>
      <w:r w:rsidRPr="00A60FD5">
        <w:rPr>
          <w:rFonts w:ascii="Times New Roman" w:hAnsi="Times New Roman" w:cs="Times New Roman"/>
          <w:bCs/>
          <w:szCs w:val="22"/>
        </w:rPr>
        <w:t>h</w:t>
      </w:r>
      <w:r w:rsidR="00B855F6" w:rsidRPr="00A60FD5">
        <w:rPr>
          <w:rFonts w:ascii="Times New Roman" w:hAnsi="Times New Roman" w:cs="Times New Roman"/>
          <w:bCs/>
          <w:szCs w:val="22"/>
        </w:rPr>
        <w:t>e</w:t>
      </w:r>
      <w:r w:rsidRPr="00A60FD5">
        <w:rPr>
          <w:rFonts w:ascii="Times New Roman" w:hAnsi="Times New Roman" w:cs="Times New Roman"/>
          <w:bCs/>
          <w:szCs w:val="22"/>
        </w:rPr>
        <w:t>se provisions</w:t>
      </w:r>
      <w:r w:rsidR="00351A8B" w:rsidRPr="00A60FD5">
        <w:rPr>
          <w:rFonts w:ascii="Times New Roman" w:hAnsi="Times New Roman" w:cs="Times New Roman"/>
          <w:bCs/>
          <w:szCs w:val="22"/>
        </w:rPr>
        <w:t xml:space="preserve"> essentially enable partners </w:t>
      </w:r>
      <w:r w:rsidR="00351A8B" w:rsidRPr="00A60FD5">
        <w:rPr>
          <w:rFonts w:ascii="Times New Roman" w:hAnsi="Times New Roman" w:cs="Times New Roman"/>
          <w:bCs/>
          <w:szCs w:val="22"/>
        </w:rPr>
        <w:lastRenderedPageBreak/>
        <w:t xml:space="preserve">to mitigate </w:t>
      </w:r>
      <w:r w:rsidR="008A6C23" w:rsidRPr="00A60FD5">
        <w:rPr>
          <w:rFonts w:ascii="Times New Roman" w:hAnsi="Times New Roman" w:cs="Times New Roman"/>
          <w:bCs/>
          <w:szCs w:val="22"/>
        </w:rPr>
        <w:t>each other’s</w:t>
      </w:r>
      <w:r w:rsidR="003773A6" w:rsidRPr="00A60FD5">
        <w:rPr>
          <w:rFonts w:ascii="Times New Roman" w:hAnsi="Times New Roman" w:cs="Times New Roman"/>
          <w:bCs/>
          <w:szCs w:val="22"/>
        </w:rPr>
        <w:t>’</w:t>
      </w:r>
      <w:r w:rsidR="00351A8B" w:rsidRPr="00A60FD5">
        <w:rPr>
          <w:rFonts w:ascii="Times New Roman" w:hAnsi="Times New Roman" w:cs="Times New Roman"/>
          <w:bCs/>
          <w:szCs w:val="22"/>
        </w:rPr>
        <w:t xml:space="preserve"> tendencies to pursue self-interest (Williamson</w:t>
      </w:r>
      <w:r w:rsidR="00F97832" w:rsidRPr="00A60FD5">
        <w:rPr>
          <w:rFonts w:ascii="Times New Roman" w:hAnsi="Times New Roman" w:cs="Times New Roman"/>
          <w:bCs/>
          <w:szCs w:val="22"/>
        </w:rPr>
        <w:t>,</w:t>
      </w:r>
      <w:r w:rsidR="00351A8B" w:rsidRPr="00A60FD5">
        <w:rPr>
          <w:rFonts w:ascii="Times New Roman" w:hAnsi="Times New Roman" w:cs="Times New Roman"/>
          <w:bCs/>
          <w:szCs w:val="22"/>
        </w:rPr>
        <w:t xml:space="preserve"> 1985). </w:t>
      </w:r>
      <w:r w:rsidRPr="00A60FD5">
        <w:rPr>
          <w:rFonts w:ascii="Times New Roman" w:hAnsi="Times New Roman" w:cs="Times New Roman"/>
          <w:bCs/>
          <w:szCs w:val="22"/>
        </w:rPr>
        <w:t xml:space="preserve">In such </w:t>
      </w:r>
      <w:r w:rsidR="00B855F6" w:rsidRPr="00A60FD5">
        <w:rPr>
          <w:rFonts w:ascii="Times New Roman" w:hAnsi="Times New Roman" w:cs="Times New Roman"/>
          <w:bCs/>
          <w:szCs w:val="22"/>
        </w:rPr>
        <w:t xml:space="preserve">a </w:t>
      </w:r>
      <w:r w:rsidRPr="00A60FD5">
        <w:rPr>
          <w:rFonts w:ascii="Times New Roman" w:hAnsi="Times New Roman" w:cs="Times New Roman"/>
          <w:bCs/>
          <w:szCs w:val="22"/>
        </w:rPr>
        <w:t xml:space="preserve">context, </w:t>
      </w:r>
      <w:r w:rsidR="00B855F6" w:rsidRPr="00A60FD5">
        <w:rPr>
          <w:rFonts w:ascii="Times New Roman" w:hAnsi="Times New Roman" w:cs="Times New Roman"/>
          <w:bCs/>
          <w:szCs w:val="22"/>
        </w:rPr>
        <w:t xml:space="preserve">the </w:t>
      </w:r>
      <w:r w:rsidRPr="00A60FD5">
        <w:rPr>
          <w:rFonts w:ascii="Times New Roman" w:hAnsi="Times New Roman" w:cs="Times New Roman"/>
          <w:bCs/>
          <w:szCs w:val="22"/>
        </w:rPr>
        <w:t xml:space="preserve">public court may be perceived as </w:t>
      </w:r>
      <w:r w:rsidR="005346DC" w:rsidRPr="00A60FD5">
        <w:rPr>
          <w:rFonts w:ascii="Times New Roman" w:hAnsi="Times New Roman" w:cs="Times New Roman"/>
          <w:bCs/>
          <w:szCs w:val="22"/>
        </w:rPr>
        <w:t xml:space="preserve">a </w:t>
      </w:r>
      <w:r w:rsidRPr="00A60FD5">
        <w:rPr>
          <w:rFonts w:ascii="Times New Roman" w:hAnsi="Times New Roman" w:cs="Times New Roman"/>
          <w:bCs/>
          <w:szCs w:val="22"/>
        </w:rPr>
        <w:t xml:space="preserve">more suitable </w:t>
      </w:r>
      <w:r w:rsidR="00ED3F71" w:rsidRPr="00A60FD5">
        <w:rPr>
          <w:rFonts w:ascii="Times New Roman" w:hAnsi="Times New Roman" w:cs="Times New Roman"/>
          <w:bCs/>
          <w:szCs w:val="22"/>
        </w:rPr>
        <w:t xml:space="preserve">forum </w:t>
      </w:r>
      <w:r w:rsidR="00E441E7" w:rsidRPr="00A60FD5">
        <w:rPr>
          <w:rFonts w:ascii="Times New Roman" w:hAnsi="Times New Roman" w:cs="Times New Roman"/>
          <w:bCs/>
          <w:szCs w:val="22"/>
        </w:rPr>
        <w:t xml:space="preserve">for settling possible disputes </w:t>
      </w:r>
      <w:r w:rsidR="00ED3F71" w:rsidRPr="00A60FD5">
        <w:rPr>
          <w:rFonts w:ascii="Times New Roman" w:hAnsi="Times New Roman" w:cs="Times New Roman"/>
          <w:bCs/>
          <w:szCs w:val="22"/>
        </w:rPr>
        <w:t>as it is more incline</w:t>
      </w:r>
      <w:r w:rsidR="00D27F8D" w:rsidRPr="00A60FD5">
        <w:rPr>
          <w:rFonts w:ascii="Times New Roman" w:hAnsi="Times New Roman" w:cs="Times New Roman"/>
          <w:bCs/>
          <w:szCs w:val="22"/>
        </w:rPr>
        <w:t>d</w:t>
      </w:r>
      <w:r w:rsidR="00ED3F71" w:rsidRPr="00A60FD5">
        <w:rPr>
          <w:rFonts w:ascii="Times New Roman" w:hAnsi="Times New Roman" w:cs="Times New Roman"/>
          <w:bCs/>
          <w:szCs w:val="22"/>
        </w:rPr>
        <w:t xml:space="preserve"> than arbitration to deliver severe settlements</w:t>
      </w:r>
      <w:r w:rsidR="005346DC" w:rsidRPr="00A60FD5">
        <w:rPr>
          <w:rFonts w:ascii="Times New Roman" w:hAnsi="Times New Roman" w:cs="Times New Roman"/>
          <w:bCs/>
          <w:szCs w:val="22"/>
        </w:rPr>
        <w:t xml:space="preserve"> and to deter </w:t>
      </w:r>
      <w:r w:rsidR="008203AB" w:rsidRPr="00A60FD5">
        <w:rPr>
          <w:rFonts w:ascii="Times New Roman" w:hAnsi="Times New Roman" w:cs="Times New Roman"/>
          <w:bCs/>
          <w:szCs w:val="22"/>
        </w:rPr>
        <w:t xml:space="preserve">opportunism </w:t>
      </w:r>
      <w:r w:rsidR="00351A8B" w:rsidRPr="00A60FD5">
        <w:rPr>
          <w:rFonts w:ascii="Times New Roman" w:hAnsi="Times New Roman" w:cs="Times New Roman"/>
          <w:bCs/>
          <w:szCs w:val="22"/>
        </w:rPr>
        <w:t>(</w:t>
      </w:r>
      <w:r w:rsidR="00A0647C" w:rsidRPr="00A60FD5">
        <w:rPr>
          <w:rFonts w:ascii="Times New Roman" w:hAnsi="Times New Roman" w:cs="Times New Roman"/>
          <w:bCs/>
          <w:szCs w:val="22"/>
        </w:rPr>
        <w:t>Antia et al.</w:t>
      </w:r>
      <w:r w:rsidR="00F97832" w:rsidRPr="00A60FD5">
        <w:rPr>
          <w:rFonts w:ascii="Times New Roman" w:hAnsi="Times New Roman" w:cs="Times New Roman"/>
          <w:bCs/>
          <w:szCs w:val="22"/>
        </w:rPr>
        <w:t>,</w:t>
      </w:r>
      <w:r w:rsidR="00A0647C" w:rsidRPr="00A60FD5">
        <w:rPr>
          <w:rFonts w:ascii="Times New Roman" w:hAnsi="Times New Roman" w:cs="Times New Roman"/>
          <w:bCs/>
          <w:szCs w:val="22"/>
        </w:rPr>
        <w:t xml:space="preserve"> 2013</w:t>
      </w:r>
      <w:r w:rsidR="00F97832" w:rsidRPr="00A60FD5">
        <w:rPr>
          <w:rFonts w:ascii="Times New Roman" w:hAnsi="Times New Roman" w:cs="Times New Roman"/>
          <w:bCs/>
          <w:szCs w:val="22"/>
        </w:rPr>
        <w:t>;</w:t>
      </w:r>
      <w:r w:rsidR="00A0647C" w:rsidRPr="00A60FD5">
        <w:rPr>
          <w:rFonts w:ascii="Times New Roman" w:hAnsi="Times New Roman" w:cs="Times New Roman"/>
          <w:bCs/>
          <w:szCs w:val="22"/>
        </w:rPr>
        <w:t xml:space="preserve"> </w:t>
      </w:r>
      <w:r w:rsidR="00351A8B" w:rsidRPr="00A60FD5">
        <w:rPr>
          <w:rFonts w:ascii="Times New Roman" w:hAnsi="Times New Roman" w:cs="Times New Roman"/>
          <w:bCs/>
          <w:szCs w:val="22"/>
        </w:rPr>
        <w:t xml:space="preserve">Drahozal </w:t>
      </w:r>
      <w:r w:rsidR="00A0647C" w:rsidRPr="00A60FD5">
        <w:rPr>
          <w:rFonts w:ascii="Times New Roman" w:hAnsi="Times New Roman" w:cs="Times New Roman"/>
          <w:bCs/>
          <w:szCs w:val="22"/>
        </w:rPr>
        <w:t>and</w:t>
      </w:r>
      <w:r w:rsidR="00351A8B" w:rsidRPr="00A60FD5">
        <w:rPr>
          <w:rFonts w:ascii="Times New Roman" w:hAnsi="Times New Roman" w:cs="Times New Roman"/>
          <w:bCs/>
          <w:szCs w:val="22"/>
        </w:rPr>
        <w:t xml:space="preserve"> Hylton</w:t>
      </w:r>
      <w:r w:rsidR="00F97832" w:rsidRPr="00A60FD5">
        <w:rPr>
          <w:rFonts w:ascii="Times New Roman" w:hAnsi="Times New Roman" w:cs="Times New Roman"/>
          <w:bCs/>
          <w:szCs w:val="22"/>
        </w:rPr>
        <w:t>,</w:t>
      </w:r>
      <w:r w:rsidR="00A0647C" w:rsidRPr="00A60FD5">
        <w:rPr>
          <w:rFonts w:ascii="Times New Roman" w:hAnsi="Times New Roman" w:cs="Times New Roman"/>
          <w:bCs/>
          <w:szCs w:val="22"/>
        </w:rPr>
        <w:t xml:space="preserve"> </w:t>
      </w:r>
      <w:r w:rsidR="00351A8B" w:rsidRPr="00A60FD5">
        <w:rPr>
          <w:rFonts w:ascii="Times New Roman" w:hAnsi="Times New Roman" w:cs="Times New Roman"/>
          <w:bCs/>
          <w:szCs w:val="22"/>
        </w:rPr>
        <w:t xml:space="preserve">2003). </w:t>
      </w:r>
      <w:r w:rsidR="004D5F13" w:rsidRPr="00A60FD5">
        <w:rPr>
          <w:rFonts w:ascii="Times New Roman" w:hAnsi="Times New Roman" w:cs="Times New Roman"/>
          <w:bCs/>
          <w:szCs w:val="22"/>
        </w:rPr>
        <w:t xml:space="preserve">The </w:t>
      </w:r>
      <w:r w:rsidR="00D91B7B" w:rsidRPr="00A60FD5">
        <w:rPr>
          <w:rFonts w:ascii="Times New Roman" w:hAnsi="Times New Roman" w:cs="Times New Roman"/>
          <w:bCs/>
          <w:szCs w:val="22"/>
        </w:rPr>
        <w:t xml:space="preserve">prospect of severe damage awards and termination </w:t>
      </w:r>
      <w:r w:rsidR="00D27F8D" w:rsidRPr="00A60FD5">
        <w:rPr>
          <w:rFonts w:ascii="Times New Roman" w:hAnsi="Times New Roman" w:cs="Times New Roman"/>
          <w:bCs/>
          <w:szCs w:val="22"/>
        </w:rPr>
        <w:t xml:space="preserve">of the relationship </w:t>
      </w:r>
      <w:r w:rsidR="00D91B7B" w:rsidRPr="00A60FD5">
        <w:rPr>
          <w:rFonts w:ascii="Times New Roman" w:hAnsi="Times New Roman" w:cs="Times New Roman"/>
          <w:bCs/>
          <w:szCs w:val="22"/>
        </w:rPr>
        <w:t xml:space="preserve">is likely to be </w:t>
      </w:r>
      <w:r w:rsidR="004D5F13" w:rsidRPr="00A60FD5">
        <w:rPr>
          <w:rFonts w:ascii="Times New Roman" w:hAnsi="Times New Roman" w:cs="Times New Roman"/>
          <w:bCs/>
          <w:szCs w:val="22"/>
        </w:rPr>
        <w:t>needed for disciplining the exchange and preventing deviation from contractual obligations</w:t>
      </w:r>
      <w:r w:rsidR="00E441E7" w:rsidRPr="00A60FD5">
        <w:rPr>
          <w:rFonts w:ascii="Times New Roman" w:hAnsi="Times New Roman" w:cs="Times New Roman"/>
          <w:bCs/>
          <w:szCs w:val="22"/>
        </w:rPr>
        <w:t xml:space="preserve"> when moral hazards are non-negligible</w:t>
      </w:r>
      <w:r w:rsidR="004D5F13" w:rsidRPr="00A60FD5">
        <w:rPr>
          <w:rFonts w:ascii="Times New Roman" w:hAnsi="Times New Roman" w:cs="Times New Roman"/>
          <w:bCs/>
          <w:szCs w:val="22"/>
        </w:rPr>
        <w:t>. Despite the numerous advantages of arbitration, managers may</w:t>
      </w:r>
      <w:r w:rsidR="00DA2ECD" w:rsidRPr="00A60FD5">
        <w:rPr>
          <w:rFonts w:ascii="Times New Roman" w:hAnsi="Times New Roman" w:cs="Times New Roman"/>
          <w:bCs/>
          <w:szCs w:val="22"/>
        </w:rPr>
        <w:t xml:space="preserve">, therefore, </w:t>
      </w:r>
      <w:r w:rsidR="004D5F13" w:rsidRPr="00A60FD5">
        <w:rPr>
          <w:rFonts w:ascii="Times New Roman" w:hAnsi="Times New Roman" w:cs="Times New Roman"/>
          <w:bCs/>
          <w:szCs w:val="22"/>
        </w:rPr>
        <w:t xml:space="preserve">remain reluctant to agree to </w:t>
      </w:r>
      <w:r w:rsidR="00B855F6" w:rsidRPr="00A60FD5">
        <w:rPr>
          <w:rFonts w:ascii="Times New Roman" w:hAnsi="Times New Roman" w:cs="Times New Roman"/>
          <w:bCs/>
          <w:szCs w:val="22"/>
        </w:rPr>
        <w:t xml:space="preserve">it, </w:t>
      </w:r>
      <w:r w:rsidR="008539BD" w:rsidRPr="00A60FD5">
        <w:rPr>
          <w:rFonts w:ascii="Times New Roman" w:hAnsi="Times New Roman" w:cs="Times New Roman"/>
          <w:bCs/>
          <w:szCs w:val="22"/>
        </w:rPr>
        <w:t xml:space="preserve">for two reasons: the </w:t>
      </w:r>
      <w:r w:rsidR="004D5F13" w:rsidRPr="00A60FD5">
        <w:rPr>
          <w:rFonts w:ascii="Times New Roman" w:hAnsi="Times New Roman" w:cs="Times New Roman"/>
          <w:bCs/>
          <w:szCs w:val="22"/>
        </w:rPr>
        <w:t>arbitrators’ inclination to favor compromis</w:t>
      </w:r>
      <w:r w:rsidR="00B855F6" w:rsidRPr="00A60FD5">
        <w:rPr>
          <w:rFonts w:ascii="Times New Roman" w:hAnsi="Times New Roman" w:cs="Times New Roman"/>
          <w:bCs/>
          <w:szCs w:val="22"/>
        </w:rPr>
        <w:t>e</w:t>
      </w:r>
      <w:r w:rsidR="004D5F13" w:rsidRPr="00A60FD5">
        <w:rPr>
          <w:rFonts w:ascii="Times New Roman" w:hAnsi="Times New Roman" w:cs="Times New Roman"/>
          <w:bCs/>
          <w:szCs w:val="22"/>
        </w:rPr>
        <w:t xml:space="preserve"> rather than adversarial punitive awards (Drahozal and Ware, 2010; </w:t>
      </w:r>
      <w:r w:rsidR="0020691D" w:rsidRPr="00A60FD5">
        <w:rPr>
          <w:rFonts w:ascii="Times New Roman" w:hAnsi="Times New Roman" w:cs="Times New Roman"/>
          <w:bCs/>
          <w:szCs w:val="22"/>
        </w:rPr>
        <w:t>Stipanowich</w:t>
      </w:r>
      <w:r w:rsidR="004D5F13" w:rsidRPr="00A60FD5">
        <w:rPr>
          <w:rFonts w:ascii="Times New Roman" w:hAnsi="Times New Roman" w:cs="Times New Roman"/>
          <w:bCs/>
          <w:szCs w:val="22"/>
        </w:rPr>
        <w:t xml:space="preserve"> and Lamare, 201</w:t>
      </w:r>
      <w:r w:rsidR="004051F5" w:rsidRPr="00A60FD5">
        <w:rPr>
          <w:rFonts w:ascii="Times New Roman" w:hAnsi="Times New Roman" w:cs="Times New Roman"/>
          <w:bCs/>
          <w:szCs w:val="22"/>
        </w:rPr>
        <w:t>4</w:t>
      </w:r>
      <w:r w:rsidR="004D5F13" w:rsidRPr="00A60FD5">
        <w:rPr>
          <w:rFonts w:ascii="Times New Roman" w:hAnsi="Times New Roman" w:cs="Times New Roman"/>
          <w:bCs/>
          <w:szCs w:val="22"/>
        </w:rPr>
        <w:t>) a</w:t>
      </w:r>
      <w:r w:rsidR="008539BD" w:rsidRPr="00A60FD5">
        <w:rPr>
          <w:rFonts w:ascii="Times New Roman" w:hAnsi="Times New Roman" w:cs="Times New Roman"/>
          <w:bCs/>
          <w:szCs w:val="22"/>
        </w:rPr>
        <w:t xml:space="preserve">nd </w:t>
      </w:r>
      <w:r w:rsidR="004D5F13" w:rsidRPr="00A60FD5">
        <w:rPr>
          <w:rFonts w:ascii="Times New Roman" w:hAnsi="Times New Roman" w:cs="Times New Roman"/>
          <w:bCs/>
          <w:szCs w:val="22"/>
        </w:rPr>
        <w:t>the lack of judicial oversight of arbitrators’ awards (Brousseau et al., 2007</w:t>
      </w:r>
      <w:r w:rsidR="00D25FC7" w:rsidRPr="00A60FD5">
        <w:rPr>
          <w:rFonts w:ascii="Times New Roman" w:hAnsi="Times New Roman" w:cs="Times New Roman"/>
          <w:bCs/>
          <w:szCs w:val="22"/>
        </w:rPr>
        <w:t>; Pinkham and Peng, 2017</w:t>
      </w:r>
      <w:r w:rsidR="004D5F13" w:rsidRPr="00A60FD5">
        <w:rPr>
          <w:rFonts w:ascii="Times New Roman" w:hAnsi="Times New Roman" w:cs="Times New Roman"/>
          <w:bCs/>
          <w:szCs w:val="22"/>
        </w:rPr>
        <w:t>)</w:t>
      </w:r>
      <w:r w:rsidR="009F721B" w:rsidRPr="00A60FD5">
        <w:rPr>
          <w:rFonts w:ascii="Times New Roman" w:hAnsi="Times New Roman" w:cs="Times New Roman"/>
          <w:bCs/>
          <w:szCs w:val="22"/>
        </w:rPr>
        <w:t>.</w:t>
      </w:r>
      <w:r w:rsidR="004D5F13" w:rsidRPr="00A60FD5">
        <w:rPr>
          <w:rFonts w:ascii="Times New Roman" w:hAnsi="Times New Roman" w:cs="Times New Roman"/>
          <w:bCs/>
          <w:szCs w:val="22"/>
        </w:rPr>
        <w:t xml:space="preserve"> </w:t>
      </w:r>
      <w:r w:rsidR="00E441E7" w:rsidRPr="00A60FD5">
        <w:rPr>
          <w:rFonts w:ascii="Times New Roman" w:hAnsi="Times New Roman" w:cs="Times New Roman"/>
          <w:bCs/>
          <w:szCs w:val="22"/>
        </w:rPr>
        <w:t>By choosing litigation, partners increase the chance</w:t>
      </w:r>
      <w:r w:rsidR="003365A9" w:rsidRPr="00A60FD5">
        <w:rPr>
          <w:rFonts w:ascii="Times New Roman" w:hAnsi="Times New Roman" w:cs="Times New Roman"/>
          <w:bCs/>
          <w:szCs w:val="22"/>
        </w:rPr>
        <w:t>s</w:t>
      </w:r>
      <w:r w:rsidR="00E441E7" w:rsidRPr="00A60FD5">
        <w:rPr>
          <w:rFonts w:ascii="Times New Roman" w:hAnsi="Times New Roman" w:cs="Times New Roman"/>
          <w:bCs/>
          <w:szCs w:val="22"/>
        </w:rPr>
        <w:t xml:space="preserve"> </w:t>
      </w:r>
      <w:r w:rsidR="008C0730" w:rsidRPr="00A60FD5">
        <w:rPr>
          <w:rFonts w:ascii="Times New Roman" w:hAnsi="Times New Roman" w:cs="Times New Roman"/>
          <w:bCs/>
          <w:szCs w:val="22"/>
        </w:rPr>
        <w:t xml:space="preserve">of </w:t>
      </w:r>
      <w:r w:rsidR="00E441E7" w:rsidRPr="00A60FD5">
        <w:rPr>
          <w:rFonts w:ascii="Times New Roman" w:hAnsi="Times New Roman" w:cs="Times New Roman"/>
          <w:bCs/>
          <w:szCs w:val="22"/>
        </w:rPr>
        <w:t xml:space="preserve">disputes </w:t>
      </w:r>
      <w:r w:rsidR="008C0730" w:rsidRPr="00A60FD5">
        <w:rPr>
          <w:rFonts w:ascii="Times New Roman" w:hAnsi="Times New Roman" w:cs="Times New Roman"/>
          <w:bCs/>
          <w:szCs w:val="22"/>
        </w:rPr>
        <w:t xml:space="preserve">being </w:t>
      </w:r>
      <w:r w:rsidR="00E441E7" w:rsidRPr="00A60FD5">
        <w:rPr>
          <w:rFonts w:ascii="Times New Roman" w:hAnsi="Times New Roman" w:cs="Times New Roman"/>
          <w:bCs/>
          <w:szCs w:val="22"/>
        </w:rPr>
        <w:t xml:space="preserve">prevented or </w:t>
      </w:r>
      <w:r w:rsidR="00C72708" w:rsidRPr="00A60FD5">
        <w:rPr>
          <w:rFonts w:ascii="Times New Roman" w:hAnsi="Times New Roman" w:cs="Times New Roman"/>
          <w:bCs/>
          <w:szCs w:val="22"/>
        </w:rPr>
        <w:t xml:space="preserve">severe punitive remedies </w:t>
      </w:r>
      <w:r w:rsidR="008C0730" w:rsidRPr="00A60FD5">
        <w:rPr>
          <w:rFonts w:ascii="Times New Roman" w:hAnsi="Times New Roman" w:cs="Times New Roman"/>
          <w:bCs/>
          <w:szCs w:val="22"/>
        </w:rPr>
        <w:t xml:space="preserve">being </w:t>
      </w:r>
      <w:r w:rsidR="00C72708" w:rsidRPr="00A60FD5">
        <w:rPr>
          <w:rFonts w:ascii="Times New Roman" w:hAnsi="Times New Roman" w:cs="Times New Roman"/>
          <w:bCs/>
          <w:szCs w:val="22"/>
        </w:rPr>
        <w:t xml:space="preserve">imposed </w:t>
      </w:r>
      <w:r w:rsidR="003365A9" w:rsidRPr="00A60FD5">
        <w:rPr>
          <w:rFonts w:ascii="Times New Roman" w:hAnsi="Times New Roman" w:cs="Times New Roman"/>
          <w:bCs/>
          <w:szCs w:val="22"/>
        </w:rPr>
        <w:t xml:space="preserve">on </w:t>
      </w:r>
      <w:r w:rsidR="00C72708" w:rsidRPr="00A60FD5">
        <w:rPr>
          <w:rFonts w:ascii="Times New Roman" w:hAnsi="Times New Roman" w:cs="Times New Roman"/>
          <w:bCs/>
          <w:szCs w:val="22"/>
        </w:rPr>
        <w:t>the wrongdoer</w:t>
      </w:r>
      <w:r w:rsidR="005346DC" w:rsidRPr="00A60FD5">
        <w:rPr>
          <w:rFonts w:ascii="Times New Roman" w:hAnsi="Times New Roman" w:cs="Times New Roman"/>
          <w:bCs/>
          <w:szCs w:val="22"/>
        </w:rPr>
        <w:t xml:space="preserve"> </w:t>
      </w:r>
      <w:r w:rsidR="008C0730" w:rsidRPr="00A60FD5">
        <w:rPr>
          <w:rFonts w:ascii="Times New Roman" w:hAnsi="Times New Roman" w:cs="Times New Roman"/>
          <w:bCs/>
          <w:szCs w:val="22"/>
        </w:rPr>
        <w:t>if</w:t>
      </w:r>
      <w:r w:rsidR="005346DC" w:rsidRPr="00A60FD5">
        <w:rPr>
          <w:rFonts w:ascii="Times New Roman" w:hAnsi="Times New Roman" w:cs="Times New Roman"/>
          <w:bCs/>
          <w:szCs w:val="22"/>
        </w:rPr>
        <w:t xml:space="preserve"> disputes surface</w:t>
      </w:r>
      <w:r w:rsidR="00C72708" w:rsidRPr="00A60FD5">
        <w:rPr>
          <w:rFonts w:ascii="Times New Roman" w:hAnsi="Times New Roman" w:cs="Times New Roman"/>
          <w:bCs/>
          <w:szCs w:val="22"/>
        </w:rPr>
        <w:t>.</w:t>
      </w:r>
      <w:r w:rsidR="005346DC" w:rsidRPr="00A60FD5">
        <w:rPr>
          <w:rFonts w:ascii="Times New Roman" w:hAnsi="Times New Roman" w:cs="Times New Roman"/>
          <w:bCs/>
          <w:szCs w:val="22"/>
        </w:rPr>
        <w:t xml:space="preserve"> Public courts </w:t>
      </w:r>
      <w:r w:rsidR="008A6C23" w:rsidRPr="00A60FD5">
        <w:rPr>
          <w:rFonts w:ascii="Times New Roman" w:hAnsi="Times New Roman" w:cs="Times New Roman"/>
          <w:bCs/>
          <w:szCs w:val="22"/>
        </w:rPr>
        <w:t xml:space="preserve">indeed </w:t>
      </w:r>
      <w:r w:rsidR="005346DC" w:rsidRPr="00A60FD5">
        <w:rPr>
          <w:rFonts w:ascii="Times New Roman" w:hAnsi="Times New Roman" w:cs="Times New Roman"/>
          <w:bCs/>
          <w:szCs w:val="22"/>
        </w:rPr>
        <w:t xml:space="preserve">place </w:t>
      </w:r>
      <w:r w:rsidR="008C0730" w:rsidRPr="00A60FD5">
        <w:rPr>
          <w:rFonts w:ascii="Times New Roman" w:hAnsi="Times New Roman" w:cs="Times New Roman"/>
          <w:bCs/>
          <w:szCs w:val="22"/>
        </w:rPr>
        <w:t xml:space="preserve">great </w:t>
      </w:r>
      <w:r w:rsidR="005346DC" w:rsidRPr="00A60FD5">
        <w:rPr>
          <w:rFonts w:ascii="Times New Roman" w:hAnsi="Times New Roman" w:cs="Times New Roman"/>
          <w:bCs/>
          <w:szCs w:val="22"/>
        </w:rPr>
        <w:t>emphasis on the rights and entitlements of the parties and advance the interests of the “rightful” parties against the interests of the others</w:t>
      </w:r>
      <w:r w:rsidR="003365A9" w:rsidRPr="00A60FD5">
        <w:rPr>
          <w:rFonts w:ascii="Times New Roman" w:hAnsi="Times New Roman" w:cs="Times New Roman"/>
          <w:bCs/>
          <w:szCs w:val="22"/>
        </w:rPr>
        <w:t>. A</w:t>
      </w:r>
      <w:r w:rsidR="005346DC" w:rsidRPr="00A60FD5">
        <w:rPr>
          <w:rFonts w:ascii="Times New Roman" w:hAnsi="Times New Roman" w:cs="Times New Roman"/>
          <w:bCs/>
          <w:szCs w:val="22"/>
        </w:rPr>
        <w:t xml:space="preserve">rbitration offers more compassion and regard for parties’ business relationships (Wang, 2000). </w:t>
      </w:r>
      <w:r w:rsidR="00C72708" w:rsidRPr="00A60FD5">
        <w:rPr>
          <w:rFonts w:ascii="Times New Roman" w:hAnsi="Times New Roman" w:cs="Times New Roman"/>
          <w:bCs/>
          <w:szCs w:val="22"/>
        </w:rPr>
        <w:t xml:space="preserve"> </w:t>
      </w:r>
      <w:r w:rsidR="00E441E7" w:rsidRPr="00A60FD5">
        <w:rPr>
          <w:rFonts w:ascii="Times New Roman" w:hAnsi="Times New Roman" w:cs="Times New Roman"/>
          <w:bCs/>
          <w:szCs w:val="22"/>
        </w:rPr>
        <w:t xml:space="preserve"> </w:t>
      </w:r>
    </w:p>
    <w:p w14:paraId="467DC1BB" w14:textId="482D924F" w:rsidR="00EE2610" w:rsidRPr="00A60FD5" w:rsidRDefault="008539BD" w:rsidP="00495BC6">
      <w:pPr>
        <w:pStyle w:val="PlainText"/>
        <w:spacing w:line="480" w:lineRule="auto"/>
        <w:ind w:firstLine="624"/>
        <w:rPr>
          <w:rFonts w:ascii="Times New Roman" w:hAnsi="Times New Roman" w:cs="Times New Roman"/>
          <w:bCs/>
          <w:szCs w:val="22"/>
        </w:rPr>
      </w:pPr>
      <w:r w:rsidRPr="00A60FD5">
        <w:rPr>
          <w:rFonts w:ascii="Times New Roman" w:hAnsi="Times New Roman" w:cs="Times New Roman"/>
          <w:bCs/>
          <w:szCs w:val="22"/>
        </w:rPr>
        <w:t>Moreover</w:t>
      </w:r>
      <w:r w:rsidR="00351A8B" w:rsidRPr="00A60FD5">
        <w:rPr>
          <w:rFonts w:ascii="Times New Roman" w:hAnsi="Times New Roman" w:cs="Times New Roman"/>
          <w:bCs/>
          <w:szCs w:val="22"/>
        </w:rPr>
        <w:t xml:space="preserve">, </w:t>
      </w:r>
      <w:r w:rsidRPr="00A60FD5">
        <w:rPr>
          <w:rFonts w:ascii="Times New Roman" w:hAnsi="Times New Roman" w:cs="Times New Roman"/>
          <w:bCs/>
          <w:szCs w:val="22"/>
        </w:rPr>
        <w:t xml:space="preserve">partners are likely to be more confident in the ability of public judges to deal with disputes </w:t>
      </w:r>
      <w:r w:rsidR="00CB61E5" w:rsidRPr="00A60FD5">
        <w:rPr>
          <w:rFonts w:ascii="Times New Roman" w:hAnsi="Times New Roman" w:cs="Times New Roman"/>
          <w:bCs/>
          <w:szCs w:val="22"/>
        </w:rPr>
        <w:t>t</w:t>
      </w:r>
      <w:r w:rsidR="00100FE3" w:rsidRPr="00A60FD5">
        <w:rPr>
          <w:rFonts w:ascii="Times New Roman" w:hAnsi="Times New Roman" w:cs="Times New Roman"/>
          <w:bCs/>
          <w:szCs w:val="22"/>
        </w:rPr>
        <w:t>hanks to the information collected through monitoring activities</w:t>
      </w:r>
      <w:r w:rsidR="00F77B49" w:rsidRPr="00A60FD5">
        <w:rPr>
          <w:rFonts w:ascii="Times New Roman" w:hAnsi="Times New Roman" w:cs="Times New Roman"/>
          <w:bCs/>
          <w:szCs w:val="22"/>
        </w:rPr>
        <w:t>,</w:t>
      </w:r>
      <w:r w:rsidR="00100FE3" w:rsidRPr="00A60FD5">
        <w:rPr>
          <w:rFonts w:ascii="Times New Roman" w:hAnsi="Times New Roman" w:cs="Times New Roman"/>
          <w:bCs/>
          <w:szCs w:val="22"/>
        </w:rPr>
        <w:t xml:space="preserve"> and the likelihood of early detection of shirking, misappropriation</w:t>
      </w:r>
      <w:r w:rsidR="009F4338" w:rsidRPr="00A60FD5">
        <w:rPr>
          <w:rFonts w:ascii="Times New Roman" w:hAnsi="Times New Roman" w:cs="Times New Roman"/>
          <w:bCs/>
          <w:szCs w:val="22"/>
        </w:rPr>
        <w:t>,</w:t>
      </w:r>
      <w:r w:rsidR="00100FE3" w:rsidRPr="00A60FD5">
        <w:rPr>
          <w:rFonts w:ascii="Times New Roman" w:hAnsi="Times New Roman" w:cs="Times New Roman"/>
          <w:bCs/>
          <w:szCs w:val="22"/>
        </w:rPr>
        <w:t xml:space="preserve"> or hold-up situations. </w:t>
      </w:r>
      <w:r w:rsidR="008A6C23" w:rsidRPr="00A60FD5">
        <w:rPr>
          <w:rFonts w:ascii="Times New Roman" w:hAnsi="Times New Roman" w:cs="Times New Roman"/>
          <w:bCs/>
          <w:szCs w:val="22"/>
        </w:rPr>
        <w:t xml:space="preserve">Although judges may not have the technical and market expertise of arbitrators, those monitoring activities give them a privileged </w:t>
      </w:r>
      <w:r w:rsidR="001461A0" w:rsidRPr="00A60FD5">
        <w:rPr>
          <w:rFonts w:ascii="Times New Roman" w:hAnsi="Times New Roman" w:cs="Times New Roman"/>
          <w:bCs/>
          <w:szCs w:val="22"/>
        </w:rPr>
        <w:t xml:space="preserve">access to </w:t>
      </w:r>
      <w:r w:rsidR="00F77B49" w:rsidRPr="00A60FD5">
        <w:rPr>
          <w:rFonts w:ascii="Times New Roman" w:hAnsi="Times New Roman" w:cs="Times New Roman"/>
          <w:bCs/>
          <w:szCs w:val="22"/>
        </w:rPr>
        <w:t xml:space="preserve">the </w:t>
      </w:r>
      <w:r w:rsidR="001461A0" w:rsidRPr="00A60FD5">
        <w:rPr>
          <w:rFonts w:ascii="Times New Roman" w:hAnsi="Times New Roman" w:cs="Times New Roman"/>
          <w:bCs/>
          <w:szCs w:val="22"/>
        </w:rPr>
        <w:t xml:space="preserve">information needed </w:t>
      </w:r>
      <w:r w:rsidR="00F77B49" w:rsidRPr="00A60FD5">
        <w:rPr>
          <w:rFonts w:ascii="Times New Roman" w:hAnsi="Times New Roman" w:cs="Times New Roman"/>
          <w:bCs/>
          <w:szCs w:val="22"/>
        </w:rPr>
        <w:t>to</w:t>
      </w:r>
      <w:r w:rsidR="001461A0" w:rsidRPr="00A60FD5">
        <w:rPr>
          <w:rFonts w:ascii="Times New Roman" w:hAnsi="Times New Roman" w:cs="Times New Roman"/>
          <w:bCs/>
          <w:szCs w:val="22"/>
        </w:rPr>
        <w:t xml:space="preserve"> </w:t>
      </w:r>
      <w:r w:rsidR="003424E8" w:rsidRPr="00A60FD5">
        <w:rPr>
          <w:rFonts w:ascii="Times New Roman" w:hAnsi="Times New Roman" w:cs="Times New Roman"/>
          <w:bCs/>
          <w:szCs w:val="22"/>
        </w:rPr>
        <w:t>comprehensively evaluat</w:t>
      </w:r>
      <w:r w:rsidR="00F77B49" w:rsidRPr="00A60FD5">
        <w:rPr>
          <w:rFonts w:ascii="Times New Roman" w:hAnsi="Times New Roman" w:cs="Times New Roman"/>
          <w:bCs/>
          <w:szCs w:val="22"/>
        </w:rPr>
        <w:t>e</w:t>
      </w:r>
      <w:r w:rsidR="003424E8" w:rsidRPr="00A60FD5">
        <w:rPr>
          <w:rFonts w:ascii="Times New Roman" w:hAnsi="Times New Roman" w:cs="Times New Roman"/>
          <w:bCs/>
          <w:szCs w:val="22"/>
        </w:rPr>
        <w:t xml:space="preserve"> cases and </w:t>
      </w:r>
      <w:r w:rsidR="001461A0" w:rsidRPr="00A60FD5">
        <w:rPr>
          <w:rFonts w:ascii="Times New Roman" w:hAnsi="Times New Roman" w:cs="Times New Roman"/>
          <w:bCs/>
          <w:szCs w:val="22"/>
        </w:rPr>
        <w:t>deliver settlement</w:t>
      </w:r>
      <w:r w:rsidR="00F77B49" w:rsidRPr="00A60FD5">
        <w:rPr>
          <w:rFonts w:ascii="Times New Roman" w:hAnsi="Times New Roman" w:cs="Times New Roman"/>
          <w:bCs/>
          <w:szCs w:val="22"/>
        </w:rPr>
        <w:t>s</w:t>
      </w:r>
      <w:r w:rsidR="001461A0" w:rsidRPr="00A60FD5">
        <w:rPr>
          <w:rFonts w:ascii="Times New Roman" w:hAnsi="Times New Roman" w:cs="Times New Roman"/>
          <w:bCs/>
          <w:szCs w:val="22"/>
        </w:rPr>
        <w:t xml:space="preserve"> </w:t>
      </w:r>
      <w:r w:rsidRPr="00A60FD5">
        <w:rPr>
          <w:rFonts w:ascii="Times New Roman" w:hAnsi="Times New Roman" w:cs="Times New Roman"/>
          <w:bCs/>
          <w:szCs w:val="22"/>
        </w:rPr>
        <w:t xml:space="preserve">(i.e., formal and explicit contractual terms but also </w:t>
      </w:r>
      <w:r w:rsidRPr="00A60FD5">
        <w:rPr>
          <w:rFonts w:ascii="Times New Roman" w:hAnsi="Times New Roman" w:cs="Times New Roman"/>
          <w:bCs/>
        </w:rPr>
        <w:t>documented proof accompanying initial contracts</w:t>
      </w:r>
      <w:r w:rsidRPr="00A60FD5">
        <w:rPr>
          <w:rFonts w:ascii="Times New Roman" w:hAnsi="Times New Roman" w:cs="Times New Roman"/>
          <w:bCs/>
          <w:szCs w:val="22"/>
        </w:rPr>
        <w:t>)</w:t>
      </w:r>
      <w:r w:rsidR="001461A0" w:rsidRPr="00A60FD5">
        <w:rPr>
          <w:rFonts w:ascii="Times New Roman" w:hAnsi="Times New Roman" w:cs="Times New Roman"/>
          <w:bCs/>
          <w:szCs w:val="22"/>
        </w:rPr>
        <w:t>.</w:t>
      </w:r>
      <w:r w:rsidR="00495BC6" w:rsidRPr="00A60FD5">
        <w:rPr>
          <w:rFonts w:ascii="Times New Roman" w:hAnsi="Times New Roman" w:cs="Times New Roman"/>
          <w:bCs/>
          <w:szCs w:val="22"/>
        </w:rPr>
        <w:t xml:space="preserve"> </w:t>
      </w:r>
      <w:r w:rsidR="00B53048" w:rsidRPr="00A60FD5">
        <w:rPr>
          <w:rFonts w:ascii="Times New Roman" w:hAnsi="Times New Roman" w:cs="Times New Roman"/>
          <w:bCs/>
          <w:szCs w:val="22"/>
        </w:rPr>
        <w:t>B</w:t>
      </w:r>
      <w:r w:rsidR="00D91B7B" w:rsidRPr="00A60FD5">
        <w:rPr>
          <w:rFonts w:ascii="Times New Roman" w:hAnsi="Times New Roman" w:cs="Times New Roman"/>
          <w:bCs/>
          <w:szCs w:val="22"/>
        </w:rPr>
        <w:t>ased on the information collected through monitoring</w:t>
      </w:r>
      <w:r w:rsidR="00B53048" w:rsidRPr="00A60FD5">
        <w:rPr>
          <w:rFonts w:ascii="Times New Roman" w:hAnsi="Times New Roman" w:cs="Times New Roman"/>
          <w:bCs/>
          <w:szCs w:val="22"/>
        </w:rPr>
        <w:t>, they can better judge</w:t>
      </w:r>
      <w:r w:rsidR="00D91B7B" w:rsidRPr="00A60FD5">
        <w:rPr>
          <w:rFonts w:ascii="Times New Roman" w:hAnsi="Times New Roman" w:cs="Times New Roman"/>
          <w:bCs/>
          <w:szCs w:val="22"/>
        </w:rPr>
        <w:t xml:space="preserve"> </w:t>
      </w:r>
      <w:r w:rsidR="00495BC6" w:rsidRPr="00A60FD5">
        <w:rPr>
          <w:rFonts w:ascii="Times New Roman" w:hAnsi="Times New Roman" w:cs="Times New Roman"/>
          <w:bCs/>
          <w:szCs w:val="22"/>
        </w:rPr>
        <w:t xml:space="preserve">whether </w:t>
      </w:r>
      <w:r w:rsidR="00B53048" w:rsidRPr="00A60FD5">
        <w:rPr>
          <w:rFonts w:ascii="Times New Roman" w:hAnsi="Times New Roman" w:cs="Times New Roman"/>
          <w:bCs/>
          <w:szCs w:val="22"/>
        </w:rPr>
        <w:t xml:space="preserve">or not </w:t>
      </w:r>
      <w:r w:rsidR="00495BC6" w:rsidRPr="00A60FD5">
        <w:rPr>
          <w:rFonts w:ascii="Times New Roman" w:hAnsi="Times New Roman" w:cs="Times New Roman"/>
          <w:bCs/>
          <w:szCs w:val="22"/>
        </w:rPr>
        <w:t xml:space="preserve">parties </w:t>
      </w:r>
      <w:r w:rsidR="00B53048" w:rsidRPr="00A60FD5">
        <w:rPr>
          <w:rFonts w:ascii="Times New Roman" w:hAnsi="Times New Roman" w:cs="Times New Roman"/>
          <w:bCs/>
          <w:szCs w:val="22"/>
        </w:rPr>
        <w:t xml:space="preserve">acted </w:t>
      </w:r>
      <w:r w:rsidR="00495BC6" w:rsidRPr="00A60FD5">
        <w:rPr>
          <w:rFonts w:ascii="Times New Roman" w:hAnsi="Times New Roman" w:cs="Times New Roman"/>
          <w:bCs/>
          <w:szCs w:val="22"/>
        </w:rPr>
        <w:t xml:space="preserve">in good faith. To ensure efficient enforcement, it </w:t>
      </w:r>
      <w:r w:rsidR="00E34116" w:rsidRPr="00A60FD5">
        <w:rPr>
          <w:rFonts w:ascii="Times New Roman" w:hAnsi="Times New Roman" w:cs="Times New Roman"/>
          <w:bCs/>
          <w:szCs w:val="22"/>
        </w:rPr>
        <w:t xml:space="preserve">must </w:t>
      </w:r>
      <w:r w:rsidR="00495BC6" w:rsidRPr="00A60FD5">
        <w:rPr>
          <w:rFonts w:ascii="Times New Roman" w:hAnsi="Times New Roman" w:cs="Times New Roman"/>
          <w:bCs/>
          <w:szCs w:val="22"/>
        </w:rPr>
        <w:t>indeed be certain that th</w:t>
      </w:r>
      <w:r w:rsidR="00B53048" w:rsidRPr="00A60FD5">
        <w:rPr>
          <w:rFonts w:ascii="Times New Roman" w:hAnsi="Times New Roman" w:cs="Times New Roman"/>
          <w:bCs/>
          <w:szCs w:val="22"/>
        </w:rPr>
        <w:t>e</w:t>
      </w:r>
      <w:r w:rsidR="00495BC6" w:rsidRPr="00A60FD5">
        <w:rPr>
          <w:rFonts w:ascii="Times New Roman" w:hAnsi="Times New Roman" w:cs="Times New Roman"/>
          <w:bCs/>
          <w:szCs w:val="22"/>
        </w:rPr>
        <w:t xml:space="preserve">se courts do not excuse parties that could have relatively easily taken action to avoid </w:t>
      </w:r>
      <w:r w:rsidR="00B53048" w:rsidRPr="00A60FD5">
        <w:rPr>
          <w:rFonts w:ascii="Times New Roman" w:hAnsi="Times New Roman" w:cs="Times New Roman"/>
          <w:bCs/>
          <w:szCs w:val="22"/>
        </w:rPr>
        <w:t>violating</w:t>
      </w:r>
      <w:r w:rsidR="00495BC6" w:rsidRPr="00A60FD5">
        <w:rPr>
          <w:rFonts w:ascii="Times New Roman" w:hAnsi="Times New Roman" w:cs="Times New Roman"/>
          <w:bCs/>
          <w:szCs w:val="22"/>
        </w:rPr>
        <w:t xml:space="preserve"> the contractual commitments (Joskow, 1977). If not, opportunistic or inefficient risk-taking behaviors might increase (Williamson, 1975). Monitoring provisions therefore make the licensing contract less “incomplete” and thereby </w:t>
      </w:r>
      <w:r w:rsidR="00E441E7" w:rsidRPr="00A60FD5">
        <w:rPr>
          <w:rFonts w:ascii="Times New Roman" w:hAnsi="Times New Roman" w:cs="Times New Roman"/>
          <w:bCs/>
          <w:szCs w:val="22"/>
        </w:rPr>
        <w:t xml:space="preserve">put the public courts in </w:t>
      </w:r>
      <w:r w:rsidR="0042442D" w:rsidRPr="00A60FD5">
        <w:rPr>
          <w:rFonts w:ascii="Times New Roman" w:hAnsi="Times New Roman" w:cs="Times New Roman"/>
          <w:bCs/>
          <w:szCs w:val="22"/>
        </w:rPr>
        <w:t xml:space="preserve">a </w:t>
      </w:r>
      <w:r w:rsidR="00E441E7" w:rsidRPr="00A60FD5">
        <w:rPr>
          <w:rFonts w:ascii="Times New Roman" w:hAnsi="Times New Roman" w:cs="Times New Roman"/>
          <w:bCs/>
          <w:szCs w:val="22"/>
        </w:rPr>
        <w:t xml:space="preserve">better position to </w:t>
      </w:r>
      <w:r w:rsidR="0042442D" w:rsidRPr="00A60FD5">
        <w:rPr>
          <w:rFonts w:ascii="Times New Roman" w:hAnsi="Times New Roman" w:cs="Times New Roman"/>
          <w:bCs/>
          <w:szCs w:val="22"/>
        </w:rPr>
        <w:t xml:space="preserve">fulfill </w:t>
      </w:r>
      <w:r w:rsidR="00E441E7" w:rsidRPr="00A60FD5">
        <w:rPr>
          <w:rFonts w:ascii="Times New Roman" w:hAnsi="Times New Roman" w:cs="Times New Roman"/>
          <w:bCs/>
          <w:szCs w:val="22"/>
        </w:rPr>
        <w:t>their coercive role</w:t>
      </w:r>
      <w:r w:rsidR="00495BC6" w:rsidRPr="00A60FD5">
        <w:rPr>
          <w:rFonts w:ascii="Times New Roman" w:hAnsi="Times New Roman" w:cs="Times New Roman"/>
          <w:bCs/>
          <w:szCs w:val="22"/>
        </w:rPr>
        <w:t xml:space="preserve">. </w:t>
      </w:r>
      <w:r w:rsidR="006C1F70" w:rsidRPr="00A60FD5">
        <w:rPr>
          <w:rFonts w:ascii="Times New Roman" w:hAnsi="Times New Roman" w:cs="Times New Roman"/>
          <w:bCs/>
          <w:szCs w:val="22"/>
        </w:rPr>
        <w:t xml:space="preserve">Consequently, by </w:t>
      </w:r>
      <w:r w:rsidR="00CB61E5" w:rsidRPr="00A60FD5">
        <w:rPr>
          <w:rFonts w:ascii="Times New Roman" w:hAnsi="Times New Roman" w:cs="Times New Roman"/>
          <w:bCs/>
          <w:szCs w:val="22"/>
        </w:rPr>
        <w:t>including monitoring provisions</w:t>
      </w:r>
      <w:r w:rsidR="006C1F70" w:rsidRPr="00A60FD5">
        <w:rPr>
          <w:rFonts w:ascii="Times New Roman" w:hAnsi="Times New Roman" w:cs="Times New Roman"/>
          <w:bCs/>
          <w:szCs w:val="22"/>
        </w:rPr>
        <w:t xml:space="preserve"> as </w:t>
      </w:r>
      <w:r w:rsidR="0042442D" w:rsidRPr="00A60FD5">
        <w:rPr>
          <w:rFonts w:ascii="Times New Roman" w:hAnsi="Times New Roman" w:cs="Times New Roman"/>
          <w:bCs/>
          <w:szCs w:val="22"/>
        </w:rPr>
        <w:t xml:space="preserve">a </w:t>
      </w:r>
      <w:r w:rsidR="006C1F70" w:rsidRPr="00A60FD5">
        <w:rPr>
          <w:rFonts w:ascii="Times New Roman" w:hAnsi="Times New Roman" w:cs="Times New Roman"/>
          <w:bCs/>
          <w:szCs w:val="22"/>
        </w:rPr>
        <w:t xml:space="preserve">means </w:t>
      </w:r>
      <w:r w:rsidR="00F77B49" w:rsidRPr="00A60FD5">
        <w:rPr>
          <w:rFonts w:ascii="Times New Roman" w:hAnsi="Times New Roman" w:cs="Times New Roman"/>
          <w:bCs/>
          <w:szCs w:val="22"/>
        </w:rPr>
        <w:t xml:space="preserve">to </w:t>
      </w:r>
      <w:r w:rsidR="00921C2D" w:rsidRPr="00A60FD5">
        <w:rPr>
          <w:rFonts w:ascii="Times New Roman" w:hAnsi="Times New Roman" w:cs="Times New Roman"/>
          <w:bCs/>
          <w:szCs w:val="22"/>
        </w:rPr>
        <w:t>hinder devious tactics</w:t>
      </w:r>
      <w:r w:rsidR="00CB61E5" w:rsidRPr="00A60FD5">
        <w:rPr>
          <w:rFonts w:ascii="Times New Roman" w:hAnsi="Times New Roman" w:cs="Times New Roman"/>
          <w:bCs/>
          <w:szCs w:val="22"/>
        </w:rPr>
        <w:t>, licensing partners increase the ability of public courts to comprehend disputes</w:t>
      </w:r>
      <w:r w:rsidR="00F77B49" w:rsidRPr="00A60FD5">
        <w:rPr>
          <w:rFonts w:ascii="Times New Roman" w:hAnsi="Times New Roman" w:cs="Times New Roman"/>
          <w:bCs/>
          <w:szCs w:val="22"/>
        </w:rPr>
        <w:t>,</w:t>
      </w:r>
      <w:r w:rsidR="00CB61E5" w:rsidRPr="00A60FD5">
        <w:rPr>
          <w:rFonts w:ascii="Times New Roman" w:hAnsi="Times New Roman" w:cs="Times New Roman"/>
          <w:bCs/>
          <w:szCs w:val="22"/>
        </w:rPr>
        <w:t xml:space="preserve"> and</w:t>
      </w:r>
      <w:r w:rsidR="006C1F70" w:rsidRPr="00A60FD5">
        <w:rPr>
          <w:rFonts w:ascii="Times New Roman" w:hAnsi="Times New Roman" w:cs="Times New Roman"/>
          <w:bCs/>
          <w:szCs w:val="22"/>
        </w:rPr>
        <w:t xml:space="preserve"> they </w:t>
      </w:r>
      <w:r w:rsidR="00CB61E5" w:rsidRPr="00A60FD5">
        <w:rPr>
          <w:rFonts w:ascii="Times New Roman" w:hAnsi="Times New Roman" w:cs="Times New Roman"/>
          <w:bCs/>
          <w:szCs w:val="22"/>
        </w:rPr>
        <w:t xml:space="preserve">magnify the chances that the rules of contract law and the letter of </w:t>
      </w:r>
      <w:r w:rsidR="00CB61E5" w:rsidRPr="00A60FD5">
        <w:rPr>
          <w:rFonts w:ascii="Times New Roman" w:hAnsi="Times New Roman" w:cs="Times New Roman"/>
          <w:bCs/>
          <w:szCs w:val="22"/>
        </w:rPr>
        <w:lastRenderedPageBreak/>
        <w:t xml:space="preserve">the </w:t>
      </w:r>
      <w:r w:rsidR="004B5AF2" w:rsidRPr="00A60FD5">
        <w:rPr>
          <w:rFonts w:ascii="Times New Roman" w:hAnsi="Times New Roman" w:cs="Times New Roman"/>
          <w:bCs/>
          <w:szCs w:val="22"/>
        </w:rPr>
        <w:t xml:space="preserve">original </w:t>
      </w:r>
      <w:r w:rsidR="00CB61E5" w:rsidRPr="00A60FD5">
        <w:rPr>
          <w:rFonts w:ascii="Times New Roman" w:hAnsi="Times New Roman" w:cs="Times New Roman"/>
          <w:bCs/>
          <w:szCs w:val="22"/>
        </w:rPr>
        <w:t xml:space="preserve">contract </w:t>
      </w:r>
      <w:r w:rsidR="009F4338" w:rsidRPr="00A60FD5">
        <w:rPr>
          <w:rFonts w:ascii="Times New Roman" w:hAnsi="Times New Roman" w:cs="Times New Roman"/>
          <w:bCs/>
          <w:szCs w:val="22"/>
        </w:rPr>
        <w:t>will be</w:t>
      </w:r>
      <w:r w:rsidR="00CB61E5" w:rsidRPr="00A60FD5">
        <w:rPr>
          <w:rFonts w:ascii="Times New Roman" w:hAnsi="Times New Roman" w:cs="Times New Roman"/>
          <w:bCs/>
          <w:szCs w:val="22"/>
        </w:rPr>
        <w:t xml:space="preserve"> strictly followed and </w:t>
      </w:r>
      <w:r w:rsidR="00DA2ECD" w:rsidRPr="00A60FD5">
        <w:rPr>
          <w:rFonts w:ascii="Times New Roman" w:hAnsi="Times New Roman" w:cs="Times New Roman"/>
          <w:bCs/>
          <w:szCs w:val="22"/>
        </w:rPr>
        <w:t xml:space="preserve">rigorously </w:t>
      </w:r>
      <w:r w:rsidR="006C1F70" w:rsidRPr="00A60FD5">
        <w:rPr>
          <w:rFonts w:ascii="Times New Roman" w:hAnsi="Times New Roman" w:cs="Times New Roman"/>
          <w:bCs/>
          <w:szCs w:val="22"/>
        </w:rPr>
        <w:t>enforced</w:t>
      </w:r>
      <w:r w:rsidR="00CB61E5" w:rsidRPr="00A60FD5">
        <w:rPr>
          <w:rFonts w:ascii="Times New Roman" w:hAnsi="Times New Roman" w:cs="Times New Roman"/>
          <w:bCs/>
          <w:szCs w:val="22"/>
        </w:rPr>
        <w:t xml:space="preserve"> (</w:t>
      </w:r>
      <w:r w:rsidR="00A0647C" w:rsidRPr="00A60FD5">
        <w:rPr>
          <w:rFonts w:ascii="Times New Roman" w:hAnsi="Times New Roman" w:cs="Times New Roman"/>
          <w:bCs/>
          <w:szCs w:val="22"/>
        </w:rPr>
        <w:t>Hylton</w:t>
      </w:r>
      <w:r w:rsidR="00F97832" w:rsidRPr="00A60FD5">
        <w:rPr>
          <w:rFonts w:ascii="Times New Roman" w:hAnsi="Times New Roman" w:cs="Times New Roman"/>
          <w:bCs/>
          <w:szCs w:val="22"/>
        </w:rPr>
        <w:t>,</w:t>
      </w:r>
      <w:r w:rsidR="00A0647C" w:rsidRPr="00A60FD5">
        <w:rPr>
          <w:rFonts w:ascii="Times New Roman" w:hAnsi="Times New Roman" w:cs="Times New Roman"/>
          <w:bCs/>
          <w:szCs w:val="22"/>
        </w:rPr>
        <w:t xml:space="preserve"> 200</w:t>
      </w:r>
      <w:r w:rsidR="008C2D92" w:rsidRPr="00A60FD5">
        <w:rPr>
          <w:rFonts w:ascii="Times New Roman" w:hAnsi="Times New Roman" w:cs="Times New Roman"/>
          <w:bCs/>
          <w:szCs w:val="22"/>
        </w:rPr>
        <w:t>5</w:t>
      </w:r>
      <w:r w:rsidR="00F97832" w:rsidRPr="00A60FD5">
        <w:rPr>
          <w:rFonts w:ascii="Times New Roman" w:hAnsi="Times New Roman" w:cs="Times New Roman"/>
          <w:bCs/>
          <w:szCs w:val="22"/>
        </w:rPr>
        <w:t>;</w:t>
      </w:r>
      <w:r w:rsidR="00A0647C" w:rsidRPr="00A60FD5">
        <w:rPr>
          <w:rFonts w:ascii="Times New Roman" w:hAnsi="Times New Roman" w:cs="Times New Roman"/>
          <w:bCs/>
          <w:szCs w:val="22"/>
        </w:rPr>
        <w:t xml:space="preserve"> </w:t>
      </w:r>
      <w:r w:rsidR="00CB61E5" w:rsidRPr="00A60FD5">
        <w:rPr>
          <w:rFonts w:ascii="Times New Roman" w:hAnsi="Times New Roman" w:cs="Times New Roman"/>
          <w:bCs/>
          <w:szCs w:val="22"/>
        </w:rPr>
        <w:t>Macneil</w:t>
      </w:r>
      <w:r w:rsidR="00F97832" w:rsidRPr="00A60FD5">
        <w:rPr>
          <w:rFonts w:ascii="Times New Roman" w:hAnsi="Times New Roman" w:cs="Times New Roman"/>
          <w:bCs/>
          <w:szCs w:val="22"/>
        </w:rPr>
        <w:t>,</w:t>
      </w:r>
      <w:r w:rsidR="00CB61E5" w:rsidRPr="00A60FD5">
        <w:rPr>
          <w:rFonts w:ascii="Times New Roman" w:hAnsi="Times New Roman" w:cs="Times New Roman"/>
          <w:bCs/>
          <w:szCs w:val="22"/>
        </w:rPr>
        <w:t xml:space="preserve"> 1974</w:t>
      </w:r>
      <w:r w:rsidR="00BD7F94" w:rsidRPr="00A60FD5">
        <w:rPr>
          <w:rFonts w:ascii="Times New Roman" w:hAnsi="Times New Roman" w:cs="Times New Roman"/>
          <w:bCs/>
          <w:szCs w:val="22"/>
        </w:rPr>
        <w:t xml:space="preserve"> &amp;</w:t>
      </w:r>
      <w:r w:rsidR="00CB61E5" w:rsidRPr="00A60FD5">
        <w:rPr>
          <w:rFonts w:ascii="Times New Roman" w:hAnsi="Times New Roman" w:cs="Times New Roman"/>
          <w:bCs/>
          <w:szCs w:val="22"/>
        </w:rPr>
        <w:t xml:space="preserve"> 197</w:t>
      </w:r>
      <w:r w:rsidR="00336DF8" w:rsidRPr="00A60FD5">
        <w:rPr>
          <w:rFonts w:ascii="Times New Roman" w:hAnsi="Times New Roman" w:cs="Times New Roman"/>
          <w:bCs/>
          <w:szCs w:val="22"/>
        </w:rPr>
        <w:t>8</w:t>
      </w:r>
      <w:r w:rsidR="00CB61E5" w:rsidRPr="00A60FD5">
        <w:rPr>
          <w:rFonts w:ascii="Times New Roman" w:hAnsi="Times New Roman" w:cs="Times New Roman"/>
          <w:bCs/>
          <w:szCs w:val="22"/>
        </w:rPr>
        <w:t>). Hence</w:t>
      </w:r>
      <w:r w:rsidR="006C1F70" w:rsidRPr="00A60FD5">
        <w:rPr>
          <w:rFonts w:ascii="Times New Roman" w:hAnsi="Times New Roman" w:cs="Times New Roman"/>
          <w:bCs/>
          <w:szCs w:val="22"/>
        </w:rPr>
        <w:t>, we hypothesize that</w:t>
      </w:r>
      <w:r w:rsidR="00CB61E5" w:rsidRPr="00A60FD5">
        <w:rPr>
          <w:rFonts w:ascii="Times New Roman" w:hAnsi="Times New Roman" w:cs="Times New Roman"/>
          <w:bCs/>
          <w:szCs w:val="22"/>
        </w:rPr>
        <w:t>:</w:t>
      </w:r>
    </w:p>
    <w:p w14:paraId="439CD2A3" w14:textId="73EF047B" w:rsidR="004B5AF2" w:rsidRPr="00A60FD5" w:rsidRDefault="004B5AF2" w:rsidP="004B5AF2">
      <w:pPr>
        <w:spacing w:after="0" w:line="480" w:lineRule="auto"/>
        <w:ind w:left="708"/>
        <w:rPr>
          <w:rFonts w:ascii="Times New Roman" w:hAnsi="Times New Roman" w:cs="Times New Roman"/>
          <w:i/>
        </w:rPr>
      </w:pPr>
      <w:r w:rsidRPr="00A60FD5">
        <w:rPr>
          <w:rFonts w:ascii="Times New Roman" w:hAnsi="Times New Roman" w:cs="Times New Roman"/>
          <w:i/>
        </w:rPr>
        <w:t xml:space="preserve">Hypothesis </w:t>
      </w:r>
      <w:r w:rsidR="000B0E58" w:rsidRPr="00A60FD5">
        <w:rPr>
          <w:rFonts w:ascii="Times New Roman" w:hAnsi="Times New Roman" w:cs="Times New Roman"/>
          <w:i/>
        </w:rPr>
        <w:t>1</w:t>
      </w:r>
      <w:r w:rsidRPr="00A60FD5">
        <w:rPr>
          <w:rFonts w:ascii="Times New Roman" w:hAnsi="Times New Roman" w:cs="Times New Roman"/>
          <w:i/>
        </w:rPr>
        <w:t xml:space="preserve">: The greater the extent of the monitoring </w:t>
      </w:r>
      <w:r w:rsidR="00BD1718" w:rsidRPr="00A60FD5">
        <w:rPr>
          <w:rFonts w:ascii="Times New Roman" w:hAnsi="Times New Roman" w:cs="Times New Roman"/>
          <w:i/>
        </w:rPr>
        <w:t xml:space="preserve">orientation </w:t>
      </w:r>
      <w:r w:rsidRPr="00A60FD5">
        <w:rPr>
          <w:rFonts w:ascii="Times New Roman" w:hAnsi="Times New Roman" w:cs="Times New Roman"/>
          <w:i/>
        </w:rPr>
        <w:t>in licensing contracts, the lower the likelihood of including an arbitration provision.</w:t>
      </w:r>
    </w:p>
    <w:p w14:paraId="141A2A4D" w14:textId="6567E408" w:rsidR="0060025A" w:rsidRPr="00A60FD5" w:rsidRDefault="00346156" w:rsidP="00A05DE5">
      <w:pPr>
        <w:pStyle w:val="PlainText"/>
        <w:spacing w:line="480" w:lineRule="auto"/>
        <w:ind w:firstLine="624"/>
        <w:rPr>
          <w:rFonts w:ascii="Times New Roman" w:hAnsi="Times New Roman"/>
          <w:szCs w:val="22"/>
        </w:rPr>
      </w:pPr>
      <w:r w:rsidRPr="00A60FD5">
        <w:rPr>
          <w:rFonts w:ascii="Times New Roman" w:hAnsi="Times New Roman" w:cs="Times New Roman"/>
          <w:b/>
          <w:bCs/>
          <w:szCs w:val="22"/>
        </w:rPr>
        <w:t xml:space="preserve">Coordination </w:t>
      </w:r>
      <w:r w:rsidR="00D164EF" w:rsidRPr="00A60FD5">
        <w:rPr>
          <w:rFonts w:ascii="Times New Roman" w:hAnsi="Times New Roman" w:cs="Times New Roman"/>
          <w:b/>
          <w:bCs/>
          <w:szCs w:val="22"/>
        </w:rPr>
        <w:t>Orientation</w:t>
      </w:r>
      <w:r w:rsidRPr="00A60FD5">
        <w:rPr>
          <w:rFonts w:ascii="Times New Roman" w:hAnsi="Times New Roman" w:cs="Times New Roman"/>
          <w:b/>
          <w:bCs/>
          <w:szCs w:val="22"/>
        </w:rPr>
        <w:t>.</w:t>
      </w:r>
      <w:r w:rsidRPr="00A60FD5">
        <w:rPr>
          <w:rFonts w:ascii="Times New Roman" w:hAnsi="Times New Roman"/>
          <w:b/>
          <w:szCs w:val="22"/>
        </w:rPr>
        <w:t xml:space="preserve"> </w:t>
      </w:r>
      <w:r w:rsidR="004F2971" w:rsidRPr="00A60FD5">
        <w:rPr>
          <w:rFonts w:ascii="Times New Roman" w:hAnsi="Times New Roman"/>
          <w:szCs w:val="22"/>
        </w:rPr>
        <w:t>As stated earlier, managing moral hazards is only one function of the licensing contract design. Be</w:t>
      </w:r>
      <w:r w:rsidR="00A9098E" w:rsidRPr="00A60FD5">
        <w:rPr>
          <w:rFonts w:ascii="Times New Roman" w:hAnsi="Times New Roman"/>
          <w:szCs w:val="22"/>
        </w:rPr>
        <w:t xml:space="preserve">sides those moral hazards, coordination challenges become vivid when the licensing transaction implies an exchange of tacit knowledge or when interdependent tasks are expected (Gulati and Singh, 1998; Gulati et al., 2005). </w:t>
      </w:r>
      <w:r w:rsidR="00E34116" w:rsidRPr="00A60FD5">
        <w:rPr>
          <w:rFonts w:ascii="Times New Roman" w:hAnsi="Times New Roman"/>
          <w:szCs w:val="22"/>
        </w:rPr>
        <w:t>R</w:t>
      </w:r>
      <w:r w:rsidR="00A9098E" w:rsidRPr="00A60FD5">
        <w:rPr>
          <w:rFonts w:ascii="Times New Roman" w:hAnsi="Times New Roman"/>
          <w:szCs w:val="22"/>
        </w:rPr>
        <w:t xml:space="preserve">outines </w:t>
      </w:r>
      <w:r w:rsidR="00E34116" w:rsidRPr="00A60FD5">
        <w:rPr>
          <w:rFonts w:ascii="Times New Roman" w:hAnsi="Times New Roman"/>
          <w:szCs w:val="22"/>
        </w:rPr>
        <w:t xml:space="preserve">and capabilities </w:t>
      </w:r>
      <w:r w:rsidR="00A9098E" w:rsidRPr="00A60FD5">
        <w:rPr>
          <w:rFonts w:ascii="Times New Roman" w:hAnsi="Times New Roman"/>
          <w:szCs w:val="22"/>
        </w:rPr>
        <w:t xml:space="preserve">are difficult to exchange through the market (Teece, 1977). “Cognitive” limitations in the transfer of technology to another organizational context </w:t>
      </w:r>
      <w:r w:rsidR="00F5313F">
        <w:rPr>
          <w:rFonts w:ascii="Times New Roman" w:hAnsi="Times New Roman"/>
          <w:szCs w:val="22"/>
        </w:rPr>
        <w:t>ask for</w:t>
      </w:r>
      <w:r w:rsidR="00F5313F" w:rsidRPr="00A60FD5">
        <w:rPr>
          <w:rFonts w:ascii="Times New Roman" w:hAnsi="Times New Roman"/>
          <w:szCs w:val="22"/>
        </w:rPr>
        <w:t xml:space="preserve"> </w:t>
      </w:r>
      <w:r w:rsidR="00D46BB1" w:rsidRPr="00A60FD5">
        <w:rPr>
          <w:rFonts w:ascii="Times New Roman" w:hAnsi="Times New Roman"/>
          <w:szCs w:val="22"/>
        </w:rPr>
        <w:t xml:space="preserve">significant </w:t>
      </w:r>
      <w:r w:rsidR="00E34116" w:rsidRPr="00A60FD5">
        <w:rPr>
          <w:rFonts w:ascii="Times New Roman" w:hAnsi="Times New Roman"/>
          <w:szCs w:val="22"/>
        </w:rPr>
        <w:t xml:space="preserve">costs and </w:t>
      </w:r>
      <w:r w:rsidR="00A9098E" w:rsidRPr="00A60FD5">
        <w:rPr>
          <w:rFonts w:ascii="Times New Roman" w:hAnsi="Times New Roman"/>
          <w:szCs w:val="22"/>
        </w:rPr>
        <w:t>adap</w:t>
      </w:r>
      <w:r w:rsidR="00DA2ECD" w:rsidRPr="00A60FD5">
        <w:rPr>
          <w:rFonts w:ascii="Times New Roman" w:hAnsi="Times New Roman"/>
          <w:szCs w:val="22"/>
        </w:rPr>
        <w:t>ta</w:t>
      </w:r>
      <w:r w:rsidR="00A9098E" w:rsidRPr="00A60FD5">
        <w:rPr>
          <w:rFonts w:ascii="Times New Roman" w:hAnsi="Times New Roman"/>
          <w:szCs w:val="22"/>
        </w:rPr>
        <w:t>ti</w:t>
      </w:r>
      <w:r w:rsidR="007F22C0" w:rsidRPr="00A60FD5">
        <w:rPr>
          <w:rFonts w:ascii="Times New Roman" w:hAnsi="Times New Roman"/>
          <w:szCs w:val="22"/>
        </w:rPr>
        <w:t>on</w:t>
      </w:r>
      <w:r w:rsidR="00A9098E" w:rsidRPr="00A60FD5">
        <w:rPr>
          <w:rFonts w:ascii="Times New Roman" w:hAnsi="Times New Roman"/>
          <w:szCs w:val="22"/>
        </w:rPr>
        <w:t xml:space="preserve"> (Arora and Gambardella, 1994). </w:t>
      </w:r>
      <w:r w:rsidR="00110C60" w:rsidRPr="00A60FD5">
        <w:rPr>
          <w:rFonts w:ascii="Times New Roman" w:hAnsi="Times New Roman"/>
          <w:szCs w:val="22"/>
        </w:rPr>
        <w:t>In licensing exchanges</w:t>
      </w:r>
      <w:r w:rsidR="00E34116" w:rsidRPr="00A60FD5">
        <w:rPr>
          <w:rFonts w:ascii="Times New Roman" w:hAnsi="Times New Roman"/>
          <w:szCs w:val="22"/>
        </w:rPr>
        <w:t>,</w:t>
      </w:r>
      <w:r w:rsidR="00110C60" w:rsidRPr="00A60FD5">
        <w:rPr>
          <w:rFonts w:ascii="Times New Roman" w:hAnsi="Times New Roman"/>
          <w:szCs w:val="22"/>
        </w:rPr>
        <w:t xml:space="preserve"> partners may have to develop </w:t>
      </w:r>
      <w:r w:rsidR="007849DA" w:rsidRPr="00A60FD5">
        <w:rPr>
          <w:rFonts w:ascii="Times New Roman" w:hAnsi="Times New Roman" w:cs="Times New Roman"/>
          <w:bCs/>
          <w:szCs w:val="22"/>
        </w:rPr>
        <w:t xml:space="preserve">joint efforts and cooperation in </w:t>
      </w:r>
      <w:r w:rsidR="008B1E6D" w:rsidRPr="00A60FD5">
        <w:rPr>
          <w:rFonts w:ascii="Times New Roman" w:hAnsi="Times New Roman" w:cs="Times New Roman"/>
          <w:bCs/>
          <w:szCs w:val="22"/>
        </w:rPr>
        <w:t xml:space="preserve">such </w:t>
      </w:r>
      <w:r w:rsidR="007849DA" w:rsidRPr="00A60FD5">
        <w:rPr>
          <w:rFonts w:ascii="Times New Roman" w:hAnsi="Times New Roman" w:cs="Times New Roman"/>
          <w:bCs/>
          <w:szCs w:val="22"/>
        </w:rPr>
        <w:t xml:space="preserve">areas as R&amp;D, manufacturing, </w:t>
      </w:r>
      <w:r w:rsidR="008B1E6D" w:rsidRPr="00A60FD5">
        <w:rPr>
          <w:rFonts w:ascii="Times New Roman" w:hAnsi="Times New Roman" w:cs="Times New Roman"/>
          <w:bCs/>
          <w:szCs w:val="22"/>
        </w:rPr>
        <w:t>and</w:t>
      </w:r>
      <w:r w:rsidR="007849DA" w:rsidRPr="00A60FD5">
        <w:rPr>
          <w:rFonts w:ascii="Times New Roman" w:hAnsi="Times New Roman" w:cs="Times New Roman"/>
          <w:bCs/>
          <w:szCs w:val="22"/>
        </w:rPr>
        <w:t xml:space="preserve"> marketing (</w:t>
      </w:r>
      <w:r w:rsidR="00F46370" w:rsidRPr="00A60FD5">
        <w:rPr>
          <w:rFonts w:ascii="Times New Roman" w:hAnsi="Times New Roman" w:cs="Times New Roman"/>
          <w:bCs/>
          <w:szCs w:val="22"/>
        </w:rPr>
        <w:t>Hagedoorn et al.</w:t>
      </w:r>
      <w:r w:rsidR="00F97832" w:rsidRPr="00A60FD5">
        <w:rPr>
          <w:rFonts w:ascii="Times New Roman" w:hAnsi="Times New Roman" w:cs="Times New Roman"/>
          <w:bCs/>
          <w:szCs w:val="22"/>
        </w:rPr>
        <w:t>,</w:t>
      </w:r>
      <w:r w:rsidR="00F46370" w:rsidRPr="00A60FD5">
        <w:rPr>
          <w:rFonts w:ascii="Times New Roman" w:hAnsi="Times New Roman" w:cs="Times New Roman"/>
          <w:bCs/>
          <w:szCs w:val="22"/>
        </w:rPr>
        <w:t xml:space="preserve"> 200</w:t>
      </w:r>
      <w:r w:rsidR="00E258CC" w:rsidRPr="00A60FD5">
        <w:rPr>
          <w:rFonts w:ascii="Times New Roman" w:hAnsi="Times New Roman" w:cs="Times New Roman"/>
          <w:bCs/>
          <w:szCs w:val="22"/>
        </w:rPr>
        <w:t>8</w:t>
      </w:r>
      <w:r w:rsidR="007849DA" w:rsidRPr="00A60FD5">
        <w:rPr>
          <w:rFonts w:ascii="Times New Roman" w:hAnsi="Times New Roman" w:cs="Times New Roman"/>
          <w:bCs/>
          <w:szCs w:val="22"/>
        </w:rPr>
        <w:t>).</w:t>
      </w:r>
      <w:r w:rsidR="007849DA" w:rsidRPr="00A60FD5">
        <w:rPr>
          <w:rFonts w:ascii="Times New Roman" w:hAnsi="Times New Roman"/>
          <w:szCs w:val="22"/>
        </w:rPr>
        <w:t xml:space="preserve"> </w:t>
      </w:r>
      <w:r w:rsidR="00CF6544" w:rsidRPr="00A60FD5">
        <w:rPr>
          <w:rFonts w:ascii="Times New Roman" w:hAnsi="Times New Roman"/>
          <w:szCs w:val="22"/>
        </w:rPr>
        <w:t>In some cases, the division of labor is straightforward—the licensor focuses on technology development and the licensee concentrates on its commercialization (Teece</w:t>
      </w:r>
      <w:r w:rsidR="00F97832" w:rsidRPr="00A60FD5">
        <w:rPr>
          <w:rFonts w:ascii="Times New Roman" w:hAnsi="Times New Roman"/>
          <w:szCs w:val="22"/>
        </w:rPr>
        <w:t>,</w:t>
      </w:r>
      <w:r w:rsidR="00CF6544" w:rsidRPr="00A60FD5">
        <w:rPr>
          <w:rFonts w:ascii="Times New Roman" w:hAnsi="Times New Roman"/>
          <w:szCs w:val="22"/>
        </w:rPr>
        <w:t xml:space="preserve"> 1986). </w:t>
      </w:r>
      <w:r w:rsidR="008B1E6D" w:rsidRPr="00A60FD5">
        <w:rPr>
          <w:rFonts w:ascii="Times New Roman" w:hAnsi="Times New Roman"/>
          <w:szCs w:val="22"/>
        </w:rPr>
        <w:t>However, w</w:t>
      </w:r>
      <w:r w:rsidR="00FC088B" w:rsidRPr="00A60FD5">
        <w:rPr>
          <w:rFonts w:ascii="Times New Roman" w:hAnsi="Times New Roman"/>
          <w:szCs w:val="22"/>
        </w:rPr>
        <w:t>hen</w:t>
      </w:r>
      <w:r w:rsidR="00CF6544" w:rsidRPr="00A60FD5">
        <w:rPr>
          <w:rFonts w:ascii="Times New Roman" w:hAnsi="Times New Roman"/>
          <w:szCs w:val="22"/>
        </w:rPr>
        <w:t xml:space="preserve"> licensing goes beyond the mere granting of the right to use a patent, </w:t>
      </w:r>
      <w:r w:rsidR="008A722F" w:rsidRPr="00A60FD5">
        <w:rPr>
          <w:rFonts w:ascii="Times New Roman" w:hAnsi="Times New Roman"/>
          <w:szCs w:val="22"/>
        </w:rPr>
        <w:t>interfaces and processes for decomposing tasks and coordinating interactions</w:t>
      </w:r>
      <w:r w:rsidR="008B1E6D" w:rsidRPr="00A60FD5">
        <w:rPr>
          <w:rFonts w:ascii="Times New Roman" w:hAnsi="Times New Roman"/>
          <w:szCs w:val="22"/>
        </w:rPr>
        <w:t xml:space="preserve"> may be needed</w:t>
      </w:r>
      <w:r w:rsidR="008A722F" w:rsidRPr="00A60FD5">
        <w:rPr>
          <w:rFonts w:ascii="Times New Roman" w:hAnsi="Times New Roman"/>
          <w:szCs w:val="22"/>
        </w:rPr>
        <w:t xml:space="preserve"> (</w:t>
      </w:r>
      <w:r w:rsidR="00A0647C" w:rsidRPr="00A60FD5">
        <w:rPr>
          <w:rFonts w:ascii="Times New Roman" w:hAnsi="Times New Roman"/>
          <w:szCs w:val="22"/>
        </w:rPr>
        <w:t>Artz and Brush</w:t>
      </w:r>
      <w:r w:rsidR="00F97832" w:rsidRPr="00A60FD5">
        <w:rPr>
          <w:rFonts w:ascii="Times New Roman" w:hAnsi="Times New Roman"/>
          <w:szCs w:val="22"/>
        </w:rPr>
        <w:t>,</w:t>
      </w:r>
      <w:r w:rsidR="00A0647C" w:rsidRPr="00A60FD5">
        <w:rPr>
          <w:rFonts w:ascii="Times New Roman" w:hAnsi="Times New Roman"/>
          <w:szCs w:val="22"/>
        </w:rPr>
        <w:t xml:space="preserve"> 2000</w:t>
      </w:r>
      <w:r w:rsidR="00F97832" w:rsidRPr="00A60FD5">
        <w:rPr>
          <w:rFonts w:ascii="Times New Roman" w:hAnsi="Times New Roman"/>
          <w:szCs w:val="22"/>
        </w:rPr>
        <w:t>;</w:t>
      </w:r>
      <w:r w:rsidR="00A0647C" w:rsidRPr="00A60FD5">
        <w:rPr>
          <w:rFonts w:ascii="Times New Roman" w:hAnsi="Times New Roman"/>
          <w:szCs w:val="22"/>
        </w:rPr>
        <w:t xml:space="preserve"> Mesquita and Brush</w:t>
      </w:r>
      <w:r w:rsidR="00F97832" w:rsidRPr="00A60FD5">
        <w:rPr>
          <w:rFonts w:ascii="Times New Roman" w:hAnsi="Times New Roman"/>
          <w:szCs w:val="22"/>
        </w:rPr>
        <w:t>,</w:t>
      </w:r>
      <w:r w:rsidR="00A0647C" w:rsidRPr="00A60FD5">
        <w:rPr>
          <w:rFonts w:ascii="Times New Roman" w:hAnsi="Times New Roman"/>
          <w:szCs w:val="22"/>
        </w:rPr>
        <w:t xml:space="preserve"> 2008</w:t>
      </w:r>
      <w:r w:rsidR="008A722F" w:rsidRPr="00A60FD5">
        <w:rPr>
          <w:rFonts w:ascii="Times New Roman" w:hAnsi="Times New Roman"/>
          <w:szCs w:val="22"/>
        </w:rPr>
        <w:t>). Th</w:t>
      </w:r>
      <w:r w:rsidR="007E32FD" w:rsidRPr="00A60FD5">
        <w:rPr>
          <w:rFonts w:ascii="Times New Roman" w:hAnsi="Times New Roman"/>
          <w:szCs w:val="22"/>
        </w:rPr>
        <w:t>e</w:t>
      </w:r>
      <w:r w:rsidR="008A722F" w:rsidRPr="00A60FD5">
        <w:rPr>
          <w:rFonts w:ascii="Times New Roman" w:hAnsi="Times New Roman"/>
          <w:szCs w:val="22"/>
        </w:rPr>
        <w:t xml:space="preserve">se interfaces tend to be unique and specific to the </w:t>
      </w:r>
      <w:r w:rsidR="006924A1" w:rsidRPr="00A60FD5">
        <w:rPr>
          <w:rFonts w:ascii="Times New Roman" w:hAnsi="Times New Roman"/>
          <w:szCs w:val="22"/>
        </w:rPr>
        <w:t xml:space="preserve">focal </w:t>
      </w:r>
      <w:r w:rsidR="008A722F" w:rsidRPr="00A60FD5">
        <w:rPr>
          <w:rFonts w:ascii="Times New Roman" w:hAnsi="Times New Roman"/>
          <w:szCs w:val="22"/>
        </w:rPr>
        <w:t>exchange (</w:t>
      </w:r>
      <w:r w:rsidR="00A0647C" w:rsidRPr="00A60FD5">
        <w:rPr>
          <w:rFonts w:ascii="Times New Roman" w:hAnsi="Times New Roman"/>
          <w:szCs w:val="22"/>
        </w:rPr>
        <w:t>Mesquita and Brush</w:t>
      </w:r>
      <w:r w:rsidR="00F97832" w:rsidRPr="00A60FD5">
        <w:rPr>
          <w:rFonts w:ascii="Times New Roman" w:hAnsi="Times New Roman"/>
          <w:szCs w:val="22"/>
        </w:rPr>
        <w:t>,</w:t>
      </w:r>
      <w:r w:rsidR="00A0647C" w:rsidRPr="00A60FD5">
        <w:rPr>
          <w:rFonts w:ascii="Times New Roman" w:hAnsi="Times New Roman"/>
          <w:szCs w:val="22"/>
        </w:rPr>
        <w:t xml:space="preserve"> 200</w:t>
      </w:r>
      <w:r w:rsidR="00336DF8" w:rsidRPr="00A60FD5">
        <w:rPr>
          <w:rFonts w:ascii="Times New Roman" w:hAnsi="Times New Roman"/>
          <w:szCs w:val="22"/>
        </w:rPr>
        <w:t>8</w:t>
      </w:r>
      <w:r w:rsidR="008A722F" w:rsidRPr="00A60FD5">
        <w:rPr>
          <w:rFonts w:ascii="Times New Roman" w:hAnsi="Times New Roman"/>
          <w:szCs w:val="22"/>
        </w:rPr>
        <w:t xml:space="preserve">). Heterogeneity in </w:t>
      </w:r>
      <w:r w:rsidR="007E32FD" w:rsidRPr="00A60FD5">
        <w:rPr>
          <w:rFonts w:ascii="Times New Roman" w:hAnsi="Times New Roman"/>
          <w:szCs w:val="22"/>
        </w:rPr>
        <w:t xml:space="preserve">the </w:t>
      </w:r>
      <w:r w:rsidR="008A722F" w:rsidRPr="00A60FD5">
        <w:rPr>
          <w:rFonts w:ascii="Times New Roman" w:hAnsi="Times New Roman"/>
          <w:szCs w:val="22"/>
        </w:rPr>
        <w:t>licensee’s absorptive capabilities must be</w:t>
      </w:r>
      <w:r w:rsidR="006924A1" w:rsidRPr="00A60FD5">
        <w:rPr>
          <w:rFonts w:ascii="Times New Roman" w:hAnsi="Times New Roman"/>
          <w:szCs w:val="22"/>
        </w:rPr>
        <w:t xml:space="preserve"> taken into </w:t>
      </w:r>
      <w:r w:rsidR="008A722F" w:rsidRPr="00A60FD5">
        <w:rPr>
          <w:rFonts w:ascii="Times New Roman" w:hAnsi="Times New Roman"/>
          <w:szCs w:val="22"/>
        </w:rPr>
        <w:t>account</w:t>
      </w:r>
      <w:r w:rsidR="0060025A" w:rsidRPr="00A60FD5">
        <w:rPr>
          <w:rFonts w:ascii="Times New Roman" w:hAnsi="Times New Roman"/>
          <w:szCs w:val="22"/>
        </w:rPr>
        <w:t xml:space="preserve"> (Martin and Salomon</w:t>
      </w:r>
      <w:r w:rsidR="00F97832" w:rsidRPr="00A60FD5">
        <w:rPr>
          <w:rFonts w:ascii="Times New Roman" w:hAnsi="Times New Roman"/>
          <w:szCs w:val="22"/>
        </w:rPr>
        <w:t>,</w:t>
      </w:r>
      <w:r w:rsidR="0060025A" w:rsidRPr="00A60FD5">
        <w:rPr>
          <w:rFonts w:ascii="Times New Roman" w:hAnsi="Times New Roman"/>
          <w:szCs w:val="22"/>
        </w:rPr>
        <w:t xml:space="preserve"> 2003)</w:t>
      </w:r>
      <w:r w:rsidR="001C48D4" w:rsidRPr="00A60FD5">
        <w:rPr>
          <w:rFonts w:ascii="Times New Roman" w:hAnsi="Times New Roman"/>
          <w:szCs w:val="22"/>
        </w:rPr>
        <w:t xml:space="preserve">. Also, </w:t>
      </w:r>
      <w:r w:rsidR="008A722F" w:rsidRPr="00A60FD5">
        <w:rPr>
          <w:rFonts w:ascii="Times New Roman" w:hAnsi="Times New Roman"/>
          <w:szCs w:val="22"/>
        </w:rPr>
        <w:t xml:space="preserve">adjustments </w:t>
      </w:r>
      <w:r w:rsidR="006924A1" w:rsidRPr="00A60FD5">
        <w:rPr>
          <w:rFonts w:ascii="Times New Roman" w:hAnsi="Times New Roman"/>
          <w:szCs w:val="22"/>
        </w:rPr>
        <w:t>in</w:t>
      </w:r>
      <w:r w:rsidR="008A722F" w:rsidRPr="00A60FD5">
        <w:rPr>
          <w:rFonts w:ascii="Times New Roman" w:hAnsi="Times New Roman"/>
          <w:szCs w:val="22"/>
        </w:rPr>
        <w:t xml:space="preserve"> each party’s actions</w:t>
      </w:r>
      <w:r w:rsidR="006924A1" w:rsidRPr="00A60FD5">
        <w:rPr>
          <w:rFonts w:ascii="Times New Roman" w:hAnsi="Times New Roman"/>
          <w:szCs w:val="22"/>
        </w:rPr>
        <w:t>,</w:t>
      </w:r>
      <w:r w:rsidR="008A722F" w:rsidRPr="00A60FD5">
        <w:rPr>
          <w:rFonts w:ascii="Times New Roman" w:hAnsi="Times New Roman"/>
          <w:szCs w:val="22"/>
        </w:rPr>
        <w:t xml:space="preserve"> possibly due to changing conditions or needs among the parties</w:t>
      </w:r>
      <w:r w:rsidR="006924A1" w:rsidRPr="00A60FD5">
        <w:rPr>
          <w:rFonts w:ascii="Times New Roman" w:hAnsi="Times New Roman"/>
          <w:szCs w:val="22"/>
        </w:rPr>
        <w:t>,</w:t>
      </w:r>
      <w:r w:rsidR="008A722F" w:rsidRPr="00A60FD5">
        <w:rPr>
          <w:rFonts w:ascii="Times New Roman" w:hAnsi="Times New Roman"/>
          <w:szCs w:val="22"/>
        </w:rPr>
        <w:t xml:space="preserve"> may be required </w:t>
      </w:r>
      <w:r w:rsidR="001C48D4" w:rsidRPr="00A60FD5">
        <w:rPr>
          <w:rFonts w:ascii="Times New Roman" w:hAnsi="Times New Roman"/>
          <w:szCs w:val="22"/>
        </w:rPr>
        <w:t>over time</w:t>
      </w:r>
      <w:r w:rsidR="008A722F" w:rsidRPr="00A60FD5">
        <w:rPr>
          <w:rFonts w:ascii="Times New Roman" w:hAnsi="Times New Roman"/>
          <w:szCs w:val="22"/>
        </w:rPr>
        <w:t xml:space="preserve">. </w:t>
      </w:r>
      <w:r w:rsidR="004F2971" w:rsidRPr="00A60FD5">
        <w:rPr>
          <w:rFonts w:ascii="Times New Roman" w:hAnsi="Times New Roman"/>
          <w:szCs w:val="22"/>
        </w:rPr>
        <w:t xml:space="preserve">In order to pursue desirable outcomes and overcome collaboration failures due to technological uncertainty and cognitive limitations, provisions may serve </w:t>
      </w:r>
      <w:r w:rsidR="007E32FD" w:rsidRPr="00A60FD5">
        <w:rPr>
          <w:rFonts w:ascii="Times New Roman" w:hAnsi="Times New Roman"/>
          <w:szCs w:val="22"/>
        </w:rPr>
        <w:t xml:space="preserve">to </w:t>
      </w:r>
      <w:r w:rsidR="004F2971" w:rsidRPr="00A60FD5">
        <w:rPr>
          <w:rFonts w:ascii="Times New Roman" w:hAnsi="Times New Roman"/>
          <w:szCs w:val="22"/>
        </w:rPr>
        <w:t>offer a framework for communication and interaction. Firms tend to respond to the expected need for coordination by crafting provisions aimed at devising ways for effecting transfers (Mellewigt et al., 2007; Reuer and Ariño, 2007), exchanging information (Argyres and Mayer, 2007), or engaging in joint planning (Carson et al., 2006). Th</w:t>
      </w:r>
      <w:r w:rsidR="007E32FD" w:rsidRPr="00A60FD5">
        <w:rPr>
          <w:rFonts w:ascii="Times New Roman" w:hAnsi="Times New Roman"/>
          <w:szCs w:val="22"/>
        </w:rPr>
        <w:t>e</w:t>
      </w:r>
      <w:r w:rsidR="004F2971" w:rsidRPr="00A60FD5">
        <w:rPr>
          <w:rFonts w:ascii="Times New Roman" w:hAnsi="Times New Roman"/>
          <w:szCs w:val="22"/>
        </w:rPr>
        <w:t xml:space="preserve">se provisions </w:t>
      </w:r>
      <w:r w:rsidR="007E32FD" w:rsidRPr="00A60FD5">
        <w:rPr>
          <w:rFonts w:ascii="Times New Roman" w:hAnsi="Times New Roman"/>
          <w:szCs w:val="22"/>
        </w:rPr>
        <w:t xml:space="preserve">are used </w:t>
      </w:r>
      <w:r w:rsidR="004F2971" w:rsidRPr="00A60FD5">
        <w:rPr>
          <w:rFonts w:ascii="Times New Roman" w:hAnsi="Times New Roman"/>
          <w:szCs w:val="22"/>
        </w:rPr>
        <w:t>to coordinate tasks across organizational boundaries through planning, program rules and standard operating procedures (Gulati, 1995; Gulati and Singh, 1998; White, 2005). For instance, information flow</w:t>
      </w:r>
      <w:r w:rsidR="0065133B" w:rsidRPr="00A60FD5">
        <w:rPr>
          <w:rFonts w:ascii="Times New Roman" w:hAnsi="Times New Roman"/>
          <w:szCs w:val="22"/>
        </w:rPr>
        <w:t>s</w:t>
      </w:r>
      <w:r w:rsidR="004F2971" w:rsidRPr="00A60FD5">
        <w:rPr>
          <w:rFonts w:ascii="Times New Roman" w:hAnsi="Times New Roman"/>
          <w:szCs w:val="22"/>
        </w:rPr>
        <w:t xml:space="preserve"> facilitated by coordination provisions is likely to ease adjustment to each other’s actions and </w:t>
      </w:r>
      <w:r w:rsidR="0065133B" w:rsidRPr="00A60FD5">
        <w:rPr>
          <w:rFonts w:ascii="Times New Roman" w:hAnsi="Times New Roman"/>
          <w:szCs w:val="22"/>
        </w:rPr>
        <w:t xml:space="preserve">lead to </w:t>
      </w:r>
      <w:r w:rsidR="007F22C0" w:rsidRPr="00A60FD5">
        <w:rPr>
          <w:rFonts w:ascii="Times New Roman" w:hAnsi="Times New Roman"/>
          <w:szCs w:val="22"/>
        </w:rPr>
        <w:t>solutions</w:t>
      </w:r>
      <w:r w:rsidR="004F2971" w:rsidRPr="00A60FD5">
        <w:rPr>
          <w:rFonts w:ascii="Times New Roman" w:hAnsi="Times New Roman"/>
          <w:szCs w:val="22"/>
        </w:rPr>
        <w:t xml:space="preserve">. Provisions can also define some </w:t>
      </w:r>
      <w:r w:rsidR="0065133B" w:rsidRPr="00A60FD5">
        <w:rPr>
          <w:rFonts w:ascii="Times New Roman" w:hAnsi="Times New Roman"/>
          <w:szCs w:val="22"/>
        </w:rPr>
        <w:t xml:space="preserve">of the </w:t>
      </w:r>
      <w:r w:rsidR="004F2971" w:rsidRPr="00A60FD5">
        <w:rPr>
          <w:rFonts w:ascii="Times New Roman" w:hAnsi="Times New Roman"/>
          <w:szCs w:val="22"/>
        </w:rPr>
        <w:lastRenderedPageBreak/>
        <w:t xml:space="preserve">cornerstones of </w:t>
      </w:r>
      <w:r w:rsidR="00E34116" w:rsidRPr="00A60FD5">
        <w:rPr>
          <w:rFonts w:ascii="Times New Roman" w:hAnsi="Times New Roman"/>
          <w:szCs w:val="22"/>
        </w:rPr>
        <w:t xml:space="preserve">licensing </w:t>
      </w:r>
      <w:r w:rsidR="004F2971" w:rsidRPr="00A60FD5">
        <w:rPr>
          <w:rFonts w:ascii="Times New Roman" w:hAnsi="Times New Roman"/>
          <w:szCs w:val="22"/>
        </w:rPr>
        <w:t>partner</w:t>
      </w:r>
      <w:r w:rsidR="00E34116" w:rsidRPr="00A60FD5">
        <w:rPr>
          <w:rFonts w:ascii="Times New Roman" w:hAnsi="Times New Roman"/>
          <w:szCs w:val="22"/>
        </w:rPr>
        <w:t>s’</w:t>
      </w:r>
      <w:r w:rsidR="004F2971" w:rsidRPr="00A60FD5">
        <w:rPr>
          <w:rFonts w:ascii="Times New Roman" w:hAnsi="Times New Roman"/>
          <w:szCs w:val="22"/>
        </w:rPr>
        <w:t xml:space="preserve"> communication, such as frequency, timeliness</w:t>
      </w:r>
      <w:r w:rsidR="00E34116" w:rsidRPr="00A60FD5">
        <w:rPr>
          <w:rFonts w:ascii="Times New Roman" w:hAnsi="Times New Roman"/>
          <w:szCs w:val="22"/>
        </w:rPr>
        <w:t xml:space="preserve"> and</w:t>
      </w:r>
      <w:r w:rsidR="004F2971" w:rsidRPr="00A60FD5">
        <w:rPr>
          <w:rFonts w:ascii="Times New Roman" w:hAnsi="Times New Roman"/>
          <w:szCs w:val="22"/>
        </w:rPr>
        <w:t xml:space="preserve"> </w:t>
      </w:r>
      <w:r w:rsidR="00E34116" w:rsidRPr="00A60FD5">
        <w:rPr>
          <w:rFonts w:ascii="Times New Roman" w:hAnsi="Times New Roman"/>
          <w:szCs w:val="22"/>
        </w:rPr>
        <w:t xml:space="preserve">content </w:t>
      </w:r>
      <w:r w:rsidR="004F2971" w:rsidRPr="00A60FD5">
        <w:rPr>
          <w:rFonts w:ascii="Times New Roman" w:hAnsi="Times New Roman"/>
          <w:szCs w:val="22"/>
        </w:rPr>
        <w:t>(Anderson and Dekker, 2005; Malhotra and Lumineau, 2011). By doing so, coordination provisions promote the development of common knowledge and homogeneous expectations (Faems et al., 2008; Mooi and Ghosh, 201</w:t>
      </w:r>
      <w:r w:rsidR="00391F04" w:rsidRPr="00A60FD5">
        <w:rPr>
          <w:rFonts w:ascii="Times New Roman" w:hAnsi="Times New Roman"/>
          <w:szCs w:val="22"/>
        </w:rPr>
        <w:t>0</w:t>
      </w:r>
      <w:r w:rsidR="004F2971" w:rsidRPr="00A60FD5">
        <w:rPr>
          <w:rFonts w:ascii="Times New Roman" w:hAnsi="Times New Roman"/>
          <w:szCs w:val="22"/>
        </w:rPr>
        <w:t xml:space="preserve">). Protocols and decision mechanisms can be designed to achieve concerted actions. They foster the recognition of changes in exchange conditions, and the generation of coordination responses to such changes. </w:t>
      </w:r>
    </w:p>
    <w:p w14:paraId="1E09921C" w14:textId="23DB8411" w:rsidR="00D34698" w:rsidRPr="00A60FD5" w:rsidRDefault="0060025A" w:rsidP="00A05DE5">
      <w:pPr>
        <w:pStyle w:val="PlainText"/>
        <w:spacing w:line="480" w:lineRule="auto"/>
        <w:ind w:firstLine="624"/>
        <w:rPr>
          <w:rFonts w:ascii="Times New Roman" w:hAnsi="Times New Roman"/>
          <w:szCs w:val="22"/>
        </w:rPr>
      </w:pPr>
      <w:r w:rsidRPr="00A60FD5">
        <w:rPr>
          <w:rFonts w:ascii="Times New Roman" w:hAnsi="Times New Roman"/>
          <w:szCs w:val="22"/>
        </w:rPr>
        <w:t>D</w:t>
      </w:r>
      <w:r w:rsidR="00CF6544" w:rsidRPr="00A60FD5">
        <w:rPr>
          <w:rFonts w:ascii="Times New Roman" w:hAnsi="Times New Roman"/>
          <w:szCs w:val="22"/>
        </w:rPr>
        <w:t xml:space="preserve">espite efforts to guard against future contingencies that could threaten cooperation, exchanges can </w:t>
      </w:r>
      <w:r w:rsidR="008A1385" w:rsidRPr="00A60FD5">
        <w:rPr>
          <w:rFonts w:ascii="Times New Roman" w:hAnsi="Times New Roman"/>
          <w:szCs w:val="22"/>
        </w:rPr>
        <w:t>become the subject of</w:t>
      </w:r>
      <w:r w:rsidR="00CF6544" w:rsidRPr="00A60FD5">
        <w:rPr>
          <w:rFonts w:ascii="Times New Roman" w:hAnsi="Times New Roman"/>
          <w:szCs w:val="22"/>
        </w:rPr>
        <w:t xml:space="preserve"> disputes (Mohr </w:t>
      </w:r>
      <w:r w:rsidR="00A0647C" w:rsidRPr="00A60FD5">
        <w:rPr>
          <w:rFonts w:ascii="Times New Roman" w:hAnsi="Times New Roman"/>
          <w:szCs w:val="22"/>
        </w:rPr>
        <w:t>and S</w:t>
      </w:r>
      <w:r w:rsidR="00CF6544" w:rsidRPr="00A60FD5">
        <w:rPr>
          <w:rFonts w:ascii="Times New Roman" w:hAnsi="Times New Roman"/>
          <w:szCs w:val="22"/>
        </w:rPr>
        <w:t>pekman</w:t>
      </w:r>
      <w:r w:rsidR="00F97832" w:rsidRPr="00A60FD5">
        <w:rPr>
          <w:rFonts w:ascii="Times New Roman" w:hAnsi="Times New Roman"/>
          <w:szCs w:val="22"/>
        </w:rPr>
        <w:t>,</w:t>
      </w:r>
      <w:r w:rsidR="00CF6544" w:rsidRPr="00A60FD5">
        <w:rPr>
          <w:rFonts w:ascii="Times New Roman" w:hAnsi="Times New Roman"/>
          <w:szCs w:val="22"/>
        </w:rPr>
        <w:t xml:space="preserve"> 1994). </w:t>
      </w:r>
      <w:r w:rsidR="00D34698" w:rsidRPr="00A60FD5">
        <w:rPr>
          <w:rFonts w:ascii="Times New Roman" w:hAnsi="Times New Roman"/>
          <w:szCs w:val="22"/>
        </w:rPr>
        <w:t xml:space="preserve">Given the relational specificity implied by extensive coordination and the sunk costs </w:t>
      </w:r>
      <w:r w:rsidR="008A1385" w:rsidRPr="00A60FD5">
        <w:rPr>
          <w:rFonts w:ascii="Times New Roman" w:hAnsi="Times New Roman"/>
          <w:szCs w:val="22"/>
        </w:rPr>
        <w:t>such coordination</w:t>
      </w:r>
      <w:r w:rsidR="00D34698" w:rsidRPr="00A60FD5">
        <w:rPr>
          <w:rFonts w:ascii="Times New Roman" w:hAnsi="Times New Roman"/>
          <w:szCs w:val="22"/>
        </w:rPr>
        <w:t xml:space="preserve"> represent</w:t>
      </w:r>
      <w:r w:rsidR="008A1385" w:rsidRPr="00A60FD5">
        <w:rPr>
          <w:rFonts w:ascii="Times New Roman" w:hAnsi="Times New Roman"/>
          <w:szCs w:val="22"/>
        </w:rPr>
        <w:t>s</w:t>
      </w:r>
      <w:r w:rsidR="00D34698" w:rsidRPr="00A60FD5">
        <w:rPr>
          <w:rFonts w:ascii="Times New Roman" w:hAnsi="Times New Roman"/>
          <w:szCs w:val="22"/>
        </w:rPr>
        <w:t xml:space="preserve">, the presumption of </w:t>
      </w:r>
      <w:r w:rsidR="008A1385" w:rsidRPr="00A60FD5">
        <w:rPr>
          <w:rFonts w:ascii="Times New Roman" w:hAnsi="Times New Roman"/>
          <w:szCs w:val="22"/>
        </w:rPr>
        <w:t xml:space="preserve">an </w:t>
      </w:r>
      <w:r w:rsidR="00D34698" w:rsidRPr="00A60FD5">
        <w:rPr>
          <w:rFonts w:ascii="Times New Roman" w:hAnsi="Times New Roman"/>
          <w:szCs w:val="22"/>
        </w:rPr>
        <w:t xml:space="preserve">exchange’s continuity that prevails while settling disputes in </w:t>
      </w:r>
      <w:r w:rsidR="008A1385" w:rsidRPr="00A60FD5">
        <w:rPr>
          <w:rFonts w:ascii="Times New Roman" w:hAnsi="Times New Roman"/>
          <w:szCs w:val="22"/>
        </w:rPr>
        <w:t xml:space="preserve">a </w:t>
      </w:r>
      <w:r w:rsidR="00D34698" w:rsidRPr="00A60FD5">
        <w:rPr>
          <w:rFonts w:ascii="Times New Roman" w:hAnsi="Times New Roman"/>
          <w:szCs w:val="22"/>
        </w:rPr>
        <w:t xml:space="preserve">private forum should drive </w:t>
      </w:r>
      <w:r w:rsidR="009F4338" w:rsidRPr="00A60FD5">
        <w:rPr>
          <w:rFonts w:ascii="Times New Roman" w:hAnsi="Times New Roman"/>
          <w:szCs w:val="22"/>
        </w:rPr>
        <w:t>a</w:t>
      </w:r>
      <w:r w:rsidR="00D34698" w:rsidRPr="00A60FD5">
        <w:rPr>
          <w:rFonts w:ascii="Times New Roman" w:hAnsi="Times New Roman"/>
          <w:szCs w:val="22"/>
        </w:rPr>
        <w:t xml:space="preserve"> preference for arbitration. Arbitrators tend to approach disputes in the spirit of compromise (</w:t>
      </w:r>
      <w:r w:rsidR="00E56283" w:rsidRPr="00A60FD5">
        <w:rPr>
          <w:rFonts w:ascii="Times New Roman" w:hAnsi="Times New Roman"/>
          <w:szCs w:val="22"/>
        </w:rPr>
        <w:t>Drahozal and Ware</w:t>
      </w:r>
      <w:r w:rsidR="00F97832" w:rsidRPr="00A60FD5">
        <w:rPr>
          <w:rFonts w:ascii="Times New Roman" w:hAnsi="Times New Roman"/>
          <w:szCs w:val="22"/>
        </w:rPr>
        <w:t>,</w:t>
      </w:r>
      <w:r w:rsidR="00E56283" w:rsidRPr="00A60FD5">
        <w:rPr>
          <w:rFonts w:ascii="Times New Roman" w:hAnsi="Times New Roman"/>
          <w:szCs w:val="22"/>
        </w:rPr>
        <w:t xml:space="preserve"> 2010</w:t>
      </w:r>
      <w:r w:rsidR="00F97832" w:rsidRPr="00A60FD5">
        <w:rPr>
          <w:rFonts w:ascii="Times New Roman" w:hAnsi="Times New Roman"/>
          <w:szCs w:val="22"/>
        </w:rPr>
        <w:t>;</w:t>
      </w:r>
      <w:r w:rsidR="00D34698" w:rsidRPr="00A60FD5">
        <w:rPr>
          <w:rFonts w:ascii="Times New Roman" w:hAnsi="Times New Roman"/>
          <w:szCs w:val="22"/>
        </w:rPr>
        <w:t xml:space="preserve"> </w:t>
      </w:r>
      <w:r w:rsidR="00E56283" w:rsidRPr="00A60FD5">
        <w:rPr>
          <w:rFonts w:ascii="Times New Roman" w:hAnsi="Times New Roman"/>
          <w:szCs w:val="22"/>
        </w:rPr>
        <w:t>Williamson</w:t>
      </w:r>
      <w:r w:rsidR="00F97832" w:rsidRPr="00A60FD5">
        <w:rPr>
          <w:rFonts w:ascii="Times New Roman" w:hAnsi="Times New Roman"/>
          <w:szCs w:val="22"/>
        </w:rPr>
        <w:t>,</w:t>
      </w:r>
      <w:r w:rsidR="00E56283" w:rsidRPr="00A60FD5">
        <w:rPr>
          <w:rFonts w:ascii="Times New Roman" w:hAnsi="Times New Roman"/>
          <w:szCs w:val="22"/>
        </w:rPr>
        <w:t xml:space="preserve"> 1985</w:t>
      </w:r>
      <w:r w:rsidR="00D34698" w:rsidRPr="00A60FD5">
        <w:rPr>
          <w:rFonts w:ascii="Times New Roman" w:hAnsi="Times New Roman"/>
          <w:szCs w:val="22"/>
        </w:rPr>
        <w:t>)</w:t>
      </w:r>
      <w:r w:rsidR="009F4338" w:rsidRPr="00A60FD5">
        <w:rPr>
          <w:rFonts w:ascii="Times New Roman" w:hAnsi="Times New Roman"/>
          <w:szCs w:val="22"/>
        </w:rPr>
        <w:t xml:space="preserve">, and they </w:t>
      </w:r>
      <w:r w:rsidR="00D34698" w:rsidRPr="00A60FD5">
        <w:rPr>
          <w:rFonts w:ascii="Times New Roman" w:hAnsi="Times New Roman"/>
          <w:szCs w:val="22"/>
        </w:rPr>
        <w:t>can tailor settlements not only to foster the realignment of interests but also to result in the adjustment of each party’s actions. Moreover, arbitration enables partner firms to avoid unfavorable publicity about disputes or leak</w:t>
      </w:r>
      <w:r w:rsidR="008A1385" w:rsidRPr="00A60FD5">
        <w:rPr>
          <w:rFonts w:ascii="Times New Roman" w:hAnsi="Times New Roman"/>
          <w:szCs w:val="22"/>
        </w:rPr>
        <w:t>s</w:t>
      </w:r>
      <w:r w:rsidR="00D34698" w:rsidRPr="00A60FD5">
        <w:rPr>
          <w:rFonts w:ascii="Times New Roman" w:hAnsi="Times New Roman"/>
          <w:szCs w:val="22"/>
        </w:rPr>
        <w:t xml:space="preserve"> of confidential information (Macneil</w:t>
      </w:r>
      <w:r w:rsidR="00F97832" w:rsidRPr="00A60FD5">
        <w:rPr>
          <w:rFonts w:ascii="Times New Roman" w:hAnsi="Times New Roman"/>
          <w:szCs w:val="22"/>
        </w:rPr>
        <w:t>,</w:t>
      </w:r>
      <w:r w:rsidR="00D34698" w:rsidRPr="00A60FD5">
        <w:rPr>
          <w:rFonts w:ascii="Times New Roman" w:hAnsi="Times New Roman"/>
          <w:szCs w:val="22"/>
        </w:rPr>
        <w:t xml:space="preserve"> 1962)</w:t>
      </w:r>
      <w:r w:rsidR="008A1385" w:rsidRPr="00A60FD5">
        <w:rPr>
          <w:rFonts w:ascii="Times New Roman" w:hAnsi="Times New Roman"/>
          <w:szCs w:val="22"/>
        </w:rPr>
        <w:t>,</w:t>
      </w:r>
      <w:r w:rsidR="00D34698" w:rsidRPr="00A60FD5">
        <w:rPr>
          <w:rFonts w:ascii="Times New Roman" w:hAnsi="Times New Roman"/>
          <w:szCs w:val="22"/>
        </w:rPr>
        <w:t xml:space="preserve"> and to circumvent the delays that are endemic to court proceeding</w:t>
      </w:r>
      <w:r w:rsidR="009F4338" w:rsidRPr="00A60FD5">
        <w:rPr>
          <w:rFonts w:ascii="Times New Roman" w:hAnsi="Times New Roman"/>
          <w:szCs w:val="22"/>
        </w:rPr>
        <w:t>s</w:t>
      </w:r>
      <w:r w:rsidR="00D34698" w:rsidRPr="00A60FD5">
        <w:rPr>
          <w:rFonts w:ascii="Times New Roman" w:hAnsi="Times New Roman"/>
          <w:szCs w:val="22"/>
        </w:rPr>
        <w:t xml:space="preserve"> (Perlman </w:t>
      </w:r>
      <w:r w:rsidR="00E56283" w:rsidRPr="00A60FD5">
        <w:rPr>
          <w:rFonts w:ascii="Times New Roman" w:hAnsi="Times New Roman"/>
          <w:szCs w:val="22"/>
        </w:rPr>
        <w:t>and</w:t>
      </w:r>
      <w:r w:rsidR="00D34698" w:rsidRPr="00A60FD5">
        <w:rPr>
          <w:rFonts w:ascii="Times New Roman" w:hAnsi="Times New Roman"/>
          <w:szCs w:val="22"/>
        </w:rPr>
        <w:t xml:space="preserve"> Nelson</w:t>
      </w:r>
      <w:r w:rsidR="00F97832" w:rsidRPr="00A60FD5">
        <w:rPr>
          <w:rFonts w:ascii="Times New Roman" w:hAnsi="Times New Roman"/>
          <w:szCs w:val="22"/>
        </w:rPr>
        <w:t>,</w:t>
      </w:r>
      <w:r w:rsidR="00D34698" w:rsidRPr="00A60FD5">
        <w:rPr>
          <w:rFonts w:ascii="Times New Roman" w:hAnsi="Times New Roman"/>
          <w:szCs w:val="22"/>
        </w:rPr>
        <w:t xml:space="preserve"> 1983).</w:t>
      </w:r>
      <w:r w:rsidR="00DD52AC" w:rsidRPr="00A60FD5">
        <w:rPr>
          <w:rFonts w:ascii="Times New Roman" w:hAnsi="Times New Roman"/>
          <w:szCs w:val="22"/>
        </w:rPr>
        <w:t xml:space="preserve"> </w:t>
      </w:r>
      <w:r w:rsidR="00D34698" w:rsidRPr="00A60FD5">
        <w:rPr>
          <w:rFonts w:ascii="Times New Roman" w:hAnsi="Times New Roman"/>
          <w:szCs w:val="22"/>
        </w:rPr>
        <w:t>Th</w:t>
      </w:r>
      <w:r w:rsidR="008A1385" w:rsidRPr="00A60FD5">
        <w:rPr>
          <w:rFonts w:ascii="Times New Roman" w:hAnsi="Times New Roman"/>
          <w:szCs w:val="22"/>
        </w:rPr>
        <w:t>e</w:t>
      </w:r>
      <w:r w:rsidR="00D34698" w:rsidRPr="00A60FD5">
        <w:rPr>
          <w:rFonts w:ascii="Times New Roman" w:hAnsi="Times New Roman"/>
          <w:szCs w:val="22"/>
        </w:rPr>
        <w:t xml:space="preserve">se latter characteristics should be highly valued by partners engaging in an exchange that involves </w:t>
      </w:r>
      <w:r w:rsidR="008A1385" w:rsidRPr="00A60FD5">
        <w:rPr>
          <w:rFonts w:ascii="Times New Roman" w:hAnsi="Times New Roman"/>
          <w:szCs w:val="22"/>
        </w:rPr>
        <w:t>extensive</w:t>
      </w:r>
      <w:r w:rsidR="00D34698" w:rsidRPr="00A60FD5">
        <w:rPr>
          <w:rFonts w:ascii="Times New Roman" w:hAnsi="Times New Roman"/>
          <w:szCs w:val="22"/>
        </w:rPr>
        <w:t xml:space="preserve"> coordination. </w:t>
      </w:r>
    </w:p>
    <w:p w14:paraId="77391D2E" w14:textId="5EE5B8F3" w:rsidR="000B0E58" w:rsidRPr="00A60FD5" w:rsidRDefault="008A1385" w:rsidP="00A05DE5">
      <w:pPr>
        <w:pStyle w:val="PlainText"/>
        <w:spacing w:line="480" w:lineRule="auto"/>
        <w:ind w:firstLine="624"/>
        <w:rPr>
          <w:rFonts w:ascii="Times New Roman" w:hAnsi="Times New Roman" w:cs="Times New Roman"/>
        </w:rPr>
      </w:pPr>
      <w:r w:rsidRPr="00A60FD5">
        <w:rPr>
          <w:rFonts w:ascii="Times New Roman" w:hAnsi="Times New Roman"/>
          <w:szCs w:val="22"/>
        </w:rPr>
        <w:t>A higher</w:t>
      </w:r>
      <w:r w:rsidR="00D34698" w:rsidRPr="00A60FD5">
        <w:rPr>
          <w:rFonts w:ascii="Times New Roman" w:hAnsi="Times New Roman"/>
          <w:szCs w:val="22"/>
        </w:rPr>
        <w:t xml:space="preserve"> occurrence of arbitration </w:t>
      </w:r>
      <w:r w:rsidRPr="00A60FD5">
        <w:rPr>
          <w:rFonts w:ascii="Times New Roman" w:hAnsi="Times New Roman"/>
          <w:szCs w:val="22"/>
        </w:rPr>
        <w:t>can</w:t>
      </w:r>
      <w:r w:rsidR="00D34698" w:rsidRPr="00A60FD5">
        <w:rPr>
          <w:rFonts w:ascii="Times New Roman" w:hAnsi="Times New Roman"/>
          <w:szCs w:val="22"/>
        </w:rPr>
        <w:t xml:space="preserve"> also be </w:t>
      </w:r>
      <w:r w:rsidR="00CF6544" w:rsidRPr="00A60FD5">
        <w:rPr>
          <w:rFonts w:ascii="Times New Roman" w:hAnsi="Times New Roman"/>
          <w:szCs w:val="22"/>
        </w:rPr>
        <w:t xml:space="preserve">explained by the difficulties </w:t>
      </w:r>
      <w:r w:rsidR="009F4338" w:rsidRPr="00A60FD5">
        <w:rPr>
          <w:rFonts w:ascii="Times New Roman" w:hAnsi="Times New Roman"/>
          <w:szCs w:val="22"/>
        </w:rPr>
        <w:t>associated with</w:t>
      </w:r>
      <w:r w:rsidR="00CF6544" w:rsidRPr="00A60FD5">
        <w:rPr>
          <w:rFonts w:ascii="Times New Roman" w:hAnsi="Times New Roman"/>
          <w:szCs w:val="22"/>
        </w:rPr>
        <w:t xml:space="preserve"> drafting express provisions for inter-related activities (Grossman </w:t>
      </w:r>
      <w:r w:rsidR="00E56283" w:rsidRPr="00A60FD5">
        <w:rPr>
          <w:rFonts w:ascii="Times New Roman" w:hAnsi="Times New Roman"/>
          <w:szCs w:val="22"/>
        </w:rPr>
        <w:t>and</w:t>
      </w:r>
      <w:r w:rsidR="00CF6544" w:rsidRPr="00A60FD5">
        <w:rPr>
          <w:rFonts w:ascii="Times New Roman" w:hAnsi="Times New Roman"/>
          <w:szCs w:val="22"/>
        </w:rPr>
        <w:t xml:space="preserve"> Hart</w:t>
      </w:r>
      <w:r w:rsidR="00F97832" w:rsidRPr="00A60FD5">
        <w:rPr>
          <w:rFonts w:ascii="Times New Roman" w:hAnsi="Times New Roman"/>
          <w:szCs w:val="22"/>
        </w:rPr>
        <w:t>,</w:t>
      </w:r>
      <w:r w:rsidR="00CF6544" w:rsidRPr="00A60FD5">
        <w:rPr>
          <w:rFonts w:ascii="Times New Roman" w:hAnsi="Times New Roman"/>
          <w:szCs w:val="22"/>
        </w:rPr>
        <w:t xml:space="preserve"> 1983</w:t>
      </w:r>
      <w:r w:rsidR="00F97832" w:rsidRPr="00A60FD5">
        <w:rPr>
          <w:rFonts w:ascii="Times New Roman" w:hAnsi="Times New Roman"/>
          <w:szCs w:val="22"/>
        </w:rPr>
        <w:t>;</w:t>
      </w:r>
      <w:r w:rsidR="00CF6544" w:rsidRPr="00A60FD5">
        <w:rPr>
          <w:rFonts w:ascii="Times New Roman" w:hAnsi="Times New Roman"/>
          <w:szCs w:val="22"/>
        </w:rPr>
        <w:t xml:space="preserve"> Hadfield</w:t>
      </w:r>
      <w:r w:rsidR="00F97832" w:rsidRPr="00A60FD5">
        <w:rPr>
          <w:rFonts w:ascii="Times New Roman" w:hAnsi="Times New Roman"/>
          <w:szCs w:val="22"/>
        </w:rPr>
        <w:t>,</w:t>
      </w:r>
      <w:r w:rsidR="00CF6544" w:rsidRPr="00A60FD5">
        <w:rPr>
          <w:rFonts w:ascii="Times New Roman" w:hAnsi="Times New Roman"/>
          <w:szCs w:val="22"/>
        </w:rPr>
        <w:t xml:space="preserve"> 1994). As a result of </w:t>
      </w:r>
      <w:r w:rsidR="008A722F" w:rsidRPr="00A60FD5">
        <w:rPr>
          <w:rFonts w:ascii="Times New Roman" w:hAnsi="Times New Roman"/>
          <w:szCs w:val="22"/>
        </w:rPr>
        <w:t>cognitive limitations</w:t>
      </w:r>
      <w:r w:rsidR="00CF6544" w:rsidRPr="00A60FD5">
        <w:rPr>
          <w:rFonts w:ascii="Times New Roman" w:hAnsi="Times New Roman"/>
          <w:szCs w:val="22"/>
        </w:rPr>
        <w:t xml:space="preserve"> and bounded rationality (Simon </w:t>
      </w:r>
      <w:r w:rsidR="00E56283" w:rsidRPr="00A60FD5">
        <w:rPr>
          <w:rFonts w:ascii="Times New Roman" w:hAnsi="Times New Roman"/>
          <w:szCs w:val="22"/>
        </w:rPr>
        <w:t>and</w:t>
      </w:r>
      <w:r w:rsidR="00CF6544" w:rsidRPr="00A60FD5">
        <w:rPr>
          <w:rFonts w:ascii="Times New Roman" w:hAnsi="Times New Roman"/>
          <w:szCs w:val="22"/>
        </w:rPr>
        <w:t xml:space="preserve"> March</w:t>
      </w:r>
      <w:r w:rsidR="00F97832" w:rsidRPr="00A60FD5">
        <w:rPr>
          <w:rFonts w:ascii="Times New Roman" w:hAnsi="Times New Roman"/>
          <w:szCs w:val="22"/>
        </w:rPr>
        <w:t>,</w:t>
      </w:r>
      <w:r w:rsidR="00CF6544" w:rsidRPr="00A60FD5">
        <w:rPr>
          <w:rFonts w:ascii="Times New Roman" w:hAnsi="Times New Roman"/>
          <w:szCs w:val="22"/>
        </w:rPr>
        <w:t xml:space="preserve"> 1958), the required level of care</w:t>
      </w:r>
      <w:r w:rsidR="00B30B33" w:rsidRPr="00A60FD5">
        <w:rPr>
          <w:rFonts w:ascii="Times New Roman" w:hAnsi="Times New Roman"/>
          <w:szCs w:val="22"/>
        </w:rPr>
        <w:t xml:space="preserve"> and</w:t>
      </w:r>
      <w:r w:rsidR="00CF6544" w:rsidRPr="00A60FD5">
        <w:rPr>
          <w:rFonts w:ascii="Times New Roman" w:hAnsi="Times New Roman"/>
          <w:szCs w:val="22"/>
        </w:rPr>
        <w:t xml:space="preserve"> effort</w:t>
      </w:r>
      <w:r w:rsidR="00E34116" w:rsidRPr="00A60FD5">
        <w:rPr>
          <w:rFonts w:ascii="Times New Roman" w:hAnsi="Times New Roman"/>
          <w:szCs w:val="22"/>
        </w:rPr>
        <w:t xml:space="preserve"> needed for fruitful coordination</w:t>
      </w:r>
      <w:r w:rsidR="001C48D4" w:rsidRPr="00A60FD5">
        <w:rPr>
          <w:rFonts w:ascii="Times New Roman" w:hAnsi="Times New Roman"/>
          <w:szCs w:val="22"/>
        </w:rPr>
        <w:t xml:space="preserve"> can hardly be </w:t>
      </w:r>
      <w:r w:rsidRPr="00A60FD5">
        <w:rPr>
          <w:rFonts w:ascii="Times New Roman" w:hAnsi="Times New Roman"/>
          <w:szCs w:val="22"/>
        </w:rPr>
        <w:t>covered by</w:t>
      </w:r>
      <w:r w:rsidR="001C48D4" w:rsidRPr="00A60FD5">
        <w:rPr>
          <w:rFonts w:ascii="Times New Roman" w:hAnsi="Times New Roman"/>
          <w:szCs w:val="22"/>
        </w:rPr>
        <w:t xml:space="preserve"> precise contract</w:t>
      </w:r>
      <w:r w:rsidRPr="00A60FD5">
        <w:rPr>
          <w:rFonts w:ascii="Times New Roman" w:hAnsi="Times New Roman"/>
          <w:szCs w:val="22"/>
        </w:rPr>
        <w:t xml:space="preserve"> terms</w:t>
      </w:r>
      <w:r w:rsidR="00CF6544" w:rsidRPr="00A60FD5">
        <w:rPr>
          <w:rFonts w:ascii="Times New Roman" w:hAnsi="Times New Roman"/>
          <w:szCs w:val="22"/>
        </w:rPr>
        <w:t xml:space="preserve">. </w:t>
      </w:r>
      <w:r w:rsidR="001C48D4" w:rsidRPr="00A60FD5">
        <w:rPr>
          <w:rFonts w:ascii="Times New Roman" w:hAnsi="Times New Roman"/>
          <w:szCs w:val="22"/>
        </w:rPr>
        <w:t xml:space="preserve">In fact, </w:t>
      </w:r>
      <w:r w:rsidR="00CF6544" w:rsidRPr="00A60FD5">
        <w:rPr>
          <w:rFonts w:ascii="Times New Roman" w:hAnsi="Times New Roman"/>
          <w:szCs w:val="22"/>
        </w:rPr>
        <w:t>somewhat vague terms</w:t>
      </w:r>
      <w:r w:rsidRPr="00A60FD5">
        <w:rPr>
          <w:rFonts w:ascii="Times New Roman" w:hAnsi="Times New Roman"/>
          <w:szCs w:val="22"/>
        </w:rPr>
        <w:t>,</w:t>
      </w:r>
      <w:r w:rsidR="00CF6544" w:rsidRPr="00A60FD5">
        <w:rPr>
          <w:rFonts w:ascii="Times New Roman" w:hAnsi="Times New Roman"/>
          <w:szCs w:val="22"/>
        </w:rPr>
        <w:t xml:space="preserve"> such as “best efforts” and “reasonableness</w:t>
      </w:r>
      <w:r w:rsidRPr="00A60FD5">
        <w:rPr>
          <w:rFonts w:ascii="Times New Roman" w:hAnsi="Times New Roman"/>
          <w:szCs w:val="22"/>
        </w:rPr>
        <w:t>,</w:t>
      </w:r>
      <w:r w:rsidR="00CF6544" w:rsidRPr="00A60FD5">
        <w:rPr>
          <w:rFonts w:ascii="Times New Roman" w:hAnsi="Times New Roman"/>
          <w:szCs w:val="22"/>
        </w:rPr>
        <w:t xml:space="preserve">” </w:t>
      </w:r>
      <w:r w:rsidR="009F4338" w:rsidRPr="00A60FD5">
        <w:rPr>
          <w:rFonts w:ascii="Times New Roman" w:hAnsi="Times New Roman"/>
          <w:szCs w:val="22"/>
        </w:rPr>
        <w:t>are</w:t>
      </w:r>
      <w:r w:rsidR="00CF6544" w:rsidRPr="00A60FD5">
        <w:rPr>
          <w:rFonts w:ascii="Times New Roman" w:hAnsi="Times New Roman"/>
          <w:szCs w:val="22"/>
        </w:rPr>
        <w:t xml:space="preserve"> </w:t>
      </w:r>
      <w:r w:rsidRPr="00A60FD5">
        <w:rPr>
          <w:rFonts w:ascii="Times New Roman" w:hAnsi="Times New Roman"/>
          <w:szCs w:val="22"/>
        </w:rPr>
        <w:t>common</w:t>
      </w:r>
      <w:r w:rsidR="009F4338" w:rsidRPr="00A60FD5">
        <w:rPr>
          <w:rFonts w:ascii="Times New Roman" w:hAnsi="Times New Roman"/>
          <w:szCs w:val="22"/>
        </w:rPr>
        <w:t>ly used</w:t>
      </w:r>
      <w:r w:rsidR="00CF6544" w:rsidRPr="00A60FD5">
        <w:rPr>
          <w:rFonts w:ascii="Times New Roman" w:hAnsi="Times New Roman"/>
          <w:szCs w:val="22"/>
        </w:rPr>
        <w:t xml:space="preserve"> (Hagedoorn and Hesen</w:t>
      </w:r>
      <w:r w:rsidR="00F97832" w:rsidRPr="00A60FD5">
        <w:rPr>
          <w:rFonts w:ascii="Times New Roman" w:hAnsi="Times New Roman"/>
          <w:szCs w:val="22"/>
        </w:rPr>
        <w:t>,</w:t>
      </w:r>
      <w:r w:rsidR="00CF6544" w:rsidRPr="00A60FD5">
        <w:rPr>
          <w:rFonts w:ascii="Times New Roman" w:hAnsi="Times New Roman"/>
          <w:szCs w:val="22"/>
        </w:rPr>
        <w:t xml:space="preserve"> 200</w:t>
      </w:r>
      <w:r w:rsidR="00E258CC" w:rsidRPr="00A60FD5">
        <w:rPr>
          <w:rFonts w:ascii="Times New Roman" w:hAnsi="Times New Roman"/>
          <w:szCs w:val="22"/>
        </w:rPr>
        <w:t>9</w:t>
      </w:r>
      <w:r w:rsidR="00CF6544" w:rsidRPr="00A60FD5">
        <w:rPr>
          <w:rFonts w:ascii="Times New Roman" w:hAnsi="Times New Roman"/>
          <w:szCs w:val="22"/>
        </w:rPr>
        <w:t xml:space="preserve">). </w:t>
      </w:r>
      <w:r w:rsidR="001C48D4" w:rsidRPr="00A60FD5">
        <w:rPr>
          <w:rFonts w:ascii="Times New Roman" w:hAnsi="Times New Roman"/>
          <w:szCs w:val="22"/>
        </w:rPr>
        <w:t xml:space="preserve">Thanks to their expertise, arbitrators should be perceived as better equipped than public judges </w:t>
      </w:r>
      <w:r w:rsidR="009F4338" w:rsidRPr="00A60FD5">
        <w:rPr>
          <w:rFonts w:ascii="Times New Roman" w:hAnsi="Times New Roman"/>
          <w:szCs w:val="22"/>
        </w:rPr>
        <w:t>to</w:t>
      </w:r>
      <w:r w:rsidR="001C48D4" w:rsidRPr="00A60FD5">
        <w:rPr>
          <w:rFonts w:ascii="Times New Roman" w:hAnsi="Times New Roman"/>
          <w:szCs w:val="22"/>
        </w:rPr>
        <w:t xml:space="preserve"> interpret implied and difficult-to</w:t>
      </w:r>
      <w:r w:rsidRPr="00A60FD5">
        <w:rPr>
          <w:rFonts w:ascii="Times New Roman" w:hAnsi="Times New Roman"/>
          <w:szCs w:val="22"/>
        </w:rPr>
        <w:t>-</w:t>
      </w:r>
      <w:r w:rsidR="001C48D4" w:rsidRPr="00A60FD5">
        <w:rPr>
          <w:rFonts w:ascii="Times New Roman" w:hAnsi="Times New Roman"/>
          <w:szCs w:val="22"/>
        </w:rPr>
        <w:t xml:space="preserve">contract aspects. </w:t>
      </w:r>
      <w:r w:rsidR="006A7E08" w:rsidRPr="00A60FD5">
        <w:rPr>
          <w:rFonts w:ascii="Times New Roman" w:hAnsi="Times New Roman"/>
          <w:szCs w:val="22"/>
        </w:rPr>
        <w:t>While arbitrators are not always industry experts, they tend to be more industry savvy than domestic judges (Drahozal, 200</w:t>
      </w:r>
      <w:r w:rsidR="00EE2AEA" w:rsidRPr="00A60FD5">
        <w:rPr>
          <w:rFonts w:ascii="Times New Roman" w:hAnsi="Times New Roman"/>
          <w:szCs w:val="22"/>
        </w:rPr>
        <w:t>8</w:t>
      </w:r>
      <w:r w:rsidR="006A7E08" w:rsidRPr="00A60FD5">
        <w:rPr>
          <w:rFonts w:ascii="Times New Roman" w:hAnsi="Times New Roman"/>
          <w:szCs w:val="22"/>
        </w:rPr>
        <w:t xml:space="preserve">). </w:t>
      </w:r>
      <w:r w:rsidR="00371113" w:rsidRPr="00A60FD5">
        <w:rPr>
          <w:rFonts w:ascii="Times New Roman" w:hAnsi="Times New Roman"/>
          <w:szCs w:val="22"/>
        </w:rPr>
        <w:t>Furthermore</w:t>
      </w:r>
      <w:r w:rsidR="001C48D4" w:rsidRPr="00A60FD5">
        <w:rPr>
          <w:rFonts w:ascii="Times New Roman" w:hAnsi="Times New Roman"/>
          <w:szCs w:val="22"/>
        </w:rPr>
        <w:t xml:space="preserve">, the flexibility of the arbitration proceedings enables them to consider evidence concerning business trends or the quality of outputs (Sternlight </w:t>
      </w:r>
      <w:r w:rsidR="00E56283" w:rsidRPr="00A60FD5">
        <w:rPr>
          <w:rFonts w:ascii="Times New Roman" w:hAnsi="Times New Roman"/>
          <w:szCs w:val="22"/>
        </w:rPr>
        <w:t>and</w:t>
      </w:r>
      <w:r w:rsidR="001C48D4" w:rsidRPr="00A60FD5">
        <w:rPr>
          <w:rFonts w:ascii="Times New Roman" w:hAnsi="Times New Roman"/>
          <w:szCs w:val="22"/>
        </w:rPr>
        <w:t xml:space="preserve"> Resnik</w:t>
      </w:r>
      <w:r w:rsidR="00F97832" w:rsidRPr="00A60FD5">
        <w:rPr>
          <w:rFonts w:ascii="Times New Roman" w:hAnsi="Times New Roman"/>
          <w:szCs w:val="22"/>
        </w:rPr>
        <w:t>,</w:t>
      </w:r>
      <w:r w:rsidR="001C48D4" w:rsidRPr="00A60FD5">
        <w:rPr>
          <w:rFonts w:ascii="Times New Roman" w:hAnsi="Times New Roman"/>
          <w:szCs w:val="22"/>
        </w:rPr>
        <w:t xml:space="preserve"> 2005)</w:t>
      </w:r>
      <w:r w:rsidRPr="00A60FD5">
        <w:rPr>
          <w:rFonts w:ascii="Times New Roman" w:hAnsi="Times New Roman"/>
          <w:szCs w:val="22"/>
        </w:rPr>
        <w:t>,</w:t>
      </w:r>
      <w:r w:rsidR="001C48D4" w:rsidRPr="00A60FD5">
        <w:rPr>
          <w:rFonts w:ascii="Times New Roman" w:hAnsi="Times New Roman"/>
          <w:szCs w:val="22"/>
        </w:rPr>
        <w:t xml:space="preserve"> and to reach a decision based on trade custom</w:t>
      </w:r>
      <w:r w:rsidRPr="00A60FD5">
        <w:rPr>
          <w:rFonts w:ascii="Times New Roman" w:hAnsi="Times New Roman"/>
          <w:szCs w:val="22"/>
        </w:rPr>
        <w:t>s</w:t>
      </w:r>
      <w:r w:rsidR="001C48D4" w:rsidRPr="00A60FD5">
        <w:rPr>
          <w:rFonts w:ascii="Times New Roman" w:hAnsi="Times New Roman"/>
          <w:szCs w:val="22"/>
        </w:rPr>
        <w:t xml:space="preserve"> (</w:t>
      </w:r>
      <w:r w:rsidR="00E268B4" w:rsidRPr="00A60FD5">
        <w:rPr>
          <w:rFonts w:ascii="Times New Roman" w:hAnsi="Times New Roman"/>
          <w:szCs w:val="22"/>
        </w:rPr>
        <w:t>Bonn</w:t>
      </w:r>
      <w:r w:rsidR="00F97832" w:rsidRPr="00A60FD5">
        <w:rPr>
          <w:rFonts w:ascii="Times New Roman" w:hAnsi="Times New Roman"/>
          <w:szCs w:val="22"/>
        </w:rPr>
        <w:t xml:space="preserve">, </w:t>
      </w:r>
      <w:r w:rsidR="00E268B4" w:rsidRPr="00A60FD5">
        <w:rPr>
          <w:rFonts w:ascii="Times New Roman" w:hAnsi="Times New Roman"/>
          <w:szCs w:val="22"/>
        </w:rPr>
        <w:t>1972</w:t>
      </w:r>
      <w:r w:rsidR="001C48D4" w:rsidRPr="00A60FD5">
        <w:rPr>
          <w:rFonts w:ascii="Times New Roman" w:hAnsi="Times New Roman"/>
          <w:szCs w:val="22"/>
        </w:rPr>
        <w:t xml:space="preserve">). </w:t>
      </w:r>
      <w:r w:rsidR="000B0E58" w:rsidRPr="00A60FD5">
        <w:rPr>
          <w:rFonts w:ascii="Times New Roman" w:hAnsi="Times New Roman" w:cs="Times New Roman"/>
        </w:rPr>
        <w:t xml:space="preserve">Therefore, </w:t>
      </w:r>
      <w:r w:rsidR="000B0E58" w:rsidRPr="00A60FD5">
        <w:rPr>
          <w:rFonts w:ascii="Times New Roman" w:hAnsi="Times New Roman" w:cs="Times New Roman"/>
          <w:bCs/>
        </w:rPr>
        <w:t xml:space="preserve">we </w:t>
      </w:r>
      <w:r w:rsidR="00FC7B6C" w:rsidRPr="00A60FD5">
        <w:rPr>
          <w:rFonts w:ascii="Times New Roman" w:hAnsi="Times New Roman" w:cs="Times New Roman"/>
          <w:bCs/>
        </w:rPr>
        <w:t xml:space="preserve">hypothesize </w:t>
      </w:r>
      <w:r w:rsidR="000B0E58" w:rsidRPr="00A60FD5">
        <w:rPr>
          <w:rFonts w:ascii="Times New Roman" w:hAnsi="Times New Roman" w:cs="Times New Roman"/>
          <w:bCs/>
        </w:rPr>
        <w:t>that:</w:t>
      </w:r>
    </w:p>
    <w:p w14:paraId="35DFBD04" w14:textId="63630B6E" w:rsidR="00A241BC" w:rsidRPr="00A60FD5" w:rsidRDefault="000B0E58" w:rsidP="00A241BC">
      <w:pPr>
        <w:spacing w:after="0" w:line="480" w:lineRule="auto"/>
        <w:ind w:left="708"/>
        <w:rPr>
          <w:rFonts w:ascii="Times New Roman" w:hAnsi="Times New Roman" w:cs="Times New Roman"/>
          <w:bCs/>
        </w:rPr>
      </w:pPr>
      <w:r w:rsidRPr="00A60FD5">
        <w:rPr>
          <w:rFonts w:ascii="Times New Roman" w:hAnsi="Times New Roman" w:cs="Times New Roman"/>
          <w:i/>
        </w:rPr>
        <w:lastRenderedPageBreak/>
        <w:t xml:space="preserve">Hypothesis 2: The greater the extent of the coordination </w:t>
      </w:r>
      <w:r w:rsidR="00BD1718" w:rsidRPr="00A60FD5">
        <w:rPr>
          <w:rFonts w:ascii="Times New Roman" w:hAnsi="Times New Roman" w:cs="Times New Roman"/>
          <w:i/>
        </w:rPr>
        <w:t xml:space="preserve">orientation </w:t>
      </w:r>
      <w:r w:rsidRPr="00A60FD5">
        <w:rPr>
          <w:rFonts w:ascii="Times New Roman" w:hAnsi="Times New Roman" w:cs="Times New Roman"/>
          <w:i/>
        </w:rPr>
        <w:t>in licensing contracts, the greater the likelihood of including an arbitration provision.</w:t>
      </w:r>
    </w:p>
    <w:p w14:paraId="4E815E22" w14:textId="41BDDABE" w:rsidR="00D91B7B" w:rsidRPr="00A60FD5" w:rsidRDefault="00586DAE" w:rsidP="009168EF">
      <w:pPr>
        <w:spacing w:after="0" w:line="480" w:lineRule="auto"/>
        <w:ind w:firstLine="709"/>
        <w:rPr>
          <w:rFonts w:ascii="Times New Roman" w:hAnsi="Times New Roman" w:cs="Times New Roman"/>
          <w:bCs/>
        </w:rPr>
      </w:pPr>
      <w:r w:rsidRPr="00A60FD5">
        <w:rPr>
          <w:rFonts w:ascii="Times New Roman" w:hAnsi="Times New Roman" w:cs="Times New Roman"/>
          <w:b/>
          <w:bCs/>
        </w:rPr>
        <w:t xml:space="preserve">Joint </w:t>
      </w:r>
      <w:r w:rsidR="0091063C" w:rsidRPr="00A60FD5">
        <w:rPr>
          <w:rFonts w:ascii="Times New Roman" w:hAnsi="Times New Roman" w:cs="Times New Roman"/>
          <w:b/>
          <w:bCs/>
        </w:rPr>
        <w:t xml:space="preserve">Effects </w:t>
      </w:r>
      <w:r w:rsidRPr="00A60FD5">
        <w:rPr>
          <w:rFonts w:ascii="Times New Roman" w:hAnsi="Times New Roman" w:cs="Times New Roman"/>
          <w:b/>
          <w:bCs/>
        </w:rPr>
        <w:t xml:space="preserve">of </w:t>
      </w:r>
      <w:r w:rsidR="0091063C" w:rsidRPr="00A60FD5">
        <w:rPr>
          <w:rFonts w:ascii="Times New Roman" w:hAnsi="Times New Roman" w:cs="Times New Roman"/>
          <w:b/>
          <w:bCs/>
        </w:rPr>
        <w:t xml:space="preserve">Monitoring </w:t>
      </w:r>
      <w:r w:rsidRPr="00A60FD5">
        <w:rPr>
          <w:rFonts w:ascii="Times New Roman" w:hAnsi="Times New Roman" w:cs="Times New Roman"/>
          <w:b/>
          <w:bCs/>
        </w:rPr>
        <w:t xml:space="preserve">and </w:t>
      </w:r>
      <w:r w:rsidR="0091063C" w:rsidRPr="00A60FD5">
        <w:rPr>
          <w:rFonts w:ascii="Times New Roman" w:hAnsi="Times New Roman" w:cs="Times New Roman"/>
          <w:b/>
          <w:bCs/>
        </w:rPr>
        <w:t>Coordination Orientations</w:t>
      </w:r>
      <w:r w:rsidR="00BF09B4" w:rsidRPr="00A60FD5">
        <w:rPr>
          <w:rFonts w:ascii="Times New Roman" w:hAnsi="Times New Roman" w:cs="Times New Roman"/>
          <w:b/>
          <w:bCs/>
        </w:rPr>
        <w:t>.</w:t>
      </w:r>
      <w:r w:rsidR="009B5439" w:rsidRPr="00A60FD5">
        <w:rPr>
          <w:rFonts w:ascii="Times New Roman" w:hAnsi="Times New Roman" w:cs="Times New Roman"/>
          <w:bCs/>
        </w:rPr>
        <w:t xml:space="preserve"> </w:t>
      </w:r>
      <w:r w:rsidR="00FB6938" w:rsidRPr="00A60FD5">
        <w:rPr>
          <w:rFonts w:ascii="Times New Roman" w:hAnsi="Times New Roman" w:cs="Times New Roman"/>
          <w:bCs/>
        </w:rPr>
        <w:t xml:space="preserve">Since </w:t>
      </w:r>
      <w:r w:rsidR="009168EF" w:rsidRPr="00A60FD5">
        <w:rPr>
          <w:rFonts w:ascii="Times New Roman" w:hAnsi="Times New Roman" w:cs="Times New Roman"/>
          <w:bCs/>
        </w:rPr>
        <w:t>monitoring and coordination</w:t>
      </w:r>
      <w:r w:rsidR="007F22C0" w:rsidRPr="00A60FD5">
        <w:rPr>
          <w:rFonts w:ascii="Times New Roman" w:hAnsi="Times New Roman" w:cs="Times New Roman"/>
          <w:bCs/>
        </w:rPr>
        <w:t xml:space="preserve"> orientations</w:t>
      </w:r>
      <w:r w:rsidR="009168EF" w:rsidRPr="00A60FD5">
        <w:rPr>
          <w:rFonts w:ascii="Times New Roman" w:hAnsi="Times New Roman" w:cs="Times New Roman"/>
          <w:bCs/>
        </w:rPr>
        <w:t xml:space="preserve"> </w:t>
      </w:r>
      <w:r w:rsidR="00FB6938" w:rsidRPr="00A60FD5">
        <w:rPr>
          <w:rFonts w:ascii="Times New Roman" w:hAnsi="Times New Roman" w:cs="Times New Roman"/>
          <w:bCs/>
        </w:rPr>
        <w:t xml:space="preserve">are expected to </w:t>
      </w:r>
      <w:r w:rsidR="009168EF" w:rsidRPr="00A60FD5">
        <w:rPr>
          <w:rFonts w:ascii="Times New Roman" w:hAnsi="Times New Roman" w:cs="Times New Roman"/>
          <w:bCs/>
        </w:rPr>
        <w:t>influence the propensity to rely on arbitration in opposite ways</w:t>
      </w:r>
      <w:r w:rsidR="00FB6938" w:rsidRPr="00A60FD5">
        <w:rPr>
          <w:rFonts w:ascii="Times New Roman" w:hAnsi="Times New Roman" w:cs="Times New Roman"/>
          <w:bCs/>
        </w:rPr>
        <w:t xml:space="preserve">, </w:t>
      </w:r>
      <w:r w:rsidR="009168EF" w:rsidRPr="00A60FD5">
        <w:rPr>
          <w:rFonts w:ascii="Times New Roman" w:hAnsi="Times New Roman" w:cs="Times New Roman"/>
          <w:bCs/>
        </w:rPr>
        <w:t>one may wonder which of the two effects will prevail</w:t>
      </w:r>
      <w:r w:rsidR="00FB6938" w:rsidRPr="00A60FD5">
        <w:rPr>
          <w:rFonts w:ascii="Times New Roman" w:hAnsi="Times New Roman" w:cs="Times New Roman"/>
          <w:bCs/>
        </w:rPr>
        <w:t xml:space="preserve"> when both types of provisions are extensively used in a licensing contract.</w:t>
      </w:r>
      <w:r w:rsidR="009168EF" w:rsidRPr="00A60FD5">
        <w:rPr>
          <w:rFonts w:ascii="Times New Roman" w:hAnsi="Times New Roman" w:cs="Times New Roman"/>
          <w:bCs/>
        </w:rPr>
        <w:t xml:space="preserve"> </w:t>
      </w:r>
      <w:r w:rsidR="00D91B7B" w:rsidRPr="00A60FD5">
        <w:rPr>
          <w:rFonts w:ascii="Times New Roman" w:hAnsi="Times New Roman" w:cs="Times New Roman"/>
          <w:bCs/>
        </w:rPr>
        <w:t xml:space="preserve">It is not </w:t>
      </w:r>
      <w:r w:rsidR="001C59D5" w:rsidRPr="00A60FD5">
        <w:rPr>
          <w:rFonts w:ascii="Times New Roman" w:hAnsi="Times New Roman" w:cs="Times New Roman"/>
          <w:bCs/>
        </w:rPr>
        <w:t xml:space="preserve">rare </w:t>
      </w:r>
      <w:r w:rsidR="00D91B7B" w:rsidRPr="00A60FD5">
        <w:rPr>
          <w:rFonts w:ascii="Times New Roman" w:hAnsi="Times New Roman" w:cs="Times New Roman"/>
          <w:bCs/>
        </w:rPr>
        <w:t xml:space="preserve">to find exchanges where in addition to incentive conflicts or </w:t>
      </w:r>
      <w:r w:rsidR="0004742F" w:rsidRPr="00A60FD5">
        <w:rPr>
          <w:rFonts w:ascii="Times New Roman" w:hAnsi="Times New Roman" w:cs="Times New Roman"/>
          <w:bCs/>
        </w:rPr>
        <w:t xml:space="preserve">the </w:t>
      </w:r>
      <w:r w:rsidR="00D91B7B" w:rsidRPr="00A60FD5">
        <w:rPr>
          <w:rFonts w:ascii="Times New Roman" w:hAnsi="Times New Roman" w:cs="Times New Roman"/>
          <w:bCs/>
        </w:rPr>
        <w:t xml:space="preserve">threat of knowledge leakage, failures of adaptation arise as partners read and react to signals differently (Williamson, 1991). It can then happen that extensive monitoring and coordination provisions are simultaneously included in licensing contracts </w:t>
      </w:r>
      <w:r w:rsidR="007A0940" w:rsidRPr="00A60FD5">
        <w:rPr>
          <w:rFonts w:ascii="Times New Roman" w:hAnsi="Times New Roman" w:cs="Times New Roman"/>
          <w:bCs/>
        </w:rPr>
        <w:t xml:space="preserve">to </w:t>
      </w:r>
      <w:r w:rsidR="00D91B7B" w:rsidRPr="00A60FD5">
        <w:rPr>
          <w:rFonts w:ascii="Times New Roman" w:hAnsi="Times New Roman" w:cs="Times New Roman"/>
          <w:bCs/>
        </w:rPr>
        <w:t>deter opportunism and facilitat</w:t>
      </w:r>
      <w:r w:rsidR="007A0940" w:rsidRPr="00A60FD5">
        <w:rPr>
          <w:rFonts w:ascii="Times New Roman" w:hAnsi="Times New Roman" w:cs="Times New Roman"/>
          <w:bCs/>
        </w:rPr>
        <w:t>e</w:t>
      </w:r>
      <w:r w:rsidR="00D91B7B" w:rsidRPr="00A60FD5">
        <w:rPr>
          <w:rFonts w:ascii="Times New Roman" w:hAnsi="Times New Roman" w:cs="Times New Roman"/>
          <w:bCs/>
        </w:rPr>
        <w:t xml:space="preserve"> collaboration. </w:t>
      </w:r>
      <w:r w:rsidR="009168EF" w:rsidRPr="00A60FD5">
        <w:rPr>
          <w:rFonts w:ascii="Times New Roman" w:hAnsi="Times New Roman" w:cs="Times New Roman"/>
          <w:bCs/>
        </w:rPr>
        <w:t xml:space="preserve">Prior studies on contractual governance show that coordination provisions tend to foster behavioral norms of flexibility, solidarity and information exchange (Poppo and Zenger, 2002). Flexibility and solidarity enable </w:t>
      </w:r>
      <w:r w:rsidR="00E34116" w:rsidRPr="00A60FD5">
        <w:rPr>
          <w:rFonts w:ascii="Times New Roman" w:hAnsi="Times New Roman" w:cs="Times New Roman"/>
          <w:bCs/>
        </w:rPr>
        <w:t xml:space="preserve">firms </w:t>
      </w:r>
      <w:r w:rsidR="009168EF" w:rsidRPr="00A60FD5">
        <w:rPr>
          <w:rFonts w:ascii="Times New Roman" w:hAnsi="Times New Roman" w:cs="Times New Roman"/>
          <w:bCs/>
        </w:rPr>
        <w:t>to grant concessions in the short term</w:t>
      </w:r>
      <w:r w:rsidR="007A0940" w:rsidRPr="00A60FD5">
        <w:rPr>
          <w:rFonts w:ascii="Times New Roman" w:hAnsi="Times New Roman" w:cs="Times New Roman"/>
          <w:bCs/>
        </w:rPr>
        <w:t xml:space="preserve"> more often</w:t>
      </w:r>
      <w:r w:rsidR="009168EF" w:rsidRPr="00A60FD5">
        <w:rPr>
          <w:rFonts w:ascii="Times New Roman" w:hAnsi="Times New Roman" w:cs="Times New Roman"/>
          <w:bCs/>
        </w:rPr>
        <w:t xml:space="preserve">, as any resulting imbalances </w:t>
      </w:r>
      <w:r w:rsidR="00E34116" w:rsidRPr="00A60FD5">
        <w:rPr>
          <w:rFonts w:ascii="Times New Roman" w:hAnsi="Times New Roman" w:cs="Times New Roman"/>
          <w:bCs/>
        </w:rPr>
        <w:t xml:space="preserve">are expected </w:t>
      </w:r>
      <w:r w:rsidR="009168EF" w:rsidRPr="00A60FD5">
        <w:rPr>
          <w:rFonts w:ascii="Times New Roman" w:hAnsi="Times New Roman" w:cs="Times New Roman"/>
          <w:bCs/>
        </w:rPr>
        <w:t xml:space="preserve">to be adjusted and reciprocated in the longer term (Dore, 1983). Norms of information </w:t>
      </w:r>
      <w:r w:rsidR="00E34116" w:rsidRPr="00A60FD5">
        <w:rPr>
          <w:rFonts w:ascii="Times New Roman" w:hAnsi="Times New Roman" w:cs="Times New Roman"/>
          <w:bCs/>
        </w:rPr>
        <w:t xml:space="preserve">exchange concerning </w:t>
      </w:r>
      <w:r w:rsidR="009168EF" w:rsidRPr="00A60FD5">
        <w:rPr>
          <w:rFonts w:ascii="Times New Roman" w:hAnsi="Times New Roman" w:cs="Times New Roman"/>
          <w:bCs/>
        </w:rPr>
        <w:t xml:space="preserve">actions and plans foster intention transparency. </w:t>
      </w:r>
      <w:r w:rsidR="007F22C0" w:rsidRPr="00A60FD5">
        <w:rPr>
          <w:rFonts w:ascii="Times New Roman" w:hAnsi="Times New Roman" w:cs="Times New Roman"/>
          <w:bCs/>
        </w:rPr>
        <w:t xml:space="preserve">The licensor </w:t>
      </w:r>
      <w:r w:rsidR="009168EF" w:rsidRPr="00A60FD5">
        <w:rPr>
          <w:rFonts w:ascii="Times New Roman" w:hAnsi="Times New Roman" w:cs="Times New Roman"/>
          <w:bCs/>
        </w:rPr>
        <w:t xml:space="preserve">should therefore worry less about spending time and resources on monitoring and checking whether the </w:t>
      </w:r>
      <w:r w:rsidR="00E34116" w:rsidRPr="00A60FD5">
        <w:rPr>
          <w:rFonts w:ascii="Times New Roman" w:hAnsi="Times New Roman" w:cs="Times New Roman"/>
          <w:bCs/>
        </w:rPr>
        <w:t xml:space="preserve">licensing </w:t>
      </w:r>
      <w:r w:rsidR="009168EF" w:rsidRPr="00A60FD5">
        <w:rPr>
          <w:rFonts w:ascii="Times New Roman" w:hAnsi="Times New Roman" w:cs="Times New Roman"/>
          <w:bCs/>
        </w:rPr>
        <w:t xml:space="preserve">partner </w:t>
      </w:r>
      <w:r w:rsidR="007A0940" w:rsidRPr="00A60FD5">
        <w:rPr>
          <w:rFonts w:ascii="Times New Roman" w:hAnsi="Times New Roman" w:cs="Times New Roman"/>
          <w:bCs/>
        </w:rPr>
        <w:t xml:space="preserve">is </w:t>
      </w:r>
      <w:r w:rsidR="009168EF" w:rsidRPr="00A60FD5">
        <w:rPr>
          <w:rFonts w:ascii="Times New Roman" w:hAnsi="Times New Roman" w:cs="Times New Roman"/>
          <w:bCs/>
        </w:rPr>
        <w:t>fulfill</w:t>
      </w:r>
      <w:r w:rsidR="007A0940" w:rsidRPr="00A60FD5">
        <w:rPr>
          <w:rFonts w:ascii="Times New Roman" w:hAnsi="Times New Roman" w:cs="Times New Roman"/>
          <w:bCs/>
        </w:rPr>
        <w:t>ing</w:t>
      </w:r>
      <w:r w:rsidR="009168EF" w:rsidRPr="00A60FD5">
        <w:rPr>
          <w:rFonts w:ascii="Times New Roman" w:hAnsi="Times New Roman" w:cs="Times New Roman"/>
          <w:bCs/>
        </w:rPr>
        <w:t xml:space="preserve"> </w:t>
      </w:r>
      <w:r w:rsidR="00E34116" w:rsidRPr="00A60FD5">
        <w:rPr>
          <w:rFonts w:ascii="Times New Roman" w:hAnsi="Times New Roman" w:cs="Times New Roman"/>
          <w:bCs/>
        </w:rPr>
        <w:t xml:space="preserve">its </w:t>
      </w:r>
      <w:r w:rsidR="009168EF" w:rsidRPr="00A60FD5">
        <w:rPr>
          <w:rFonts w:ascii="Times New Roman" w:hAnsi="Times New Roman" w:cs="Times New Roman"/>
          <w:bCs/>
        </w:rPr>
        <w:t xml:space="preserve">contractual commitments (Dyer and Chu, 2003). </w:t>
      </w:r>
      <w:r w:rsidR="007A0940" w:rsidRPr="00A60FD5">
        <w:rPr>
          <w:rFonts w:ascii="Times New Roman" w:hAnsi="Times New Roman" w:cs="Times New Roman"/>
          <w:bCs/>
        </w:rPr>
        <w:t>However, i</w:t>
      </w:r>
      <w:r w:rsidR="009168EF" w:rsidRPr="00A60FD5">
        <w:rPr>
          <w:rFonts w:ascii="Times New Roman" w:hAnsi="Times New Roman" w:cs="Times New Roman"/>
          <w:bCs/>
        </w:rPr>
        <w:t xml:space="preserve">n the presence of extensive coordination provisions, </w:t>
      </w:r>
      <w:r w:rsidR="00E34116" w:rsidRPr="00A60FD5">
        <w:rPr>
          <w:rFonts w:ascii="Times New Roman" w:hAnsi="Times New Roman" w:cs="Times New Roman"/>
          <w:bCs/>
        </w:rPr>
        <w:t xml:space="preserve">we observe in reality that </w:t>
      </w:r>
      <w:r w:rsidR="009168EF" w:rsidRPr="00A60FD5">
        <w:rPr>
          <w:rFonts w:ascii="Times New Roman" w:hAnsi="Times New Roman" w:cs="Times New Roman"/>
          <w:bCs/>
        </w:rPr>
        <w:t xml:space="preserve">monitoring provisions may still be included. </w:t>
      </w:r>
      <w:r w:rsidR="00D91B7B" w:rsidRPr="00A60FD5">
        <w:rPr>
          <w:rFonts w:ascii="Times New Roman" w:hAnsi="Times New Roman" w:cs="Times New Roman"/>
          <w:bCs/>
        </w:rPr>
        <w:t>A</w:t>
      </w:r>
      <w:r w:rsidR="00E34116" w:rsidRPr="00A60FD5">
        <w:rPr>
          <w:rFonts w:ascii="Times New Roman" w:hAnsi="Times New Roman" w:cs="Times New Roman"/>
          <w:bCs/>
        </w:rPr>
        <w:t>n important</w:t>
      </w:r>
      <w:r w:rsidR="00D91B7B" w:rsidRPr="00A60FD5">
        <w:rPr>
          <w:rFonts w:ascii="Times New Roman" w:hAnsi="Times New Roman" w:cs="Times New Roman"/>
          <w:bCs/>
        </w:rPr>
        <w:t xml:space="preserve"> know-how sharing or manufacturing/marketing assistance </w:t>
      </w:r>
      <w:r w:rsidR="007A0940" w:rsidRPr="00A60FD5">
        <w:rPr>
          <w:rFonts w:ascii="Times New Roman" w:hAnsi="Times New Roman" w:cs="Times New Roman"/>
          <w:bCs/>
        </w:rPr>
        <w:t xml:space="preserve">requirement </w:t>
      </w:r>
      <w:r w:rsidR="00DA2ECD" w:rsidRPr="00A60FD5">
        <w:rPr>
          <w:rFonts w:ascii="Times New Roman" w:hAnsi="Times New Roman" w:cs="Times New Roman"/>
          <w:bCs/>
        </w:rPr>
        <w:t xml:space="preserve">indeed </w:t>
      </w:r>
      <w:r w:rsidR="00D91B7B" w:rsidRPr="00A60FD5">
        <w:rPr>
          <w:rFonts w:ascii="Times New Roman" w:hAnsi="Times New Roman" w:cs="Times New Roman"/>
          <w:bCs/>
        </w:rPr>
        <w:t xml:space="preserve">gives partners </w:t>
      </w:r>
      <w:r w:rsidR="00E34116" w:rsidRPr="00A60FD5">
        <w:rPr>
          <w:rFonts w:ascii="Times New Roman" w:hAnsi="Times New Roman" w:cs="Times New Roman"/>
          <w:bCs/>
        </w:rPr>
        <w:t>more</w:t>
      </w:r>
      <w:r w:rsidR="00D91B7B" w:rsidRPr="00A60FD5">
        <w:rPr>
          <w:rFonts w:ascii="Times New Roman" w:hAnsi="Times New Roman" w:cs="Times New Roman"/>
          <w:bCs/>
        </w:rPr>
        <w:t xml:space="preserve"> opportunities for misappropriating new skills or gleaning </w:t>
      </w:r>
      <w:r w:rsidR="00E34116" w:rsidRPr="00A60FD5">
        <w:rPr>
          <w:rFonts w:ascii="Times New Roman" w:hAnsi="Times New Roman" w:cs="Times New Roman"/>
          <w:bCs/>
        </w:rPr>
        <w:t>trade secrets</w:t>
      </w:r>
      <w:r w:rsidR="00D91B7B" w:rsidRPr="00A60FD5">
        <w:rPr>
          <w:rFonts w:ascii="Times New Roman" w:hAnsi="Times New Roman" w:cs="Times New Roman"/>
          <w:bCs/>
        </w:rPr>
        <w:t xml:space="preserve">. </w:t>
      </w:r>
    </w:p>
    <w:p w14:paraId="721913C5" w14:textId="0C68DD9F" w:rsidR="009168EF" w:rsidRPr="00A60FD5" w:rsidRDefault="009168EF" w:rsidP="009168EF">
      <w:pPr>
        <w:spacing w:after="0" w:line="480" w:lineRule="auto"/>
        <w:ind w:firstLine="709"/>
        <w:rPr>
          <w:rFonts w:ascii="Times New Roman" w:hAnsi="Times New Roman" w:cs="Times New Roman"/>
          <w:bCs/>
        </w:rPr>
      </w:pPr>
      <w:r w:rsidRPr="00A60FD5">
        <w:rPr>
          <w:rFonts w:ascii="Times New Roman" w:hAnsi="Times New Roman" w:cs="Times New Roman"/>
          <w:bCs/>
        </w:rPr>
        <w:t xml:space="preserve">As highlighted in prior studies (Dekker, 2004; Mesquita and Brush, 2008), the effects of monitoring provisions may vary with the magnitude of </w:t>
      </w:r>
      <w:r w:rsidR="0036596D" w:rsidRPr="00A60FD5">
        <w:rPr>
          <w:rFonts w:ascii="Times New Roman" w:hAnsi="Times New Roman" w:cs="Times New Roman"/>
          <w:bCs/>
        </w:rPr>
        <w:t xml:space="preserve">the </w:t>
      </w:r>
      <w:r w:rsidRPr="00A60FD5">
        <w:rPr>
          <w:rFonts w:ascii="Times New Roman" w:hAnsi="Times New Roman" w:cs="Times New Roman"/>
          <w:bCs/>
        </w:rPr>
        <w:t xml:space="preserve">coordination concerns expected. Rather than essentially </w:t>
      </w:r>
      <w:r w:rsidR="0036596D" w:rsidRPr="00A60FD5">
        <w:rPr>
          <w:rFonts w:ascii="Times New Roman" w:hAnsi="Times New Roman" w:cs="Times New Roman"/>
          <w:bCs/>
        </w:rPr>
        <w:t xml:space="preserve">being </w:t>
      </w:r>
      <w:r w:rsidRPr="00A60FD5">
        <w:rPr>
          <w:rFonts w:ascii="Times New Roman" w:hAnsi="Times New Roman" w:cs="Times New Roman"/>
          <w:bCs/>
        </w:rPr>
        <w:t xml:space="preserve">used for easing coercive solutions, clearly articulated monitoring provisions may inspire </w:t>
      </w:r>
      <w:r w:rsidR="00E34116" w:rsidRPr="00A60FD5">
        <w:rPr>
          <w:rFonts w:ascii="Times New Roman" w:hAnsi="Times New Roman" w:cs="Times New Roman"/>
          <w:bCs/>
        </w:rPr>
        <w:t xml:space="preserve">the </w:t>
      </w:r>
      <w:r w:rsidRPr="00A60FD5">
        <w:rPr>
          <w:rFonts w:ascii="Times New Roman" w:hAnsi="Times New Roman" w:cs="Times New Roman"/>
          <w:bCs/>
        </w:rPr>
        <w:t xml:space="preserve">confidence </w:t>
      </w:r>
      <w:r w:rsidR="00E34116" w:rsidRPr="00A60FD5">
        <w:rPr>
          <w:rFonts w:ascii="Times New Roman" w:hAnsi="Times New Roman" w:cs="Times New Roman"/>
          <w:bCs/>
        </w:rPr>
        <w:t xml:space="preserve">necessary </w:t>
      </w:r>
      <w:r w:rsidRPr="00A60FD5">
        <w:rPr>
          <w:rFonts w:ascii="Times New Roman" w:hAnsi="Times New Roman" w:cs="Times New Roman"/>
          <w:bCs/>
        </w:rPr>
        <w:t xml:space="preserve">for close collaboration. They narrow the </w:t>
      </w:r>
      <w:r w:rsidR="00E34116" w:rsidRPr="00A60FD5">
        <w:rPr>
          <w:rFonts w:ascii="Times New Roman" w:hAnsi="Times New Roman" w:cs="Times New Roman"/>
          <w:bCs/>
        </w:rPr>
        <w:t xml:space="preserve">severity </w:t>
      </w:r>
      <w:r w:rsidRPr="00A60FD5">
        <w:rPr>
          <w:rFonts w:ascii="Times New Roman" w:hAnsi="Times New Roman" w:cs="Times New Roman"/>
          <w:bCs/>
        </w:rPr>
        <w:t xml:space="preserve">and </w:t>
      </w:r>
      <w:r w:rsidR="00E34116" w:rsidRPr="00A60FD5">
        <w:rPr>
          <w:rFonts w:ascii="Times New Roman" w:hAnsi="Times New Roman" w:cs="Times New Roman"/>
          <w:bCs/>
        </w:rPr>
        <w:t xml:space="preserve">domain </w:t>
      </w:r>
      <w:r w:rsidRPr="00A60FD5">
        <w:rPr>
          <w:rFonts w:ascii="Times New Roman" w:hAnsi="Times New Roman" w:cs="Times New Roman"/>
          <w:bCs/>
        </w:rPr>
        <w:t xml:space="preserve">of risk (Poppo and Zenger, 2002) and guarantee objectivity and provision of a track record </w:t>
      </w:r>
      <w:r w:rsidR="0036596D" w:rsidRPr="00A60FD5">
        <w:rPr>
          <w:rFonts w:ascii="Times New Roman" w:hAnsi="Times New Roman" w:cs="Times New Roman"/>
          <w:bCs/>
        </w:rPr>
        <w:t xml:space="preserve">of </w:t>
      </w:r>
      <w:r w:rsidRPr="00A60FD5">
        <w:rPr>
          <w:rFonts w:ascii="Times New Roman" w:hAnsi="Times New Roman" w:cs="Times New Roman"/>
          <w:bCs/>
        </w:rPr>
        <w:t xml:space="preserve">the other’s performance, behaviors and skills (Das and Teng, 1998). When monitoring provisions are extensive, licensing partners may therefore be more willing to closely collaborate and </w:t>
      </w:r>
      <w:r w:rsidR="00E34116" w:rsidRPr="00A60FD5">
        <w:rPr>
          <w:rFonts w:ascii="Times New Roman" w:hAnsi="Times New Roman" w:cs="Times New Roman"/>
          <w:bCs/>
        </w:rPr>
        <w:t xml:space="preserve">to </w:t>
      </w:r>
      <w:r w:rsidRPr="00A60FD5">
        <w:rPr>
          <w:rFonts w:ascii="Times New Roman" w:hAnsi="Times New Roman" w:cs="Times New Roman"/>
          <w:bCs/>
        </w:rPr>
        <w:t xml:space="preserve">overcome their cognitive limitations. </w:t>
      </w:r>
    </w:p>
    <w:p w14:paraId="1CDB9552" w14:textId="52D976A2" w:rsidR="00690C6E" w:rsidRPr="00A60FD5" w:rsidRDefault="00605779" w:rsidP="00327342">
      <w:pPr>
        <w:spacing w:after="0" w:line="480" w:lineRule="auto"/>
        <w:ind w:firstLine="709"/>
        <w:rPr>
          <w:rFonts w:ascii="Times New Roman" w:hAnsi="Times New Roman" w:cs="Times New Roman"/>
          <w:bCs/>
        </w:rPr>
      </w:pPr>
      <w:r w:rsidRPr="00A60FD5">
        <w:rPr>
          <w:rFonts w:ascii="Times New Roman" w:hAnsi="Times New Roman" w:cs="Times New Roman"/>
          <w:bCs/>
        </w:rPr>
        <w:lastRenderedPageBreak/>
        <w:t>In highly coordinative exchanges, the market and technical expertise of the arbitrators is</w:t>
      </w:r>
      <w:r w:rsidR="0091063C" w:rsidRPr="00A60FD5">
        <w:rPr>
          <w:rFonts w:ascii="Times New Roman" w:hAnsi="Times New Roman" w:cs="Times New Roman"/>
          <w:bCs/>
        </w:rPr>
        <w:t xml:space="preserve"> likely to be </w:t>
      </w:r>
      <w:r w:rsidRPr="00A60FD5">
        <w:rPr>
          <w:rFonts w:ascii="Times New Roman" w:hAnsi="Times New Roman" w:cs="Times New Roman"/>
          <w:bCs/>
        </w:rPr>
        <w:t xml:space="preserve">highly valued </w:t>
      </w:r>
      <w:r w:rsidR="0036596D" w:rsidRPr="00A60FD5">
        <w:rPr>
          <w:rFonts w:ascii="Times New Roman" w:hAnsi="Times New Roman" w:cs="Times New Roman"/>
          <w:bCs/>
        </w:rPr>
        <w:t>as they are expected to</w:t>
      </w:r>
      <w:r w:rsidRPr="00A60FD5">
        <w:rPr>
          <w:rFonts w:ascii="Times New Roman" w:hAnsi="Times New Roman" w:cs="Times New Roman"/>
          <w:bCs/>
        </w:rPr>
        <w:t xml:space="preserve"> intelligently and comprehensively judg</w:t>
      </w:r>
      <w:r w:rsidR="0036596D" w:rsidRPr="00A60FD5">
        <w:rPr>
          <w:rFonts w:ascii="Times New Roman" w:hAnsi="Times New Roman" w:cs="Times New Roman"/>
          <w:bCs/>
        </w:rPr>
        <w:t>e</w:t>
      </w:r>
      <w:r w:rsidRPr="00A60FD5">
        <w:rPr>
          <w:rFonts w:ascii="Times New Roman" w:hAnsi="Times New Roman" w:cs="Times New Roman"/>
          <w:bCs/>
        </w:rPr>
        <w:t xml:space="preserve"> possible dilatory </w:t>
      </w:r>
      <w:r w:rsidR="0091063C" w:rsidRPr="00A60FD5">
        <w:rPr>
          <w:rFonts w:ascii="Times New Roman" w:hAnsi="Times New Roman" w:cs="Times New Roman"/>
          <w:bCs/>
        </w:rPr>
        <w:t>behaviors</w:t>
      </w:r>
      <w:r w:rsidRPr="00A60FD5">
        <w:rPr>
          <w:rFonts w:ascii="Times New Roman" w:hAnsi="Times New Roman" w:cs="Times New Roman"/>
          <w:bCs/>
        </w:rPr>
        <w:t xml:space="preserve">. </w:t>
      </w:r>
      <w:r w:rsidR="00E13548" w:rsidRPr="00A60FD5">
        <w:rPr>
          <w:rFonts w:ascii="Times New Roman" w:hAnsi="Times New Roman" w:cs="Times New Roman"/>
          <w:bCs/>
        </w:rPr>
        <w:t xml:space="preserve">Even if the monitoring </w:t>
      </w:r>
      <w:r w:rsidR="0091063C" w:rsidRPr="00A60FD5">
        <w:rPr>
          <w:rFonts w:ascii="Times New Roman" w:hAnsi="Times New Roman" w:cs="Times New Roman"/>
          <w:bCs/>
        </w:rPr>
        <w:t xml:space="preserve">contractual </w:t>
      </w:r>
      <w:r w:rsidR="00E13548" w:rsidRPr="00A60FD5">
        <w:rPr>
          <w:rFonts w:ascii="Times New Roman" w:hAnsi="Times New Roman" w:cs="Times New Roman"/>
          <w:bCs/>
        </w:rPr>
        <w:t xml:space="preserve">orientation tends </w:t>
      </w:r>
      <w:r w:rsidR="009D4340" w:rsidRPr="00A60FD5">
        <w:rPr>
          <w:rFonts w:ascii="Times New Roman" w:hAnsi="Times New Roman" w:cs="Times New Roman"/>
          <w:bCs/>
          <w:i/>
        </w:rPr>
        <w:t xml:space="preserve">a priori </w:t>
      </w:r>
      <w:r w:rsidR="00E13548" w:rsidRPr="00A60FD5">
        <w:rPr>
          <w:rFonts w:ascii="Times New Roman" w:hAnsi="Times New Roman" w:cs="Times New Roman"/>
          <w:bCs/>
        </w:rPr>
        <w:t xml:space="preserve">to suggest suspicion </w:t>
      </w:r>
      <w:r w:rsidR="0036596D" w:rsidRPr="00A60FD5">
        <w:rPr>
          <w:rFonts w:ascii="Times New Roman" w:hAnsi="Times New Roman" w:cs="Times New Roman"/>
          <w:bCs/>
        </w:rPr>
        <w:t xml:space="preserve">of </w:t>
      </w:r>
      <w:r w:rsidR="00E13548" w:rsidRPr="00A60FD5">
        <w:rPr>
          <w:rFonts w:ascii="Times New Roman" w:hAnsi="Times New Roman" w:cs="Times New Roman"/>
          <w:bCs/>
        </w:rPr>
        <w:t xml:space="preserve">hidden agendas, public courts may </w:t>
      </w:r>
      <w:r w:rsidR="00EC06F3" w:rsidRPr="00A60FD5">
        <w:rPr>
          <w:rFonts w:ascii="Times New Roman" w:hAnsi="Times New Roman" w:cs="Times New Roman"/>
          <w:bCs/>
        </w:rPr>
        <w:t>not be well-</w:t>
      </w:r>
      <w:r w:rsidR="00E13548" w:rsidRPr="00A60FD5">
        <w:rPr>
          <w:rFonts w:ascii="Times New Roman" w:hAnsi="Times New Roman" w:cs="Times New Roman"/>
          <w:bCs/>
        </w:rPr>
        <w:t xml:space="preserve">equipped to </w:t>
      </w:r>
      <w:r w:rsidR="00EC06F3" w:rsidRPr="00A60FD5">
        <w:rPr>
          <w:rFonts w:ascii="Times New Roman" w:hAnsi="Times New Roman" w:cs="Times New Roman"/>
          <w:bCs/>
        </w:rPr>
        <w:t xml:space="preserve">guarantee the fairness and </w:t>
      </w:r>
      <w:r w:rsidR="00CB22FB" w:rsidRPr="00A60FD5">
        <w:rPr>
          <w:rFonts w:ascii="Times New Roman" w:hAnsi="Times New Roman" w:cs="Times New Roman"/>
          <w:bCs/>
        </w:rPr>
        <w:t xml:space="preserve">correctness </w:t>
      </w:r>
      <w:r w:rsidR="00EC06F3" w:rsidRPr="00A60FD5">
        <w:rPr>
          <w:rFonts w:ascii="Times New Roman" w:hAnsi="Times New Roman" w:cs="Times New Roman"/>
          <w:bCs/>
        </w:rPr>
        <w:t xml:space="preserve">of </w:t>
      </w:r>
      <w:r w:rsidR="00327342" w:rsidRPr="00A60FD5">
        <w:rPr>
          <w:rFonts w:ascii="Times New Roman" w:hAnsi="Times New Roman" w:cs="Times New Roman"/>
          <w:bCs/>
        </w:rPr>
        <w:t xml:space="preserve">punitive damages due to </w:t>
      </w:r>
      <w:r w:rsidR="009D4340" w:rsidRPr="00A60FD5">
        <w:rPr>
          <w:rFonts w:ascii="Times New Roman" w:hAnsi="Times New Roman" w:cs="Times New Roman"/>
          <w:bCs/>
        </w:rPr>
        <w:t>the relational nature of the exchange and the contractual gaps</w:t>
      </w:r>
      <w:r w:rsidR="004A6E5E" w:rsidRPr="00A60FD5">
        <w:rPr>
          <w:rFonts w:ascii="Times New Roman" w:hAnsi="Times New Roman" w:cs="Times New Roman"/>
          <w:bCs/>
        </w:rPr>
        <w:t xml:space="preserve"> (Greif, 2005; Williamson, 1985)</w:t>
      </w:r>
      <w:r w:rsidR="00E13548" w:rsidRPr="00A60FD5">
        <w:rPr>
          <w:rFonts w:ascii="Times New Roman" w:hAnsi="Times New Roman" w:cs="Times New Roman"/>
          <w:bCs/>
        </w:rPr>
        <w:t>.</w:t>
      </w:r>
      <w:r w:rsidR="00BA7635" w:rsidRPr="00A60FD5">
        <w:rPr>
          <w:rFonts w:ascii="Times New Roman" w:hAnsi="Times New Roman" w:cs="Times New Roman"/>
          <w:bCs/>
        </w:rPr>
        <w:t xml:space="preserve"> This is</w:t>
      </w:r>
      <w:r w:rsidR="00327342" w:rsidRPr="00A60FD5">
        <w:rPr>
          <w:rFonts w:ascii="Times New Roman" w:hAnsi="Times New Roman" w:cs="Times New Roman"/>
          <w:bCs/>
        </w:rPr>
        <w:t xml:space="preserve"> broadly </w:t>
      </w:r>
      <w:r w:rsidR="00BA7635" w:rsidRPr="00A60FD5">
        <w:rPr>
          <w:rFonts w:ascii="Times New Roman" w:hAnsi="Times New Roman" w:cs="Times New Roman"/>
          <w:bCs/>
        </w:rPr>
        <w:t xml:space="preserve">explained by </w:t>
      </w:r>
      <w:r w:rsidR="003C0F33" w:rsidRPr="00A60FD5">
        <w:rPr>
          <w:rFonts w:ascii="Times New Roman" w:hAnsi="Times New Roman" w:cs="Times New Roman"/>
          <w:bCs/>
        </w:rPr>
        <w:t xml:space="preserve">the court’s </w:t>
      </w:r>
      <w:r w:rsidR="0091063C" w:rsidRPr="00A60FD5">
        <w:rPr>
          <w:rFonts w:ascii="Times New Roman" w:hAnsi="Times New Roman" w:cs="Times New Roman"/>
          <w:bCs/>
        </w:rPr>
        <w:t xml:space="preserve">formal and </w:t>
      </w:r>
      <w:r w:rsidR="00ED2679" w:rsidRPr="00A60FD5">
        <w:rPr>
          <w:rFonts w:ascii="Times New Roman" w:hAnsi="Times New Roman" w:cs="Times New Roman"/>
          <w:bCs/>
        </w:rPr>
        <w:t>inflexible proceedings</w:t>
      </w:r>
      <w:r w:rsidR="00327342" w:rsidRPr="00A60FD5">
        <w:rPr>
          <w:rFonts w:ascii="Times New Roman" w:hAnsi="Times New Roman" w:cs="Times New Roman"/>
          <w:bCs/>
        </w:rPr>
        <w:t xml:space="preserve"> and</w:t>
      </w:r>
      <w:r w:rsidR="00BA7635" w:rsidRPr="00A60FD5">
        <w:rPr>
          <w:rFonts w:ascii="Times New Roman" w:hAnsi="Times New Roman" w:cs="Times New Roman"/>
          <w:bCs/>
        </w:rPr>
        <w:t xml:space="preserve"> the lack of expertise</w:t>
      </w:r>
      <w:r w:rsidR="00327342" w:rsidRPr="00A60FD5">
        <w:rPr>
          <w:rFonts w:ascii="Times New Roman" w:hAnsi="Times New Roman" w:cs="Times New Roman"/>
          <w:bCs/>
        </w:rPr>
        <w:t xml:space="preserve"> required for </w:t>
      </w:r>
      <w:r w:rsidR="00BA7635" w:rsidRPr="00A60FD5">
        <w:rPr>
          <w:rFonts w:ascii="Times New Roman" w:hAnsi="Times New Roman" w:cs="Times New Roman"/>
          <w:bCs/>
        </w:rPr>
        <w:t>interpreting and execut</w:t>
      </w:r>
      <w:r w:rsidR="00D5372E" w:rsidRPr="00A60FD5">
        <w:rPr>
          <w:rFonts w:ascii="Times New Roman" w:hAnsi="Times New Roman" w:cs="Times New Roman"/>
          <w:bCs/>
        </w:rPr>
        <w:t>ing coordination-related term</w:t>
      </w:r>
      <w:r w:rsidR="007F25F5" w:rsidRPr="00A60FD5">
        <w:rPr>
          <w:rFonts w:ascii="Times New Roman" w:hAnsi="Times New Roman" w:cs="Times New Roman"/>
          <w:bCs/>
        </w:rPr>
        <w:t>s</w:t>
      </w:r>
      <w:r w:rsidR="00D5372E" w:rsidRPr="00A60FD5">
        <w:rPr>
          <w:rFonts w:ascii="Times New Roman" w:hAnsi="Times New Roman" w:cs="Times New Roman"/>
          <w:bCs/>
        </w:rPr>
        <w:t xml:space="preserve">. </w:t>
      </w:r>
      <w:r w:rsidR="003C0F33" w:rsidRPr="00A60FD5">
        <w:rPr>
          <w:rFonts w:ascii="Times New Roman" w:hAnsi="Times New Roman" w:cs="Times New Roman"/>
          <w:bCs/>
        </w:rPr>
        <w:t xml:space="preserve">Major </w:t>
      </w:r>
      <w:r w:rsidR="0011604E" w:rsidRPr="00A60FD5">
        <w:rPr>
          <w:rFonts w:ascii="Times New Roman" w:hAnsi="Times New Roman" w:cs="Times New Roman"/>
          <w:bCs/>
        </w:rPr>
        <w:t xml:space="preserve">delays associated with public litigation are </w:t>
      </w:r>
      <w:r w:rsidR="009E5A9A" w:rsidRPr="00A60FD5">
        <w:rPr>
          <w:rFonts w:ascii="Times New Roman" w:hAnsi="Times New Roman" w:cs="Times New Roman"/>
          <w:bCs/>
        </w:rPr>
        <w:t xml:space="preserve">also </w:t>
      </w:r>
      <w:r w:rsidR="0091063C" w:rsidRPr="00A60FD5">
        <w:rPr>
          <w:rFonts w:ascii="Times New Roman" w:hAnsi="Times New Roman" w:cs="Times New Roman"/>
          <w:bCs/>
        </w:rPr>
        <w:t>expected</w:t>
      </w:r>
      <w:r w:rsidR="0011604E" w:rsidRPr="00A60FD5">
        <w:rPr>
          <w:rFonts w:ascii="Times New Roman" w:hAnsi="Times New Roman" w:cs="Times New Roman"/>
          <w:bCs/>
        </w:rPr>
        <w:t xml:space="preserve"> to occur given the complexity of the exchange at stake (</w:t>
      </w:r>
      <w:r w:rsidR="008A4A78" w:rsidRPr="00A60FD5">
        <w:rPr>
          <w:rFonts w:ascii="Times New Roman" w:hAnsi="Times New Roman" w:cs="Times New Roman"/>
        </w:rPr>
        <w:t>Perlman and Nelson, 1983</w:t>
      </w:r>
      <w:r w:rsidR="0011604E" w:rsidRPr="00A60FD5">
        <w:rPr>
          <w:rFonts w:ascii="Times New Roman" w:hAnsi="Times New Roman" w:cs="Times New Roman"/>
          <w:bCs/>
        </w:rPr>
        <w:t>)</w:t>
      </w:r>
      <w:r w:rsidR="0091063C" w:rsidRPr="00A60FD5">
        <w:rPr>
          <w:rFonts w:ascii="Times New Roman" w:hAnsi="Times New Roman" w:cs="Times New Roman"/>
          <w:bCs/>
        </w:rPr>
        <w:t>. Th</w:t>
      </w:r>
      <w:r w:rsidR="003C0F33" w:rsidRPr="00A60FD5">
        <w:rPr>
          <w:rFonts w:ascii="Times New Roman" w:hAnsi="Times New Roman" w:cs="Times New Roman"/>
          <w:bCs/>
        </w:rPr>
        <w:t>e</w:t>
      </w:r>
      <w:r w:rsidR="0091063C" w:rsidRPr="00A60FD5">
        <w:rPr>
          <w:rFonts w:ascii="Times New Roman" w:hAnsi="Times New Roman" w:cs="Times New Roman"/>
          <w:bCs/>
        </w:rPr>
        <w:t>se delays</w:t>
      </w:r>
      <w:r w:rsidR="0011604E" w:rsidRPr="00A60FD5">
        <w:rPr>
          <w:rFonts w:ascii="Times New Roman" w:hAnsi="Times New Roman" w:cs="Times New Roman"/>
          <w:bCs/>
        </w:rPr>
        <w:t xml:space="preserve"> may jeopardize the inter-partner relationship</w:t>
      </w:r>
      <w:r w:rsidR="0091063C" w:rsidRPr="00A60FD5">
        <w:rPr>
          <w:rFonts w:ascii="Times New Roman" w:hAnsi="Times New Roman" w:cs="Times New Roman"/>
          <w:bCs/>
        </w:rPr>
        <w:t xml:space="preserve"> overall</w:t>
      </w:r>
      <w:r w:rsidR="0011604E" w:rsidRPr="00A60FD5">
        <w:rPr>
          <w:rFonts w:ascii="Times New Roman" w:hAnsi="Times New Roman" w:cs="Times New Roman"/>
          <w:bCs/>
        </w:rPr>
        <w:t xml:space="preserve">. </w:t>
      </w:r>
      <w:r w:rsidR="00D5372E" w:rsidRPr="00A60FD5">
        <w:rPr>
          <w:rFonts w:ascii="Times New Roman" w:hAnsi="Times New Roman" w:cs="Times New Roman"/>
          <w:bCs/>
        </w:rPr>
        <w:t xml:space="preserve">Arbitration should therefore be preferred </w:t>
      </w:r>
      <w:r w:rsidR="0091063C" w:rsidRPr="00A60FD5">
        <w:rPr>
          <w:rFonts w:ascii="Times New Roman" w:hAnsi="Times New Roman" w:cs="Times New Roman"/>
          <w:bCs/>
        </w:rPr>
        <w:t xml:space="preserve">over litigation </w:t>
      </w:r>
      <w:r w:rsidR="00FC7B82" w:rsidRPr="00A60FD5">
        <w:rPr>
          <w:rFonts w:ascii="Times New Roman" w:hAnsi="Times New Roman" w:cs="Times New Roman"/>
          <w:bCs/>
        </w:rPr>
        <w:t xml:space="preserve">when both monitoring and coordination orientations are highly present. </w:t>
      </w:r>
      <w:r w:rsidR="00DF2E55" w:rsidRPr="00A60FD5">
        <w:rPr>
          <w:rFonts w:ascii="Times New Roman" w:hAnsi="Times New Roman" w:cs="Times New Roman"/>
          <w:bCs/>
        </w:rPr>
        <w:t xml:space="preserve">It </w:t>
      </w:r>
      <w:r w:rsidR="00110C60" w:rsidRPr="00A60FD5">
        <w:rPr>
          <w:rFonts w:ascii="Times New Roman" w:hAnsi="Times New Roman" w:cs="Times New Roman"/>
          <w:bCs/>
        </w:rPr>
        <w:t xml:space="preserve">better preserves </w:t>
      </w:r>
      <w:r w:rsidR="00D5372E" w:rsidRPr="00A60FD5">
        <w:rPr>
          <w:rFonts w:ascii="Times New Roman" w:hAnsi="Times New Roman" w:cs="Times New Roman"/>
          <w:bCs/>
        </w:rPr>
        <w:t>the continuity of highly collaborative exchanges beyond disputes</w:t>
      </w:r>
      <w:r w:rsidR="0091063C" w:rsidRPr="00A60FD5">
        <w:rPr>
          <w:rFonts w:ascii="Times New Roman" w:hAnsi="Times New Roman" w:cs="Times New Roman"/>
          <w:bCs/>
        </w:rPr>
        <w:t xml:space="preserve">. </w:t>
      </w:r>
      <w:r w:rsidR="009D4340" w:rsidRPr="00A60FD5">
        <w:rPr>
          <w:rFonts w:ascii="Times New Roman" w:hAnsi="Times New Roman" w:cs="Times New Roman"/>
          <w:bCs/>
        </w:rPr>
        <w:t xml:space="preserve">This line of thought aligns with research suggesting that, in highly </w:t>
      </w:r>
      <w:r w:rsidR="009E5A9A" w:rsidRPr="00A60FD5">
        <w:rPr>
          <w:rFonts w:ascii="Times New Roman" w:hAnsi="Times New Roman" w:cs="Times New Roman"/>
          <w:bCs/>
        </w:rPr>
        <w:t xml:space="preserve">coordinative </w:t>
      </w:r>
      <w:r w:rsidR="009D4340" w:rsidRPr="00A60FD5">
        <w:rPr>
          <w:rFonts w:ascii="Times New Roman" w:hAnsi="Times New Roman" w:cs="Times New Roman"/>
          <w:bCs/>
        </w:rPr>
        <w:t>exchange</w:t>
      </w:r>
      <w:r w:rsidR="00EC06F3" w:rsidRPr="00A60FD5">
        <w:rPr>
          <w:rFonts w:ascii="Times New Roman" w:hAnsi="Times New Roman" w:cs="Times New Roman"/>
          <w:bCs/>
        </w:rPr>
        <w:t>s</w:t>
      </w:r>
      <w:r w:rsidR="009D4340" w:rsidRPr="00A60FD5">
        <w:rPr>
          <w:rFonts w:ascii="Times New Roman" w:hAnsi="Times New Roman" w:cs="Times New Roman"/>
          <w:bCs/>
        </w:rPr>
        <w:t xml:space="preserve">, </w:t>
      </w:r>
      <w:r w:rsidR="00CE108A" w:rsidRPr="00A60FD5">
        <w:rPr>
          <w:rFonts w:ascii="Times New Roman" w:hAnsi="Times New Roman" w:cs="Times New Roman"/>
          <w:bCs/>
        </w:rPr>
        <w:t>control provisions are used for f</w:t>
      </w:r>
      <w:r w:rsidRPr="00A60FD5">
        <w:rPr>
          <w:rFonts w:ascii="Times New Roman" w:hAnsi="Times New Roman" w:cs="Times New Roman"/>
          <w:bCs/>
        </w:rPr>
        <w:t>acilitat</w:t>
      </w:r>
      <w:r w:rsidR="00CE108A" w:rsidRPr="00A60FD5">
        <w:rPr>
          <w:rFonts w:ascii="Times New Roman" w:hAnsi="Times New Roman" w:cs="Times New Roman"/>
          <w:bCs/>
        </w:rPr>
        <w:t>ing</w:t>
      </w:r>
      <w:r w:rsidR="009D4340" w:rsidRPr="00A60FD5">
        <w:rPr>
          <w:rFonts w:ascii="Times New Roman" w:hAnsi="Times New Roman" w:cs="Times New Roman"/>
          <w:bCs/>
        </w:rPr>
        <w:t xml:space="preserve"> </w:t>
      </w:r>
      <w:r w:rsidRPr="00A60FD5">
        <w:rPr>
          <w:rFonts w:ascii="Times New Roman" w:hAnsi="Times New Roman" w:cs="Times New Roman"/>
          <w:bCs/>
        </w:rPr>
        <w:t xml:space="preserve">collaboration </w:t>
      </w:r>
      <w:r w:rsidR="00DB056F" w:rsidRPr="00A60FD5">
        <w:rPr>
          <w:rFonts w:ascii="Times New Roman" w:hAnsi="Times New Roman" w:cs="Times New Roman"/>
          <w:bCs/>
        </w:rPr>
        <w:t>rather</w:t>
      </w:r>
      <w:r w:rsidR="00CE108A" w:rsidRPr="00A60FD5">
        <w:rPr>
          <w:rFonts w:ascii="Times New Roman" w:hAnsi="Times New Roman" w:cs="Times New Roman"/>
          <w:bCs/>
        </w:rPr>
        <w:t xml:space="preserve"> than instilling </w:t>
      </w:r>
      <w:r w:rsidRPr="00A60FD5">
        <w:rPr>
          <w:rFonts w:ascii="Times New Roman" w:hAnsi="Times New Roman" w:cs="Times New Roman"/>
          <w:bCs/>
        </w:rPr>
        <w:t xml:space="preserve">an adversarial </w:t>
      </w:r>
      <w:r w:rsidR="00CE108A" w:rsidRPr="00A60FD5">
        <w:rPr>
          <w:rFonts w:ascii="Times New Roman" w:hAnsi="Times New Roman" w:cs="Times New Roman"/>
          <w:bCs/>
        </w:rPr>
        <w:t xml:space="preserve">and </w:t>
      </w:r>
      <w:r w:rsidR="00DB056F" w:rsidRPr="00A60FD5">
        <w:rPr>
          <w:rFonts w:ascii="Times New Roman" w:hAnsi="Times New Roman" w:cs="Times New Roman"/>
          <w:bCs/>
        </w:rPr>
        <w:t>punitive</w:t>
      </w:r>
      <w:r w:rsidR="00CE108A" w:rsidRPr="00A60FD5">
        <w:rPr>
          <w:rFonts w:ascii="Times New Roman" w:hAnsi="Times New Roman" w:cs="Times New Roman"/>
          <w:bCs/>
        </w:rPr>
        <w:t xml:space="preserve"> </w:t>
      </w:r>
      <w:r w:rsidRPr="00A60FD5">
        <w:rPr>
          <w:rFonts w:ascii="Times New Roman" w:hAnsi="Times New Roman" w:cs="Times New Roman"/>
          <w:bCs/>
        </w:rPr>
        <w:t xml:space="preserve">stance. </w:t>
      </w:r>
      <w:r w:rsidR="00985BFC" w:rsidRPr="00A60FD5">
        <w:rPr>
          <w:rFonts w:ascii="Times New Roman" w:hAnsi="Times New Roman" w:cs="Times New Roman"/>
          <w:bCs/>
        </w:rPr>
        <w:t>For coordination to succeed</w:t>
      </w:r>
      <w:r w:rsidR="00363CD8" w:rsidRPr="00A60FD5">
        <w:rPr>
          <w:rFonts w:ascii="Times New Roman" w:hAnsi="Times New Roman" w:cs="Times New Roman"/>
          <w:bCs/>
        </w:rPr>
        <w:t xml:space="preserve"> and effective adaptation to take place</w:t>
      </w:r>
      <w:r w:rsidR="00985BFC" w:rsidRPr="00A60FD5">
        <w:rPr>
          <w:rFonts w:ascii="Times New Roman" w:hAnsi="Times New Roman" w:cs="Times New Roman"/>
          <w:bCs/>
        </w:rPr>
        <w:t xml:space="preserve">, obtaining extensive rights </w:t>
      </w:r>
      <w:r w:rsidR="00253562" w:rsidRPr="00A60FD5">
        <w:rPr>
          <w:rFonts w:ascii="Times New Roman" w:hAnsi="Times New Roman" w:cs="Times New Roman"/>
          <w:bCs/>
        </w:rPr>
        <w:t xml:space="preserve">to </w:t>
      </w:r>
      <w:r w:rsidR="00985BFC" w:rsidRPr="00A60FD5">
        <w:rPr>
          <w:rFonts w:ascii="Times New Roman" w:hAnsi="Times New Roman" w:cs="Times New Roman"/>
          <w:bCs/>
        </w:rPr>
        <w:t>monitor partners’ actions, behaviors and outputs may be a prerequisite (</w:t>
      </w:r>
      <w:r w:rsidR="003D494E" w:rsidRPr="00A60FD5">
        <w:rPr>
          <w:rFonts w:ascii="Times New Roman" w:hAnsi="Times New Roman" w:cs="Times New Roman"/>
        </w:rPr>
        <w:t xml:space="preserve">Baker et al., 1994; </w:t>
      </w:r>
      <w:r w:rsidR="0011604E" w:rsidRPr="00A60FD5">
        <w:rPr>
          <w:rFonts w:ascii="Times New Roman" w:hAnsi="Times New Roman" w:cs="Times New Roman"/>
          <w:bCs/>
        </w:rPr>
        <w:t>Gulati et al., 2005</w:t>
      </w:r>
      <w:r w:rsidR="00985BFC" w:rsidRPr="00A60FD5">
        <w:rPr>
          <w:rFonts w:ascii="Times New Roman" w:hAnsi="Times New Roman" w:cs="Times New Roman"/>
          <w:bCs/>
        </w:rPr>
        <w:t>). H</w:t>
      </w:r>
      <w:r w:rsidR="00EC06F3" w:rsidRPr="00A60FD5">
        <w:rPr>
          <w:rFonts w:ascii="Times New Roman" w:hAnsi="Times New Roman" w:cs="Times New Roman"/>
          <w:bCs/>
        </w:rPr>
        <w:t xml:space="preserve">ence: </w:t>
      </w:r>
    </w:p>
    <w:p w14:paraId="74E7D891" w14:textId="77777777" w:rsidR="003A224E" w:rsidRPr="00A60FD5" w:rsidRDefault="00985BFC" w:rsidP="00417594">
      <w:pPr>
        <w:tabs>
          <w:tab w:val="left" w:pos="4155"/>
          <w:tab w:val="center" w:pos="4895"/>
        </w:tabs>
        <w:spacing w:after="0" w:line="480" w:lineRule="auto"/>
        <w:ind w:firstLine="720"/>
        <w:rPr>
          <w:rFonts w:ascii="Times New Roman" w:hAnsi="Times New Roman" w:cs="Times New Roman"/>
          <w:i/>
        </w:rPr>
      </w:pPr>
      <w:r w:rsidRPr="00A60FD5">
        <w:rPr>
          <w:rFonts w:ascii="Times New Roman" w:hAnsi="Times New Roman" w:cs="Times New Roman"/>
          <w:i/>
        </w:rPr>
        <w:t>Hypothesis 3:</w:t>
      </w:r>
      <w:r w:rsidR="00D3181B" w:rsidRPr="00A60FD5">
        <w:rPr>
          <w:rFonts w:ascii="Times New Roman" w:hAnsi="Times New Roman" w:cs="Times New Roman"/>
          <w:i/>
        </w:rPr>
        <w:t xml:space="preserve"> </w:t>
      </w:r>
      <w:r w:rsidRPr="00A60FD5">
        <w:rPr>
          <w:rFonts w:ascii="Times New Roman" w:hAnsi="Times New Roman" w:cs="Times New Roman"/>
          <w:i/>
        </w:rPr>
        <w:t xml:space="preserve"> </w:t>
      </w:r>
      <w:r w:rsidR="00D3181B" w:rsidRPr="00A60FD5">
        <w:rPr>
          <w:rFonts w:ascii="Times New Roman" w:hAnsi="Times New Roman" w:cs="Times New Roman"/>
          <w:i/>
        </w:rPr>
        <w:t>The greater the extent of the monitoring and coordination orientation</w:t>
      </w:r>
      <w:r w:rsidR="00E15338" w:rsidRPr="00A60FD5">
        <w:rPr>
          <w:rFonts w:ascii="Times New Roman" w:hAnsi="Times New Roman" w:cs="Times New Roman"/>
          <w:i/>
        </w:rPr>
        <w:t>s</w:t>
      </w:r>
      <w:r w:rsidR="00D3181B" w:rsidRPr="00A60FD5">
        <w:rPr>
          <w:rFonts w:ascii="Times New Roman" w:hAnsi="Times New Roman" w:cs="Times New Roman"/>
          <w:i/>
        </w:rPr>
        <w:t xml:space="preserve"> in</w:t>
      </w:r>
    </w:p>
    <w:p w14:paraId="462F74D6" w14:textId="77777777" w:rsidR="008350D0" w:rsidRPr="00A60FD5" w:rsidRDefault="00D3181B" w:rsidP="00417594">
      <w:pPr>
        <w:tabs>
          <w:tab w:val="left" w:pos="4155"/>
          <w:tab w:val="center" w:pos="4895"/>
        </w:tabs>
        <w:spacing w:after="0" w:line="480" w:lineRule="auto"/>
        <w:ind w:firstLine="720"/>
        <w:rPr>
          <w:rFonts w:ascii="Times New Roman" w:hAnsi="Times New Roman" w:cs="Times New Roman"/>
          <w:b/>
          <w:sz w:val="24"/>
          <w:szCs w:val="24"/>
        </w:rPr>
      </w:pPr>
      <w:r w:rsidRPr="00A60FD5">
        <w:rPr>
          <w:rFonts w:ascii="Times New Roman" w:hAnsi="Times New Roman" w:cs="Times New Roman"/>
          <w:i/>
        </w:rPr>
        <w:t>licensing contracts, the greater the likelihood of including an arbitration provision.</w:t>
      </w:r>
      <w:r w:rsidR="00417594" w:rsidRPr="00A60FD5">
        <w:rPr>
          <w:rFonts w:ascii="Times New Roman" w:hAnsi="Times New Roman" w:cs="Times New Roman"/>
          <w:b/>
          <w:sz w:val="24"/>
          <w:szCs w:val="24"/>
        </w:rPr>
        <w:tab/>
      </w:r>
    </w:p>
    <w:p w14:paraId="1C6B464A" w14:textId="28A52EB0" w:rsidR="00417594" w:rsidRPr="00A60FD5" w:rsidRDefault="008350D0" w:rsidP="008350D0">
      <w:pPr>
        <w:tabs>
          <w:tab w:val="left" w:pos="4155"/>
          <w:tab w:val="center" w:pos="4895"/>
        </w:tabs>
        <w:spacing w:after="0" w:line="480" w:lineRule="auto"/>
        <w:rPr>
          <w:rFonts w:ascii="Times New Roman" w:hAnsi="Times New Roman" w:cs="Times New Roman"/>
          <w:b/>
          <w:bCs/>
          <w:sz w:val="24"/>
          <w:szCs w:val="24"/>
        </w:rPr>
      </w:pPr>
      <w:r w:rsidRPr="00A60FD5">
        <w:rPr>
          <w:rFonts w:ascii="Times New Roman" w:hAnsi="Times New Roman" w:cs="Times New Roman"/>
          <w:b/>
          <w:sz w:val="24"/>
          <w:szCs w:val="24"/>
        </w:rPr>
        <w:t>3.</w:t>
      </w:r>
      <w:r w:rsidR="0018013B" w:rsidRPr="00A60FD5">
        <w:rPr>
          <w:rFonts w:ascii="Times New Roman" w:hAnsi="Times New Roman" w:cs="Times New Roman"/>
          <w:b/>
          <w:sz w:val="24"/>
          <w:szCs w:val="24"/>
        </w:rPr>
        <w:t xml:space="preserve"> </w:t>
      </w:r>
      <w:r w:rsidR="00417594" w:rsidRPr="00A60FD5">
        <w:rPr>
          <w:rFonts w:ascii="Times New Roman" w:hAnsi="Times New Roman" w:cs="Times New Roman"/>
          <w:b/>
          <w:bCs/>
          <w:sz w:val="24"/>
          <w:szCs w:val="24"/>
        </w:rPr>
        <w:t>METHODS</w:t>
      </w:r>
    </w:p>
    <w:p w14:paraId="5A745129" w14:textId="51E86DEE" w:rsidR="00417594" w:rsidRPr="00A60FD5" w:rsidRDefault="0018013B" w:rsidP="00417594">
      <w:pPr>
        <w:tabs>
          <w:tab w:val="center" w:pos="4535"/>
        </w:tabs>
        <w:spacing w:after="0" w:line="480" w:lineRule="auto"/>
        <w:rPr>
          <w:rFonts w:ascii="Times New Roman" w:hAnsi="Times New Roman" w:cs="Times New Roman"/>
          <w:b/>
          <w:bCs/>
        </w:rPr>
      </w:pPr>
      <w:r w:rsidRPr="00A60FD5">
        <w:rPr>
          <w:rFonts w:ascii="Times New Roman" w:hAnsi="Times New Roman" w:cs="Times New Roman"/>
          <w:b/>
          <w:bCs/>
        </w:rPr>
        <w:t xml:space="preserve">3.1 </w:t>
      </w:r>
      <w:r w:rsidR="00417594" w:rsidRPr="00A60FD5">
        <w:rPr>
          <w:rFonts w:ascii="Times New Roman" w:hAnsi="Times New Roman" w:cs="Times New Roman"/>
          <w:b/>
          <w:bCs/>
        </w:rPr>
        <w:t>Sampling and Data Collection</w:t>
      </w:r>
      <w:r w:rsidR="00417594" w:rsidRPr="00A60FD5">
        <w:rPr>
          <w:rFonts w:ascii="Times New Roman" w:hAnsi="Times New Roman" w:cs="Times New Roman"/>
          <w:b/>
          <w:bCs/>
        </w:rPr>
        <w:tab/>
      </w:r>
    </w:p>
    <w:p w14:paraId="3B5A684A" w14:textId="7BA8FB77" w:rsidR="00417594" w:rsidRPr="00A60FD5" w:rsidRDefault="00417594" w:rsidP="00417594">
      <w:pPr>
        <w:spacing w:after="0" w:line="480" w:lineRule="auto"/>
        <w:rPr>
          <w:rFonts w:ascii="Times New Roman" w:hAnsi="Times New Roman" w:cs="Times New Roman"/>
          <w:bCs/>
        </w:rPr>
      </w:pPr>
      <w:r w:rsidRPr="00A60FD5">
        <w:rPr>
          <w:rFonts w:ascii="Times New Roman" w:hAnsi="Times New Roman" w:cs="Times New Roman"/>
          <w:bCs/>
        </w:rPr>
        <w:t>To test our hypotheses, we obtained data from a survey on technology licensing. In order to identify a target population for the survey, we relied on a list provided by Agoria, the Belgian trade association for technology-oriented firms.</w:t>
      </w:r>
      <w:r w:rsidRPr="00A60FD5">
        <w:rPr>
          <w:rStyle w:val="FootnoteReference"/>
          <w:rFonts w:ascii="Times New Roman" w:hAnsi="Times New Roman" w:cs="Times New Roman"/>
          <w:bCs/>
        </w:rPr>
        <w:footnoteReference w:id="3"/>
      </w:r>
      <w:r w:rsidRPr="00A60FD5">
        <w:rPr>
          <w:rFonts w:ascii="Times New Roman" w:hAnsi="Times New Roman" w:cs="Times New Roman"/>
          <w:bCs/>
        </w:rPr>
        <w:t xml:space="preserve"> The list contained 1,946 firms that were members or non-members of the association. We selected Agoria for three reasons. First, the </w:t>
      </w:r>
      <w:r w:rsidR="00C17713" w:rsidRPr="00A60FD5">
        <w:rPr>
          <w:rFonts w:ascii="Times New Roman" w:hAnsi="Times New Roman" w:cs="Times New Roman"/>
          <w:bCs/>
        </w:rPr>
        <w:t xml:space="preserve">technology fields </w:t>
      </w:r>
      <w:r w:rsidRPr="00A60FD5">
        <w:rPr>
          <w:rFonts w:ascii="Times New Roman" w:hAnsi="Times New Roman" w:cs="Times New Roman"/>
          <w:bCs/>
        </w:rPr>
        <w:t xml:space="preserve">it covers are among the most prolific in terms of licensing activities (Arora </w:t>
      </w:r>
      <w:r w:rsidR="00B237C6" w:rsidRPr="00A60FD5">
        <w:rPr>
          <w:rFonts w:ascii="Times New Roman" w:hAnsi="Times New Roman" w:cs="Times New Roman"/>
          <w:bCs/>
        </w:rPr>
        <w:t>and</w:t>
      </w:r>
      <w:r w:rsidRPr="00A60FD5">
        <w:rPr>
          <w:rFonts w:ascii="Times New Roman" w:hAnsi="Times New Roman" w:cs="Times New Roman"/>
          <w:bCs/>
        </w:rPr>
        <w:t xml:space="preserve"> Ceccagnoli</w:t>
      </w:r>
      <w:r w:rsidR="009A09AC" w:rsidRPr="00A60FD5">
        <w:rPr>
          <w:rFonts w:ascii="Times New Roman" w:hAnsi="Times New Roman" w:cs="Times New Roman"/>
          <w:bCs/>
        </w:rPr>
        <w:t>,</w:t>
      </w:r>
      <w:r w:rsidRPr="00A60FD5">
        <w:rPr>
          <w:rFonts w:ascii="Times New Roman" w:hAnsi="Times New Roman" w:cs="Times New Roman"/>
          <w:bCs/>
        </w:rPr>
        <w:t xml:space="preserve"> 2006</w:t>
      </w:r>
      <w:r w:rsidR="009A09AC" w:rsidRPr="00A60FD5">
        <w:rPr>
          <w:rFonts w:ascii="Times New Roman" w:hAnsi="Times New Roman" w:cs="Times New Roman"/>
          <w:bCs/>
        </w:rPr>
        <w:t>;</w:t>
      </w:r>
      <w:r w:rsidRPr="00A60FD5">
        <w:rPr>
          <w:rFonts w:ascii="Times New Roman" w:hAnsi="Times New Roman" w:cs="Times New Roman"/>
          <w:bCs/>
        </w:rPr>
        <w:t xml:space="preserve"> </w:t>
      </w:r>
      <w:r w:rsidR="00AF27A3" w:rsidRPr="00A60FD5">
        <w:rPr>
          <w:rFonts w:ascii="Times New Roman" w:hAnsi="Times New Roman" w:cs="Times New Roman"/>
          <w:bCs/>
        </w:rPr>
        <w:t>Hagedoorn, 2002</w:t>
      </w:r>
      <w:r w:rsidRPr="00A60FD5">
        <w:rPr>
          <w:rFonts w:ascii="Times New Roman" w:hAnsi="Times New Roman" w:cs="Times New Roman"/>
          <w:bCs/>
        </w:rPr>
        <w:t xml:space="preserve">). </w:t>
      </w:r>
      <w:r w:rsidRPr="00A60FD5">
        <w:rPr>
          <w:rFonts w:ascii="Times New Roman" w:hAnsi="Times New Roman" w:cs="Times New Roman"/>
          <w:bCs/>
        </w:rPr>
        <w:lastRenderedPageBreak/>
        <w:t>Second, we were able to conduct an exploratory study, including six semi-structured field interviews, with Agoria’s representatives prior to administering the questionnaire.</w:t>
      </w:r>
      <w:r w:rsidRPr="00A60FD5">
        <w:rPr>
          <w:rStyle w:val="FootnoteReference"/>
          <w:rFonts w:ascii="Times New Roman" w:hAnsi="Times New Roman" w:cs="Times New Roman"/>
          <w:bCs/>
        </w:rPr>
        <w:footnoteReference w:id="4"/>
      </w:r>
      <w:r w:rsidRPr="00A60FD5">
        <w:rPr>
          <w:rFonts w:ascii="Times New Roman" w:hAnsi="Times New Roman" w:cs="Times New Roman"/>
          <w:bCs/>
        </w:rPr>
        <w:t xml:space="preserve"> Finally, given its high level of legitimacy among technology-oriented firms in Belgium and the size of its membership, Agoria’s support positively influence</w:t>
      </w:r>
      <w:r w:rsidR="00253562" w:rsidRPr="00A60FD5">
        <w:rPr>
          <w:rFonts w:ascii="Times New Roman" w:hAnsi="Times New Roman" w:cs="Times New Roman"/>
          <w:bCs/>
        </w:rPr>
        <w:t>d</w:t>
      </w:r>
      <w:r w:rsidRPr="00A60FD5">
        <w:rPr>
          <w:rFonts w:ascii="Times New Roman" w:hAnsi="Times New Roman" w:cs="Times New Roman"/>
          <w:bCs/>
        </w:rPr>
        <w:t xml:space="preserve"> the response rate (Dillman</w:t>
      </w:r>
      <w:r w:rsidR="009A09AC" w:rsidRPr="00A60FD5">
        <w:rPr>
          <w:rFonts w:ascii="Times New Roman" w:hAnsi="Times New Roman" w:cs="Times New Roman"/>
          <w:bCs/>
        </w:rPr>
        <w:t>,</w:t>
      </w:r>
      <w:r w:rsidRPr="00A60FD5">
        <w:rPr>
          <w:rFonts w:ascii="Times New Roman" w:hAnsi="Times New Roman" w:cs="Times New Roman"/>
          <w:bCs/>
        </w:rPr>
        <w:t xml:space="preserve"> 2007).</w:t>
      </w:r>
    </w:p>
    <w:p w14:paraId="6DF9E883" w14:textId="6EB42167" w:rsidR="00417594" w:rsidRPr="00A60FD5" w:rsidRDefault="00417594" w:rsidP="00A05DE5">
      <w:pPr>
        <w:spacing w:after="0" w:line="480" w:lineRule="auto"/>
        <w:ind w:firstLine="624"/>
        <w:rPr>
          <w:rFonts w:ascii="Times New Roman" w:hAnsi="Times New Roman" w:cs="Times New Roman"/>
          <w:bCs/>
        </w:rPr>
      </w:pPr>
      <w:r w:rsidRPr="00A60FD5">
        <w:rPr>
          <w:rFonts w:ascii="Times New Roman" w:hAnsi="Times New Roman" w:cs="Times New Roman"/>
          <w:bCs/>
        </w:rPr>
        <w:t xml:space="preserve">Agoria </w:t>
      </w:r>
      <w:r w:rsidR="00D72E78" w:rsidRPr="00A60FD5">
        <w:rPr>
          <w:rFonts w:ascii="Times New Roman" w:hAnsi="Times New Roman" w:cs="Times New Roman"/>
          <w:bCs/>
        </w:rPr>
        <w:t>helped us</w:t>
      </w:r>
      <w:r w:rsidRPr="00A60FD5">
        <w:rPr>
          <w:rFonts w:ascii="Times New Roman" w:hAnsi="Times New Roman" w:cs="Times New Roman"/>
          <w:bCs/>
        </w:rPr>
        <w:t xml:space="preserve"> identify key informants, as the association regularly updates its list of contacts and their positions. Questionnaires were sent to each contact deemed relevant for our study. We explicitly asked each executive to redirect the questionnaire if </w:t>
      </w:r>
      <w:r w:rsidR="007C3A26" w:rsidRPr="00A60FD5">
        <w:rPr>
          <w:rFonts w:ascii="Times New Roman" w:hAnsi="Times New Roman" w:cs="Times New Roman"/>
          <w:bCs/>
        </w:rPr>
        <w:t>he or she</w:t>
      </w:r>
      <w:r w:rsidRPr="00A60FD5">
        <w:rPr>
          <w:rFonts w:ascii="Times New Roman" w:hAnsi="Times New Roman" w:cs="Times New Roman"/>
          <w:bCs/>
        </w:rPr>
        <w:t xml:space="preserve"> felt that other individuals in the organization were more knowledgeable on the subject of licensing. Our electronic survey package included a letter that was written, signed, and sent by Agoria, as well as a customized cover letter. Two to five follow-up messages per firm were transmitted by email and phone.</w:t>
      </w:r>
      <w:r w:rsidR="008D2FB4" w:rsidRPr="00A60FD5">
        <w:rPr>
          <w:rFonts w:ascii="Times New Roman" w:hAnsi="Times New Roman" w:cs="Times New Roman"/>
          <w:bCs/>
        </w:rPr>
        <w:t xml:space="preserve"> </w:t>
      </w:r>
      <w:r w:rsidRPr="00A60FD5">
        <w:rPr>
          <w:rFonts w:ascii="Times New Roman" w:hAnsi="Times New Roman" w:cs="Times New Roman"/>
        </w:rPr>
        <w:t>The use of key informants is considered an appropriate method for obtaining data on inter-organizational exchanges</w:t>
      </w:r>
      <w:r w:rsidR="00D72E78" w:rsidRPr="00A60FD5">
        <w:rPr>
          <w:rFonts w:ascii="Times New Roman" w:hAnsi="Times New Roman" w:cs="Times New Roman"/>
        </w:rPr>
        <w:t xml:space="preserve"> </w:t>
      </w:r>
      <w:r w:rsidRPr="00A60FD5">
        <w:rPr>
          <w:rFonts w:ascii="Times New Roman" w:hAnsi="Times New Roman" w:cs="Times New Roman"/>
        </w:rPr>
        <w:t>due to the absence of detailed information in secondary data sources and the confidential nature of contractual information in general (</w:t>
      </w:r>
      <w:r w:rsidR="00085AB4" w:rsidRPr="00A60FD5">
        <w:rPr>
          <w:rFonts w:ascii="Times New Roman" w:hAnsi="Times New Roman" w:cs="Times New Roman"/>
        </w:rPr>
        <w:t xml:space="preserve">e.g., </w:t>
      </w:r>
      <w:r w:rsidRPr="00A60FD5">
        <w:rPr>
          <w:rFonts w:ascii="Times New Roman" w:hAnsi="Times New Roman" w:cs="Times New Roman"/>
        </w:rPr>
        <w:t>Carson</w:t>
      </w:r>
      <w:r w:rsidR="009A09AC" w:rsidRPr="00A60FD5">
        <w:rPr>
          <w:rFonts w:ascii="Times New Roman" w:hAnsi="Times New Roman" w:cs="Times New Roman"/>
        </w:rPr>
        <w:t>,</w:t>
      </w:r>
      <w:r w:rsidRPr="00A60FD5">
        <w:rPr>
          <w:rFonts w:ascii="Times New Roman" w:hAnsi="Times New Roman" w:cs="Times New Roman"/>
        </w:rPr>
        <w:t xml:space="preserve"> 2007). In order to reduce single-informant bias, we asked respondents </w:t>
      </w:r>
      <w:r w:rsidR="00D72E78" w:rsidRPr="00A60FD5">
        <w:rPr>
          <w:rFonts w:ascii="Times New Roman" w:hAnsi="Times New Roman" w:cs="Times New Roman"/>
        </w:rPr>
        <w:t>to indicate</w:t>
      </w:r>
      <w:r w:rsidRPr="00A60FD5">
        <w:rPr>
          <w:rFonts w:ascii="Times New Roman" w:hAnsi="Times New Roman" w:cs="Times New Roman"/>
        </w:rPr>
        <w:t xml:space="preserve"> their function</w:t>
      </w:r>
      <w:r w:rsidRPr="00A60FD5">
        <w:rPr>
          <w:rFonts w:ascii="Times New Roman" w:hAnsi="Times New Roman" w:cs="Times New Roman"/>
          <w:bCs/>
        </w:rPr>
        <w:t xml:space="preserve"> (e.g., chief executive officer, chief financial officer, R&amp;D department manager, </w:t>
      </w:r>
      <w:r w:rsidR="00406DA2" w:rsidRPr="00A60FD5">
        <w:rPr>
          <w:rFonts w:ascii="Times New Roman" w:hAnsi="Times New Roman" w:cs="Times New Roman"/>
          <w:bCs/>
        </w:rPr>
        <w:t>intellectual property (IP)</w:t>
      </w:r>
      <w:r w:rsidR="00DA2ECD" w:rsidRPr="00A60FD5">
        <w:rPr>
          <w:rFonts w:ascii="Times New Roman" w:hAnsi="Times New Roman" w:cs="Times New Roman"/>
          <w:bCs/>
        </w:rPr>
        <w:t xml:space="preserve"> </w:t>
      </w:r>
      <w:r w:rsidRPr="00A60FD5">
        <w:rPr>
          <w:rFonts w:ascii="Times New Roman" w:hAnsi="Times New Roman" w:cs="Times New Roman"/>
          <w:bCs/>
        </w:rPr>
        <w:t>department manager, or legal department head). From these functions, we can infer that the informants were well positioned to provide the requested information (Kumar et al</w:t>
      </w:r>
      <w:r w:rsidRPr="00A60FD5">
        <w:rPr>
          <w:rFonts w:ascii="Times New Roman" w:hAnsi="Times New Roman" w:cs="Times New Roman"/>
          <w:bCs/>
          <w:i/>
        </w:rPr>
        <w:t>.</w:t>
      </w:r>
      <w:r w:rsidR="009A09AC" w:rsidRPr="00A60FD5">
        <w:rPr>
          <w:rFonts w:ascii="Times New Roman" w:hAnsi="Times New Roman" w:cs="Times New Roman"/>
          <w:bCs/>
          <w:i/>
        </w:rPr>
        <w:t>,</w:t>
      </w:r>
      <w:r w:rsidRPr="00A60FD5">
        <w:rPr>
          <w:rFonts w:ascii="Times New Roman" w:hAnsi="Times New Roman" w:cs="Times New Roman"/>
          <w:bCs/>
        </w:rPr>
        <w:t xml:space="preserve"> 1993). </w:t>
      </w:r>
    </w:p>
    <w:p w14:paraId="2759CCF2" w14:textId="731B762F" w:rsidR="00417594" w:rsidRPr="00A60FD5" w:rsidRDefault="00417594" w:rsidP="0003041E">
      <w:pPr>
        <w:spacing w:after="0" w:line="480" w:lineRule="auto"/>
        <w:ind w:firstLine="624"/>
        <w:rPr>
          <w:rFonts w:ascii="Times New Roman" w:hAnsi="Times New Roman" w:cs="Times New Roman"/>
          <w:b/>
          <w:bCs/>
        </w:rPr>
      </w:pPr>
      <w:r w:rsidRPr="00A60FD5">
        <w:rPr>
          <w:rFonts w:ascii="Times New Roman" w:hAnsi="Times New Roman" w:cs="Times New Roman"/>
          <w:bCs/>
        </w:rPr>
        <w:t xml:space="preserve">To build our questionnaire, we used </w:t>
      </w:r>
      <w:r w:rsidR="00D72E78" w:rsidRPr="00A60FD5">
        <w:rPr>
          <w:rFonts w:ascii="Times New Roman" w:hAnsi="Times New Roman" w:cs="Times New Roman"/>
          <w:bCs/>
        </w:rPr>
        <w:t xml:space="preserve">Dillman’s (2007) </w:t>
      </w:r>
      <w:r w:rsidRPr="00A60FD5">
        <w:rPr>
          <w:rFonts w:ascii="Times New Roman" w:hAnsi="Times New Roman" w:cs="Times New Roman"/>
          <w:bCs/>
        </w:rPr>
        <w:t>total design method. We first relied on items developed in previous studies</w:t>
      </w:r>
      <w:r w:rsidR="0030630C" w:rsidRPr="00A60FD5">
        <w:rPr>
          <w:rFonts w:ascii="Times New Roman" w:hAnsi="Times New Roman" w:cs="Times New Roman"/>
          <w:bCs/>
        </w:rPr>
        <w:t xml:space="preserve"> on alliance</w:t>
      </w:r>
      <w:r w:rsidR="00334028" w:rsidRPr="00A60FD5">
        <w:rPr>
          <w:rFonts w:ascii="Times New Roman" w:hAnsi="Times New Roman" w:cs="Times New Roman"/>
          <w:bCs/>
        </w:rPr>
        <w:t>s</w:t>
      </w:r>
      <w:r w:rsidR="0030630C" w:rsidRPr="00A60FD5">
        <w:rPr>
          <w:rFonts w:ascii="Times New Roman" w:hAnsi="Times New Roman" w:cs="Times New Roman"/>
          <w:bCs/>
        </w:rPr>
        <w:t xml:space="preserve"> and licensing (e.g. Artz and Brush, 2000; Aulakh et al., 199</w:t>
      </w:r>
      <w:r w:rsidR="00F5313F">
        <w:rPr>
          <w:rFonts w:ascii="Times New Roman" w:hAnsi="Times New Roman" w:cs="Times New Roman"/>
          <w:bCs/>
        </w:rPr>
        <w:t>8</w:t>
      </w:r>
      <w:r w:rsidR="0030630C" w:rsidRPr="00A60FD5">
        <w:rPr>
          <w:rFonts w:ascii="Times New Roman" w:hAnsi="Times New Roman" w:cs="Times New Roman"/>
          <w:bCs/>
        </w:rPr>
        <w:t>; Bessy and Brousseau, 1998; Parkhe, 1993; Provan and Skinner, 1989)</w:t>
      </w:r>
      <w:r w:rsidRPr="00A60FD5">
        <w:rPr>
          <w:rFonts w:ascii="Times New Roman" w:hAnsi="Times New Roman" w:cs="Times New Roman"/>
          <w:bCs/>
        </w:rPr>
        <w:t xml:space="preserve">, which we adapted when necessary on the basis of pre-testing discussions and interviews with managers, lawyers, technology-oriented consultants, </w:t>
      </w:r>
      <w:r w:rsidR="00D72E78" w:rsidRPr="00A60FD5">
        <w:rPr>
          <w:rFonts w:ascii="Times New Roman" w:hAnsi="Times New Roman" w:cs="Times New Roman"/>
          <w:bCs/>
        </w:rPr>
        <w:t xml:space="preserve">Agoria </w:t>
      </w:r>
      <w:r w:rsidRPr="00A60FD5">
        <w:rPr>
          <w:rFonts w:ascii="Times New Roman" w:hAnsi="Times New Roman" w:cs="Times New Roman"/>
          <w:bCs/>
        </w:rPr>
        <w:t xml:space="preserve">representatives, and other academics. </w:t>
      </w:r>
      <w:r w:rsidR="0003041E" w:rsidRPr="00A60FD5">
        <w:rPr>
          <w:rFonts w:ascii="Times New Roman" w:hAnsi="Times New Roman" w:cs="Times New Roman"/>
        </w:rPr>
        <w:t xml:space="preserve">In order to encourage responses, we followed up </w:t>
      </w:r>
      <w:r w:rsidR="00DA2ECD" w:rsidRPr="00A60FD5">
        <w:rPr>
          <w:rFonts w:ascii="Times New Roman" w:hAnsi="Times New Roman" w:cs="Times New Roman"/>
        </w:rPr>
        <w:t xml:space="preserve">with </w:t>
      </w:r>
      <w:r w:rsidR="0003041E" w:rsidRPr="00A60FD5">
        <w:rPr>
          <w:rFonts w:ascii="Times New Roman" w:hAnsi="Times New Roman" w:cs="Times New Roman"/>
        </w:rPr>
        <w:t xml:space="preserve">supplemental phone calls (Dillman, 2007), and respondents were assured </w:t>
      </w:r>
      <w:r w:rsidR="00334028" w:rsidRPr="00A60FD5">
        <w:rPr>
          <w:rFonts w:ascii="Times New Roman" w:hAnsi="Times New Roman" w:cs="Times New Roman"/>
        </w:rPr>
        <w:t xml:space="preserve">of </w:t>
      </w:r>
      <w:r w:rsidR="0003041E" w:rsidRPr="00A60FD5">
        <w:rPr>
          <w:rFonts w:ascii="Times New Roman" w:hAnsi="Times New Roman" w:cs="Times New Roman"/>
        </w:rPr>
        <w:t>conﬁdentiality and access to the study’s ﬁndings.</w:t>
      </w:r>
      <w:r w:rsidR="0003041E" w:rsidRPr="00A60FD5">
        <w:rPr>
          <w:rFonts w:ascii="Times New Roman" w:hAnsi="Times New Roman" w:cs="Times New Roman"/>
          <w:bCs/>
        </w:rPr>
        <w:t xml:space="preserve"> </w:t>
      </w:r>
      <w:r w:rsidRPr="00A60FD5">
        <w:rPr>
          <w:rFonts w:ascii="Times New Roman" w:hAnsi="Times New Roman" w:cs="Times New Roman"/>
          <w:bCs/>
        </w:rPr>
        <w:t xml:space="preserve">The initial response rate was 14.8% (289 responses). In 171 surveys, the respondents noted that their firms had not negotiated licensing contracts. However, </w:t>
      </w:r>
      <w:r w:rsidR="00334028" w:rsidRPr="00A60FD5">
        <w:rPr>
          <w:rFonts w:ascii="Times New Roman" w:hAnsi="Times New Roman" w:cs="Times New Roman"/>
          <w:bCs/>
        </w:rPr>
        <w:t xml:space="preserve">the other </w:t>
      </w:r>
      <w:r w:rsidRPr="00A60FD5">
        <w:rPr>
          <w:rFonts w:ascii="Times New Roman" w:hAnsi="Times New Roman" w:cs="Times New Roman"/>
          <w:bCs/>
        </w:rPr>
        <w:t xml:space="preserve">118 surveys were completed by respondents who indicated that their </w:t>
      </w:r>
      <w:r w:rsidRPr="00A60FD5">
        <w:rPr>
          <w:rFonts w:ascii="Times New Roman" w:hAnsi="Times New Roman" w:cs="Times New Roman"/>
          <w:bCs/>
        </w:rPr>
        <w:lastRenderedPageBreak/>
        <w:t xml:space="preserve">firms had engaged in technology licensing. We asked </w:t>
      </w:r>
      <w:r w:rsidR="00D72E78" w:rsidRPr="00A60FD5">
        <w:rPr>
          <w:rFonts w:ascii="Times New Roman" w:hAnsi="Times New Roman" w:cs="Times New Roman"/>
          <w:bCs/>
        </w:rPr>
        <w:t>these</w:t>
      </w:r>
      <w:r w:rsidRPr="00A60FD5">
        <w:rPr>
          <w:rFonts w:ascii="Times New Roman" w:hAnsi="Times New Roman" w:cs="Times New Roman"/>
          <w:bCs/>
        </w:rPr>
        <w:t xml:space="preserve"> respondents to </w:t>
      </w:r>
      <w:r w:rsidR="00D72E78" w:rsidRPr="00A60FD5">
        <w:rPr>
          <w:rFonts w:ascii="Times New Roman" w:hAnsi="Times New Roman" w:cs="Times New Roman"/>
          <w:bCs/>
        </w:rPr>
        <w:t xml:space="preserve">answer the rest of the questions based on </w:t>
      </w:r>
      <w:r w:rsidRPr="00A60FD5">
        <w:rPr>
          <w:rFonts w:ascii="Times New Roman" w:hAnsi="Times New Roman" w:cs="Times New Roman"/>
          <w:bCs/>
        </w:rPr>
        <w:t>a technology licensing agreement that was still active and representative of the licensing activities conducted by their firms. This approach is consistent with other scholars’ attempts to build detailed databases on inter-organizational partnerships (e.g., Schrader</w:t>
      </w:r>
      <w:r w:rsidR="009A09AC" w:rsidRPr="00A60FD5">
        <w:rPr>
          <w:rFonts w:ascii="Times New Roman" w:hAnsi="Times New Roman" w:cs="Times New Roman"/>
          <w:bCs/>
        </w:rPr>
        <w:t>,</w:t>
      </w:r>
      <w:r w:rsidRPr="00A60FD5">
        <w:rPr>
          <w:rFonts w:ascii="Times New Roman" w:hAnsi="Times New Roman" w:cs="Times New Roman"/>
          <w:bCs/>
        </w:rPr>
        <w:t xml:space="preserve"> 1989</w:t>
      </w:r>
      <w:r w:rsidR="009A09AC" w:rsidRPr="00A60FD5">
        <w:rPr>
          <w:rFonts w:ascii="Times New Roman" w:hAnsi="Times New Roman" w:cs="Times New Roman"/>
          <w:bCs/>
        </w:rPr>
        <w:t xml:space="preserve">; </w:t>
      </w:r>
      <w:r w:rsidRPr="00A60FD5">
        <w:rPr>
          <w:rFonts w:ascii="Times New Roman" w:hAnsi="Times New Roman" w:cs="Times New Roman"/>
          <w:bCs/>
        </w:rPr>
        <w:t xml:space="preserve">Simonin, 2004). </w:t>
      </w:r>
      <w:r w:rsidR="008F6E02" w:rsidRPr="00A60FD5">
        <w:rPr>
          <w:rFonts w:ascii="Times New Roman" w:hAnsi="Times New Roman" w:cs="Times New Roman"/>
          <w:bCs/>
        </w:rPr>
        <w:t>After accounting for responses with missing data,</w:t>
      </w:r>
      <w:r w:rsidR="000416E8" w:rsidRPr="00A60FD5">
        <w:rPr>
          <w:rFonts w:ascii="Times New Roman" w:hAnsi="Times New Roman" w:cs="Times New Roman"/>
          <w:bCs/>
        </w:rPr>
        <w:t xml:space="preserve"> the</w:t>
      </w:r>
      <w:r w:rsidR="008F6E02" w:rsidRPr="00A60FD5">
        <w:rPr>
          <w:rFonts w:ascii="Times New Roman" w:hAnsi="Times New Roman" w:cs="Times New Roman"/>
          <w:bCs/>
        </w:rPr>
        <w:t xml:space="preserve"> final sample consist</w:t>
      </w:r>
      <w:r w:rsidR="000416E8" w:rsidRPr="00A60FD5">
        <w:rPr>
          <w:rFonts w:ascii="Times New Roman" w:hAnsi="Times New Roman" w:cs="Times New Roman"/>
          <w:bCs/>
        </w:rPr>
        <w:t>s</w:t>
      </w:r>
      <w:r w:rsidR="008F6E02" w:rsidRPr="00A60FD5">
        <w:rPr>
          <w:rFonts w:ascii="Times New Roman" w:hAnsi="Times New Roman" w:cs="Times New Roman"/>
          <w:bCs/>
        </w:rPr>
        <w:t xml:space="preserve"> of 106 licensing transactions.</w:t>
      </w:r>
      <w:r w:rsidR="00307602" w:rsidRPr="00A60FD5">
        <w:rPr>
          <w:rStyle w:val="FootnoteReference"/>
          <w:rFonts w:ascii="Times New Roman" w:hAnsi="Times New Roman" w:cs="Times New Roman"/>
          <w:bCs/>
        </w:rPr>
        <w:footnoteReference w:id="5"/>
      </w:r>
      <w:r w:rsidR="008F6E02" w:rsidRPr="00A60FD5">
        <w:rPr>
          <w:rFonts w:ascii="Times New Roman" w:hAnsi="Times New Roman" w:cs="Times New Roman"/>
          <w:bCs/>
        </w:rPr>
        <w:t xml:space="preserve"> </w:t>
      </w:r>
      <w:r w:rsidR="001B3E66" w:rsidRPr="00A60FD5">
        <w:rPr>
          <w:rFonts w:ascii="Times New Roman" w:hAnsi="Times New Roman"/>
        </w:rPr>
        <w:t>The 106 responses used in our statistical analyses refer to a total of 89 firms. The firms in our sample are of various sizes: 34.0% have 100 or less employees; 25.4% have between 101 and 500 employees; and 40.6% have more than 500 employees. Licensing activities typically relate to metal products (13.2%), electronic products, machinery and equipment (44.3%) and ICT services (13.2%). Contracts are mostly international: 55.7% are European and 27.4% involve North American partners. The partners are Japanese in seven cases; Chinese in three cases; and Thai, Russian, Pakistani, Australian, or Algerian in the remaining cases. The sample includes eight cases of domestic (Belgian) licensing contracts. Experience in licensing is also diverse: 15.7% of respondent firms have only negotiated out-licensing, 48.3% have only negotiated in-licensing, and 36.0% have negotiated both types of licensing. Moreover, 34.8% of the firms have licensing or IP departments. The questionnaire was completed by a licensor in 38 cases and by a licensee in 68 cases.</w:t>
      </w:r>
      <w:r w:rsidR="001B3E66" w:rsidRPr="00A60FD5">
        <w:rPr>
          <w:rStyle w:val="FootnoteReference"/>
          <w:rFonts w:ascii="Times New Roman" w:hAnsi="Times New Roman"/>
        </w:rPr>
        <w:footnoteReference w:id="6"/>
      </w:r>
      <w:r w:rsidR="001B3E66" w:rsidRPr="00A60FD5">
        <w:rPr>
          <w:rFonts w:ascii="Times New Roman" w:hAnsi="Times New Roman"/>
        </w:rPr>
        <w:t xml:space="preserve"> Our sample includes 34 licensing exchanges negotiated between 2006 and 2008, 37 between 2003 and 2005, 20 </w:t>
      </w:r>
      <w:r w:rsidR="001B3E66" w:rsidRPr="00A60FD5">
        <w:rPr>
          <w:rFonts w:ascii="Times New Roman" w:hAnsi="Times New Roman"/>
        </w:rPr>
        <w:lastRenderedPageBreak/>
        <w:t>between 1998 and 2002, and 15 before 1998. Difference of means tests (</w:t>
      </w:r>
      <w:r w:rsidR="001B3E66" w:rsidRPr="00A60FD5">
        <w:rPr>
          <w:rFonts w:ascii="Times New Roman" w:hAnsi="Times New Roman"/>
          <w:i/>
        </w:rPr>
        <w:t>t</w:t>
      </w:r>
      <w:r w:rsidR="001B3E66" w:rsidRPr="00A60FD5">
        <w:rPr>
          <w:rFonts w:ascii="Times New Roman" w:hAnsi="Times New Roman"/>
        </w:rPr>
        <w:t>-test) provide no evidence</w:t>
      </w:r>
      <w:r w:rsidR="001B3E66" w:rsidRPr="00A60FD5">
        <w:rPr>
          <w:rFonts w:ascii="Times New Roman" w:hAnsi="Times New Roman" w:cs="Times New Roman"/>
        </w:rPr>
        <w:t xml:space="preserve"> of systematic differences in the way licensors and licensees completed the questionnaire.</w:t>
      </w:r>
      <w:r w:rsidR="001B3E66" w:rsidRPr="00A60FD5">
        <w:rPr>
          <w:rStyle w:val="FootnoteReference"/>
          <w:rFonts w:ascii="Times New Roman" w:hAnsi="Times New Roman" w:cs="Times New Roman"/>
        </w:rPr>
        <w:footnoteReference w:id="7"/>
      </w:r>
      <w:r w:rsidR="001B3E66" w:rsidRPr="00A60FD5">
        <w:rPr>
          <w:rFonts w:ascii="Times New Roman" w:hAnsi="Times New Roman" w:cs="Times New Roman"/>
        </w:rPr>
        <w:t xml:space="preserve"> To further ascertain that the side – licensor </w:t>
      </w:r>
      <w:r w:rsidR="001B3E66" w:rsidRPr="00A60FD5">
        <w:rPr>
          <w:rFonts w:ascii="Times New Roman" w:hAnsi="Times New Roman" w:cs="Times New Roman"/>
          <w:i/>
        </w:rPr>
        <w:t>versus</w:t>
      </w:r>
      <w:r w:rsidR="001B3E66" w:rsidRPr="00A60FD5">
        <w:rPr>
          <w:rFonts w:ascii="Times New Roman" w:hAnsi="Times New Roman" w:cs="Times New Roman"/>
        </w:rPr>
        <w:t xml:space="preserve"> licensee – of the respondents </w:t>
      </w:r>
      <w:r w:rsidR="006F7C56" w:rsidRPr="00A60FD5">
        <w:rPr>
          <w:rFonts w:ascii="Times New Roman" w:hAnsi="Times New Roman" w:cs="Times New Roman"/>
        </w:rPr>
        <w:t xml:space="preserve">would </w:t>
      </w:r>
      <w:r w:rsidR="001B3E66" w:rsidRPr="00A60FD5">
        <w:rPr>
          <w:rFonts w:ascii="Times New Roman" w:hAnsi="Times New Roman" w:cs="Times New Roman"/>
        </w:rPr>
        <w:t xml:space="preserve">not influence our estimations, we reproduced them by including a dummy variable equal to one when the respondent was a licensor </w:t>
      </w:r>
      <w:r w:rsidR="006F7C56" w:rsidRPr="00A60FD5">
        <w:rPr>
          <w:rFonts w:ascii="Times New Roman" w:hAnsi="Times New Roman" w:cs="Times New Roman"/>
        </w:rPr>
        <w:t xml:space="preserve">and </w:t>
      </w:r>
      <w:r w:rsidR="001B3E66" w:rsidRPr="00A60FD5">
        <w:rPr>
          <w:rFonts w:ascii="Times New Roman" w:hAnsi="Times New Roman" w:cs="Times New Roman"/>
        </w:rPr>
        <w:t>zero otherwise. Findings do not change as a consequence of this inclusion.</w:t>
      </w:r>
    </w:p>
    <w:p w14:paraId="3B183436" w14:textId="33AB52EC" w:rsidR="00417594" w:rsidRPr="00A60FD5" w:rsidRDefault="00417594" w:rsidP="00A05DE5">
      <w:pPr>
        <w:spacing w:after="0" w:line="480" w:lineRule="auto"/>
        <w:ind w:firstLine="624"/>
        <w:rPr>
          <w:rFonts w:ascii="Times New Roman" w:hAnsi="Times New Roman" w:cs="Times New Roman"/>
          <w:b/>
          <w:bCs/>
        </w:rPr>
      </w:pPr>
      <w:r w:rsidRPr="00A60FD5">
        <w:rPr>
          <w:rFonts w:ascii="Times New Roman" w:hAnsi="Times New Roman" w:cs="Times New Roman"/>
        </w:rPr>
        <w:t xml:space="preserve">Several tests were performed to ascertain the quality of our data. We analyzed the potential for response bias by </w:t>
      </w:r>
      <w:r w:rsidR="00AC60D2" w:rsidRPr="00A60FD5">
        <w:rPr>
          <w:rFonts w:ascii="Times New Roman" w:hAnsi="Times New Roman" w:cs="Times New Roman"/>
        </w:rPr>
        <w:t xml:space="preserve">comparing early and late respondents under the assumption that late respondents are more similar to non-respondents than early respondents are to non-respondents </w:t>
      </w:r>
      <w:r w:rsidRPr="00A60FD5">
        <w:rPr>
          <w:rFonts w:ascii="Times New Roman" w:hAnsi="Times New Roman" w:cs="Times New Roman"/>
        </w:rPr>
        <w:t xml:space="preserve">(Armstrong </w:t>
      </w:r>
      <w:r w:rsidR="00A84801" w:rsidRPr="00A60FD5">
        <w:rPr>
          <w:rFonts w:ascii="Times New Roman" w:hAnsi="Times New Roman" w:cs="Times New Roman"/>
        </w:rPr>
        <w:t>and</w:t>
      </w:r>
      <w:r w:rsidR="00181149" w:rsidRPr="00A60FD5">
        <w:rPr>
          <w:rFonts w:ascii="Times New Roman" w:hAnsi="Times New Roman" w:cs="Times New Roman"/>
        </w:rPr>
        <w:t xml:space="preserve"> </w:t>
      </w:r>
      <w:r w:rsidRPr="00A60FD5">
        <w:rPr>
          <w:rFonts w:ascii="Times New Roman" w:hAnsi="Times New Roman" w:cs="Times New Roman"/>
        </w:rPr>
        <w:t>Overton</w:t>
      </w:r>
      <w:r w:rsidR="009A09AC" w:rsidRPr="00A60FD5">
        <w:rPr>
          <w:rFonts w:ascii="Times New Roman" w:hAnsi="Times New Roman" w:cs="Times New Roman"/>
        </w:rPr>
        <w:t>,</w:t>
      </w:r>
      <w:r w:rsidRPr="00A60FD5">
        <w:rPr>
          <w:rFonts w:ascii="Times New Roman" w:hAnsi="Times New Roman" w:cs="Times New Roman"/>
        </w:rPr>
        <w:t xml:space="preserve"> 1977). </w:t>
      </w:r>
      <w:r w:rsidR="002C67D1" w:rsidRPr="00A60FD5">
        <w:rPr>
          <w:rFonts w:ascii="Times New Roman" w:hAnsi="Times New Roman" w:cs="Times New Roman"/>
        </w:rPr>
        <w:t xml:space="preserve">The data collection was </w:t>
      </w:r>
      <w:r w:rsidR="00A32D1A" w:rsidRPr="00A60FD5">
        <w:rPr>
          <w:rFonts w:ascii="Times New Roman" w:hAnsi="Times New Roman" w:cs="Times New Roman"/>
        </w:rPr>
        <w:t xml:space="preserve">completed </w:t>
      </w:r>
      <w:r w:rsidR="002C67D1" w:rsidRPr="00A60FD5">
        <w:rPr>
          <w:rFonts w:ascii="Times New Roman" w:hAnsi="Times New Roman" w:cs="Times New Roman"/>
        </w:rPr>
        <w:t xml:space="preserve">within four months. We consider as early responses those obtained within the first three weeks of the survey administration (32.2% of our sample). Late responses are those obtained after two months of data collection (34.0%). </w:t>
      </w:r>
      <w:r w:rsidR="007C3A26" w:rsidRPr="00A60FD5">
        <w:rPr>
          <w:rFonts w:ascii="Times New Roman" w:hAnsi="Times New Roman" w:cs="Times New Roman"/>
        </w:rPr>
        <w:t>C</w:t>
      </w:r>
      <w:r w:rsidRPr="00A60FD5">
        <w:rPr>
          <w:rFonts w:ascii="Times New Roman" w:hAnsi="Times New Roman" w:cs="Times New Roman"/>
        </w:rPr>
        <w:t>omparative tests for independence reveal no differences in the sectoral distributions of early and late respondent firms (</w:t>
      </w:r>
      <w:r w:rsidR="008A5313" w:rsidRPr="00A60FD5">
        <w:rPr>
          <w:rFonts w:ascii="Times New Roman" w:hAnsi="Times New Roman" w:cs="Times New Roman"/>
        </w:rPr>
        <w:t>χ</w:t>
      </w:r>
      <w:r w:rsidR="008A5313" w:rsidRPr="00A60FD5">
        <w:rPr>
          <w:rFonts w:ascii="Times New Roman" w:hAnsi="Times New Roman" w:cs="Times New Roman"/>
          <w:vertAlign w:val="superscript"/>
        </w:rPr>
        <w:t xml:space="preserve"> 2</w:t>
      </w:r>
      <w:r w:rsidR="008A5313" w:rsidRPr="00A60FD5">
        <w:rPr>
          <w:rFonts w:ascii="Times New Roman" w:hAnsi="Times New Roman" w:cs="Times New Roman"/>
        </w:rPr>
        <w:t xml:space="preserve">= </w:t>
      </w:r>
      <w:r w:rsidR="00865783" w:rsidRPr="00A60FD5">
        <w:rPr>
          <w:rFonts w:ascii="Times New Roman" w:hAnsi="Times New Roman" w:cs="Times New Roman"/>
        </w:rPr>
        <w:t>3.2</w:t>
      </w:r>
      <w:r w:rsidR="00A35B13" w:rsidRPr="00A60FD5">
        <w:rPr>
          <w:rFonts w:ascii="Times New Roman" w:hAnsi="Times New Roman" w:cs="Times New Roman"/>
        </w:rPr>
        <w:t>,</w:t>
      </w:r>
      <w:r w:rsidRPr="00A60FD5">
        <w:rPr>
          <w:rFonts w:ascii="Times New Roman" w:hAnsi="Times New Roman" w:cs="Times New Roman"/>
        </w:rPr>
        <w:t xml:space="preserve"> n.s.) </w:t>
      </w:r>
      <w:r w:rsidR="00D72E78" w:rsidRPr="00A60FD5">
        <w:rPr>
          <w:rFonts w:ascii="Times New Roman" w:hAnsi="Times New Roman" w:cs="Times New Roman"/>
        </w:rPr>
        <w:t>or</w:t>
      </w:r>
      <w:r w:rsidRPr="00A60FD5">
        <w:rPr>
          <w:rFonts w:ascii="Times New Roman" w:hAnsi="Times New Roman" w:cs="Times New Roman"/>
        </w:rPr>
        <w:t xml:space="preserve"> the geographical distributions of their licensing partners (</w:t>
      </w:r>
      <w:r w:rsidR="008A5313" w:rsidRPr="00A60FD5">
        <w:rPr>
          <w:rFonts w:ascii="Times New Roman" w:hAnsi="Times New Roman" w:cs="Times New Roman"/>
        </w:rPr>
        <w:t>χ</w:t>
      </w:r>
      <w:r w:rsidR="008A5313" w:rsidRPr="00A60FD5">
        <w:rPr>
          <w:rFonts w:ascii="Times New Roman" w:hAnsi="Times New Roman" w:cs="Times New Roman"/>
          <w:vertAlign w:val="superscript"/>
        </w:rPr>
        <w:t xml:space="preserve"> 2</w:t>
      </w:r>
      <w:r w:rsidR="008A5313" w:rsidRPr="00A60FD5">
        <w:rPr>
          <w:rFonts w:ascii="Times New Roman" w:hAnsi="Times New Roman" w:cs="Times New Roman"/>
        </w:rPr>
        <w:t xml:space="preserve">= </w:t>
      </w:r>
      <w:r w:rsidR="00865783" w:rsidRPr="00A60FD5">
        <w:rPr>
          <w:rFonts w:ascii="Times New Roman" w:hAnsi="Times New Roman" w:cs="Times New Roman"/>
        </w:rPr>
        <w:t>22.8</w:t>
      </w:r>
      <w:r w:rsidRPr="00A60FD5">
        <w:rPr>
          <w:rFonts w:ascii="Times New Roman" w:hAnsi="Times New Roman" w:cs="Times New Roman"/>
        </w:rPr>
        <w:t xml:space="preserve">, n.s.). In addition, we examined whether there </w:t>
      </w:r>
      <w:r w:rsidR="00E127A7" w:rsidRPr="00A60FD5">
        <w:rPr>
          <w:rFonts w:ascii="Times New Roman" w:hAnsi="Times New Roman" w:cs="Times New Roman"/>
        </w:rPr>
        <w:t xml:space="preserve">are </w:t>
      </w:r>
      <w:r w:rsidRPr="00A60FD5">
        <w:rPr>
          <w:rFonts w:ascii="Times New Roman" w:hAnsi="Times New Roman" w:cs="Times New Roman"/>
        </w:rPr>
        <w:t xml:space="preserve">any significant differences </w:t>
      </w:r>
      <w:r w:rsidR="007C3A26" w:rsidRPr="00A60FD5">
        <w:rPr>
          <w:rFonts w:ascii="Times New Roman" w:hAnsi="Times New Roman" w:cs="Times New Roman"/>
        </w:rPr>
        <w:t>between</w:t>
      </w:r>
      <w:r w:rsidRPr="00A60FD5">
        <w:rPr>
          <w:rFonts w:ascii="Times New Roman" w:hAnsi="Times New Roman" w:cs="Times New Roman"/>
        </w:rPr>
        <w:t xml:space="preserve"> early and late respondents for all of the variables in our models. We </w:t>
      </w:r>
      <w:r w:rsidR="00E127A7" w:rsidRPr="00A60FD5">
        <w:rPr>
          <w:rFonts w:ascii="Times New Roman" w:hAnsi="Times New Roman" w:cs="Times New Roman"/>
        </w:rPr>
        <w:t xml:space="preserve">found </w:t>
      </w:r>
      <w:r w:rsidRPr="00A60FD5">
        <w:rPr>
          <w:rFonts w:ascii="Times New Roman" w:hAnsi="Times New Roman" w:cs="Times New Roman"/>
        </w:rPr>
        <w:t xml:space="preserve">no evidence that our data are subject to response bias. </w:t>
      </w:r>
      <w:r w:rsidR="009D3780" w:rsidRPr="00A60FD5">
        <w:rPr>
          <w:rFonts w:ascii="Times New Roman" w:hAnsi="Times New Roman" w:cs="Times New Roman"/>
        </w:rPr>
        <w:t>Finally, retrospective biases may occur since the respondents described licensing exchanges negotiated in 2008 and before: 34 transactions were negotiated up to two years prior to the survey administration (32.1% of our sample), 57 were negotiated between three and ten years before the survey administration (53.8%), and 15 were negotiated more than ten years before the survey administration (14.2%).</w:t>
      </w:r>
      <w:r w:rsidR="005E012B" w:rsidRPr="00A60FD5">
        <w:rPr>
          <w:rStyle w:val="FootnoteReference"/>
          <w:rFonts w:ascii="Times New Roman" w:hAnsi="Times New Roman" w:cs="Times New Roman"/>
        </w:rPr>
        <w:footnoteReference w:id="8"/>
      </w:r>
      <w:r w:rsidR="009D3780" w:rsidRPr="00A60FD5">
        <w:rPr>
          <w:rFonts w:ascii="Times New Roman" w:hAnsi="Times New Roman" w:cs="Times New Roman"/>
        </w:rPr>
        <w:t xml:space="preserve"> We performed </w:t>
      </w:r>
      <w:r w:rsidR="005E012B" w:rsidRPr="00A60FD5">
        <w:rPr>
          <w:rFonts w:ascii="Times New Roman" w:hAnsi="Times New Roman" w:cs="Times New Roman"/>
        </w:rPr>
        <w:t>one-way of variance (ANOVA) with Bonferroni multiple-comparison tests</w:t>
      </w:r>
      <w:r w:rsidR="009D3780" w:rsidRPr="00A60FD5">
        <w:rPr>
          <w:rFonts w:ascii="Times New Roman" w:hAnsi="Times New Roman" w:cs="Times New Roman"/>
        </w:rPr>
        <w:t xml:space="preserve"> and compared the means for each of our model variables </w:t>
      </w:r>
      <w:r w:rsidR="002C67D1" w:rsidRPr="00A60FD5">
        <w:rPr>
          <w:rFonts w:ascii="Times New Roman" w:hAnsi="Times New Roman" w:cs="Times New Roman"/>
        </w:rPr>
        <w:t xml:space="preserve">obtained in the three license age categories. </w:t>
      </w:r>
      <w:r w:rsidR="005E012B" w:rsidRPr="00A60FD5">
        <w:rPr>
          <w:rFonts w:ascii="Times New Roman" w:hAnsi="Times New Roman" w:cs="Times New Roman"/>
        </w:rPr>
        <w:t>This test is selected as our variable</w:t>
      </w:r>
      <w:r w:rsidR="00510856" w:rsidRPr="00A60FD5">
        <w:rPr>
          <w:rFonts w:ascii="Times New Roman" w:hAnsi="Times New Roman" w:cs="Times New Roman"/>
        </w:rPr>
        <w:t xml:space="preserve"> (i.e., </w:t>
      </w:r>
      <w:r w:rsidR="005E012B" w:rsidRPr="00A60FD5">
        <w:rPr>
          <w:rFonts w:ascii="Times New Roman" w:hAnsi="Times New Roman" w:cs="Times New Roman"/>
        </w:rPr>
        <w:t>license age</w:t>
      </w:r>
      <w:r w:rsidR="00510856" w:rsidRPr="00A60FD5">
        <w:rPr>
          <w:rFonts w:ascii="Times New Roman" w:hAnsi="Times New Roman" w:cs="Times New Roman"/>
        </w:rPr>
        <w:t>)</w:t>
      </w:r>
      <w:r w:rsidR="005E012B" w:rsidRPr="00A60FD5">
        <w:rPr>
          <w:rFonts w:ascii="Times New Roman" w:hAnsi="Times New Roman" w:cs="Times New Roman"/>
        </w:rPr>
        <w:t xml:space="preserve"> counts more than two categories. </w:t>
      </w:r>
      <w:r w:rsidR="002C67D1" w:rsidRPr="00A60FD5">
        <w:rPr>
          <w:rFonts w:ascii="Times New Roman" w:hAnsi="Times New Roman" w:cs="Times New Roman"/>
        </w:rPr>
        <w:t>Th</w:t>
      </w:r>
      <w:r w:rsidR="00DF7F4C" w:rsidRPr="00A60FD5">
        <w:rPr>
          <w:rFonts w:ascii="Times New Roman" w:hAnsi="Times New Roman" w:cs="Times New Roman"/>
        </w:rPr>
        <w:t>e</w:t>
      </w:r>
      <w:r w:rsidR="002C67D1" w:rsidRPr="00A60FD5">
        <w:rPr>
          <w:rFonts w:ascii="Times New Roman" w:hAnsi="Times New Roman" w:cs="Times New Roman"/>
        </w:rPr>
        <w:t xml:space="preserve">se tests do not reveal </w:t>
      </w:r>
      <w:r w:rsidR="005E012B" w:rsidRPr="00A60FD5">
        <w:rPr>
          <w:rFonts w:ascii="Times New Roman" w:hAnsi="Times New Roman" w:cs="Times New Roman"/>
        </w:rPr>
        <w:t>major statistical differences across the three sub-samples</w:t>
      </w:r>
      <w:r w:rsidR="002C67D1" w:rsidRPr="00A60FD5">
        <w:rPr>
          <w:rFonts w:ascii="Times New Roman" w:hAnsi="Times New Roman" w:cs="Times New Roman"/>
        </w:rPr>
        <w:t>.</w:t>
      </w:r>
      <w:r w:rsidR="00A35B13" w:rsidRPr="00A60FD5">
        <w:rPr>
          <w:rFonts w:ascii="Times New Roman" w:hAnsi="Times New Roman" w:cs="Times New Roman"/>
        </w:rPr>
        <w:t xml:space="preserve"> In order to further control for possible retrospective biases, we undertook </w:t>
      </w:r>
      <w:r w:rsidR="00510856" w:rsidRPr="00A60FD5">
        <w:rPr>
          <w:rFonts w:ascii="Times New Roman" w:hAnsi="Times New Roman" w:cs="Times New Roman"/>
        </w:rPr>
        <w:t>a</w:t>
      </w:r>
      <w:r w:rsidR="00A35B13" w:rsidRPr="00A60FD5">
        <w:rPr>
          <w:rFonts w:ascii="Times New Roman" w:hAnsi="Times New Roman" w:cs="Times New Roman"/>
        </w:rPr>
        <w:t xml:space="preserve"> Barlett</w:t>
      </w:r>
      <w:r w:rsidR="00510856" w:rsidRPr="00A60FD5">
        <w:rPr>
          <w:rFonts w:ascii="Times New Roman" w:hAnsi="Times New Roman" w:cs="Times New Roman"/>
        </w:rPr>
        <w:t>’s</w:t>
      </w:r>
      <w:r w:rsidR="00A35B13" w:rsidRPr="00A60FD5">
        <w:rPr>
          <w:rFonts w:ascii="Times New Roman" w:hAnsi="Times New Roman" w:cs="Times New Roman"/>
        </w:rPr>
        <w:t xml:space="preserve"> test for equal variance. Overall, the </w:t>
      </w:r>
      <w:r w:rsidR="00A35B13" w:rsidRPr="00A60FD5">
        <w:rPr>
          <w:rFonts w:ascii="Times New Roman" w:hAnsi="Times New Roman" w:cs="Times New Roman"/>
        </w:rPr>
        <w:lastRenderedPageBreak/>
        <w:t xml:space="preserve">Barlett’s statistics obtained for the model variables confirm that the assumption of </w:t>
      </w:r>
      <w:r w:rsidR="00406DA2" w:rsidRPr="00A60FD5">
        <w:rPr>
          <w:rFonts w:ascii="Times New Roman" w:hAnsi="Times New Roman" w:cs="Times New Roman"/>
        </w:rPr>
        <w:t xml:space="preserve">similar </w:t>
      </w:r>
      <w:r w:rsidR="00A35B13" w:rsidRPr="00A60FD5">
        <w:rPr>
          <w:rFonts w:ascii="Times New Roman" w:hAnsi="Times New Roman" w:cs="Times New Roman"/>
        </w:rPr>
        <w:t xml:space="preserve">variance </w:t>
      </w:r>
      <w:r w:rsidR="00510856" w:rsidRPr="00A60FD5">
        <w:rPr>
          <w:rFonts w:ascii="Times New Roman" w:hAnsi="Times New Roman" w:cs="Times New Roman"/>
        </w:rPr>
        <w:t>between the three sub-samples</w:t>
      </w:r>
      <w:r w:rsidR="00A35B13" w:rsidRPr="00A60FD5">
        <w:rPr>
          <w:rFonts w:ascii="Times New Roman" w:hAnsi="Times New Roman" w:cs="Times New Roman"/>
        </w:rPr>
        <w:t xml:space="preserve"> is not violated. Retrospective biases are </w:t>
      </w:r>
      <w:r w:rsidR="00510856" w:rsidRPr="00A60FD5">
        <w:rPr>
          <w:rFonts w:ascii="Times New Roman" w:hAnsi="Times New Roman" w:cs="Times New Roman"/>
        </w:rPr>
        <w:t xml:space="preserve">therefore </w:t>
      </w:r>
      <w:r w:rsidR="00A35B13" w:rsidRPr="00A60FD5">
        <w:rPr>
          <w:rFonts w:ascii="Times New Roman" w:hAnsi="Times New Roman" w:cs="Times New Roman"/>
        </w:rPr>
        <w:t xml:space="preserve">not apparent in our study. </w:t>
      </w:r>
      <w:r w:rsidR="005E012B" w:rsidRPr="00A60FD5">
        <w:rPr>
          <w:rFonts w:ascii="Times New Roman" w:hAnsi="Times New Roman" w:cs="Times New Roman"/>
        </w:rPr>
        <w:t xml:space="preserve"> </w:t>
      </w:r>
      <w:r w:rsidR="002C67D1" w:rsidRPr="00A60FD5">
        <w:rPr>
          <w:rFonts w:ascii="Times New Roman" w:hAnsi="Times New Roman" w:cs="Times New Roman"/>
        </w:rPr>
        <w:t xml:space="preserve"> </w:t>
      </w:r>
    </w:p>
    <w:p w14:paraId="5D8CA3CD" w14:textId="11FBF51B" w:rsidR="00ED2679" w:rsidRPr="00A60FD5" w:rsidRDefault="00417594" w:rsidP="00D1177D">
      <w:pPr>
        <w:spacing w:after="0" w:line="480" w:lineRule="auto"/>
        <w:ind w:firstLine="624"/>
        <w:rPr>
          <w:rFonts w:ascii="Times New Roman" w:hAnsi="Times New Roman" w:cs="Times New Roman"/>
          <w:bCs/>
        </w:rPr>
      </w:pPr>
      <w:r w:rsidRPr="00A60FD5">
        <w:rPr>
          <w:rFonts w:ascii="Times New Roman" w:hAnsi="Times New Roman" w:cs="Times New Roman"/>
          <w:b/>
          <w:bCs/>
          <w:i/>
        </w:rPr>
        <w:t>Common Method Bias.</w:t>
      </w:r>
      <w:r w:rsidRPr="00A60FD5">
        <w:rPr>
          <w:rFonts w:ascii="Times New Roman" w:hAnsi="Times New Roman" w:cs="Times New Roman"/>
          <w:bCs/>
        </w:rPr>
        <w:t xml:space="preserve"> Five procedural remedies were used to address potential common method bias. First, we protected the respondents’ identities to avoid socially desirable</w:t>
      </w:r>
      <w:r w:rsidR="0030630C" w:rsidRPr="00A60FD5">
        <w:rPr>
          <w:rFonts w:ascii="Times New Roman" w:hAnsi="Times New Roman" w:cs="Times New Roman"/>
          <w:bCs/>
        </w:rPr>
        <w:t xml:space="preserve">, lenient, or acquiescent </w:t>
      </w:r>
      <w:r w:rsidRPr="00A60FD5">
        <w:rPr>
          <w:rFonts w:ascii="Times New Roman" w:hAnsi="Times New Roman" w:cs="Times New Roman"/>
          <w:bCs/>
        </w:rPr>
        <w:t>responses. Second, the format and wording of the questions used for the dependent and independent variables differ</w:t>
      </w:r>
      <w:r w:rsidR="0003041E" w:rsidRPr="00A60FD5">
        <w:rPr>
          <w:rFonts w:ascii="Times New Roman" w:hAnsi="Times New Roman" w:cs="Times New Roman"/>
          <w:bCs/>
        </w:rPr>
        <w:t xml:space="preserve"> (Podsakoff et al., 2003)</w:t>
      </w:r>
      <w:r w:rsidRPr="00A60FD5">
        <w:rPr>
          <w:rFonts w:ascii="Times New Roman" w:hAnsi="Times New Roman" w:cs="Times New Roman"/>
          <w:bCs/>
        </w:rPr>
        <w:t xml:space="preserve">. Third, the dependent variables </w:t>
      </w:r>
      <w:r w:rsidR="00E127A7" w:rsidRPr="00A60FD5">
        <w:rPr>
          <w:rFonts w:ascii="Times New Roman" w:hAnsi="Times New Roman" w:cs="Times New Roman"/>
          <w:bCs/>
        </w:rPr>
        <w:t xml:space="preserve">are </w:t>
      </w:r>
      <w:r w:rsidRPr="00A60FD5">
        <w:rPr>
          <w:rFonts w:ascii="Times New Roman" w:hAnsi="Times New Roman" w:cs="Times New Roman"/>
          <w:bCs/>
        </w:rPr>
        <w:t>“neutral” items, as they did not relate to attitudes</w:t>
      </w:r>
      <w:r w:rsidR="00BA30FA" w:rsidRPr="00A60FD5">
        <w:rPr>
          <w:rFonts w:ascii="Times New Roman" w:hAnsi="Times New Roman" w:cs="Times New Roman"/>
          <w:bCs/>
        </w:rPr>
        <w:t xml:space="preserve"> or</w:t>
      </w:r>
      <w:r w:rsidRPr="00A60FD5">
        <w:rPr>
          <w:rFonts w:ascii="Times New Roman" w:hAnsi="Times New Roman" w:cs="Times New Roman"/>
          <w:bCs/>
        </w:rPr>
        <w:t xml:space="preserve"> behaviors. Fourth, we obtained data from diverse sources (i.e., Orbis-Amadeus, </w:t>
      </w:r>
      <w:r w:rsidR="000416E8" w:rsidRPr="00A60FD5">
        <w:rPr>
          <w:rFonts w:ascii="Times New Roman" w:hAnsi="Times New Roman" w:cs="Times New Roman"/>
          <w:bCs/>
        </w:rPr>
        <w:t xml:space="preserve">patent-right index developed by Park (2008), </w:t>
      </w:r>
      <w:r w:rsidRPr="00A60FD5">
        <w:rPr>
          <w:rFonts w:ascii="Times New Roman" w:hAnsi="Times New Roman" w:cs="Times New Roman"/>
          <w:bCs/>
        </w:rPr>
        <w:t>Eurostat, and the World Bank) for several of the control variables. Fifth, the questions related to the dependent and independent variables were located in different parts of the questionnaire (Podsakoff et al.</w:t>
      </w:r>
      <w:r w:rsidR="009A09AC" w:rsidRPr="00A60FD5">
        <w:rPr>
          <w:rFonts w:ascii="Times New Roman" w:hAnsi="Times New Roman" w:cs="Times New Roman"/>
          <w:bCs/>
        </w:rPr>
        <w:t>,</w:t>
      </w:r>
      <w:r w:rsidRPr="00A60FD5">
        <w:rPr>
          <w:rFonts w:ascii="Times New Roman" w:hAnsi="Times New Roman" w:cs="Times New Roman"/>
          <w:bCs/>
        </w:rPr>
        <w:t xml:space="preserve"> 2003). To further control for common method bias, we ran a Harman’s one-factor test. </w:t>
      </w:r>
      <w:r w:rsidR="00D72E78" w:rsidRPr="00A60FD5">
        <w:rPr>
          <w:rFonts w:ascii="Times New Roman" w:hAnsi="Times New Roman" w:cs="Times New Roman"/>
          <w:bCs/>
        </w:rPr>
        <w:t>After</w:t>
      </w:r>
      <w:r w:rsidRPr="00A60FD5">
        <w:rPr>
          <w:rFonts w:ascii="Times New Roman" w:hAnsi="Times New Roman" w:cs="Times New Roman"/>
          <w:bCs/>
        </w:rPr>
        <w:t xml:space="preserve"> loading all of the items used in our study into a factor analysis and examining the unrotated factor solution, we found that </w:t>
      </w:r>
      <w:r w:rsidR="003559E4" w:rsidRPr="00A60FD5">
        <w:rPr>
          <w:rFonts w:ascii="Times New Roman" w:hAnsi="Times New Roman" w:cs="Times New Roman"/>
          <w:bCs/>
        </w:rPr>
        <w:t>five</w:t>
      </w:r>
      <w:r w:rsidRPr="00A60FD5">
        <w:rPr>
          <w:rFonts w:ascii="Times New Roman" w:hAnsi="Times New Roman" w:cs="Times New Roman"/>
          <w:bCs/>
        </w:rPr>
        <w:t xml:space="preserve"> factors had eigenvalues of more than one and that </w:t>
      </w:r>
      <w:r w:rsidRPr="00A60FD5">
        <w:rPr>
          <w:rFonts w:ascii="Times New Roman" w:hAnsi="Times New Roman"/>
        </w:rPr>
        <w:t>1</w:t>
      </w:r>
      <w:r w:rsidR="00E127A7" w:rsidRPr="00A60FD5">
        <w:rPr>
          <w:rFonts w:ascii="Times New Roman" w:hAnsi="Times New Roman"/>
        </w:rPr>
        <w:t>4</w:t>
      </w:r>
      <w:r w:rsidRPr="00A60FD5">
        <w:rPr>
          <w:rFonts w:ascii="Times New Roman" w:hAnsi="Times New Roman" w:cs="Times New Roman"/>
          <w:bCs/>
        </w:rPr>
        <w:t xml:space="preserve">.0% of the variance was explained by the first factor. Cumulatively, the </w:t>
      </w:r>
      <w:r w:rsidR="003559E4" w:rsidRPr="00A60FD5">
        <w:rPr>
          <w:rFonts w:ascii="Times New Roman" w:hAnsi="Times New Roman" w:cs="Times New Roman"/>
          <w:bCs/>
        </w:rPr>
        <w:t>five</w:t>
      </w:r>
      <w:r w:rsidRPr="00A60FD5">
        <w:rPr>
          <w:rFonts w:ascii="Times New Roman" w:hAnsi="Times New Roman" w:cs="Times New Roman"/>
          <w:bCs/>
        </w:rPr>
        <w:t xml:space="preserve"> factors explained </w:t>
      </w:r>
      <w:r w:rsidR="003559E4" w:rsidRPr="00A60FD5">
        <w:rPr>
          <w:rFonts w:ascii="Times New Roman" w:hAnsi="Times New Roman" w:cs="Times New Roman"/>
          <w:bCs/>
        </w:rPr>
        <w:t>56.3</w:t>
      </w:r>
      <w:r w:rsidRPr="00A60FD5">
        <w:rPr>
          <w:rFonts w:ascii="Times New Roman" w:hAnsi="Times New Roman" w:cs="Times New Roman"/>
          <w:bCs/>
        </w:rPr>
        <w:t xml:space="preserve">% of the variance. As no single dominant factor emerged, this test suggests that common method variance is not a significant problem in our data (Podsakoff </w:t>
      </w:r>
      <w:r w:rsidR="00E127A7" w:rsidRPr="00A60FD5">
        <w:rPr>
          <w:rFonts w:ascii="Times New Roman" w:hAnsi="Times New Roman" w:cs="Times New Roman"/>
          <w:bCs/>
        </w:rPr>
        <w:t>and</w:t>
      </w:r>
      <w:r w:rsidRPr="00A60FD5">
        <w:rPr>
          <w:rFonts w:ascii="Times New Roman" w:hAnsi="Times New Roman" w:cs="Times New Roman"/>
          <w:bCs/>
        </w:rPr>
        <w:t xml:space="preserve"> Organ</w:t>
      </w:r>
      <w:r w:rsidR="009A09AC" w:rsidRPr="00A60FD5">
        <w:rPr>
          <w:rFonts w:ascii="Times New Roman" w:hAnsi="Times New Roman" w:cs="Times New Roman"/>
          <w:bCs/>
        </w:rPr>
        <w:t>,</w:t>
      </w:r>
      <w:r w:rsidRPr="00A60FD5">
        <w:rPr>
          <w:rFonts w:ascii="Times New Roman" w:hAnsi="Times New Roman" w:cs="Times New Roman"/>
          <w:bCs/>
        </w:rPr>
        <w:t xml:space="preserve"> 1986). </w:t>
      </w:r>
    </w:p>
    <w:p w14:paraId="1CC8F55E" w14:textId="7FC87261" w:rsidR="00417594" w:rsidRPr="00A60FD5" w:rsidRDefault="0018013B" w:rsidP="00417594">
      <w:pPr>
        <w:spacing w:after="0" w:line="480" w:lineRule="auto"/>
        <w:rPr>
          <w:rFonts w:ascii="Times New Roman" w:hAnsi="Times New Roman" w:cs="Times New Roman"/>
          <w:b/>
          <w:bCs/>
        </w:rPr>
      </w:pPr>
      <w:r w:rsidRPr="00A60FD5">
        <w:rPr>
          <w:rFonts w:ascii="Times New Roman" w:hAnsi="Times New Roman" w:cs="Times New Roman"/>
          <w:b/>
          <w:bCs/>
        </w:rPr>
        <w:t xml:space="preserve">3.2 </w:t>
      </w:r>
      <w:r w:rsidR="00417594" w:rsidRPr="00A60FD5">
        <w:rPr>
          <w:rFonts w:ascii="Times New Roman" w:hAnsi="Times New Roman" w:cs="Times New Roman"/>
          <w:b/>
          <w:bCs/>
        </w:rPr>
        <w:t>Model Specification and Measurements</w:t>
      </w:r>
    </w:p>
    <w:p w14:paraId="126B757D" w14:textId="77777777" w:rsidR="00853739" w:rsidRPr="00A60FD5" w:rsidRDefault="00853739" w:rsidP="00853739">
      <w:pPr>
        <w:tabs>
          <w:tab w:val="left" w:pos="8280"/>
        </w:tabs>
        <w:spacing w:after="0" w:line="480" w:lineRule="auto"/>
        <w:rPr>
          <w:rFonts w:ascii="Times New Roman" w:hAnsi="Times New Roman" w:cs="Times New Roman"/>
          <w:b/>
          <w:bCs/>
          <w:i/>
        </w:rPr>
      </w:pPr>
      <w:r w:rsidRPr="00A60FD5">
        <w:rPr>
          <w:rFonts w:ascii="Times New Roman" w:hAnsi="Times New Roman"/>
          <w:b/>
          <w:i/>
        </w:rPr>
        <w:t xml:space="preserve">Model </w:t>
      </w:r>
    </w:p>
    <w:p w14:paraId="3F870517" w14:textId="77913341" w:rsidR="00853739" w:rsidRPr="00A60FD5" w:rsidRDefault="00853739" w:rsidP="00853739">
      <w:pPr>
        <w:spacing w:after="0" w:line="480" w:lineRule="auto"/>
        <w:rPr>
          <w:rFonts w:ascii="Times New Roman" w:hAnsi="Times New Roman" w:cs="Times New Roman"/>
          <w:bCs/>
        </w:rPr>
      </w:pPr>
      <w:r w:rsidRPr="00A60FD5">
        <w:rPr>
          <w:rFonts w:ascii="Times New Roman" w:hAnsi="Times New Roman" w:cs="Times New Roman"/>
          <w:bCs/>
        </w:rPr>
        <w:t xml:space="preserve">In order to test our set of hypotheses, we opted for a two-stage regression model enabling us to accommodate three main aspects. First, the monitoring and coordination contractual orientations represent choice variables that are not randomly assigned across the sample. According to the existing literature, contractual orientations are determined by </w:t>
      </w:r>
      <w:r w:rsidR="00A763E5" w:rsidRPr="00A60FD5">
        <w:rPr>
          <w:rFonts w:ascii="Times New Roman" w:hAnsi="Times New Roman" w:cs="Times New Roman"/>
          <w:bCs/>
        </w:rPr>
        <w:t>technology-based and exchange</w:t>
      </w:r>
      <w:r w:rsidRPr="00A60FD5">
        <w:rPr>
          <w:rFonts w:ascii="Times New Roman" w:hAnsi="Times New Roman" w:cs="Times New Roman"/>
          <w:bCs/>
        </w:rPr>
        <w:t xml:space="preserve"> attributes. Estimating the influence of monitoring and coordination on the choice of dispute-resolution mechanisms through a simple probit regression may cause serious endogeneity issues in the econometrics of contracts (e.g., Mellewigt et al., 2007). Second, decisions on contract design are likely to be made simultaneously (Argyres et al., 2007; Bercovitz and Tyler, 2014). It is essential to jointly model those decisions and take the cross-equation correlation of errors into account (Greene, 2011). </w:t>
      </w:r>
      <w:r w:rsidRPr="00A60FD5">
        <w:rPr>
          <w:rFonts w:ascii="Times New Roman" w:hAnsi="Times New Roman" w:cs="Times New Roman"/>
          <w:bCs/>
        </w:rPr>
        <w:lastRenderedPageBreak/>
        <w:t xml:space="preserve">Finally, although the three contractual decisions (i.e., monitoring, coordination and arbitration) are determined during the negotiation phase, our conceptual model suggests a sequence of matters discussed throughout the negotiation process (Das and Teng, 2001). It positions decisions related to organizing and implementing the exchange (i.e., monitoring and coordination) before those related to possible disputes (i.e., arbitration) (Macneil, 1962). </w:t>
      </w:r>
      <w:r w:rsidR="00510856" w:rsidRPr="00A60FD5">
        <w:rPr>
          <w:rFonts w:ascii="Times New Roman" w:hAnsi="Times New Roman" w:cs="Times New Roman"/>
          <w:bCs/>
        </w:rPr>
        <w:t>This sequence of matters is consistent with the seminal paper of Macneil (1962</w:t>
      </w:r>
      <w:r w:rsidR="00D73E01" w:rsidRPr="00A60FD5">
        <w:rPr>
          <w:rFonts w:ascii="Times New Roman" w:hAnsi="Times New Roman" w:cs="Times New Roman"/>
          <w:bCs/>
        </w:rPr>
        <w:t>, p.</w:t>
      </w:r>
      <w:r w:rsidR="00F5313F">
        <w:rPr>
          <w:rFonts w:ascii="Times New Roman" w:hAnsi="Times New Roman" w:cs="Times New Roman"/>
          <w:bCs/>
        </w:rPr>
        <w:t xml:space="preserve"> 524</w:t>
      </w:r>
      <w:r w:rsidR="00510856" w:rsidRPr="00A60FD5">
        <w:rPr>
          <w:rFonts w:ascii="Times New Roman" w:hAnsi="Times New Roman" w:cs="Times New Roman"/>
          <w:bCs/>
        </w:rPr>
        <w:t xml:space="preserve">) according to which there is an important distinction to make between arbitration provisions and other provisions. The former provisions are “really concerned primarily with the </w:t>
      </w:r>
      <w:r w:rsidR="00510856" w:rsidRPr="00A60FD5">
        <w:rPr>
          <w:rFonts w:ascii="Times New Roman" w:hAnsi="Times New Roman" w:cs="Times New Roman"/>
          <w:bCs/>
          <w:i/>
        </w:rPr>
        <w:t>way</w:t>
      </w:r>
      <w:r w:rsidR="00510856" w:rsidRPr="00A60FD5">
        <w:rPr>
          <w:rFonts w:ascii="Times New Roman" w:hAnsi="Times New Roman" w:cs="Times New Roman"/>
          <w:bCs/>
        </w:rPr>
        <w:t xml:space="preserve"> in which a remedy is sought rather than with the nature of the remedy”. It also coincides with the logic adopted by Lumineau and Henderson (2012) according to which a cooperative contractual approach favors a “win-win” solution in resolving disputes, </w:t>
      </w:r>
      <w:r w:rsidR="00D73E01" w:rsidRPr="00A60FD5">
        <w:rPr>
          <w:rFonts w:ascii="Times New Roman" w:hAnsi="Times New Roman" w:cs="Times New Roman"/>
          <w:bCs/>
        </w:rPr>
        <w:t>while</w:t>
      </w:r>
      <w:r w:rsidR="00510856" w:rsidRPr="00A60FD5">
        <w:rPr>
          <w:rFonts w:ascii="Times New Roman" w:hAnsi="Times New Roman" w:cs="Times New Roman"/>
          <w:bCs/>
        </w:rPr>
        <w:t xml:space="preserve"> an emphasis on safeguards and monitoring rules instead allow</w:t>
      </w:r>
      <w:r w:rsidR="00D73E01" w:rsidRPr="00A60FD5">
        <w:rPr>
          <w:rFonts w:ascii="Times New Roman" w:hAnsi="Times New Roman" w:cs="Times New Roman"/>
          <w:bCs/>
        </w:rPr>
        <w:t>s</w:t>
      </w:r>
      <w:r w:rsidR="00510856" w:rsidRPr="00A60FD5">
        <w:rPr>
          <w:rFonts w:ascii="Times New Roman" w:hAnsi="Times New Roman" w:cs="Times New Roman"/>
          <w:bCs/>
        </w:rPr>
        <w:t xml:space="preserve"> but also encourage</w:t>
      </w:r>
      <w:r w:rsidR="00F5313F">
        <w:rPr>
          <w:rFonts w:ascii="Times New Roman" w:hAnsi="Times New Roman" w:cs="Times New Roman"/>
          <w:bCs/>
        </w:rPr>
        <w:t>s</w:t>
      </w:r>
      <w:r w:rsidR="00510856" w:rsidRPr="00A60FD5">
        <w:rPr>
          <w:rFonts w:ascii="Times New Roman" w:hAnsi="Times New Roman" w:cs="Times New Roman"/>
          <w:bCs/>
        </w:rPr>
        <w:t xml:space="preserve"> partners to foster their own rights and opt for severe sanctions. </w:t>
      </w:r>
      <w:r w:rsidRPr="00A60FD5">
        <w:rPr>
          <w:rFonts w:ascii="Times New Roman" w:hAnsi="Times New Roman" w:cs="Times New Roman"/>
          <w:bCs/>
        </w:rPr>
        <w:t xml:space="preserve">The main goal of our estimation approach is therefore to test whether monitoring and coordination, after controlling for </w:t>
      </w:r>
      <w:r w:rsidR="00D91B7B" w:rsidRPr="00A60FD5">
        <w:rPr>
          <w:rFonts w:ascii="Times New Roman" w:hAnsi="Times New Roman" w:cs="Times New Roman"/>
          <w:bCs/>
        </w:rPr>
        <w:t xml:space="preserve">technology-based and </w:t>
      </w:r>
      <w:r w:rsidRPr="00A60FD5">
        <w:rPr>
          <w:rFonts w:ascii="Times New Roman" w:hAnsi="Times New Roman" w:cs="Times New Roman"/>
          <w:bCs/>
        </w:rPr>
        <w:t xml:space="preserve">exchange attributes, impact the reliance on arbitration. </w:t>
      </w:r>
    </w:p>
    <w:p w14:paraId="0D2653D9" w14:textId="09EE9D7F" w:rsidR="00853739" w:rsidRPr="00A60FD5" w:rsidRDefault="00853739" w:rsidP="00A51D1B">
      <w:pPr>
        <w:spacing w:after="0" w:line="480" w:lineRule="auto"/>
        <w:ind w:firstLine="709"/>
        <w:rPr>
          <w:rFonts w:ascii="Times New Roman" w:hAnsi="Times New Roman" w:cs="Times New Roman"/>
          <w:b/>
          <w:bCs/>
        </w:rPr>
      </w:pPr>
      <w:r w:rsidRPr="00A60FD5">
        <w:rPr>
          <w:rFonts w:ascii="Times New Roman" w:hAnsi="Times New Roman" w:cs="Times New Roman"/>
          <w:bCs/>
        </w:rPr>
        <w:t xml:space="preserve">We employ a two-stage </w:t>
      </w:r>
      <w:r w:rsidR="002F5BD7" w:rsidRPr="00A60FD5">
        <w:rPr>
          <w:rFonts w:ascii="Times New Roman" w:hAnsi="Times New Roman" w:cs="Times New Roman"/>
          <w:bCs/>
        </w:rPr>
        <w:t xml:space="preserve">and endogenous </w:t>
      </w:r>
      <w:r w:rsidRPr="00A60FD5">
        <w:rPr>
          <w:rFonts w:ascii="Times New Roman" w:hAnsi="Times New Roman" w:cs="Times New Roman"/>
          <w:bCs/>
        </w:rPr>
        <w:t>model and test a system of equations simultaneously. The two first-stage equations are jointly predicted as functions of the transaction characteristics</w:t>
      </w:r>
      <w:r w:rsidR="002F5BD7" w:rsidRPr="00A60FD5">
        <w:rPr>
          <w:rFonts w:ascii="Times New Roman" w:hAnsi="Times New Roman" w:cs="Times New Roman"/>
          <w:bCs/>
        </w:rPr>
        <w:t xml:space="preserve"> (e.g., Arora and Fosfuri, 200</w:t>
      </w:r>
      <w:r w:rsidR="006715CB" w:rsidRPr="00A60FD5">
        <w:rPr>
          <w:rFonts w:ascii="Times New Roman" w:hAnsi="Times New Roman" w:cs="Times New Roman"/>
          <w:bCs/>
        </w:rPr>
        <w:t>3</w:t>
      </w:r>
      <w:r w:rsidR="002F5BD7" w:rsidRPr="00A60FD5">
        <w:rPr>
          <w:rFonts w:ascii="Times New Roman" w:hAnsi="Times New Roman" w:cs="Times New Roman"/>
          <w:bCs/>
        </w:rPr>
        <w:t>; Hagedoorn et al., 2007; Hennart, 1988; Oxley, 1997; Oxley and Sampson, 2004; Simonin, 1999)</w:t>
      </w:r>
      <w:r w:rsidRPr="00A60FD5">
        <w:rPr>
          <w:rFonts w:ascii="Times New Roman" w:hAnsi="Times New Roman" w:cs="Times New Roman"/>
          <w:bCs/>
        </w:rPr>
        <w:t xml:space="preserve">, along with instrumental variables that help identify the equations (Hamilton and Nickerson, 2003). In the second-stage equation, we include the same attributes as those present in the first-stage equations. The propensity to include arbitration provisions may also be directly impacted by </w:t>
      </w:r>
      <w:r w:rsidR="00D91B7B" w:rsidRPr="00A60FD5">
        <w:rPr>
          <w:rFonts w:ascii="Times New Roman" w:hAnsi="Times New Roman" w:cs="Times New Roman"/>
          <w:bCs/>
        </w:rPr>
        <w:t xml:space="preserve">technology-based and exchange </w:t>
      </w:r>
      <w:r w:rsidRPr="00A60FD5">
        <w:rPr>
          <w:rFonts w:ascii="Times New Roman" w:hAnsi="Times New Roman" w:cs="Times New Roman"/>
          <w:bCs/>
        </w:rPr>
        <w:t xml:space="preserve">attributes (e.g., Drahozal and Hylton, 2003). </w:t>
      </w:r>
      <w:r w:rsidR="006460FC" w:rsidRPr="00A60FD5">
        <w:rPr>
          <w:rFonts w:ascii="Times New Roman" w:hAnsi="Times New Roman" w:cs="Times New Roman"/>
          <w:bCs/>
        </w:rPr>
        <w:t>However, i</w:t>
      </w:r>
      <w:r w:rsidRPr="00A60FD5">
        <w:rPr>
          <w:rFonts w:ascii="Times New Roman" w:hAnsi="Times New Roman" w:cs="Times New Roman"/>
          <w:bCs/>
        </w:rPr>
        <w:t xml:space="preserve">nstruments are omitted in the second-stage equation to econometrically identify the first-stage equations. Given the need </w:t>
      </w:r>
      <w:r w:rsidR="008A68BA" w:rsidRPr="00A60FD5">
        <w:rPr>
          <w:rFonts w:ascii="Times New Roman" w:hAnsi="Times New Roman" w:cs="Times New Roman"/>
          <w:bCs/>
        </w:rPr>
        <w:t xml:space="preserve">to </w:t>
      </w:r>
      <w:r w:rsidRPr="00A60FD5">
        <w:rPr>
          <w:rFonts w:ascii="Times New Roman" w:hAnsi="Times New Roman" w:cs="Times New Roman"/>
          <w:bCs/>
        </w:rPr>
        <w:t>jointly model our three equations and allow the error terms to be correlated across th</w:t>
      </w:r>
      <w:r w:rsidR="008A68BA" w:rsidRPr="00A60FD5">
        <w:rPr>
          <w:rFonts w:ascii="Times New Roman" w:hAnsi="Times New Roman" w:cs="Times New Roman"/>
          <w:bCs/>
        </w:rPr>
        <w:t>e</w:t>
      </w:r>
      <w:r w:rsidRPr="00A60FD5">
        <w:rPr>
          <w:rFonts w:ascii="Times New Roman" w:hAnsi="Times New Roman" w:cs="Times New Roman"/>
          <w:bCs/>
        </w:rPr>
        <w:t xml:space="preserve">se equations, we adopt the conditional mixed process (CMP) estimation developed by Roodman (2011). The estimation </w:t>
      </w:r>
      <w:r w:rsidR="008A68BA" w:rsidRPr="00A60FD5">
        <w:rPr>
          <w:rFonts w:ascii="Times New Roman" w:hAnsi="Times New Roman" w:cs="Times New Roman"/>
          <w:bCs/>
        </w:rPr>
        <w:t xml:space="preserve">serves </w:t>
      </w:r>
      <w:r w:rsidRPr="00A60FD5">
        <w:rPr>
          <w:rFonts w:ascii="Times New Roman" w:hAnsi="Times New Roman" w:cs="Times New Roman"/>
          <w:bCs/>
        </w:rPr>
        <w:t xml:space="preserve">to examine the effects of monitoring and coordination orientations on the choice </w:t>
      </w:r>
      <w:r w:rsidR="008A68BA" w:rsidRPr="00A60FD5">
        <w:rPr>
          <w:rFonts w:ascii="Times New Roman" w:hAnsi="Times New Roman" w:cs="Times New Roman"/>
          <w:bCs/>
        </w:rPr>
        <w:t xml:space="preserve">of </w:t>
      </w:r>
      <w:r w:rsidRPr="00A60FD5">
        <w:rPr>
          <w:rFonts w:ascii="Times New Roman" w:hAnsi="Times New Roman" w:cs="Times New Roman"/>
          <w:bCs/>
        </w:rPr>
        <w:t>arbitration, while accounting for the effect of th</w:t>
      </w:r>
      <w:r w:rsidR="008A68BA" w:rsidRPr="00A60FD5">
        <w:rPr>
          <w:rFonts w:ascii="Times New Roman" w:hAnsi="Times New Roman" w:cs="Times New Roman"/>
          <w:bCs/>
        </w:rPr>
        <w:t>e</w:t>
      </w:r>
      <w:r w:rsidRPr="00A60FD5">
        <w:rPr>
          <w:rFonts w:ascii="Times New Roman" w:hAnsi="Times New Roman" w:cs="Times New Roman"/>
          <w:bCs/>
        </w:rPr>
        <w:t xml:space="preserve">se two contractual orientations on one another. Based on the atanh-rho coefficients estimated by </w:t>
      </w:r>
      <w:r w:rsidR="008A68BA" w:rsidRPr="00A60FD5">
        <w:rPr>
          <w:rFonts w:ascii="Times New Roman" w:hAnsi="Times New Roman" w:cs="Times New Roman"/>
          <w:bCs/>
        </w:rPr>
        <w:t xml:space="preserve">the </w:t>
      </w:r>
      <w:r w:rsidRPr="00A60FD5">
        <w:rPr>
          <w:rFonts w:ascii="Times New Roman" w:hAnsi="Times New Roman" w:cs="Times New Roman"/>
          <w:bCs/>
        </w:rPr>
        <w:t xml:space="preserve">CMP method, we can test the null hypothesis of exogeneity (i.e., zero correlation) (Simeth and Lhuillery, </w:t>
      </w:r>
      <w:r w:rsidRPr="00A60FD5">
        <w:rPr>
          <w:rFonts w:ascii="Times New Roman" w:hAnsi="Times New Roman" w:cs="Times New Roman"/>
          <w:bCs/>
        </w:rPr>
        <w:lastRenderedPageBreak/>
        <w:t>2015). Finally, since in some cases we obtained multiple responses per firm, our CMP estimation accounts for possible interdependencies by clustering observations and using robust standard errors (Antia et al., 2013; Greene, 20</w:t>
      </w:r>
      <w:r w:rsidR="006019C0" w:rsidRPr="00A60FD5">
        <w:rPr>
          <w:rFonts w:ascii="Times New Roman" w:hAnsi="Times New Roman" w:cs="Times New Roman"/>
          <w:bCs/>
        </w:rPr>
        <w:t>11</w:t>
      </w:r>
      <w:r w:rsidRPr="00A60FD5">
        <w:rPr>
          <w:rFonts w:ascii="Times New Roman" w:hAnsi="Times New Roman" w:cs="Times New Roman"/>
          <w:bCs/>
        </w:rPr>
        <w:t>).</w:t>
      </w:r>
      <w:r w:rsidRPr="00A60FD5">
        <w:rPr>
          <w:rStyle w:val="FootnoteReference"/>
          <w:rFonts w:ascii="Times New Roman" w:hAnsi="Times New Roman" w:cs="Times New Roman"/>
          <w:bCs/>
        </w:rPr>
        <w:footnoteReference w:id="9"/>
      </w:r>
      <w:r w:rsidRPr="00A60FD5">
        <w:rPr>
          <w:rFonts w:ascii="Times New Roman" w:hAnsi="Times New Roman" w:cs="Times New Roman"/>
          <w:bCs/>
        </w:rPr>
        <w:t xml:space="preserve"> </w:t>
      </w:r>
    </w:p>
    <w:p w14:paraId="31D1D19B" w14:textId="603D8A28" w:rsidR="00417594" w:rsidRPr="00A60FD5" w:rsidRDefault="00417594" w:rsidP="00417594">
      <w:pPr>
        <w:spacing w:after="0" w:line="480" w:lineRule="auto"/>
        <w:rPr>
          <w:rFonts w:ascii="Times New Roman" w:hAnsi="Times New Roman"/>
        </w:rPr>
      </w:pPr>
      <w:r w:rsidRPr="00A60FD5">
        <w:rPr>
          <w:rFonts w:ascii="Times New Roman" w:hAnsi="Times New Roman" w:cs="Times New Roman"/>
          <w:b/>
          <w:bCs/>
          <w:i/>
        </w:rPr>
        <w:t>Dependent variable</w:t>
      </w:r>
      <w:r w:rsidR="00E258CC" w:rsidRPr="00A60FD5">
        <w:rPr>
          <w:rFonts w:ascii="Times New Roman" w:hAnsi="Times New Roman" w:cs="Times New Roman"/>
          <w:b/>
          <w:bCs/>
          <w:i/>
        </w:rPr>
        <w:t xml:space="preserve">. </w:t>
      </w:r>
      <w:r w:rsidRPr="00A60FD5">
        <w:rPr>
          <w:rFonts w:ascii="Times New Roman" w:hAnsi="Times New Roman"/>
          <w:i/>
        </w:rPr>
        <w:t>Arbitration.</w:t>
      </w:r>
      <w:r w:rsidRPr="00A60FD5">
        <w:rPr>
          <w:rFonts w:ascii="Times New Roman" w:hAnsi="Times New Roman"/>
        </w:rPr>
        <w:t xml:space="preserve"> This variable is equal to one if independent arbitrators were contractually nominated and/or if both parties contractually agreed to settle their conflict before a private entity (e.g., chamber of commerce, sector union, or chamber of arbitration). It is equal to zero otherwise.</w:t>
      </w:r>
    </w:p>
    <w:p w14:paraId="43B77CEE" w14:textId="541FF3AA" w:rsidR="00417594" w:rsidRPr="00A60FD5" w:rsidRDefault="00417594" w:rsidP="00E258CC">
      <w:pPr>
        <w:tabs>
          <w:tab w:val="left" w:pos="8280"/>
        </w:tabs>
        <w:spacing w:after="0" w:line="480" w:lineRule="auto"/>
        <w:rPr>
          <w:rFonts w:ascii="Times New Roman" w:hAnsi="Times New Roman" w:cs="Times New Roman"/>
        </w:rPr>
      </w:pPr>
      <w:r w:rsidRPr="00A60FD5">
        <w:rPr>
          <w:rFonts w:ascii="Times New Roman" w:hAnsi="Times New Roman" w:cs="Times New Roman"/>
          <w:b/>
          <w:bCs/>
          <w:i/>
        </w:rPr>
        <w:t>Explanatory variables</w:t>
      </w:r>
      <w:r w:rsidR="00E258CC" w:rsidRPr="00A60FD5">
        <w:rPr>
          <w:rFonts w:ascii="Times New Roman" w:hAnsi="Times New Roman" w:cs="Times New Roman"/>
          <w:b/>
          <w:bCs/>
          <w:i/>
        </w:rPr>
        <w:t xml:space="preserve">. </w:t>
      </w:r>
      <w:r w:rsidRPr="00A60FD5">
        <w:rPr>
          <w:rFonts w:ascii="Times New Roman" w:hAnsi="Times New Roman" w:cs="Times New Roman"/>
          <w:bCs/>
        </w:rPr>
        <w:t xml:space="preserve">The items and contract provisions used to compute </w:t>
      </w:r>
      <w:r w:rsidR="008A68BA" w:rsidRPr="00A60FD5">
        <w:rPr>
          <w:rFonts w:ascii="Times New Roman" w:hAnsi="Times New Roman" w:cs="Times New Roman"/>
          <w:bCs/>
        </w:rPr>
        <w:t xml:space="preserve">the two </w:t>
      </w:r>
      <w:r w:rsidRPr="00A60FD5">
        <w:rPr>
          <w:rFonts w:ascii="Times New Roman" w:hAnsi="Times New Roman" w:cs="Times New Roman"/>
          <w:bCs/>
        </w:rPr>
        <w:t>contractual orientations—</w:t>
      </w:r>
      <w:r w:rsidRPr="00A60FD5">
        <w:rPr>
          <w:rFonts w:ascii="Times New Roman" w:hAnsi="Times New Roman" w:cs="Times New Roman"/>
          <w:bCs/>
          <w:i/>
        </w:rPr>
        <w:t>monitoring</w:t>
      </w:r>
      <w:r w:rsidRPr="00A60FD5">
        <w:rPr>
          <w:rFonts w:ascii="Times New Roman" w:hAnsi="Times New Roman" w:cs="Times New Roman"/>
          <w:bCs/>
        </w:rPr>
        <w:t xml:space="preserve"> and </w:t>
      </w:r>
      <w:r w:rsidRPr="00A60FD5">
        <w:rPr>
          <w:rFonts w:ascii="Times New Roman" w:hAnsi="Times New Roman" w:cs="Times New Roman"/>
          <w:bCs/>
          <w:i/>
        </w:rPr>
        <w:t>coordination</w:t>
      </w:r>
      <w:r w:rsidRPr="00A60FD5">
        <w:rPr>
          <w:rFonts w:ascii="Times New Roman" w:hAnsi="Times New Roman" w:cs="Times New Roman"/>
          <w:bCs/>
        </w:rPr>
        <w:t>—were identified in prior work (</w:t>
      </w:r>
      <w:r w:rsidR="0003041E" w:rsidRPr="00A60FD5">
        <w:rPr>
          <w:rFonts w:ascii="Times New Roman" w:hAnsi="Times New Roman" w:cs="Times New Roman"/>
          <w:bCs/>
        </w:rPr>
        <w:t xml:space="preserve">e.g., </w:t>
      </w:r>
      <w:r w:rsidRPr="00A60FD5">
        <w:rPr>
          <w:rFonts w:ascii="Times New Roman" w:hAnsi="Times New Roman" w:cs="Times New Roman"/>
          <w:bCs/>
        </w:rPr>
        <w:t xml:space="preserve">Anderson </w:t>
      </w:r>
      <w:r w:rsidR="00E127A7" w:rsidRPr="00A60FD5">
        <w:rPr>
          <w:rFonts w:ascii="Times New Roman" w:hAnsi="Times New Roman" w:cs="Times New Roman"/>
          <w:bCs/>
        </w:rPr>
        <w:t>and</w:t>
      </w:r>
      <w:r w:rsidRPr="00A60FD5">
        <w:rPr>
          <w:rFonts w:ascii="Times New Roman" w:hAnsi="Times New Roman" w:cs="Times New Roman"/>
          <w:bCs/>
        </w:rPr>
        <w:t xml:space="preserve"> Dekker</w:t>
      </w:r>
      <w:r w:rsidR="00FB48C0" w:rsidRPr="00A60FD5">
        <w:rPr>
          <w:rFonts w:ascii="Times New Roman" w:hAnsi="Times New Roman" w:cs="Times New Roman"/>
          <w:bCs/>
        </w:rPr>
        <w:t>,</w:t>
      </w:r>
      <w:r w:rsidRPr="00A60FD5">
        <w:rPr>
          <w:rFonts w:ascii="Times New Roman" w:hAnsi="Times New Roman" w:cs="Times New Roman"/>
          <w:bCs/>
        </w:rPr>
        <w:t xml:space="preserve"> 2005</w:t>
      </w:r>
      <w:r w:rsidR="00FB48C0" w:rsidRPr="00A60FD5">
        <w:rPr>
          <w:rFonts w:ascii="Times New Roman" w:hAnsi="Times New Roman" w:cs="Times New Roman"/>
          <w:bCs/>
        </w:rPr>
        <w:t>;</w:t>
      </w:r>
      <w:r w:rsidR="00E127A7" w:rsidRPr="00A60FD5">
        <w:rPr>
          <w:rFonts w:ascii="Times New Roman" w:hAnsi="Times New Roman" w:cs="Times New Roman"/>
          <w:bCs/>
        </w:rPr>
        <w:t xml:space="preserve"> </w:t>
      </w:r>
      <w:r w:rsidRPr="00A60FD5">
        <w:rPr>
          <w:rFonts w:ascii="Times New Roman" w:hAnsi="Times New Roman" w:cs="Times New Roman"/>
          <w:bCs/>
        </w:rPr>
        <w:t xml:space="preserve">Vanneste </w:t>
      </w:r>
      <w:r w:rsidR="00E127A7" w:rsidRPr="00A60FD5">
        <w:rPr>
          <w:rFonts w:ascii="Times New Roman" w:hAnsi="Times New Roman" w:cs="Times New Roman"/>
          <w:bCs/>
        </w:rPr>
        <w:t>and</w:t>
      </w:r>
      <w:r w:rsidRPr="00A60FD5">
        <w:rPr>
          <w:rFonts w:ascii="Times New Roman" w:hAnsi="Times New Roman" w:cs="Times New Roman"/>
          <w:bCs/>
        </w:rPr>
        <w:t xml:space="preserve"> Puranam</w:t>
      </w:r>
      <w:r w:rsidR="00FB48C0" w:rsidRPr="00A60FD5">
        <w:rPr>
          <w:rFonts w:ascii="Times New Roman" w:hAnsi="Times New Roman" w:cs="Times New Roman"/>
          <w:bCs/>
        </w:rPr>
        <w:t>,</w:t>
      </w:r>
      <w:r w:rsidRPr="00A60FD5">
        <w:rPr>
          <w:rFonts w:ascii="Times New Roman" w:hAnsi="Times New Roman" w:cs="Times New Roman"/>
          <w:bCs/>
        </w:rPr>
        <w:t xml:space="preserve"> 2010). They were adapted to the licensing context based on the licensing literature (</w:t>
      </w:r>
      <w:r w:rsidR="0003041E" w:rsidRPr="00A60FD5">
        <w:rPr>
          <w:rFonts w:ascii="Times New Roman" w:hAnsi="Times New Roman" w:cs="Times New Roman"/>
          <w:bCs/>
        </w:rPr>
        <w:t xml:space="preserve">e.g., </w:t>
      </w:r>
      <w:r w:rsidR="009F7FB9" w:rsidRPr="00A60FD5">
        <w:rPr>
          <w:rFonts w:ascii="Times New Roman" w:hAnsi="Times New Roman"/>
        </w:rPr>
        <w:t>Aulakh et al.</w:t>
      </w:r>
      <w:r w:rsidR="00FB48C0" w:rsidRPr="00A60FD5">
        <w:rPr>
          <w:rFonts w:ascii="Times New Roman" w:hAnsi="Times New Roman"/>
        </w:rPr>
        <w:t>,</w:t>
      </w:r>
      <w:r w:rsidR="009F7FB9" w:rsidRPr="00A60FD5">
        <w:rPr>
          <w:rFonts w:ascii="Times New Roman" w:hAnsi="Times New Roman"/>
          <w:i/>
        </w:rPr>
        <w:t xml:space="preserve"> </w:t>
      </w:r>
      <w:r w:rsidR="009F7FB9" w:rsidRPr="00A60FD5">
        <w:rPr>
          <w:rFonts w:ascii="Times New Roman" w:hAnsi="Times New Roman"/>
        </w:rPr>
        <w:t>2013</w:t>
      </w:r>
      <w:r w:rsidR="00FB48C0" w:rsidRPr="00A60FD5">
        <w:rPr>
          <w:rFonts w:ascii="Times New Roman" w:hAnsi="Times New Roman"/>
        </w:rPr>
        <w:t>;</w:t>
      </w:r>
      <w:r w:rsidR="009F7FB9" w:rsidRPr="00A60FD5">
        <w:rPr>
          <w:rFonts w:ascii="Times New Roman" w:hAnsi="Times New Roman"/>
        </w:rPr>
        <w:t xml:space="preserve"> </w:t>
      </w:r>
      <w:r w:rsidRPr="00A60FD5">
        <w:rPr>
          <w:rFonts w:ascii="Times New Roman" w:hAnsi="Times New Roman"/>
        </w:rPr>
        <w:t>Brousseau et al</w:t>
      </w:r>
      <w:r w:rsidRPr="00A60FD5">
        <w:rPr>
          <w:rFonts w:ascii="Times New Roman" w:hAnsi="Times New Roman"/>
          <w:i/>
        </w:rPr>
        <w:t>.</w:t>
      </w:r>
      <w:r w:rsidR="00FB48C0" w:rsidRPr="00A60FD5">
        <w:rPr>
          <w:rFonts w:ascii="Times New Roman" w:hAnsi="Times New Roman"/>
        </w:rPr>
        <w:t>,</w:t>
      </w:r>
      <w:r w:rsidRPr="00A60FD5">
        <w:rPr>
          <w:rFonts w:ascii="Times New Roman" w:hAnsi="Times New Roman"/>
        </w:rPr>
        <w:t xml:space="preserve"> 2007), and on </w:t>
      </w:r>
      <w:r w:rsidR="00201917" w:rsidRPr="00A60FD5">
        <w:rPr>
          <w:rFonts w:ascii="Times New Roman" w:hAnsi="Times New Roman"/>
        </w:rPr>
        <w:t xml:space="preserve">pre-testing </w:t>
      </w:r>
      <w:r w:rsidRPr="00A60FD5">
        <w:rPr>
          <w:rFonts w:ascii="Times New Roman" w:hAnsi="Times New Roman" w:cs="Times New Roman"/>
        </w:rPr>
        <w:t>discussions and interviews. These contract provisions relate to roles, controls and safeguards, rights assignment, and IP protection</w:t>
      </w:r>
      <w:r w:rsidR="00201917" w:rsidRPr="00A60FD5">
        <w:rPr>
          <w:rFonts w:ascii="Times New Roman" w:hAnsi="Times New Roman" w:cs="Times New Roman"/>
        </w:rPr>
        <w:t xml:space="preserve"> (see Table 1)</w:t>
      </w:r>
      <w:r w:rsidRPr="00A60FD5">
        <w:rPr>
          <w:rFonts w:ascii="Times New Roman" w:hAnsi="Times New Roman" w:cs="Times New Roman"/>
        </w:rPr>
        <w:t xml:space="preserve">. Survey respondents were asked to indicate whether each provision was included in the licensing contract. </w:t>
      </w:r>
    </w:p>
    <w:p w14:paraId="714081C3" w14:textId="75FB4552" w:rsidR="00417594" w:rsidRPr="00A60FD5" w:rsidRDefault="00A84801" w:rsidP="000D4B77">
      <w:pPr>
        <w:tabs>
          <w:tab w:val="left" w:pos="3119"/>
        </w:tabs>
        <w:spacing w:after="0" w:line="480" w:lineRule="auto"/>
        <w:ind w:firstLine="624"/>
        <w:rPr>
          <w:rFonts w:ascii="Times New Roman" w:hAnsi="Times New Roman"/>
        </w:rPr>
      </w:pPr>
      <w:r w:rsidRPr="00A60FD5">
        <w:rPr>
          <w:rFonts w:ascii="Times New Roman" w:hAnsi="Times New Roman" w:cs="Times New Roman"/>
        </w:rPr>
        <w:t>We</w:t>
      </w:r>
      <w:r w:rsidR="00417594" w:rsidRPr="00A60FD5">
        <w:rPr>
          <w:rFonts w:ascii="Times New Roman" w:hAnsi="Times New Roman" w:cs="Times New Roman"/>
        </w:rPr>
        <w:t xml:space="preserve"> use a factor analysis</w:t>
      </w:r>
      <w:r w:rsidR="00201917" w:rsidRPr="00A60FD5">
        <w:rPr>
          <w:rFonts w:ascii="Times New Roman" w:hAnsi="Times New Roman" w:cs="Times New Roman"/>
        </w:rPr>
        <w:t xml:space="preserve">, which </w:t>
      </w:r>
      <w:r w:rsidR="00417594" w:rsidRPr="00A60FD5">
        <w:rPr>
          <w:rFonts w:ascii="Times New Roman" w:hAnsi="Times New Roman" w:cs="Times New Roman"/>
        </w:rPr>
        <w:t xml:space="preserve">enables us to determine whether our data and the licensing setting fit </w:t>
      </w:r>
      <w:r w:rsidR="008A68BA" w:rsidRPr="00A60FD5">
        <w:rPr>
          <w:rFonts w:ascii="Times New Roman" w:hAnsi="Times New Roman" w:cs="Times New Roman"/>
        </w:rPr>
        <w:t xml:space="preserve">with </w:t>
      </w:r>
      <w:r w:rsidR="00417594" w:rsidRPr="00A60FD5">
        <w:rPr>
          <w:rFonts w:ascii="Times New Roman" w:hAnsi="Times New Roman" w:cs="Times New Roman"/>
        </w:rPr>
        <w:t xml:space="preserve">the contractual dimensions already established in </w:t>
      </w:r>
      <w:r w:rsidR="00BA30FA" w:rsidRPr="00A60FD5">
        <w:rPr>
          <w:rFonts w:ascii="Times New Roman" w:hAnsi="Times New Roman" w:cs="Times New Roman"/>
        </w:rPr>
        <w:t xml:space="preserve">prior </w:t>
      </w:r>
      <w:r w:rsidR="00417594" w:rsidRPr="00A60FD5">
        <w:rPr>
          <w:rFonts w:ascii="Times New Roman" w:hAnsi="Times New Roman" w:cs="Times New Roman"/>
        </w:rPr>
        <w:t xml:space="preserve">empirical studies. </w:t>
      </w:r>
      <w:r w:rsidR="000D4B77" w:rsidRPr="00A60FD5">
        <w:rPr>
          <w:rFonts w:ascii="Times New Roman" w:hAnsi="Times New Roman" w:cs="Times New Roman"/>
        </w:rPr>
        <w:t xml:space="preserve">This dichotomy of provisions builds on prior work (Anderson and Dekker, 2005; Bercovitz and Tyler, </w:t>
      </w:r>
      <w:r w:rsidR="006B59F2" w:rsidRPr="00A60FD5">
        <w:rPr>
          <w:rFonts w:ascii="Times New Roman" w:hAnsi="Times New Roman" w:cs="Times New Roman"/>
        </w:rPr>
        <w:t>2014;</w:t>
      </w:r>
      <w:r w:rsidR="000D4B77" w:rsidRPr="00A60FD5">
        <w:rPr>
          <w:rFonts w:ascii="Times New Roman" w:hAnsi="Times New Roman" w:cs="Times New Roman"/>
        </w:rPr>
        <w:t xml:space="preserve"> Lui and Ngo, 2004; Lumineau and Henderson, 2012; Malhotra and Lumineau, 2011; Mesquita and Brush, 2008; Reuer and Ariño, 2007; Vanneste and Puranam, 2010). </w:t>
      </w:r>
      <w:r w:rsidR="00417594" w:rsidRPr="00A60FD5">
        <w:rPr>
          <w:rFonts w:ascii="Times New Roman" w:hAnsi="Times New Roman" w:cs="Times New Roman"/>
        </w:rPr>
        <w:t>Given the d</w:t>
      </w:r>
      <w:r w:rsidR="000D4B77" w:rsidRPr="00A60FD5">
        <w:rPr>
          <w:rFonts w:ascii="Times New Roman" w:hAnsi="Times New Roman" w:cs="Times New Roman"/>
        </w:rPr>
        <w:t>ummy</w:t>
      </w:r>
      <w:r w:rsidR="00417594" w:rsidRPr="00A60FD5">
        <w:rPr>
          <w:rFonts w:ascii="Times New Roman" w:hAnsi="Times New Roman" w:cs="Times New Roman"/>
        </w:rPr>
        <w:t xml:space="preserve"> nature of the contractual provisions, we must determine the tetrachoric correlations between provisions (Schumacker</w:t>
      </w:r>
      <w:r w:rsidR="009F7FB9" w:rsidRPr="00A60FD5">
        <w:rPr>
          <w:rFonts w:ascii="Times New Roman" w:hAnsi="Times New Roman" w:cs="Times New Roman"/>
        </w:rPr>
        <w:t xml:space="preserve"> and</w:t>
      </w:r>
      <w:r w:rsidR="00417594" w:rsidRPr="00A60FD5">
        <w:rPr>
          <w:rFonts w:ascii="Times New Roman" w:hAnsi="Times New Roman" w:cs="Times New Roman"/>
        </w:rPr>
        <w:t xml:space="preserve"> Beyerlein</w:t>
      </w:r>
      <w:r w:rsidR="00FB48C0" w:rsidRPr="00A60FD5">
        <w:rPr>
          <w:rFonts w:ascii="Times New Roman" w:hAnsi="Times New Roman" w:cs="Times New Roman"/>
        </w:rPr>
        <w:t>,</w:t>
      </w:r>
      <w:r w:rsidR="00417594" w:rsidRPr="00A60FD5">
        <w:rPr>
          <w:rFonts w:ascii="Times New Roman" w:hAnsi="Times New Roman" w:cs="Times New Roman"/>
        </w:rPr>
        <w:t xml:space="preserve"> 2000). Based on the tetrachoric correlations, we provide the results of a principal components factor analysis after an oblique rotation in Table 1. We opt for promax because </w:t>
      </w:r>
      <w:r w:rsidR="00BA30FA" w:rsidRPr="00A60FD5">
        <w:rPr>
          <w:rFonts w:ascii="Times New Roman" w:hAnsi="Times New Roman" w:cs="Times New Roman"/>
        </w:rPr>
        <w:t xml:space="preserve">the resulting components may be </w:t>
      </w:r>
      <w:r w:rsidR="00417594" w:rsidRPr="00A60FD5">
        <w:rPr>
          <w:rFonts w:ascii="Times New Roman" w:hAnsi="Times New Roman" w:cs="Times New Roman"/>
        </w:rPr>
        <w:t>correlated (Hair et al.</w:t>
      </w:r>
      <w:r w:rsidR="00FB48C0" w:rsidRPr="00A60FD5">
        <w:rPr>
          <w:rFonts w:ascii="Times New Roman" w:hAnsi="Times New Roman" w:cs="Times New Roman"/>
        </w:rPr>
        <w:t>,</w:t>
      </w:r>
      <w:r w:rsidR="00417594" w:rsidRPr="00A60FD5">
        <w:rPr>
          <w:rFonts w:ascii="Times New Roman" w:hAnsi="Times New Roman" w:cs="Times New Roman"/>
        </w:rPr>
        <w:t xml:space="preserve"> 2006). Factors are retained if their corresponding eigenvalues exceed one. Given our sample size, factor loadings of 0.</w:t>
      </w:r>
      <w:r w:rsidR="009F7FB9" w:rsidRPr="00A60FD5">
        <w:rPr>
          <w:rFonts w:ascii="Times New Roman" w:hAnsi="Times New Roman" w:cs="Times New Roman"/>
        </w:rPr>
        <w:t>60</w:t>
      </w:r>
      <w:r w:rsidR="00417594" w:rsidRPr="00A60FD5">
        <w:rPr>
          <w:rFonts w:ascii="Times New Roman" w:hAnsi="Times New Roman" w:cs="Times New Roman"/>
        </w:rPr>
        <w:t xml:space="preserve"> and higher are considered significant for interpretative purposes (Hair et al.</w:t>
      </w:r>
      <w:r w:rsidR="00FB48C0" w:rsidRPr="00A60FD5">
        <w:rPr>
          <w:rFonts w:ascii="Times New Roman" w:hAnsi="Times New Roman" w:cs="Times New Roman"/>
        </w:rPr>
        <w:t>,</w:t>
      </w:r>
      <w:r w:rsidR="00417594" w:rsidRPr="00A60FD5">
        <w:rPr>
          <w:rFonts w:ascii="Times New Roman" w:hAnsi="Times New Roman" w:cs="Times New Roman"/>
        </w:rPr>
        <w:t xml:space="preserve"> 2006). The factor analysis</w:t>
      </w:r>
      <w:r w:rsidR="00201917" w:rsidRPr="00A60FD5">
        <w:rPr>
          <w:rFonts w:ascii="Times New Roman" w:hAnsi="Times New Roman" w:cs="Times New Roman"/>
        </w:rPr>
        <w:t xml:space="preserve"> yields a well-behaved solution</w:t>
      </w:r>
      <w:r w:rsidR="00417594" w:rsidRPr="00A60FD5">
        <w:rPr>
          <w:rFonts w:ascii="Times New Roman" w:hAnsi="Times New Roman" w:cs="Times New Roman"/>
        </w:rPr>
        <w:t xml:space="preserve"> with items typically loading on a single factor. </w:t>
      </w:r>
      <w:r w:rsidR="008F6E02" w:rsidRPr="00A60FD5">
        <w:rPr>
          <w:rFonts w:ascii="Times New Roman" w:hAnsi="Times New Roman" w:cs="Times New Roman"/>
        </w:rPr>
        <w:t>There are no significant cross-</w:t>
      </w:r>
      <w:r w:rsidR="008F6E02" w:rsidRPr="00A60FD5">
        <w:rPr>
          <w:rFonts w:ascii="Times New Roman" w:hAnsi="Times New Roman" w:cs="Times New Roman"/>
        </w:rPr>
        <w:lastRenderedPageBreak/>
        <w:t>loadings and t</w:t>
      </w:r>
      <w:r w:rsidR="00417594" w:rsidRPr="00A60FD5">
        <w:rPr>
          <w:rFonts w:ascii="Times New Roman" w:hAnsi="Times New Roman" w:cs="Times New Roman"/>
        </w:rPr>
        <w:t>he loadings are greater than 0.60</w:t>
      </w:r>
      <w:r w:rsidR="009F7FB9" w:rsidRPr="00A60FD5">
        <w:rPr>
          <w:rFonts w:ascii="Times New Roman" w:hAnsi="Times New Roman" w:cs="Times New Roman"/>
        </w:rPr>
        <w:t xml:space="preserve">, except </w:t>
      </w:r>
      <w:r w:rsidR="00F972BD" w:rsidRPr="00A60FD5">
        <w:rPr>
          <w:rFonts w:ascii="Times New Roman" w:hAnsi="Times New Roman" w:cs="Times New Roman"/>
        </w:rPr>
        <w:t xml:space="preserve">for </w:t>
      </w:r>
      <w:r w:rsidR="009F7FB9" w:rsidRPr="00A60FD5">
        <w:rPr>
          <w:rFonts w:ascii="Times New Roman" w:hAnsi="Times New Roman" w:cs="Times New Roman"/>
        </w:rPr>
        <w:t>one that is equal to 0</w:t>
      </w:r>
      <w:r w:rsidR="00E258CC" w:rsidRPr="00A60FD5">
        <w:rPr>
          <w:rFonts w:ascii="Times New Roman" w:hAnsi="Times New Roman" w:cs="Times New Roman"/>
        </w:rPr>
        <w:t>.</w:t>
      </w:r>
      <w:r w:rsidR="009F7FB9" w:rsidRPr="00A60FD5">
        <w:rPr>
          <w:rFonts w:ascii="Times New Roman" w:hAnsi="Times New Roman" w:cs="Times New Roman"/>
        </w:rPr>
        <w:t>54</w:t>
      </w:r>
      <w:r w:rsidR="00417594" w:rsidRPr="00A60FD5">
        <w:rPr>
          <w:rFonts w:ascii="Times New Roman" w:hAnsi="Times New Roman" w:cs="Times New Roman"/>
        </w:rPr>
        <w:t>. Two factors are considered, which together represent 6</w:t>
      </w:r>
      <w:r w:rsidR="009F7FB9" w:rsidRPr="00A60FD5">
        <w:rPr>
          <w:rFonts w:ascii="Times New Roman" w:hAnsi="Times New Roman" w:cs="Times New Roman"/>
        </w:rPr>
        <w:t>7</w:t>
      </w:r>
      <w:r w:rsidR="00417594" w:rsidRPr="00A60FD5">
        <w:rPr>
          <w:rFonts w:ascii="Times New Roman" w:hAnsi="Times New Roman" w:cs="Times New Roman"/>
        </w:rPr>
        <w:t xml:space="preserve">.0% of the total item variance. </w:t>
      </w:r>
      <w:r w:rsidR="00417594" w:rsidRPr="00A60FD5">
        <w:rPr>
          <w:rFonts w:ascii="Times New Roman" w:hAnsi="Times New Roman"/>
        </w:rPr>
        <w:t xml:space="preserve">In accordance with the factor analysis, the variables </w:t>
      </w:r>
      <w:r w:rsidR="00417594" w:rsidRPr="00A60FD5">
        <w:rPr>
          <w:rFonts w:ascii="Times New Roman" w:hAnsi="Times New Roman"/>
          <w:i/>
        </w:rPr>
        <w:t>monitoring</w:t>
      </w:r>
      <w:r w:rsidR="00417594" w:rsidRPr="00A60FD5">
        <w:rPr>
          <w:rFonts w:ascii="Times New Roman" w:hAnsi="Times New Roman"/>
        </w:rPr>
        <w:t xml:space="preserve"> and </w:t>
      </w:r>
      <w:r w:rsidR="00417594" w:rsidRPr="00A60FD5">
        <w:rPr>
          <w:rFonts w:ascii="Times New Roman" w:hAnsi="Times New Roman"/>
          <w:i/>
        </w:rPr>
        <w:t>coordination</w:t>
      </w:r>
      <w:r w:rsidR="00417594" w:rsidRPr="00A60FD5">
        <w:rPr>
          <w:rFonts w:ascii="Times New Roman" w:hAnsi="Times New Roman"/>
        </w:rPr>
        <w:t xml:space="preserve"> </w:t>
      </w:r>
      <w:r w:rsidR="00417594" w:rsidRPr="00A60FD5">
        <w:rPr>
          <w:rFonts w:ascii="Times New Roman" w:hAnsi="Times New Roman" w:cs="Times New Roman"/>
          <w:bCs/>
        </w:rPr>
        <w:t xml:space="preserve">are obtained by summing three provisions associated with monitoring and five provisions </w:t>
      </w:r>
      <w:r w:rsidR="007C3A26" w:rsidRPr="00A60FD5">
        <w:rPr>
          <w:rFonts w:ascii="Times New Roman" w:hAnsi="Times New Roman" w:cs="Times New Roman"/>
          <w:bCs/>
        </w:rPr>
        <w:t>associated with</w:t>
      </w:r>
      <w:r w:rsidR="00417594" w:rsidRPr="00A60FD5">
        <w:rPr>
          <w:rFonts w:ascii="Times New Roman" w:hAnsi="Times New Roman" w:cs="Times New Roman"/>
          <w:bCs/>
        </w:rPr>
        <w:t xml:space="preserve"> coordination. </w:t>
      </w:r>
    </w:p>
    <w:p w14:paraId="0525738C" w14:textId="77777777" w:rsidR="00417594" w:rsidRPr="00A60FD5" w:rsidRDefault="00417594" w:rsidP="00A05DE5">
      <w:pPr>
        <w:spacing w:after="0" w:line="240" w:lineRule="auto"/>
        <w:ind w:firstLine="720"/>
        <w:jc w:val="center"/>
        <w:rPr>
          <w:rFonts w:ascii="Times New Roman" w:hAnsi="Times New Roman" w:cs="Times New Roman"/>
        </w:rPr>
      </w:pPr>
      <w:r w:rsidRPr="00A60FD5">
        <w:rPr>
          <w:rFonts w:ascii="Times New Roman" w:hAnsi="Times New Roman" w:cs="Times New Roman"/>
        </w:rPr>
        <w:t>--------------------------------</w:t>
      </w:r>
    </w:p>
    <w:p w14:paraId="08CE6DC5" w14:textId="77777777" w:rsidR="00417594" w:rsidRPr="00A60FD5" w:rsidRDefault="00417594" w:rsidP="00A05DE5">
      <w:pPr>
        <w:spacing w:after="0" w:line="240" w:lineRule="auto"/>
        <w:ind w:firstLine="720"/>
        <w:jc w:val="center"/>
        <w:rPr>
          <w:rFonts w:ascii="Times New Roman" w:hAnsi="Times New Roman" w:cs="Times New Roman"/>
        </w:rPr>
      </w:pPr>
      <w:r w:rsidRPr="00A60FD5">
        <w:rPr>
          <w:rFonts w:ascii="Times New Roman" w:hAnsi="Times New Roman" w:cs="Times New Roman"/>
        </w:rPr>
        <w:t>Insert Table 1 about here</w:t>
      </w:r>
    </w:p>
    <w:p w14:paraId="7255E2F9" w14:textId="77777777" w:rsidR="00417594" w:rsidRPr="00A60FD5" w:rsidRDefault="00417594" w:rsidP="00A05DE5">
      <w:pPr>
        <w:spacing w:after="0" w:line="240" w:lineRule="auto"/>
        <w:ind w:firstLine="720"/>
        <w:jc w:val="center"/>
        <w:rPr>
          <w:rFonts w:ascii="Times New Roman" w:hAnsi="Times New Roman" w:cs="Times New Roman"/>
        </w:rPr>
      </w:pPr>
      <w:r w:rsidRPr="00A60FD5">
        <w:rPr>
          <w:rFonts w:ascii="Times New Roman" w:hAnsi="Times New Roman" w:cs="Times New Roman"/>
        </w:rPr>
        <w:t>--------------------------------</w:t>
      </w:r>
    </w:p>
    <w:p w14:paraId="773E36BE" w14:textId="0D680ECD" w:rsidR="00774501" w:rsidRPr="00A60FD5" w:rsidRDefault="002C790C" w:rsidP="00220E4C">
      <w:pPr>
        <w:spacing w:after="0" w:line="480" w:lineRule="auto"/>
        <w:ind w:firstLine="624"/>
        <w:rPr>
          <w:rFonts w:ascii="Times New Roman" w:hAnsi="Times New Roman" w:cs="Times New Roman"/>
        </w:rPr>
      </w:pPr>
      <w:r w:rsidRPr="00A60FD5">
        <w:rPr>
          <w:rFonts w:ascii="Times New Roman" w:hAnsi="Times New Roman" w:cs="Times New Roman"/>
          <w:b/>
          <w:bCs/>
          <w:i/>
        </w:rPr>
        <w:t>Technology</w:t>
      </w:r>
      <w:r w:rsidR="0003041E" w:rsidRPr="00A60FD5">
        <w:rPr>
          <w:rFonts w:ascii="Times New Roman" w:hAnsi="Times New Roman" w:cs="Times New Roman"/>
          <w:b/>
          <w:bCs/>
          <w:i/>
        </w:rPr>
        <w:t>-based</w:t>
      </w:r>
      <w:r w:rsidRPr="00A60FD5">
        <w:rPr>
          <w:rFonts w:ascii="Times New Roman" w:hAnsi="Times New Roman" w:cs="Times New Roman"/>
          <w:b/>
          <w:bCs/>
          <w:i/>
        </w:rPr>
        <w:t xml:space="preserve"> and exchange attributes</w:t>
      </w:r>
      <w:r w:rsidR="00E258CC" w:rsidRPr="00A60FD5">
        <w:rPr>
          <w:rFonts w:ascii="Times New Roman" w:hAnsi="Times New Roman" w:cs="Times New Roman"/>
          <w:b/>
          <w:bCs/>
          <w:i/>
        </w:rPr>
        <w:t xml:space="preserve">. </w:t>
      </w:r>
      <w:r w:rsidR="00F972BD" w:rsidRPr="00A60FD5">
        <w:rPr>
          <w:rFonts w:ascii="Times New Roman" w:hAnsi="Times New Roman" w:cs="Times New Roman"/>
          <w:bCs/>
        </w:rPr>
        <w:t xml:space="preserve">The </w:t>
      </w:r>
      <w:r w:rsidRPr="00A60FD5">
        <w:rPr>
          <w:rFonts w:ascii="Times New Roman" w:hAnsi="Times New Roman" w:cs="Times New Roman"/>
          <w:bCs/>
        </w:rPr>
        <w:t>same set of technology- and exchange-</w:t>
      </w:r>
      <w:r w:rsidR="00DA291E" w:rsidRPr="00A60FD5">
        <w:rPr>
          <w:rFonts w:ascii="Times New Roman" w:hAnsi="Times New Roman" w:cs="Times New Roman"/>
          <w:bCs/>
        </w:rPr>
        <w:t xml:space="preserve">specific </w:t>
      </w:r>
      <w:r w:rsidRPr="00A60FD5">
        <w:rPr>
          <w:rFonts w:ascii="Times New Roman" w:hAnsi="Times New Roman" w:cs="Times New Roman"/>
          <w:bCs/>
        </w:rPr>
        <w:t>variables is included in both first-stage and second-stage equations. By including th</w:t>
      </w:r>
      <w:r w:rsidR="00F972BD" w:rsidRPr="00A60FD5">
        <w:rPr>
          <w:rFonts w:ascii="Times New Roman" w:hAnsi="Times New Roman" w:cs="Times New Roman"/>
          <w:bCs/>
        </w:rPr>
        <w:t>e</w:t>
      </w:r>
      <w:r w:rsidRPr="00A60FD5">
        <w:rPr>
          <w:rFonts w:ascii="Times New Roman" w:hAnsi="Times New Roman" w:cs="Times New Roman"/>
          <w:bCs/>
        </w:rPr>
        <w:t>se variables i</w:t>
      </w:r>
      <w:r w:rsidR="00853739" w:rsidRPr="00A60FD5">
        <w:rPr>
          <w:rFonts w:ascii="Times New Roman" w:hAnsi="Times New Roman" w:cs="Times New Roman"/>
          <w:bCs/>
        </w:rPr>
        <w:t>n the first-stage equations, we accommodate the fact that monitoring and coordination have transaction cost origins</w:t>
      </w:r>
      <w:r w:rsidR="00853739" w:rsidRPr="00A60FD5">
        <w:rPr>
          <w:rFonts w:ascii="Times New Roman" w:hAnsi="Times New Roman" w:cs="Times New Roman"/>
          <w:lang w:eastAsia="zh-CN"/>
        </w:rPr>
        <w:t xml:space="preserve">. </w:t>
      </w:r>
      <w:r w:rsidR="00DA291E" w:rsidRPr="00A60FD5">
        <w:rPr>
          <w:rFonts w:ascii="Times New Roman" w:hAnsi="Times New Roman" w:cs="Times New Roman"/>
          <w:lang w:eastAsia="zh-CN"/>
        </w:rPr>
        <w:t>We also control for the direct influence of th</w:t>
      </w:r>
      <w:r w:rsidR="005F3B11" w:rsidRPr="00A60FD5">
        <w:rPr>
          <w:rFonts w:ascii="Times New Roman" w:hAnsi="Times New Roman" w:cs="Times New Roman"/>
          <w:lang w:eastAsia="zh-CN"/>
        </w:rPr>
        <w:t>e</w:t>
      </w:r>
      <w:r w:rsidR="00DA291E" w:rsidRPr="00A60FD5">
        <w:rPr>
          <w:rFonts w:ascii="Times New Roman" w:hAnsi="Times New Roman" w:cs="Times New Roman"/>
          <w:lang w:eastAsia="zh-CN"/>
        </w:rPr>
        <w:t>se variables on the propensity to select arbitration in order to ensure the robustness of our results</w:t>
      </w:r>
      <w:r w:rsidR="0003041E" w:rsidRPr="00A60FD5">
        <w:rPr>
          <w:rFonts w:ascii="Times New Roman" w:hAnsi="Times New Roman" w:cs="Times New Roman"/>
          <w:lang w:eastAsia="zh-CN"/>
        </w:rPr>
        <w:t xml:space="preserve"> and account for prior research</w:t>
      </w:r>
      <w:r w:rsidR="00DA291E" w:rsidRPr="00A60FD5">
        <w:rPr>
          <w:rFonts w:ascii="Times New Roman" w:hAnsi="Times New Roman" w:cs="Times New Roman"/>
          <w:lang w:eastAsia="zh-CN"/>
        </w:rPr>
        <w:t>.</w:t>
      </w:r>
      <w:r w:rsidR="00DA17C3" w:rsidRPr="00A60FD5">
        <w:rPr>
          <w:rFonts w:ascii="Times New Roman" w:hAnsi="Times New Roman" w:cs="Times New Roman"/>
          <w:lang w:eastAsia="zh-CN"/>
        </w:rPr>
        <w:t xml:space="preserve"> </w:t>
      </w:r>
      <w:r w:rsidR="00220E4C" w:rsidRPr="00A60FD5">
        <w:rPr>
          <w:rFonts w:ascii="Times New Roman" w:hAnsi="Times New Roman" w:cs="Times New Roman"/>
          <w:bCs/>
        </w:rPr>
        <w:t xml:space="preserve">A first </w:t>
      </w:r>
      <w:r w:rsidR="00E95D78" w:rsidRPr="00A60FD5">
        <w:rPr>
          <w:rFonts w:ascii="Times New Roman" w:hAnsi="Times New Roman" w:cs="Times New Roman"/>
          <w:bCs/>
        </w:rPr>
        <w:t>category</w:t>
      </w:r>
      <w:r w:rsidR="00220E4C" w:rsidRPr="00A60FD5">
        <w:rPr>
          <w:rFonts w:ascii="Times New Roman" w:hAnsi="Times New Roman" w:cs="Times New Roman"/>
          <w:bCs/>
        </w:rPr>
        <w:t xml:space="preserve"> of variables capture</w:t>
      </w:r>
      <w:r w:rsidR="00D91B7B" w:rsidRPr="00A60FD5">
        <w:rPr>
          <w:rFonts w:ascii="Times New Roman" w:hAnsi="Times New Roman" w:cs="Times New Roman"/>
          <w:bCs/>
        </w:rPr>
        <w:t>s</w:t>
      </w:r>
      <w:r w:rsidR="00220E4C" w:rsidRPr="00A60FD5">
        <w:rPr>
          <w:rFonts w:ascii="Times New Roman" w:hAnsi="Times New Roman" w:cs="Times New Roman"/>
          <w:bCs/>
        </w:rPr>
        <w:t xml:space="preserve"> the technological characteristics of the licensing exchange. First, we</w:t>
      </w:r>
      <w:r w:rsidR="00220E4C" w:rsidRPr="00A60FD5">
        <w:rPr>
          <w:rFonts w:ascii="Times New Roman" w:hAnsi="Times New Roman" w:cs="Times New Roman"/>
          <w:lang w:eastAsia="zh-CN"/>
        </w:rPr>
        <w:t xml:space="preserve"> consider </w:t>
      </w:r>
      <w:r w:rsidR="00DA17C3" w:rsidRPr="00A60FD5">
        <w:rPr>
          <w:rFonts w:ascii="Times New Roman" w:hAnsi="Times New Roman" w:cs="Times New Roman"/>
          <w:lang w:eastAsia="zh-CN"/>
        </w:rPr>
        <w:t>t</w:t>
      </w:r>
      <w:r w:rsidR="00DA17C3" w:rsidRPr="00A60FD5">
        <w:rPr>
          <w:rFonts w:ascii="Times New Roman" w:hAnsi="Times New Roman" w:cs="Times New Roman"/>
        </w:rPr>
        <w:t xml:space="preserve">he </w:t>
      </w:r>
      <w:r w:rsidR="00DA17C3" w:rsidRPr="00A60FD5">
        <w:rPr>
          <w:rFonts w:ascii="Times New Roman" w:hAnsi="Times New Roman" w:cs="Times New Roman"/>
          <w:i/>
        </w:rPr>
        <w:t>tacitness of the transferred technology</w:t>
      </w:r>
      <w:r w:rsidR="00DA17C3" w:rsidRPr="00A60FD5">
        <w:rPr>
          <w:rFonts w:ascii="Times New Roman" w:hAnsi="Times New Roman" w:cs="Times New Roman"/>
        </w:rPr>
        <w:t xml:space="preserve"> and measure it using a scale adapted from Simonin (1999</w:t>
      </w:r>
      <w:r w:rsidR="00601A6B">
        <w:rPr>
          <w:rFonts w:ascii="Times New Roman" w:hAnsi="Times New Roman" w:cs="Times New Roman"/>
        </w:rPr>
        <w:t xml:space="preserve"> and</w:t>
      </w:r>
      <w:r w:rsidR="00DA17C3" w:rsidRPr="00A60FD5">
        <w:rPr>
          <w:rFonts w:ascii="Times New Roman" w:hAnsi="Times New Roman" w:cs="Times New Roman"/>
        </w:rPr>
        <w:t xml:space="preserve"> 2004). The two survey questions investigated whether: (i) the licensed technology was easily codified (e.g., in blueprints, instructions or formulas) and (ii) the licensed technology was more explicit (i.e., easy to explain and describe to others) than tacit. These two items were recorded on a five-point Likert scale ranging from one (</w:t>
      </w:r>
      <w:r w:rsidR="00E95D78" w:rsidRPr="00A60FD5">
        <w:rPr>
          <w:rFonts w:ascii="Times New Roman" w:hAnsi="Times New Roman" w:cs="Times New Roman"/>
        </w:rPr>
        <w:t>“</w:t>
      </w:r>
      <w:r w:rsidR="00DA17C3" w:rsidRPr="00A60FD5">
        <w:rPr>
          <w:rFonts w:ascii="Times New Roman" w:hAnsi="Times New Roman" w:cs="Times New Roman"/>
        </w:rPr>
        <w:t>Strongly disagree</w:t>
      </w:r>
      <w:r w:rsidR="00E95D78" w:rsidRPr="00A60FD5">
        <w:rPr>
          <w:rFonts w:ascii="Times New Roman" w:hAnsi="Times New Roman" w:cs="Times New Roman"/>
        </w:rPr>
        <w:t>”) to five (“Strongly agree”</w:t>
      </w:r>
      <w:r w:rsidR="00DA17C3" w:rsidRPr="00A60FD5">
        <w:rPr>
          <w:rFonts w:ascii="Times New Roman" w:hAnsi="Times New Roman" w:cs="Times New Roman"/>
        </w:rPr>
        <w:t xml:space="preserve">) and reverse-coded. Cronbach’s alpha for this scale is 0.81. </w:t>
      </w:r>
      <w:r w:rsidR="00E95D78" w:rsidRPr="00A60FD5">
        <w:rPr>
          <w:rFonts w:ascii="Times New Roman" w:hAnsi="Times New Roman" w:cs="Times New Roman"/>
        </w:rPr>
        <w:t xml:space="preserve">Tacitness should impact both the occurrence of opportunism and the difficulties of collaborating. Tacit knowledge is difficult to legally protect from unintended leakage (Mayer and Nickerson, 2005; Oxley, 1997; Teece, 1986). It also tends to be difficult to communicate to an outside firm (Polanyi, 1962; Rosenkopf et al., 2001). </w:t>
      </w:r>
      <w:r w:rsidR="005F3B11" w:rsidRPr="00A60FD5">
        <w:rPr>
          <w:rFonts w:ascii="Times New Roman" w:hAnsi="Times New Roman" w:cs="Times New Roman"/>
        </w:rPr>
        <w:t xml:space="preserve">This </w:t>
      </w:r>
      <w:r w:rsidR="00E95D78" w:rsidRPr="00A60FD5">
        <w:rPr>
          <w:rFonts w:ascii="Times New Roman" w:hAnsi="Times New Roman" w:cs="Times New Roman"/>
        </w:rPr>
        <w:t xml:space="preserve">transfer requires considerable time and effort and, as such, involves direct costs and opportunity costs. </w:t>
      </w:r>
      <w:r w:rsidR="00041536" w:rsidRPr="00A60FD5">
        <w:rPr>
          <w:rFonts w:ascii="Times New Roman" w:hAnsi="Times New Roman" w:cs="Times New Roman"/>
        </w:rPr>
        <w:t>Given their technical expertise</w:t>
      </w:r>
      <w:r w:rsidR="00E95D78" w:rsidRPr="00A60FD5">
        <w:rPr>
          <w:rFonts w:ascii="Times New Roman" w:hAnsi="Times New Roman" w:cs="Times New Roman"/>
        </w:rPr>
        <w:t xml:space="preserve"> and the flexibility of the proceeding</w:t>
      </w:r>
      <w:r w:rsidR="00041536" w:rsidRPr="00A60FD5">
        <w:rPr>
          <w:rFonts w:ascii="Times New Roman" w:hAnsi="Times New Roman" w:cs="Times New Roman"/>
        </w:rPr>
        <w:t>,</w:t>
      </w:r>
      <w:r w:rsidR="00BA0B9D" w:rsidRPr="00A60FD5">
        <w:rPr>
          <w:rFonts w:ascii="Times New Roman" w:hAnsi="Times New Roman" w:cs="Times New Roman"/>
        </w:rPr>
        <w:t xml:space="preserve"> arbitrators should be better equipped than public judges to assess the extent, content and value of the tacit knowledge involved in </w:t>
      </w:r>
      <w:r w:rsidR="00E95D78" w:rsidRPr="00A60FD5">
        <w:rPr>
          <w:rFonts w:ascii="Times New Roman" w:hAnsi="Times New Roman" w:cs="Times New Roman"/>
        </w:rPr>
        <w:t>a</w:t>
      </w:r>
      <w:r w:rsidR="00BA0B9D" w:rsidRPr="00A60FD5">
        <w:rPr>
          <w:rFonts w:ascii="Times New Roman" w:hAnsi="Times New Roman" w:cs="Times New Roman"/>
        </w:rPr>
        <w:t xml:space="preserve"> dispute</w:t>
      </w:r>
      <w:r w:rsidR="00501995" w:rsidRPr="00A60FD5">
        <w:rPr>
          <w:rFonts w:ascii="Times New Roman" w:hAnsi="Times New Roman" w:cs="Times New Roman"/>
        </w:rPr>
        <w:t xml:space="preserve"> (Arnold et al., 1991; Mills, 1996)</w:t>
      </w:r>
      <w:r w:rsidR="00BA0B9D" w:rsidRPr="00A60FD5">
        <w:rPr>
          <w:rFonts w:ascii="Times New Roman" w:hAnsi="Times New Roman" w:cs="Times New Roman"/>
        </w:rPr>
        <w:t xml:space="preserve">. </w:t>
      </w:r>
      <w:r w:rsidR="00752636" w:rsidRPr="00A60FD5">
        <w:rPr>
          <w:rFonts w:ascii="Times New Roman" w:hAnsi="Times New Roman" w:cs="Times New Roman"/>
        </w:rPr>
        <w:t xml:space="preserve">We therefore expect the level of tacitness </w:t>
      </w:r>
      <w:r w:rsidR="00D04C35" w:rsidRPr="00A60FD5">
        <w:rPr>
          <w:rFonts w:ascii="Times New Roman" w:hAnsi="Times New Roman" w:cs="Times New Roman"/>
        </w:rPr>
        <w:t xml:space="preserve">to </w:t>
      </w:r>
      <w:r w:rsidR="00752636" w:rsidRPr="00A60FD5">
        <w:rPr>
          <w:rFonts w:ascii="Times New Roman" w:hAnsi="Times New Roman" w:cs="Times New Roman"/>
        </w:rPr>
        <w:t>positively</w:t>
      </w:r>
      <w:r w:rsidR="003365A9" w:rsidRPr="00A60FD5">
        <w:rPr>
          <w:rFonts w:ascii="Times New Roman" w:hAnsi="Times New Roman" w:cs="Times New Roman"/>
        </w:rPr>
        <w:t xml:space="preserve"> influence</w:t>
      </w:r>
      <w:r w:rsidR="00752636" w:rsidRPr="00A60FD5">
        <w:rPr>
          <w:rFonts w:ascii="Times New Roman" w:hAnsi="Times New Roman" w:cs="Times New Roman"/>
        </w:rPr>
        <w:t xml:space="preserve"> the occurrence of arbitration provision as well as the extent of monitoring and coordination provisions included in the licensing contract. </w:t>
      </w:r>
    </w:p>
    <w:p w14:paraId="04DE8173" w14:textId="2C6E4D7E" w:rsidR="00220E4C" w:rsidRPr="00A60FD5" w:rsidRDefault="007F01F2" w:rsidP="00495BC6">
      <w:pPr>
        <w:spacing w:after="0" w:line="480" w:lineRule="auto"/>
        <w:ind w:firstLine="624"/>
        <w:rPr>
          <w:rFonts w:ascii="Times New Roman" w:hAnsi="Times New Roman" w:cs="Times New Roman"/>
          <w:bCs/>
        </w:rPr>
      </w:pPr>
      <w:r w:rsidRPr="00A60FD5">
        <w:rPr>
          <w:rFonts w:ascii="Times New Roman" w:hAnsi="Times New Roman" w:cs="Times New Roman"/>
        </w:rPr>
        <w:lastRenderedPageBreak/>
        <w:t>Second, we include</w:t>
      </w:r>
      <w:r w:rsidR="00041536" w:rsidRPr="00A60FD5">
        <w:rPr>
          <w:rFonts w:ascii="Times New Roman" w:hAnsi="Times New Roman" w:cs="Times New Roman"/>
        </w:rPr>
        <w:t xml:space="preserve"> </w:t>
      </w:r>
      <w:r w:rsidR="00220E4C" w:rsidRPr="00A60FD5">
        <w:rPr>
          <w:rFonts w:ascii="Times New Roman" w:hAnsi="Times New Roman" w:cs="Times New Roman"/>
          <w:lang w:eastAsia="zh-CN"/>
        </w:rPr>
        <w:t xml:space="preserve">the </w:t>
      </w:r>
      <w:r w:rsidR="00220E4C" w:rsidRPr="00A60FD5">
        <w:rPr>
          <w:rFonts w:ascii="Times New Roman" w:hAnsi="Times New Roman" w:cs="Times New Roman"/>
          <w:i/>
          <w:lang w:eastAsia="zh-CN"/>
        </w:rPr>
        <w:t>specific investments made by the licensee</w:t>
      </w:r>
      <w:r w:rsidR="00220E4C" w:rsidRPr="00A60FD5">
        <w:rPr>
          <w:rFonts w:ascii="Times New Roman" w:hAnsi="Times New Roman" w:cs="Times New Roman"/>
          <w:lang w:eastAsia="zh-CN"/>
        </w:rPr>
        <w:t xml:space="preserve"> as they expose the licensee to hold-up concerns (Williamson, 1975). </w:t>
      </w:r>
      <w:r w:rsidRPr="00A60FD5">
        <w:rPr>
          <w:rFonts w:ascii="Times New Roman" w:hAnsi="Times New Roman" w:cs="Times New Roman"/>
          <w:bCs/>
        </w:rPr>
        <w:t xml:space="preserve"> </w:t>
      </w:r>
      <w:r w:rsidR="00220E4C" w:rsidRPr="00A60FD5">
        <w:rPr>
          <w:rFonts w:ascii="Times New Roman" w:hAnsi="Times New Roman" w:cs="Times New Roman"/>
          <w:lang w:eastAsia="zh-CN"/>
        </w:rPr>
        <w:t xml:space="preserve">To compute this variable, we used three survey questions (Artz and Brush, 2000; Reuer and Ariño, </w:t>
      </w:r>
      <w:r w:rsidR="00220E4C" w:rsidRPr="00A60FD5">
        <w:rPr>
          <w:rFonts w:ascii="Times New Roman" w:hAnsi="Times New Roman" w:cs="Times New Roman"/>
          <w:bCs/>
        </w:rPr>
        <w:t xml:space="preserve">2007): (i) whether the technical skills required for the licensing partnership were unique, (ii) the difficulty the licensee would have in redeploying the people and facilities serving the licensing partnership for other uses, and (iii) the licensee’s non-recoverable investments. Respondents were asked to use five-point Likert scales ranging from “Not at all” to “To a great extent” for the first item, and from “Negligible” to “Substantial” for the second and third items. Cronbach’s alpha is 0,73. </w:t>
      </w:r>
      <w:r w:rsidR="00FD5DAC" w:rsidRPr="00A60FD5">
        <w:rPr>
          <w:rFonts w:ascii="Times New Roman" w:hAnsi="Times New Roman" w:cs="Times New Roman"/>
          <w:bCs/>
        </w:rPr>
        <w:t xml:space="preserve">These investments are sunk costs that </w:t>
      </w:r>
      <w:r w:rsidR="00365A96" w:rsidRPr="00A60FD5">
        <w:rPr>
          <w:rFonts w:ascii="Times New Roman" w:hAnsi="Times New Roman" w:cs="Times New Roman"/>
          <w:bCs/>
        </w:rPr>
        <w:t>require</w:t>
      </w:r>
      <w:r w:rsidR="00FD5DAC" w:rsidRPr="00A60FD5">
        <w:rPr>
          <w:rFonts w:ascii="Times New Roman" w:hAnsi="Times New Roman" w:cs="Times New Roman"/>
          <w:bCs/>
        </w:rPr>
        <w:t xml:space="preserve"> enhanced contractual safeguards and remedies due to risks of hold-up (Artz and Brush, 2000). </w:t>
      </w:r>
      <w:r w:rsidR="00FD5DAC" w:rsidRPr="00A60FD5">
        <w:rPr>
          <w:rFonts w:ascii="Times New Roman" w:hAnsi="Times New Roman" w:cs="Times New Roman"/>
          <w:lang w:eastAsia="zh-CN"/>
        </w:rPr>
        <w:t>The specificity of th</w:t>
      </w:r>
      <w:r w:rsidR="00365A96" w:rsidRPr="00A60FD5">
        <w:rPr>
          <w:rFonts w:ascii="Times New Roman" w:hAnsi="Times New Roman" w:cs="Times New Roman"/>
          <w:lang w:eastAsia="zh-CN"/>
        </w:rPr>
        <w:t>e</w:t>
      </w:r>
      <w:r w:rsidR="00FD5DAC" w:rsidRPr="00A60FD5">
        <w:rPr>
          <w:rFonts w:ascii="Times New Roman" w:hAnsi="Times New Roman" w:cs="Times New Roman"/>
          <w:lang w:eastAsia="zh-CN"/>
        </w:rPr>
        <w:t xml:space="preserve">se investments should favor dispute-resolution mechanisms, like arbitration, that preserve the continuity of the exchange beyond disputes (Lumineau and Oxley, 2012; Williamson, 1985). </w:t>
      </w:r>
      <w:r w:rsidR="00FD5DAC" w:rsidRPr="00A60FD5">
        <w:rPr>
          <w:rFonts w:ascii="Times New Roman" w:hAnsi="Times New Roman" w:cs="Times New Roman"/>
          <w:bCs/>
        </w:rPr>
        <w:t>Third</w:t>
      </w:r>
      <w:r w:rsidR="00F77063" w:rsidRPr="00A60FD5">
        <w:rPr>
          <w:rFonts w:ascii="Times New Roman" w:hAnsi="Times New Roman" w:cs="Times New Roman"/>
          <w:bCs/>
        </w:rPr>
        <w:t xml:space="preserve">, </w:t>
      </w:r>
      <w:r w:rsidR="00220E4C" w:rsidRPr="00A60FD5">
        <w:rPr>
          <w:rFonts w:ascii="Times New Roman" w:hAnsi="Times New Roman" w:cs="Times New Roman"/>
          <w:bCs/>
        </w:rPr>
        <w:t xml:space="preserve">we include a variable named </w:t>
      </w:r>
      <w:r w:rsidR="00220E4C" w:rsidRPr="00A60FD5">
        <w:rPr>
          <w:rFonts w:ascii="Times New Roman" w:hAnsi="Times New Roman"/>
          <w:i/>
        </w:rPr>
        <w:t xml:space="preserve">observability of the licensee’s behavior, </w:t>
      </w:r>
      <w:r w:rsidR="00220E4C" w:rsidRPr="00A60FD5">
        <w:rPr>
          <w:rFonts w:ascii="Times New Roman" w:hAnsi="Times New Roman" w:cs="Times New Roman"/>
          <w:bCs/>
        </w:rPr>
        <w:t xml:space="preserve">which focuses on whether the licensor could easily: (i) monitor and control the performance of the licensee in terms of royalties, sales, or production volume, and (ii) monitor and control how the licensee uses the licensor’s proprietary knowledge. The items were measured using five-point Likert-type scales ranging from “Strongly disagree” to “Strongly agree.” The Cronbach alpha coefficient is 0,88. </w:t>
      </w:r>
      <w:r w:rsidR="00FD5DAC" w:rsidRPr="00A60FD5">
        <w:rPr>
          <w:rFonts w:ascii="Times New Roman" w:hAnsi="Times New Roman" w:cs="Times New Roman"/>
          <w:bCs/>
        </w:rPr>
        <w:t xml:space="preserve">When it is difficult to observe counterparties’ contribution, non-disclosure of information is likely to occur </w:t>
      </w:r>
      <w:r w:rsidR="00A435D1" w:rsidRPr="00A60FD5">
        <w:rPr>
          <w:rFonts w:ascii="Times New Roman" w:hAnsi="Times New Roman" w:cs="Times New Roman"/>
          <w:bCs/>
        </w:rPr>
        <w:t xml:space="preserve">either </w:t>
      </w:r>
      <w:r w:rsidR="00FD5DAC" w:rsidRPr="00A60FD5">
        <w:rPr>
          <w:rFonts w:ascii="Times New Roman" w:hAnsi="Times New Roman" w:cs="Times New Roman"/>
          <w:bCs/>
        </w:rPr>
        <w:t xml:space="preserve">purposefully or </w:t>
      </w:r>
      <w:r w:rsidR="00A435D1" w:rsidRPr="00A60FD5">
        <w:rPr>
          <w:rFonts w:ascii="Times New Roman" w:hAnsi="Times New Roman" w:cs="Times New Roman"/>
          <w:bCs/>
        </w:rPr>
        <w:t xml:space="preserve">otherwise </w:t>
      </w:r>
      <w:r w:rsidR="00FD5DAC" w:rsidRPr="00A60FD5">
        <w:rPr>
          <w:rFonts w:ascii="Times New Roman" w:hAnsi="Times New Roman" w:cs="Times New Roman"/>
          <w:bCs/>
        </w:rPr>
        <w:t xml:space="preserve">(Williamson, 1985). As shown in previous studies, contractual provisions tend be more extensive when behaviors are difficult to verify (e.g., Alchian and Demsetz, 1972). </w:t>
      </w:r>
      <w:r w:rsidR="00220E4C" w:rsidRPr="00A60FD5">
        <w:rPr>
          <w:rFonts w:ascii="Times New Roman" w:hAnsi="Times New Roman" w:cs="Times New Roman"/>
          <w:bCs/>
        </w:rPr>
        <w:t>The expertise of the arbitrators as well as their ability to rely on business trends, norms and customs for judging the fairness of firms’ practices or the quality of outputs should be highly valued when observability is limited (Bernstein, 2001</w:t>
      </w:r>
      <w:r w:rsidR="00220E4C" w:rsidRPr="00A60FD5">
        <w:rPr>
          <w:rFonts w:ascii="Times New Roman" w:hAnsi="Times New Roman"/>
          <w:bCs/>
        </w:rPr>
        <w:t>).</w:t>
      </w:r>
      <w:r w:rsidR="00220E4C" w:rsidRPr="00A60FD5">
        <w:rPr>
          <w:rFonts w:ascii="Times New Roman" w:hAnsi="Times New Roman" w:cs="Times New Roman"/>
          <w:bCs/>
        </w:rPr>
        <w:t xml:space="preserve"> </w:t>
      </w:r>
      <w:r w:rsidR="00FD5DAC" w:rsidRPr="00A60FD5">
        <w:rPr>
          <w:rFonts w:ascii="Times New Roman" w:hAnsi="Times New Roman" w:cs="Times New Roman"/>
          <w:bCs/>
        </w:rPr>
        <w:t>Fourth,</w:t>
      </w:r>
      <w:r w:rsidR="00D91B7B" w:rsidRPr="00A60FD5">
        <w:rPr>
          <w:rFonts w:ascii="Times New Roman" w:hAnsi="Times New Roman" w:cs="Times New Roman"/>
          <w:bCs/>
        </w:rPr>
        <w:t xml:space="preserve"> in order to assess the </w:t>
      </w:r>
      <w:r w:rsidR="00D91B7B" w:rsidRPr="00A60FD5">
        <w:rPr>
          <w:rFonts w:ascii="Times New Roman" w:hAnsi="Times New Roman" w:cs="Times New Roman"/>
          <w:bCs/>
          <w:i/>
        </w:rPr>
        <w:t xml:space="preserve">technological capabilities required by the licensor to develop the technology, </w:t>
      </w:r>
      <w:r w:rsidR="00D91B7B" w:rsidRPr="00A60FD5">
        <w:rPr>
          <w:rFonts w:ascii="Times New Roman" w:hAnsi="Times New Roman" w:cs="Times New Roman"/>
          <w:bCs/>
        </w:rPr>
        <w:t xml:space="preserve">we </w:t>
      </w:r>
      <w:r w:rsidR="00495BC6" w:rsidRPr="00A60FD5">
        <w:rPr>
          <w:rFonts w:ascii="Times New Roman" w:hAnsi="Times New Roman" w:cs="Times New Roman"/>
          <w:bCs/>
        </w:rPr>
        <w:t>use</w:t>
      </w:r>
      <w:r w:rsidR="00D91B7B" w:rsidRPr="00A60FD5">
        <w:rPr>
          <w:rFonts w:ascii="Times New Roman" w:hAnsi="Times New Roman" w:cs="Times New Roman"/>
          <w:bCs/>
        </w:rPr>
        <w:t>d</w:t>
      </w:r>
      <w:r w:rsidR="00495BC6" w:rsidRPr="00A60FD5">
        <w:rPr>
          <w:rFonts w:ascii="Times New Roman" w:hAnsi="Times New Roman" w:cs="Times New Roman"/>
          <w:bCs/>
        </w:rPr>
        <w:t xml:space="preserve"> th</w:t>
      </w:r>
      <w:r w:rsidR="00234520" w:rsidRPr="00A60FD5">
        <w:rPr>
          <w:rFonts w:ascii="Times New Roman" w:hAnsi="Times New Roman" w:cs="Times New Roman"/>
          <w:bCs/>
        </w:rPr>
        <w:t>e</w:t>
      </w:r>
      <w:r w:rsidR="0003041E" w:rsidRPr="00A60FD5">
        <w:rPr>
          <w:rFonts w:ascii="Times New Roman" w:hAnsi="Times New Roman" w:cs="Times New Roman"/>
          <w:bCs/>
        </w:rPr>
        <w:t xml:space="preserve"> following</w:t>
      </w:r>
      <w:r w:rsidR="00495BC6" w:rsidRPr="00A60FD5">
        <w:rPr>
          <w:rFonts w:ascii="Times New Roman" w:hAnsi="Times New Roman" w:cs="Times New Roman"/>
          <w:bCs/>
        </w:rPr>
        <w:t xml:space="preserve"> item</w:t>
      </w:r>
      <w:r w:rsidR="00D91B7B" w:rsidRPr="00A60FD5">
        <w:rPr>
          <w:rFonts w:ascii="Times New Roman" w:hAnsi="Times New Roman" w:cs="Times New Roman"/>
          <w:bCs/>
        </w:rPr>
        <w:t xml:space="preserve">: </w:t>
      </w:r>
      <w:r w:rsidR="00495BC6" w:rsidRPr="00A60FD5">
        <w:rPr>
          <w:rFonts w:ascii="Times New Roman" w:hAnsi="Times New Roman" w:cs="Times New Roman"/>
          <w:bCs/>
        </w:rPr>
        <w:t>to develop this technology, the licensor had to invest significantly in experienced and trained skilled human resources (</w:t>
      </w:r>
      <w:r w:rsidR="00CF2365" w:rsidRPr="00A60FD5">
        <w:rPr>
          <w:rFonts w:ascii="Times New Roman" w:hAnsi="Times New Roman" w:cs="Times New Roman"/>
          <w:bCs/>
        </w:rPr>
        <w:t>Simonin, 1999</w:t>
      </w:r>
      <w:r w:rsidR="00495BC6" w:rsidRPr="00A60FD5">
        <w:rPr>
          <w:rFonts w:ascii="Times New Roman" w:hAnsi="Times New Roman" w:cs="Times New Roman"/>
          <w:bCs/>
        </w:rPr>
        <w:t>). Respondents were asked to use a five-point Likert scale ranging from “Not at all” to “To a great extent”.</w:t>
      </w:r>
      <w:r w:rsidR="00D91B7B" w:rsidRPr="00A60FD5">
        <w:rPr>
          <w:rFonts w:ascii="Times New Roman" w:hAnsi="Times New Roman" w:cs="Times New Roman"/>
          <w:bCs/>
        </w:rPr>
        <w:t xml:space="preserve"> </w:t>
      </w:r>
      <w:r w:rsidR="007C5B82" w:rsidRPr="00A60FD5">
        <w:rPr>
          <w:rFonts w:ascii="Times New Roman" w:hAnsi="Times New Roman" w:cs="Times New Roman"/>
          <w:bCs/>
        </w:rPr>
        <w:t>Harhoff  and Reitzig (200</w:t>
      </w:r>
      <w:r w:rsidR="00C70070" w:rsidRPr="00A60FD5">
        <w:rPr>
          <w:rFonts w:ascii="Times New Roman" w:hAnsi="Times New Roman" w:cs="Times New Roman"/>
          <w:bCs/>
        </w:rPr>
        <w:t>4</w:t>
      </w:r>
      <w:r w:rsidR="007C5B82" w:rsidRPr="00A60FD5">
        <w:rPr>
          <w:rFonts w:ascii="Times New Roman" w:hAnsi="Times New Roman" w:cs="Times New Roman"/>
          <w:bCs/>
        </w:rPr>
        <w:t>) state that the exposure of patent</w:t>
      </w:r>
      <w:r w:rsidR="0003041E" w:rsidRPr="00A60FD5">
        <w:rPr>
          <w:rFonts w:ascii="Times New Roman" w:hAnsi="Times New Roman" w:cs="Times New Roman"/>
          <w:bCs/>
        </w:rPr>
        <w:t>ed technology</w:t>
      </w:r>
      <w:r w:rsidR="007C5B82" w:rsidRPr="00A60FD5">
        <w:rPr>
          <w:rFonts w:ascii="Times New Roman" w:hAnsi="Times New Roman" w:cs="Times New Roman"/>
          <w:bCs/>
        </w:rPr>
        <w:t xml:space="preserve"> to opposition is more likely if the patent right is perceived to be a weak one with respect to its degree of novelty or</w:t>
      </w:r>
      <w:r w:rsidR="00234520" w:rsidRPr="00A60FD5">
        <w:rPr>
          <w:rFonts w:ascii="Times New Roman" w:hAnsi="Times New Roman" w:cs="Times New Roman"/>
          <w:bCs/>
        </w:rPr>
        <w:t xml:space="preserve"> its</w:t>
      </w:r>
      <w:r w:rsidR="007C5B82" w:rsidRPr="00A60FD5">
        <w:rPr>
          <w:rFonts w:ascii="Times New Roman" w:hAnsi="Times New Roman" w:cs="Times New Roman"/>
          <w:bCs/>
        </w:rPr>
        <w:t xml:space="preserve"> inventive step. When skills </w:t>
      </w:r>
      <w:r w:rsidR="0003041E" w:rsidRPr="00A60FD5">
        <w:rPr>
          <w:rFonts w:ascii="Times New Roman" w:hAnsi="Times New Roman" w:cs="Times New Roman"/>
          <w:bCs/>
        </w:rPr>
        <w:t xml:space="preserve">and capabilities </w:t>
      </w:r>
      <w:r w:rsidR="007C5B82" w:rsidRPr="00A60FD5">
        <w:rPr>
          <w:rFonts w:ascii="Times New Roman" w:hAnsi="Times New Roman" w:cs="Times New Roman"/>
          <w:bCs/>
        </w:rPr>
        <w:t xml:space="preserve">at the root of the technology developed are </w:t>
      </w:r>
      <w:r w:rsidR="002A15D4" w:rsidRPr="00A60FD5">
        <w:rPr>
          <w:rFonts w:ascii="Times New Roman" w:hAnsi="Times New Roman" w:cs="Times New Roman"/>
          <w:bCs/>
        </w:rPr>
        <w:t>highly</w:t>
      </w:r>
      <w:r w:rsidR="007C5B82" w:rsidRPr="00A60FD5">
        <w:rPr>
          <w:rFonts w:ascii="Times New Roman" w:hAnsi="Times New Roman" w:cs="Times New Roman"/>
          <w:bCs/>
        </w:rPr>
        <w:t xml:space="preserve"> </w:t>
      </w:r>
      <w:r w:rsidR="007C5B82" w:rsidRPr="00A60FD5">
        <w:rPr>
          <w:rFonts w:ascii="Times New Roman" w:hAnsi="Times New Roman" w:cs="Times New Roman"/>
          <w:bCs/>
        </w:rPr>
        <w:lastRenderedPageBreak/>
        <w:t xml:space="preserve">valuable and unique, there is less chance </w:t>
      </w:r>
      <w:r w:rsidR="00234520" w:rsidRPr="00A60FD5">
        <w:rPr>
          <w:rFonts w:ascii="Times New Roman" w:hAnsi="Times New Roman" w:cs="Times New Roman"/>
          <w:bCs/>
        </w:rPr>
        <w:t xml:space="preserve">of </w:t>
      </w:r>
      <w:r w:rsidR="007C5B82" w:rsidRPr="00A60FD5">
        <w:rPr>
          <w:rFonts w:ascii="Times New Roman" w:hAnsi="Times New Roman" w:cs="Times New Roman"/>
          <w:bCs/>
        </w:rPr>
        <w:t>related-patents be</w:t>
      </w:r>
      <w:r w:rsidR="00234520" w:rsidRPr="00A60FD5">
        <w:rPr>
          <w:rFonts w:ascii="Times New Roman" w:hAnsi="Times New Roman" w:cs="Times New Roman"/>
          <w:bCs/>
        </w:rPr>
        <w:t>ing</w:t>
      </w:r>
      <w:r w:rsidR="007C5B82" w:rsidRPr="00A60FD5">
        <w:rPr>
          <w:rFonts w:ascii="Times New Roman" w:hAnsi="Times New Roman" w:cs="Times New Roman"/>
          <w:bCs/>
        </w:rPr>
        <w:t xml:space="preserve"> exposed to opposition</w:t>
      </w:r>
      <w:r w:rsidR="00617D0A" w:rsidRPr="00A60FD5">
        <w:rPr>
          <w:rFonts w:ascii="Times New Roman" w:hAnsi="Times New Roman" w:cs="Times New Roman"/>
          <w:bCs/>
        </w:rPr>
        <w:t xml:space="preserve"> (Lanjouw and Schankerman, 2001)</w:t>
      </w:r>
      <w:r w:rsidR="007C5B82" w:rsidRPr="00A60FD5">
        <w:rPr>
          <w:rFonts w:ascii="Times New Roman" w:hAnsi="Times New Roman" w:cs="Times New Roman"/>
          <w:bCs/>
        </w:rPr>
        <w:t xml:space="preserve">. The </w:t>
      </w:r>
      <w:r w:rsidR="001B3E66" w:rsidRPr="00A60FD5">
        <w:rPr>
          <w:rFonts w:ascii="Times New Roman" w:hAnsi="Times New Roman" w:cs="Times New Roman"/>
          <w:bCs/>
        </w:rPr>
        <w:t>licensee tends</w:t>
      </w:r>
      <w:r w:rsidR="0003041E" w:rsidRPr="00A60FD5">
        <w:rPr>
          <w:rFonts w:ascii="Times New Roman" w:hAnsi="Times New Roman" w:cs="Times New Roman"/>
          <w:bCs/>
        </w:rPr>
        <w:t xml:space="preserve"> to be </w:t>
      </w:r>
      <w:r w:rsidR="002A15D4" w:rsidRPr="00A60FD5">
        <w:rPr>
          <w:rFonts w:ascii="Times New Roman" w:hAnsi="Times New Roman" w:cs="Times New Roman"/>
          <w:bCs/>
        </w:rPr>
        <w:t xml:space="preserve">more willing to make the </w:t>
      </w:r>
      <w:r w:rsidR="00234520" w:rsidRPr="00A60FD5">
        <w:rPr>
          <w:rFonts w:ascii="Times New Roman" w:hAnsi="Times New Roman" w:cs="Times New Roman"/>
          <w:bCs/>
        </w:rPr>
        <w:t xml:space="preserve">required </w:t>
      </w:r>
      <w:r w:rsidR="002A15D4" w:rsidRPr="00A60FD5">
        <w:rPr>
          <w:rFonts w:ascii="Times New Roman" w:hAnsi="Times New Roman" w:cs="Times New Roman"/>
          <w:bCs/>
        </w:rPr>
        <w:t xml:space="preserve">investments if the risks that the product or service using the </w:t>
      </w:r>
      <w:r w:rsidR="0003041E" w:rsidRPr="00A60FD5">
        <w:rPr>
          <w:rFonts w:ascii="Times New Roman" w:hAnsi="Times New Roman" w:cs="Times New Roman"/>
          <w:bCs/>
        </w:rPr>
        <w:t xml:space="preserve">patented </w:t>
      </w:r>
      <w:r w:rsidR="002A15D4" w:rsidRPr="00A60FD5">
        <w:rPr>
          <w:rFonts w:ascii="Times New Roman" w:hAnsi="Times New Roman" w:cs="Times New Roman"/>
          <w:bCs/>
        </w:rPr>
        <w:t xml:space="preserve">technology is withdrawn from the market remain limited. </w:t>
      </w:r>
      <w:r w:rsidR="0003041E" w:rsidRPr="00A60FD5">
        <w:rPr>
          <w:rFonts w:ascii="Times New Roman" w:hAnsi="Times New Roman" w:cs="Times New Roman"/>
          <w:bCs/>
        </w:rPr>
        <w:t xml:space="preserve">The resulting secured setting and the expected gains may </w:t>
      </w:r>
      <w:r w:rsidR="00234520" w:rsidRPr="00A60FD5">
        <w:rPr>
          <w:rFonts w:ascii="Times New Roman" w:hAnsi="Times New Roman" w:cs="Times New Roman"/>
          <w:bCs/>
        </w:rPr>
        <w:t xml:space="preserve">form </w:t>
      </w:r>
      <w:r w:rsidR="0003041E" w:rsidRPr="00A60FD5">
        <w:rPr>
          <w:rFonts w:ascii="Times New Roman" w:hAnsi="Times New Roman" w:cs="Times New Roman"/>
          <w:bCs/>
        </w:rPr>
        <w:t xml:space="preserve">the </w:t>
      </w:r>
      <w:r w:rsidR="00234520" w:rsidRPr="00A60FD5">
        <w:rPr>
          <w:rFonts w:ascii="Times New Roman" w:hAnsi="Times New Roman" w:cs="Times New Roman"/>
          <w:bCs/>
        </w:rPr>
        <w:t xml:space="preserve">basis </w:t>
      </w:r>
      <w:r w:rsidR="0003041E" w:rsidRPr="00A60FD5">
        <w:rPr>
          <w:rFonts w:ascii="Times New Roman" w:hAnsi="Times New Roman" w:cs="Times New Roman"/>
          <w:bCs/>
        </w:rPr>
        <w:t xml:space="preserve">for collaboration and lead to </w:t>
      </w:r>
      <w:r w:rsidR="00234520" w:rsidRPr="00A60FD5">
        <w:rPr>
          <w:rFonts w:ascii="Times New Roman" w:hAnsi="Times New Roman" w:cs="Times New Roman"/>
          <w:bCs/>
        </w:rPr>
        <w:t>extensive</w:t>
      </w:r>
      <w:r w:rsidR="0003041E" w:rsidRPr="00A60FD5">
        <w:rPr>
          <w:rFonts w:ascii="Times New Roman" w:hAnsi="Times New Roman" w:cs="Times New Roman"/>
          <w:bCs/>
        </w:rPr>
        <w:t xml:space="preserve"> use of amicable dispute-resolution mechanisms like arbitration. </w:t>
      </w:r>
    </w:p>
    <w:p w14:paraId="7A93AACE" w14:textId="6187EB36" w:rsidR="00F77063" w:rsidRPr="00A60FD5" w:rsidRDefault="00FD5DAC" w:rsidP="00993D3C">
      <w:pPr>
        <w:spacing w:after="0" w:line="480" w:lineRule="auto"/>
        <w:ind w:firstLine="624"/>
        <w:rPr>
          <w:rFonts w:ascii="Times New Roman" w:hAnsi="Times New Roman"/>
        </w:rPr>
      </w:pPr>
      <w:r w:rsidRPr="00A60FD5">
        <w:rPr>
          <w:rFonts w:ascii="Times New Roman" w:hAnsi="Times New Roman" w:cs="Times New Roman"/>
          <w:bCs/>
        </w:rPr>
        <w:t xml:space="preserve">The next two technology-based variables relate to the characteristics of the licensing transaction itself. </w:t>
      </w:r>
      <w:r w:rsidR="000E30ED" w:rsidRPr="00A60FD5">
        <w:rPr>
          <w:rFonts w:ascii="Times New Roman" w:hAnsi="Times New Roman" w:cs="Times New Roman"/>
          <w:bCs/>
        </w:rPr>
        <w:t xml:space="preserve">We first control for the exclusivity of the </w:t>
      </w:r>
      <w:r w:rsidR="00F77063" w:rsidRPr="00A60FD5">
        <w:rPr>
          <w:rFonts w:ascii="Times New Roman" w:hAnsi="Times New Roman" w:cs="Times New Roman"/>
          <w:bCs/>
        </w:rPr>
        <w:t xml:space="preserve">licensing exchange. </w:t>
      </w:r>
      <w:r w:rsidR="000E30ED" w:rsidRPr="00A60FD5">
        <w:rPr>
          <w:rFonts w:ascii="Times New Roman" w:hAnsi="Times New Roman" w:cs="Times New Roman"/>
          <w:bCs/>
        </w:rPr>
        <w:t>To</w:t>
      </w:r>
      <w:r w:rsidR="000E30ED" w:rsidRPr="00A60FD5">
        <w:rPr>
          <w:rFonts w:ascii="Times New Roman" w:hAnsi="Times New Roman"/>
        </w:rPr>
        <w:t xml:space="preserve"> measure </w:t>
      </w:r>
      <w:r w:rsidR="000E30ED" w:rsidRPr="00A60FD5">
        <w:rPr>
          <w:rFonts w:ascii="Times New Roman" w:hAnsi="Times New Roman"/>
          <w:i/>
        </w:rPr>
        <w:t>exclusivity</w:t>
      </w:r>
      <w:r w:rsidR="000E30ED" w:rsidRPr="00A60FD5">
        <w:rPr>
          <w:rFonts w:ascii="Times New Roman" w:hAnsi="Times New Roman"/>
        </w:rPr>
        <w:t>, we use a dummy variable that is equal to one if the licensee is granted monopolistic use of the technology within a territory or field of use, and for a certain time period. It is zero otherwise.</w:t>
      </w:r>
      <w:r w:rsidR="00871F6E" w:rsidRPr="00A60FD5">
        <w:rPr>
          <w:rStyle w:val="FootnoteReference"/>
          <w:rFonts w:ascii="Times New Roman" w:hAnsi="Times New Roman"/>
        </w:rPr>
        <w:footnoteReference w:id="10"/>
      </w:r>
      <w:r w:rsidR="000E30ED" w:rsidRPr="00A60FD5">
        <w:rPr>
          <w:rFonts w:ascii="Times New Roman" w:hAnsi="Times New Roman"/>
        </w:rPr>
        <w:t xml:space="preserve"> </w:t>
      </w:r>
      <w:r w:rsidR="00F77063" w:rsidRPr="00A60FD5">
        <w:rPr>
          <w:rFonts w:ascii="Times New Roman" w:hAnsi="Times New Roman" w:cs="Times New Roman"/>
          <w:bCs/>
        </w:rPr>
        <w:t xml:space="preserve">Some provisions used in market-based exchanges such as licensing foster dependency between the firms involved and also instill a hostage setup (Oxley, 1997; Williamson, 1985). The granting of exclusivity rights is the most critical hostage mechanism used in the licensing context (Aulakh et al., 2010; Somaya et al., 2010). </w:t>
      </w:r>
      <w:r w:rsidR="000E30ED" w:rsidRPr="00A60FD5">
        <w:rPr>
          <w:rFonts w:ascii="Times New Roman" w:hAnsi="Times New Roman" w:cs="Times New Roman"/>
          <w:bCs/>
        </w:rPr>
        <w:t xml:space="preserve">Given the damages associated with early termination of an exclusive license, one might expect mutual adjustments to take place when disturbances surface. Furthermore, thanks to the restriction on the number of licensees, the licensor should more easily monitor the licensee’s actions (Aulkah et al., 2010) and be less burdened by </w:t>
      </w:r>
      <w:r w:rsidR="00234520" w:rsidRPr="00A60FD5">
        <w:rPr>
          <w:rFonts w:ascii="Times New Roman" w:hAnsi="Times New Roman" w:cs="Times New Roman"/>
          <w:bCs/>
        </w:rPr>
        <w:t>dealing with potential</w:t>
      </w:r>
      <w:r w:rsidR="000E30ED" w:rsidRPr="00A60FD5">
        <w:rPr>
          <w:rFonts w:ascii="Times New Roman" w:hAnsi="Times New Roman" w:cs="Times New Roman"/>
          <w:bCs/>
        </w:rPr>
        <w:t xml:space="preserve"> competition between licensees coexisting in </w:t>
      </w:r>
      <w:r w:rsidR="00234520" w:rsidRPr="00A60FD5">
        <w:rPr>
          <w:rFonts w:ascii="Times New Roman" w:hAnsi="Times New Roman" w:cs="Times New Roman"/>
          <w:bCs/>
        </w:rPr>
        <w:t xml:space="preserve">the </w:t>
      </w:r>
      <w:r w:rsidR="000E30ED" w:rsidRPr="00A60FD5">
        <w:rPr>
          <w:rFonts w:ascii="Times New Roman" w:hAnsi="Times New Roman" w:cs="Times New Roman"/>
          <w:bCs/>
        </w:rPr>
        <w:t xml:space="preserve">same territory (Arora and Fosfuri, 2003). </w:t>
      </w:r>
      <w:r w:rsidR="00F77063" w:rsidRPr="00A60FD5">
        <w:rPr>
          <w:rFonts w:ascii="Times New Roman" w:hAnsi="Times New Roman" w:cs="Times New Roman"/>
          <w:bCs/>
        </w:rPr>
        <w:t xml:space="preserve">Public ordering should </w:t>
      </w:r>
      <w:r w:rsidR="000E30ED" w:rsidRPr="00A60FD5">
        <w:rPr>
          <w:rFonts w:ascii="Times New Roman" w:hAnsi="Times New Roman" w:cs="Times New Roman"/>
          <w:bCs/>
        </w:rPr>
        <w:t xml:space="preserve">here </w:t>
      </w:r>
      <w:r w:rsidR="00F77063" w:rsidRPr="00A60FD5">
        <w:rPr>
          <w:rFonts w:ascii="Times New Roman" w:hAnsi="Times New Roman" w:cs="Times New Roman"/>
          <w:bCs/>
        </w:rPr>
        <w:t xml:space="preserve">be perceived as more suitable for preventing or handling possible disputes that cannot be contained internally despite the exclusivity granted. Opting for </w:t>
      </w:r>
      <w:r w:rsidR="00F85325" w:rsidRPr="00A60FD5">
        <w:rPr>
          <w:rFonts w:ascii="Times New Roman" w:hAnsi="Times New Roman" w:cs="Times New Roman"/>
          <w:bCs/>
        </w:rPr>
        <w:t xml:space="preserve">the </w:t>
      </w:r>
      <w:r w:rsidR="00F77063" w:rsidRPr="00A60FD5">
        <w:rPr>
          <w:rFonts w:ascii="Times New Roman" w:hAnsi="Times New Roman" w:cs="Times New Roman"/>
          <w:bCs/>
        </w:rPr>
        <w:t xml:space="preserve">public court and its severe sanctions may dissuade counter-productive actions and ward off disputes that could not be accommodated internally and amicably. </w:t>
      </w:r>
      <w:r w:rsidR="000E30ED" w:rsidRPr="00A60FD5">
        <w:rPr>
          <w:rFonts w:ascii="Times New Roman" w:hAnsi="Times New Roman" w:cs="Times New Roman"/>
          <w:bCs/>
        </w:rPr>
        <w:t xml:space="preserve">We also control for the </w:t>
      </w:r>
      <w:r w:rsidR="00993D3C" w:rsidRPr="00A60FD5">
        <w:rPr>
          <w:rFonts w:ascii="Times New Roman" w:hAnsi="Times New Roman" w:cs="Times New Roman"/>
          <w:bCs/>
          <w:i/>
        </w:rPr>
        <w:t>license’s scope</w:t>
      </w:r>
      <w:r w:rsidR="00993D3C" w:rsidRPr="00A60FD5">
        <w:rPr>
          <w:rFonts w:ascii="Times New Roman" w:hAnsi="Times New Roman" w:cs="Times New Roman"/>
          <w:bCs/>
        </w:rPr>
        <w:t xml:space="preserve"> by computing a variable equal to one when joint efforts in manufacturing or marketing are expected, </w:t>
      </w:r>
      <w:r w:rsidR="00F85325" w:rsidRPr="00A60FD5">
        <w:rPr>
          <w:rFonts w:ascii="Times New Roman" w:hAnsi="Times New Roman" w:cs="Times New Roman"/>
          <w:bCs/>
        </w:rPr>
        <w:t xml:space="preserve">to </w:t>
      </w:r>
      <w:r w:rsidR="00993D3C" w:rsidRPr="00A60FD5">
        <w:rPr>
          <w:rFonts w:ascii="Times New Roman" w:hAnsi="Times New Roman" w:cs="Times New Roman"/>
          <w:bCs/>
        </w:rPr>
        <w:t>two when joint manufacturing and marketing efforts are both expected, and to zero otherwise. Th</w:t>
      </w:r>
      <w:r w:rsidR="00F85325" w:rsidRPr="00A60FD5">
        <w:rPr>
          <w:rFonts w:ascii="Times New Roman" w:hAnsi="Times New Roman" w:cs="Times New Roman"/>
          <w:bCs/>
        </w:rPr>
        <w:t>e</w:t>
      </w:r>
      <w:r w:rsidR="00993D3C" w:rsidRPr="00A60FD5">
        <w:rPr>
          <w:rFonts w:ascii="Times New Roman" w:hAnsi="Times New Roman" w:cs="Times New Roman"/>
          <w:bCs/>
        </w:rPr>
        <w:t xml:space="preserve">se scope decisions have important implications for the extent to which licensing partners expose valuable marketing- or </w:t>
      </w:r>
      <w:r w:rsidR="00993D3C" w:rsidRPr="00A60FD5">
        <w:rPr>
          <w:rFonts w:ascii="Times New Roman" w:hAnsi="Times New Roman" w:cs="Times New Roman"/>
          <w:bCs/>
        </w:rPr>
        <w:lastRenderedPageBreak/>
        <w:t>manufacturing-related knowledge and know-how to each other (Hagedoorn et al., 2008</w:t>
      </w:r>
      <w:r w:rsidR="00E3101B" w:rsidRPr="00A60FD5">
        <w:rPr>
          <w:rFonts w:ascii="Times New Roman" w:hAnsi="Times New Roman" w:cs="Times New Roman"/>
          <w:bCs/>
        </w:rPr>
        <w:t>; Oxley</w:t>
      </w:r>
      <w:r w:rsidR="00473F61" w:rsidRPr="00A60FD5">
        <w:rPr>
          <w:rFonts w:ascii="Times New Roman" w:hAnsi="Times New Roman" w:cs="Times New Roman"/>
          <w:bCs/>
        </w:rPr>
        <w:t xml:space="preserve"> and Sampson</w:t>
      </w:r>
      <w:r w:rsidR="00E3101B" w:rsidRPr="00A60FD5">
        <w:rPr>
          <w:rFonts w:ascii="Times New Roman" w:hAnsi="Times New Roman" w:cs="Times New Roman"/>
          <w:bCs/>
        </w:rPr>
        <w:t>, 2004</w:t>
      </w:r>
      <w:r w:rsidR="00993D3C" w:rsidRPr="00A60FD5">
        <w:rPr>
          <w:rFonts w:ascii="Times New Roman" w:hAnsi="Times New Roman" w:cs="Times New Roman"/>
          <w:bCs/>
        </w:rPr>
        <w:t>). The extent of coordination and more intimate face-to-face contact necessary to achieve success increases (Kogut, 1988; Kogut and Zander, 1992; Gulati and Singh, 1998) and uncertainty raises the costs of monitoring and assessing partner</w:t>
      </w:r>
      <w:r w:rsidR="0003041E" w:rsidRPr="00A60FD5">
        <w:rPr>
          <w:rFonts w:ascii="Times New Roman" w:hAnsi="Times New Roman" w:cs="Times New Roman"/>
          <w:bCs/>
        </w:rPr>
        <w:t>s’</w:t>
      </w:r>
      <w:r w:rsidR="00993D3C" w:rsidRPr="00A60FD5">
        <w:rPr>
          <w:rFonts w:ascii="Times New Roman" w:hAnsi="Times New Roman" w:cs="Times New Roman"/>
          <w:bCs/>
        </w:rPr>
        <w:t xml:space="preserve"> behavior (Pisano,1989). An increase in </w:t>
      </w:r>
      <w:r w:rsidR="00F85325" w:rsidRPr="00A60FD5">
        <w:rPr>
          <w:rFonts w:ascii="Times New Roman" w:hAnsi="Times New Roman" w:cs="Times New Roman"/>
          <w:bCs/>
        </w:rPr>
        <w:t xml:space="preserve">the </w:t>
      </w:r>
      <w:r w:rsidR="00993D3C" w:rsidRPr="00A60FD5">
        <w:rPr>
          <w:rFonts w:ascii="Times New Roman" w:hAnsi="Times New Roman" w:cs="Times New Roman"/>
          <w:bCs/>
        </w:rPr>
        <w:t>vertical scope of a partnership exacerbates the complexity of collaborati</w:t>
      </w:r>
      <w:r w:rsidR="0003041E" w:rsidRPr="00A60FD5">
        <w:rPr>
          <w:rFonts w:ascii="Times New Roman" w:hAnsi="Times New Roman" w:cs="Times New Roman"/>
          <w:bCs/>
        </w:rPr>
        <w:t xml:space="preserve">ons </w:t>
      </w:r>
      <w:r w:rsidR="00993D3C" w:rsidRPr="00A60FD5">
        <w:rPr>
          <w:rFonts w:ascii="Times New Roman" w:hAnsi="Times New Roman" w:cs="Times New Roman"/>
          <w:bCs/>
        </w:rPr>
        <w:t xml:space="preserve">overall (Reuer et al., 2002). Due to in-depth interlinkages in terms of knowledge shared and activities performed over the course of the licensing transaction, arbitrators might be better equipped than public judges </w:t>
      </w:r>
      <w:r w:rsidR="00F85325" w:rsidRPr="00A60FD5">
        <w:rPr>
          <w:rFonts w:ascii="Times New Roman" w:hAnsi="Times New Roman" w:cs="Times New Roman"/>
          <w:bCs/>
        </w:rPr>
        <w:t xml:space="preserve">to </w:t>
      </w:r>
      <w:r w:rsidR="00993D3C" w:rsidRPr="00A60FD5">
        <w:rPr>
          <w:rFonts w:ascii="Times New Roman" w:hAnsi="Times New Roman" w:cs="Times New Roman"/>
          <w:bCs/>
        </w:rPr>
        <w:t>understand the issues at hand and settl</w:t>
      </w:r>
      <w:r w:rsidR="00F85325" w:rsidRPr="00A60FD5">
        <w:rPr>
          <w:rFonts w:ascii="Times New Roman" w:hAnsi="Times New Roman" w:cs="Times New Roman"/>
          <w:bCs/>
        </w:rPr>
        <w:t>e</w:t>
      </w:r>
      <w:r w:rsidR="00993D3C" w:rsidRPr="00A60FD5">
        <w:rPr>
          <w:rFonts w:ascii="Times New Roman" w:hAnsi="Times New Roman" w:cs="Times New Roman"/>
          <w:bCs/>
        </w:rPr>
        <w:t xml:space="preserve"> disputes (Bonn, 1972; Hagedoorn and Hesen, 2007). Moreover, in embedded licensing more than </w:t>
      </w:r>
      <w:r w:rsidR="00E55DB5" w:rsidRPr="00A60FD5">
        <w:rPr>
          <w:rFonts w:ascii="Times New Roman" w:hAnsi="Times New Roman" w:cs="Times New Roman"/>
          <w:bCs/>
        </w:rPr>
        <w:t xml:space="preserve">in </w:t>
      </w:r>
      <w:r w:rsidR="00993D3C" w:rsidRPr="00A60FD5">
        <w:rPr>
          <w:rFonts w:ascii="Times New Roman" w:hAnsi="Times New Roman" w:cs="Times New Roman"/>
          <w:bCs/>
        </w:rPr>
        <w:t>standard licensing, a prospect of partnership continuity beyond possible disputes should play a positive role in favoring smooth resolution of conflicts when they arise.</w:t>
      </w:r>
    </w:p>
    <w:p w14:paraId="09862786" w14:textId="37D9E173" w:rsidR="000E2DAE" w:rsidRPr="00A60FD5" w:rsidRDefault="00E3101B" w:rsidP="00220E4C">
      <w:pPr>
        <w:spacing w:after="0" w:line="480" w:lineRule="auto"/>
        <w:ind w:firstLine="624"/>
        <w:rPr>
          <w:rFonts w:ascii="Times New Roman" w:hAnsi="Times New Roman" w:cs="Times New Roman"/>
        </w:rPr>
      </w:pPr>
      <w:r w:rsidRPr="00A60FD5">
        <w:rPr>
          <w:rFonts w:ascii="Times New Roman" w:hAnsi="Times New Roman"/>
        </w:rPr>
        <w:t xml:space="preserve">Our final technology-based variable </w:t>
      </w:r>
      <w:r w:rsidR="00F77063" w:rsidRPr="00A60FD5">
        <w:rPr>
          <w:rFonts w:ascii="Times New Roman" w:hAnsi="Times New Roman" w:cs="Times New Roman"/>
          <w:bCs/>
        </w:rPr>
        <w:t>capture</w:t>
      </w:r>
      <w:r w:rsidRPr="00A60FD5">
        <w:rPr>
          <w:rFonts w:ascii="Times New Roman" w:hAnsi="Times New Roman" w:cs="Times New Roman"/>
          <w:bCs/>
        </w:rPr>
        <w:t>s</w:t>
      </w:r>
      <w:r w:rsidR="00F77063" w:rsidRPr="00A60FD5">
        <w:rPr>
          <w:rFonts w:ascii="Times New Roman" w:hAnsi="Times New Roman" w:cs="Times New Roman"/>
          <w:bCs/>
        </w:rPr>
        <w:t xml:space="preserve"> the level of IP protection in the licensing partners’ country </w:t>
      </w:r>
      <w:r w:rsidR="00B42CC6" w:rsidRPr="00A60FD5">
        <w:rPr>
          <w:rFonts w:ascii="Times New Roman" w:hAnsi="Times New Roman" w:cs="Times New Roman"/>
          <w:bCs/>
        </w:rPr>
        <w:t xml:space="preserve">and corresponds to </w:t>
      </w:r>
      <w:r w:rsidR="00F77063" w:rsidRPr="00A60FD5">
        <w:rPr>
          <w:rFonts w:ascii="Times New Roman" w:hAnsi="Times New Roman" w:cs="Times New Roman"/>
          <w:bCs/>
        </w:rPr>
        <w:t xml:space="preserve">the </w:t>
      </w:r>
      <w:r w:rsidR="00F77063" w:rsidRPr="00A60FD5">
        <w:rPr>
          <w:rFonts w:ascii="Times New Roman" w:hAnsi="Times New Roman" w:cs="Times New Roman"/>
          <w:bCs/>
          <w:i/>
        </w:rPr>
        <w:t>patent-rights index</w:t>
      </w:r>
      <w:r w:rsidR="00F77063" w:rsidRPr="00A60FD5">
        <w:rPr>
          <w:rFonts w:ascii="Times New Roman" w:hAnsi="Times New Roman" w:cs="Times New Roman"/>
          <w:bCs/>
        </w:rPr>
        <w:t xml:space="preserve"> developed by Park (2008). </w:t>
      </w:r>
      <w:r w:rsidR="003C4945" w:rsidRPr="00A60FD5">
        <w:rPr>
          <w:rFonts w:ascii="Times New Roman" w:hAnsi="Times New Roman" w:cs="Times New Roman"/>
          <w:bCs/>
        </w:rPr>
        <w:t xml:space="preserve">Since all respondent firms were located in Belgium and the respondents were licensees or licensors, we opt </w:t>
      </w:r>
      <w:r w:rsidR="005704F8" w:rsidRPr="00A60FD5">
        <w:rPr>
          <w:rFonts w:ascii="Times New Roman" w:hAnsi="Times New Roman" w:cs="Times New Roman"/>
          <w:bCs/>
        </w:rPr>
        <w:t xml:space="preserve">to </w:t>
      </w:r>
      <w:r w:rsidR="003C4945" w:rsidRPr="00A60FD5">
        <w:rPr>
          <w:rFonts w:ascii="Times New Roman" w:hAnsi="Times New Roman" w:cs="Times New Roman"/>
          <w:bCs/>
        </w:rPr>
        <w:t>includ</w:t>
      </w:r>
      <w:r w:rsidR="005704F8" w:rsidRPr="00A60FD5">
        <w:rPr>
          <w:rFonts w:ascii="Times New Roman" w:hAnsi="Times New Roman" w:cs="Times New Roman"/>
          <w:bCs/>
        </w:rPr>
        <w:t>e</w:t>
      </w:r>
      <w:r w:rsidR="003C4945" w:rsidRPr="00A60FD5">
        <w:rPr>
          <w:rFonts w:ascii="Times New Roman" w:hAnsi="Times New Roman" w:cs="Times New Roman"/>
          <w:bCs/>
        </w:rPr>
        <w:t xml:space="preserve"> the index in the licensing partners’ – rather than respondent firms’ – country. This is equivalent to accounting for the distance between Belgian partners and foreign partners in terms of institutional quality for international deals. A</w:t>
      </w:r>
      <w:r w:rsidR="00EC77AD" w:rsidRPr="00A60FD5">
        <w:rPr>
          <w:rFonts w:ascii="Times New Roman" w:hAnsi="Times New Roman" w:cs="Times New Roman"/>
          <w:bCs/>
        </w:rPr>
        <w:t xml:space="preserve"> low </w:t>
      </w:r>
      <w:r w:rsidR="00EC77AD" w:rsidRPr="00A60FD5">
        <w:rPr>
          <w:rFonts w:ascii="Times New Roman" w:hAnsi="Times New Roman" w:cs="Times New Roman"/>
          <w:bCs/>
          <w:i/>
        </w:rPr>
        <w:t>patent-rights index</w:t>
      </w:r>
      <w:r w:rsidR="00EC77AD" w:rsidRPr="00A60FD5">
        <w:rPr>
          <w:rFonts w:ascii="Times New Roman" w:hAnsi="Times New Roman" w:cs="Times New Roman"/>
          <w:bCs/>
        </w:rPr>
        <w:t xml:space="preserve"> tends to trigger more opportunism and contractual hazards</w:t>
      </w:r>
      <w:r w:rsidR="003C4945" w:rsidRPr="00A60FD5">
        <w:rPr>
          <w:rFonts w:ascii="Times New Roman" w:hAnsi="Times New Roman" w:cs="Times New Roman"/>
          <w:bCs/>
        </w:rPr>
        <w:t xml:space="preserve"> in licensing as it makes </w:t>
      </w:r>
      <w:r w:rsidR="005704F8" w:rsidRPr="00A60FD5">
        <w:rPr>
          <w:rFonts w:ascii="Times New Roman" w:hAnsi="Times New Roman" w:cs="Times New Roman"/>
          <w:bCs/>
        </w:rPr>
        <w:t xml:space="preserve">it </w:t>
      </w:r>
      <w:r w:rsidR="003C4945" w:rsidRPr="00A60FD5">
        <w:rPr>
          <w:rFonts w:ascii="Times New Roman" w:hAnsi="Times New Roman" w:cs="Times New Roman"/>
          <w:bCs/>
        </w:rPr>
        <w:t xml:space="preserve">easier </w:t>
      </w:r>
      <w:r w:rsidR="005704F8" w:rsidRPr="00A60FD5">
        <w:rPr>
          <w:rFonts w:ascii="Times New Roman" w:hAnsi="Times New Roman" w:cs="Times New Roman"/>
          <w:bCs/>
        </w:rPr>
        <w:t>to develop</w:t>
      </w:r>
      <w:r w:rsidR="003C4945" w:rsidRPr="00A60FD5">
        <w:rPr>
          <w:rFonts w:ascii="Times New Roman" w:hAnsi="Times New Roman" w:cs="Times New Roman"/>
          <w:bCs/>
        </w:rPr>
        <w:t xml:space="preserve"> peripheral technology without infringing the original patent </w:t>
      </w:r>
      <w:r w:rsidR="00EC77AD" w:rsidRPr="00A60FD5">
        <w:rPr>
          <w:rFonts w:ascii="Times New Roman" w:hAnsi="Times New Roman" w:cs="Times New Roman"/>
          <w:bCs/>
        </w:rPr>
        <w:t>(</w:t>
      </w:r>
      <w:r w:rsidR="003C4945" w:rsidRPr="00A60FD5">
        <w:rPr>
          <w:rFonts w:ascii="Times New Roman" w:hAnsi="Times New Roman" w:cs="Times New Roman"/>
          <w:bCs/>
        </w:rPr>
        <w:t>Aulakh et al., 2013; Hennart, 1991</w:t>
      </w:r>
      <w:r w:rsidR="00EC77AD" w:rsidRPr="00A60FD5">
        <w:rPr>
          <w:rFonts w:ascii="Times New Roman" w:hAnsi="Times New Roman" w:cs="Times New Roman"/>
          <w:bCs/>
        </w:rPr>
        <w:t>). Weak IP protection can make the drafting of contracts and, in particular</w:t>
      </w:r>
      <w:r w:rsidR="005704F8" w:rsidRPr="00A60FD5">
        <w:rPr>
          <w:rFonts w:ascii="Times New Roman" w:hAnsi="Times New Roman" w:cs="Times New Roman"/>
          <w:bCs/>
        </w:rPr>
        <w:t>,</w:t>
      </w:r>
      <w:r w:rsidR="00EC77AD" w:rsidRPr="00A60FD5">
        <w:rPr>
          <w:rFonts w:ascii="Times New Roman" w:hAnsi="Times New Roman" w:cs="Times New Roman"/>
          <w:bCs/>
        </w:rPr>
        <w:t xml:space="preserve"> their execution more challenging overall (Crocker and Reynolds, 1993</w:t>
      </w:r>
      <w:r w:rsidR="003C4945" w:rsidRPr="00A60FD5">
        <w:rPr>
          <w:rFonts w:ascii="Times New Roman" w:hAnsi="Times New Roman" w:cs="Times New Roman"/>
          <w:bCs/>
        </w:rPr>
        <w:t xml:space="preserve">; </w:t>
      </w:r>
      <w:r w:rsidR="00473F61" w:rsidRPr="00A60FD5">
        <w:rPr>
          <w:rFonts w:ascii="Times New Roman" w:hAnsi="Times New Roman" w:cs="Times New Roman"/>
          <w:bCs/>
        </w:rPr>
        <w:t>Lerner and Merges</w:t>
      </w:r>
      <w:r w:rsidR="000E2DAE" w:rsidRPr="00A60FD5">
        <w:rPr>
          <w:rFonts w:ascii="Times New Roman" w:hAnsi="Times New Roman" w:cs="Times New Roman"/>
          <w:bCs/>
        </w:rPr>
        <w:t xml:space="preserve">, 1998; </w:t>
      </w:r>
      <w:r w:rsidR="003C4945" w:rsidRPr="00A60FD5">
        <w:rPr>
          <w:rFonts w:ascii="Times New Roman" w:hAnsi="Times New Roman" w:cs="Times New Roman"/>
          <w:bCs/>
        </w:rPr>
        <w:t>Oxley, 1999</w:t>
      </w:r>
      <w:r w:rsidR="00473F61" w:rsidRPr="00A60FD5">
        <w:rPr>
          <w:rFonts w:ascii="Times New Roman" w:hAnsi="Times New Roman" w:cs="Times New Roman"/>
          <w:bCs/>
        </w:rPr>
        <w:t>)</w:t>
      </w:r>
      <w:r w:rsidR="00B42CC6" w:rsidRPr="00A60FD5">
        <w:rPr>
          <w:rFonts w:ascii="Times New Roman" w:hAnsi="Times New Roman" w:cs="Times New Roman"/>
          <w:bCs/>
        </w:rPr>
        <w:t xml:space="preserve">. </w:t>
      </w:r>
      <w:r w:rsidR="005704F8" w:rsidRPr="00A60FD5">
        <w:rPr>
          <w:rFonts w:ascii="Times New Roman" w:hAnsi="Times New Roman" w:cs="Times New Roman"/>
          <w:bCs/>
        </w:rPr>
        <w:t>If a</w:t>
      </w:r>
      <w:r w:rsidR="000E2DAE" w:rsidRPr="00A60FD5">
        <w:rPr>
          <w:rFonts w:ascii="Times New Roman" w:hAnsi="Times New Roman" w:cs="Times New Roman"/>
          <w:bCs/>
        </w:rPr>
        <w:t xml:space="preserve"> dispute settlement has to be made either through </w:t>
      </w:r>
      <w:r w:rsidR="005704F8" w:rsidRPr="00A60FD5">
        <w:rPr>
          <w:rFonts w:ascii="Times New Roman" w:hAnsi="Times New Roman" w:cs="Times New Roman"/>
          <w:bCs/>
        </w:rPr>
        <w:t xml:space="preserve">the </w:t>
      </w:r>
      <w:r w:rsidR="000E2DAE" w:rsidRPr="00A60FD5">
        <w:rPr>
          <w:rFonts w:ascii="Times New Roman" w:hAnsi="Times New Roman" w:cs="Times New Roman"/>
          <w:bCs/>
        </w:rPr>
        <w:t xml:space="preserve">public court or arbitration, the judge’s or arbitrator’s decisions must be recognized and enforced by the national public court of the sanctioned licensing partner (Park, 1998). In weakly protective environments with </w:t>
      </w:r>
      <w:r w:rsidR="005704F8" w:rsidRPr="00A60FD5">
        <w:rPr>
          <w:rFonts w:ascii="Times New Roman" w:hAnsi="Times New Roman" w:cs="Times New Roman"/>
          <w:bCs/>
        </w:rPr>
        <w:t xml:space="preserve">a </w:t>
      </w:r>
      <w:r w:rsidR="000E2DAE" w:rsidRPr="00A60FD5">
        <w:rPr>
          <w:rFonts w:ascii="Times New Roman" w:hAnsi="Times New Roman" w:cs="Times New Roman"/>
          <w:bCs/>
        </w:rPr>
        <w:t xml:space="preserve">poor patent-right index, it is more likely that national courts interpret respective commitments, rights and duties at the expense of foreign partners, as well as refrain </w:t>
      </w:r>
      <w:r w:rsidR="003508DD" w:rsidRPr="00A60FD5">
        <w:rPr>
          <w:rFonts w:ascii="Times New Roman" w:hAnsi="Times New Roman" w:cs="Times New Roman"/>
          <w:bCs/>
        </w:rPr>
        <w:t xml:space="preserve">from </w:t>
      </w:r>
      <w:r w:rsidR="000E2DAE" w:rsidRPr="00A60FD5">
        <w:rPr>
          <w:rFonts w:ascii="Times New Roman" w:hAnsi="Times New Roman" w:cs="Times New Roman"/>
          <w:bCs/>
        </w:rPr>
        <w:t>properly enforc</w:t>
      </w:r>
      <w:r w:rsidR="003508DD" w:rsidRPr="00A60FD5">
        <w:rPr>
          <w:rFonts w:ascii="Times New Roman" w:hAnsi="Times New Roman" w:cs="Times New Roman"/>
          <w:bCs/>
        </w:rPr>
        <w:t>ing</w:t>
      </w:r>
      <w:r w:rsidR="000E2DAE" w:rsidRPr="00A60FD5">
        <w:rPr>
          <w:rFonts w:ascii="Times New Roman" w:hAnsi="Times New Roman" w:cs="Times New Roman"/>
          <w:bCs/>
        </w:rPr>
        <w:t xml:space="preserve"> the adjudication award made by courts or arbitrators. The quality of the institutional environments in both licensing partners’ countries is therefore critical for safeguarding investments and securing contractual commitments. Overall, trade partners’ behavior tends to be </w:t>
      </w:r>
      <w:r w:rsidR="000E2DAE" w:rsidRPr="00A60FD5">
        <w:rPr>
          <w:rFonts w:ascii="Times New Roman" w:hAnsi="Times New Roman" w:cs="Times New Roman"/>
          <w:bCs/>
        </w:rPr>
        <w:lastRenderedPageBreak/>
        <w:t xml:space="preserve">conditioned by rules prescribed and enforced in their respective national legal environment (Bruton et al., 2010). They might </w:t>
      </w:r>
      <w:r w:rsidR="003508DD" w:rsidRPr="00A60FD5">
        <w:rPr>
          <w:rFonts w:ascii="Times New Roman" w:hAnsi="Times New Roman" w:cs="Times New Roman"/>
          <w:bCs/>
        </w:rPr>
        <w:t xml:space="preserve">therefore </w:t>
      </w:r>
      <w:r w:rsidR="000E2DAE" w:rsidRPr="00A60FD5">
        <w:rPr>
          <w:rFonts w:ascii="Times New Roman" w:hAnsi="Times New Roman" w:cs="Times New Roman"/>
          <w:bCs/>
        </w:rPr>
        <w:t xml:space="preserve">be more tempted to behave opportunistically when located in weakly protective environments (Luo, </w:t>
      </w:r>
      <w:r w:rsidR="00DF7428" w:rsidRPr="00A60FD5">
        <w:rPr>
          <w:rFonts w:ascii="Times New Roman" w:hAnsi="Times New Roman" w:cs="Times New Roman"/>
          <w:bCs/>
        </w:rPr>
        <w:t xml:space="preserve">2001, </w:t>
      </w:r>
      <w:r w:rsidR="000E2DAE" w:rsidRPr="00A60FD5">
        <w:rPr>
          <w:rFonts w:ascii="Times New Roman" w:hAnsi="Times New Roman" w:cs="Times New Roman"/>
          <w:bCs/>
        </w:rPr>
        <w:t xml:space="preserve">2005; Oxley, 1999). Under such conditions, opting for </w:t>
      </w:r>
      <w:r w:rsidR="003508DD" w:rsidRPr="00A60FD5">
        <w:rPr>
          <w:rFonts w:ascii="Times New Roman" w:hAnsi="Times New Roman" w:cs="Times New Roman"/>
          <w:bCs/>
        </w:rPr>
        <w:t xml:space="preserve">an </w:t>
      </w:r>
      <w:r w:rsidR="000E2DAE" w:rsidRPr="00A60FD5">
        <w:rPr>
          <w:rFonts w:ascii="Times New Roman" w:hAnsi="Times New Roman" w:cs="Times New Roman"/>
          <w:bCs/>
        </w:rPr>
        <w:t>arbitration forum can be perceived as a means to secure fair and efficient resolution of dispute</w:t>
      </w:r>
      <w:r w:rsidR="003508DD" w:rsidRPr="00A60FD5">
        <w:rPr>
          <w:rFonts w:ascii="Times New Roman" w:hAnsi="Times New Roman" w:cs="Times New Roman"/>
          <w:bCs/>
        </w:rPr>
        <w:t>s</w:t>
      </w:r>
      <w:r w:rsidR="000E2DAE" w:rsidRPr="00A60FD5">
        <w:rPr>
          <w:rFonts w:ascii="Times New Roman" w:hAnsi="Times New Roman" w:cs="Times New Roman"/>
          <w:bCs/>
        </w:rPr>
        <w:t xml:space="preserve"> and </w:t>
      </w:r>
      <w:r w:rsidR="00DA2ECD" w:rsidRPr="00A60FD5">
        <w:rPr>
          <w:rFonts w:ascii="Times New Roman" w:hAnsi="Times New Roman" w:cs="Times New Roman"/>
          <w:bCs/>
        </w:rPr>
        <w:t xml:space="preserve">to </w:t>
      </w:r>
      <w:r w:rsidR="000E2DAE" w:rsidRPr="00A60FD5">
        <w:rPr>
          <w:rFonts w:ascii="Times New Roman" w:hAnsi="Times New Roman" w:cs="Times New Roman"/>
          <w:bCs/>
        </w:rPr>
        <w:t>prevent knowledge misappropriation (Leeson, 2008). It</w:t>
      </w:r>
      <w:r w:rsidR="000E2DAE" w:rsidRPr="00A60FD5">
        <w:rPr>
          <w:rFonts w:ascii="Times New Roman" w:hAnsi="Times New Roman" w:cs="Times New Roman"/>
          <w:color w:val="000000"/>
        </w:rPr>
        <w:t xml:space="preserve"> offers the opportunity to engineer </w:t>
      </w:r>
      <w:r w:rsidR="000E2DAE" w:rsidRPr="00A60FD5">
        <w:rPr>
          <w:rFonts w:ascii="Times New Roman" w:hAnsi="Times New Roman" w:cs="Times New Roman"/>
          <w:i/>
          <w:color w:val="000000"/>
        </w:rPr>
        <w:t>ex ante</w:t>
      </w:r>
      <w:r w:rsidR="000E2DAE" w:rsidRPr="00A60FD5">
        <w:rPr>
          <w:rFonts w:ascii="Times New Roman" w:hAnsi="Times New Roman" w:cs="Times New Roman"/>
          <w:color w:val="000000"/>
        </w:rPr>
        <w:t xml:space="preserve"> transparent, detailed, and commonly understood rules that enable partners to achieve clarity about enforcement </w:t>
      </w:r>
      <w:r w:rsidR="000E2DAE" w:rsidRPr="00A60FD5">
        <w:rPr>
          <w:rFonts w:ascii="Times New Roman" w:hAnsi="Times New Roman" w:cs="Times New Roman"/>
          <w:i/>
          <w:iCs/>
          <w:color w:val="000000"/>
        </w:rPr>
        <w:t xml:space="preserve">ex post </w:t>
      </w:r>
      <w:r w:rsidR="000E2DAE" w:rsidRPr="00A60FD5">
        <w:rPr>
          <w:rFonts w:ascii="Times New Roman" w:hAnsi="Times New Roman" w:cs="Times New Roman"/>
          <w:color w:val="000000"/>
        </w:rPr>
        <w:t xml:space="preserve">as well as mitigate perceptions of unfairness (Bernstein, 2001; Bonn, 1972). </w:t>
      </w:r>
      <w:r w:rsidRPr="00A60FD5">
        <w:rPr>
          <w:rFonts w:ascii="Times New Roman" w:hAnsi="Times New Roman" w:cs="Times New Roman"/>
          <w:bCs/>
        </w:rPr>
        <w:t xml:space="preserve"> </w:t>
      </w:r>
    </w:p>
    <w:p w14:paraId="2A8CA8E6" w14:textId="26C0DAF6" w:rsidR="0045440C" w:rsidRPr="00A60FD5" w:rsidRDefault="00F77063" w:rsidP="0045440C">
      <w:pPr>
        <w:spacing w:after="0" w:line="480" w:lineRule="auto"/>
        <w:ind w:firstLine="624"/>
        <w:rPr>
          <w:rFonts w:ascii="Times New Roman" w:hAnsi="Times New Roman" w:cs="Times New Roman"/>
          <w:bCs/>
        </w:rPr>
      </w:pPr>
      <w:r w:rsidRPr="00A60FD5">
        <w:rPr>
          <w:rFonts w:ascii="Times New Roman" w:hAnsi="Times New Roman" w:cs="Times New Roman"/>
          <w:bCs/>
        </w:rPr>
        <w:t xml:space="preserve">Besides the technology-based variables listed above, we also include exchange-specific characteristics </w:t>
      </w:r>
      <w:r w:rsidRPr="00A60FD5">
        <w:rPr>
          <w:rFonts w:ascii="Times New Roman" w:hAnsi="Times New Roman" w:cs="Times New Roman"/>
          <w:lang w:eastAsia="zh-CN"/>
        </w:rPr>
        <w:t>found in prior research to be key drivers</w:t>
      </w:r>
      <w:r w:rsidR="00177F77" w:rsidRPr="00A60FD5">
        <w:rPr>
          <w:rFonts w:ascii="Times New Roman" w:hAnsi="Times New Roman" w:cs="Times New Roman"/>
          <w:lang w:eastAsia="zh-CN"/>
        </w:rPr>
        <w:t xml:space="preserve"> for contractual and dispute-resolution decisions</w:t>
      </w:r>
      <w:r w:rsidRPr="00A60FD5">
        <w:rPr>
          <w:rFonts w:ascii="Times New Roman" w:hAnsi="Times New Roman" w:cs="Times New Roman"/>
          <w:lang w:eastAsia="zh-CN"/>
        </w:rPr>
        <w:t xml:space="preserve">. First, </w:t>
      </w:r>
      <w:r w:rsidR="00337A1B" w:rsidRPr="00A60FD5">
        <w:rPr>
          <w:rFonts w:ascii="Times New Roman" w:hAnsi="Times New Roman" w:cs="Times New Roman"/>
          <w:bCs/>
        </w:rPr>
        <w:t xml:space="preserve">we include a variable that captures the collaborative history between licensing partners. </w:t>
      </w:r>
      <w:r w:rsidR="00337A1B" w:rsidRPr="00A60FD5">
        <w:rPr>
          <w:rFonts w:ascii="Times New Roman" w:hAnsi="Times New Roman" w:cs="Times New Roman"/>
          <w:bCs/>
          <w:i/>
        </w:rPr>
        <w:t>P</w:t>
      </w:r>
      <w:r w:rsidR="00220E4C" w:rsidRPr="00A60FD5">
        <w:rPr>
          <w:rFonts w:ascii="Times New Roman" w:hAnsi="Times New Roman" w:cs="Times New Roman"/>
          <w:bCs/>
          <w:i/>
        </w:rPr>
        <w:t>rior ties</w:t>
      </w:r>
      <w:r w:rsidR="00220E4C" w:rsidRPr="00A60FD5">
        <w:rPr>
          <w:rFonts w:ascii="Times New Roman" w:hAnsi="Times New Roman" w:cs="Times New Roman"/>
          <w:bCs/>
        </w:rPr>
        <w:t xml:space="preserve"> is a dummy variable set equal to one when the partners had ties prior to the described license. It is set equal to zero in the absence of a prior tie or when the option “I don’t know” was selected</w:t>
      </w:r>
      <w:r w:rsidR="00220E4C" w:rsidRPr="00A60FD5" w:rsidDel="00DB056F">
        <w:rPr>
          <w:rFonts w:ascii="Times New Roman" w:hAnsi="Times New Roman" w:cs="Times New Roman"/>
          <w:bCs/>
        </w:rPr>
        <w:t>.</w:t>
      </w:r>
      <w:r w:rsidR="00220E4C" w:rsidRPr="00A60FD5">
        <w:rPr>
          <w:rStyle w:val="FootnoteReference"/>
          <w:rFonts w:ascii="Times New Roman" w:hAnsi="Times New Roman" w:cs="Times New Roman"/>
          <w:bCs/>
        </w:rPr>
        <w:footnoteReference w:id="11"/>
      </w:r>
      <w:r w:rsidR="00220E4C" w:rsidRPr="00A60FD5">
        <w:rPr>
          <w:rFonts w:ascii="Times New Roman" w:hAnsi="Times New Roman" w:cs="Times New Roman"/>
          <w:bCs/>
        </w:rPr>
        <w:t xml:space="preserve"> </w:t>
      </w:r>
      <w:r w:rsidR="0045440C" w:rsidRPr="00A60FD5">
        <w:rPr>
          <w:rFonts w:ascii="Times New Roman" w:hAnsi="Times New Roman" w:cs="Times New Roman"/>
          <w:bCs/>
        </w:rPr>
        <w:t>In line with prior studies, we expect that th</w:t>
      </w:r>
      <w:r w:rsidR="001D439F" w:rsidRPr="00A60FD5">
        <w:rPr>
          <w:rFonts w:ascii="Times New Roman" w:hAnsi="Times New Roman" w:cs="Times New Roman"/>
          <w:bCs/>
        </w:rPr>
        <w:t>e</w:t>
      </w:r>
      <w:r w:rsidR="0045440C" w:rsidRPr="00A60FD5">
        <w:rPr>
          <w:rFonts w:ascii="Times New Roman" w:hAnsi="Times New Roman" w:cs="Times New Roman"/>
          <w:bCs/>
        </w:rPr>
        <w:t xml:space="preserve">se ties will mitigate coordination and monitoring concerns thanks to the trust generated and the routines developed. The positive effect of prior collaboration on trust exhibited among partners is broadly accepted and supported by empirical research (e.g., Gulati, 1995; Uzzi, 1997). </w:t>
      </w:r>
      <w:r w:rsidR="004A65AF" w:rsidRPr="00A60FD5">
        <w:rPr>
          <w:rFonts w:ascii="Times New Roman" w:hAnsi="Times New Roman" w:cs="Times New Roman"/>
          <w:bCs/>
        </w:rPr>
        <w:t xml:space="preserve">As well as </w:t>
      </w:r>
      <w:r w:rsidR="0045440C" w:rsidRPr="00A60FD5">
        <w:rPr>
          <w:rFonts w:ascii="Times New Roman" w:hAnsi="Times New Roman" w:cs="Times New Roman"/>
          <w:bCs/>
        </w:rPr>
        <w:t>deterring opportunism, familiarity with each other’s resources and operations (Lazzarini et al., 2008) and routines established and refined over time (Cyert and March, 1963) ease discussion and enhance understanding of individual and mutual interests</w:t>
      </w:r>
      <w:r w:rsidR="00B42CC6" w:rsidRPr="00A60FD5">
        <w:rPr>
          <w:rFonts w:ascii="Times New Roman" w:hAnsi="Times New Roman" w:cs="Times New Roman"/>
          <w:bCs/>
        </w:rPr>
        <w:t>.</w:t>
      </w:r>
      <w:r w:rsidR="002C67D1" w:rsidRPr="00A60FD5">
        <w:rPr>
          <w:rFonts w:ascii="Times New Roman" w:hAnsi="Times New Roman" w:cs="Times New Roman"/>
          <w:bCs/>
        </w:rPr>
        <w:t xml:space="preserve"> Overall, the existence of prior ties should reduce the occurrence of disputes.</w:t>
      </w:r>
      <w:r w:rsidR="00B42CC6" w:rsidRPr="00A60FD5">
        <w:rPr>
          <w:rFonts w:ascii="Times New Roman" w:hAnsi="Times New Roman" w:cs="Times New Roman"/>
          <w:bCs/>
        </w:rPr>
        <w:t xml:space="preserve"> </w:t>
      </w:r>
      <w:r w:rsidR="0088326B" w:rsidRPr="00A60FD5">
        <w:rPr>
          <w:rFonts w:ascii="Times New Roman" w:hAnsi="Times New Roman" w:cs="Times New Roman"/>
          <w:bCs/>
        </w:rPr>
        <w:t xml:space="preserve">By opting for dilatory tactics, partners would risk the loss of </w:t>
      </w:r>
      <w:r w:rsidR="0041413E" w:rsidRPr="00A60FD5">
        <w:rPr>
          <w:rFonts w:ascii="Times New Roman" w:hAnsi="Times New Roman" w:cs="Times New Roman"/>
          <w:bCs/>
        </w:rPr>
        <w:t xml:space="preserve">the </w:t>
      </w:r>
      <w:r w:rsidR="0088326B" w:rsidRPr="00A60FD5">
        <w:rPr>
          <w:rFonts w:ascii="Times New Roman" w:hAnsi="Times New Roman" w:cs="Times New Roman"/>
          <w:bCs/>
        </w:rPr>
        <w:t>idiosyncratic and collaborative routines they developed together over time (Pisano, 1989). Given the damages associated with early termination, one might expect mutual adjustments to take place when disturbances surface. In other words, the threats of premature termination and loss of expected gains should bring discipline into the exchange and lessen opportunistic maneuvers (Klein, 1996). In situations where amicable resolution cannot be reached internally</w:t>
      </w:r>
      <w:r w:rsidR="006947D3" w:rsidRPr="00A60FD5">
        <w:rPr>
          <w:rFonts w:ascii="Times New Roman" w:hAnsi="Times New Roman" w:cs="Times New Roman"/>
          <w:bCs/>
        </w:rPr>
        <w:t xml:space="preserve"> in a bilateral way</w:t>
      </w:r>
      <w:r w:rsidR="0088326B" w:rsidRPr="00A60FD5">
        <w:rPr>
          <w:rFonts w:ascii="Times New Roman" w:hAnsi="Times New Roman" w:cs="Times New Roman"/>
          <w:bCs/>
        </w:rPr>
        <w:t xml:space="preserve">, partners should seriously question the viability of their collaboration. It is likely that, in order to foster the bilateral </w:t>
      </w:r>
      <w:r w:rsidR="0041413E" w:rsidRPr="00A60FD5">
        <w:rPr>
          <w:rFonts w:ascii="Times New Roman" w:hAnsi="Times New Roman" w:cs="Times New Roman"/>
          <w:bCs/>
        </w:rPr>
        <w:t>method for</w:t>
      </w:r>
      <w:r w:rsidR="0088326B" w:rsidRPr="00A60FD5">
        <w:rPr>
          <w:rFonts w:ascii="Times New Roman" w:hAnsi="Times New Roman" w:cs="Times New Roman"/>
          <w:bCs/>
        </w:rPr>
        <w:t xml:space="preserve"> handling disputes or to avoid </w:t>
      </w:r>
      <w:r w:rsidR="0088326B" w:rsidRPr="00A60FD5">
        <w:rPr>
          <w:rFonts w:ascii="Times New Roman" w:hAnsi="Times New Roman" w:cs="Times New Roman"/>
          <w:bCs/>
        </w:rPr>
        <w:lastRenderedPageBreak/>
        <w:t>dilatory tactics, licensing partners prefer litigation over arbitration. The threat of severe sanctions imposed by public courts can dissuade counter-productive actions</w:t>
      </w:r>
      <w:r w:rsidR="006947D3" w:rsidRPr="00A60FD5">
        <w:rPr>
          <w:rFonts w:ascii="Times New Roman" w:hAnsi="Times New Roman" w:cs="Times New Roman"/>
          <w:bCs/>
        </w:rPr>
        <w:t xml:space="preserve"> and disputes that could not be accommodated internally</w:t>
      </w:r>
      <w:r w:rsidR="0088326B" w:rsidRPr="00A60FD5">
        <w:rPr>
          <w:rFonts w:ascii="Times New Roman" w:hAnsi="Times New Roman" w:cs="Times New Roman"/>
          <w:bCs/>
        </w:rPr>
        <w:t xml:space="preserve">. </w:t>
      </w:r>
      <w:r w:rsidR="0045440C" w:rsidRPr="00A60FD5">
        <w:rPr>
          <w:rFonts w:ascii="Times New Roman" w:hAnsi="Times New Roman" w:cs="Times New Roman"/>
          <w:bCs/>
        </w:rPr>
        <w:t xml:space="preserve">When prior ties exist, public ordering should be perceived as more suitable for preventing or handling possible disputes that cannot be contained internally despite the existence of prior ties. </w:t>
      </w:r>
      <w:r w:rsidR="006947D3" w:rsidRPr="00A60FD5">
        <w:rPr>
          <w:rFonts w:ascii="Times New Roman" w:hAnsi="Times New Roman"/>
        </w:rPr>
        <w:t>The choice of ordering forum not only aims to resolve actual disputes but also to recognize potential disputes in advance and devise governance that can attenuate or even prevent them (Williamson</w:t>
      </w:r>
      <w:r w:rsidR="00601A6B">
        <w:rPr>
          <w:rFonts w:ascii="Times New Roman" w:hAnsi="Times New Roman"/>
        </w:rPr>
        <w:t>,</w:t>
      </w:r>
      <w:r w:rsidR="006947D3" w:rsidRPr="00A60FD5">
        <w:rPr>
          <w:rFonts w:ascii="Times New Roman" w:hAnsi="Times New Roman"/>
        </w:rPr>
        <w:t xml:space="preserve"> 1985).</w:t>
      </w:r>
    </w:p>
    <w:p w14:paraId="53C9657C" w14:textId="1E27DB44" w:rsidR="00337A1B" w:rsidRPr="00A60FD5" w:rsidRDefault="0045440C" w:rsidP="0045440C">
      <w:pPr>
        <w:spacing w:after="0" w:line="480" w:lineRule="auto"/>
        <w:ind w:firstLine="624"/>
        <w:rPr>
          <w:rFonts w:ascii="Times New Roman" w:hAnsi="Times New Roman" w:cs="Times New Roman"/>
          <w:bCs/>
        </w:rPr>
      </w:pPr>
      <w:r w:rsidRPr="00A60FD5">
        <w:rPr>
          <w:rFonts w:ascii="Times New Roman" w:hAnsi="Times New Roman" w:cs="Times New Roman"/>
          <w:bCs/>
        </w:rPr>
        <w:t>S</w:t>
      </w:r>
      <w:r w:rsidR="00F77063" w:rsidRPr="00A60FD5">
        <w:rPr>
          <w:rFonts w:ascii="Times New Roman" w:hAnsi="Times New Roman" w:cs="Times New Roman"/>
          <w:bCs/>
        </w:rPr>
        <w:t xml:space="preserve">econd, </w:t>
      </w:r>
      <w:r w:rsidR="00177F77" w:rsidRPr="00A60FD5">
        <w:rPr>
          <w:rFonts w:ascii="Times New Roman" w:hAnsi="Times New Roman" w:cs="Times New Roman"/>
          <w:color w:val="000000"/>
        </w:rPr>
        <w:t xml:space="preserve">we include a </w:t>
      </w:r>
      <w:r w:rsidR="00337A1B" w:rsidRPr="00A60FD5">
        <w:rPr>
          <w:rFonts w:ascii="Times New Roman" w:hAnsi="Times New Roman" w:cs="Times New Roman"/>
          <w:color w:val="000000"/>
        </w:rPr>
        <w:t xml:space="preserve">variable named </w:t>
      </w:r>
      <w:r w:rsidR="00337A1B" w:rsidRPr="00A60FD5">
        <w:rPr>
          <w:rFonts w:ascii="Times New Roman" w:hAnsi="Times New Roman" w:cs="Times New Roman"/>
          <w:i/>
          <w:color w:val="000000"/>
        </w:rPr>
        <w:t xml:space="preserve">same sector. </w:t>
      </w:r>
      <w:r w:rsidR="00337A1B" w:rsidRPr="00A60FD5">
        <w:rPr>
          <w:rFonts w:ascii="Times New Roman" w:hAnsi="Times New Roman" w:cs="Times New Roman"/>
          <w:color w:val="000000"/>
        </w:rPr>
        <w:t>In order to compute the same sector</w:t>
      </w:r>
      <w:r w:rsidR="0041413E" w:rsidRPr="00A60FD5">
        <w:rPr>
          <w:rFonts w:ascii="Times New Roman" w:hAnsi="Times New Roman" w:cs="Times New Roman"/>
          <w:color w:val="000000"/>
        </w:rPr>
        <w:t xml:space="preserve"> variable</w:t>
      </w:r>
      <w:r w:rsidR="00337A1B" w:rsidRPr="00A60FD5">
        <w:rPr>
          <w:rFonts w:ascii="Times New Roman" w:hAnsi="Times New Roman" w:cs="Times New Roman"/>
          <w:color w:val="000000"/>
        </w:rPr>
        <w:t xml:space="preserve">, we asked respondents whether their firm and the licensing partner firm belonged to the same sector. The values for this variable are therefore obtained from the survey itself and </w:t>
      </w:r>
      <w:r w:rsidR="0041413E" w:rsidRPr="00A60FD5">
        <w:rPr>
          <w:rFonts w:ascii="Times New Roman" w:hAnsi="Times New Roman" w:cs="Times New Roman"/>
          <w:color w:val="000000"/>
        </w:rPr>
        <w:t xml:space="preserve">are </w:t>
      </w:r>
      <w:r w:rsidR="00337A1B" w:rsidRPr="00A60FD5">
        <w:rPr>
          <w:rFonts w:ascii="Times New Roman" w:hAnsi="Times New Roman" w:cs="Times New Roman"/>
          <w:color w:val="000000"/>
        </w:rPr>
        <w:t xml:space="preserve">equal either to zero (i.e., different sector) or one (i.e., same sector). Although belonging to </w:t>
      </w:r>
      <w:r w:rsidR="0041413E" w:rsidRPr="00A60FD5">
        <w:rPr>
          <w:rFonts w:ascii="Times New Roman" w:hAnsi="Times New Roman" w:cs="Times New Roman"/>
          <w:color w:val="000000"/>
        </w:rPr>
        <w:t>the</w:t>
      </w:r>
      <w:r w:rsidR="00337A1B" w:rsidRPr="00A60FD5">
        <w:rPr>
          <w:rFonts w:ascii="Times New Roman" w:hAnsi="Times New Roman" w:cs="Times New Roman"/>
          <w:color w:val="000000"/>
        </w:rPr>
        <w:t xml:space="preserve"> same sector might ease inter-partner coordination, it simultaneously exacerbates the monitoring requirements to avoid unintended leakage by direct competitors (Hagedoorn et al., 2008; Oxley and Sampson, 2004). Hazards of sharing knowledge tend to be more salient when licensing partners are direct competitors in end</w:t>
      </w:r>
      <w:r w:rsidR="0041413E" w:rsidRPr="00A60FD5">
        <w:rPr>
          <w:rFonts w:ascii="Times New Roman" w:hAnsi="Times New Roman" w:cs="Times New Roman"/>
          <w:color w:val="000000"/>
        </w:rPr>
        <w:t>-</w:t>
      </w:r>
      <w:r w:rsidR="00337A1B" w:rsidRPr="00A60FD5">
        <w:rPr>
          <w:rFonts w:ascii="Times New Roman" w:hAnsi="Times New Roman" w:cs="Times New Roman"/>
          <w:color w:val="000000"/>
        </w:rPr>
        <w:t xml:space="preserve">product markets (Arora and Fosfuri, 2003; Oxley and Sampson, 2004). </w:t>
      </w:r>
      <w:r w:rsidR="00B42CC6" w:rsidRPr="00A60FD5">
        <w:rPr>
          <w:rFonts w:ascii="Times New Roman" w:hAnsi="Times New Roman" w:cs="Times New Roman"/>
          <w:color w:val="000000"/>
        </w:rPr>
        <w:t>S</w:t>
      </w:r>
      <w:r w:rsidR="00337A1B" w:rsidRPr="00A60FD5">
        <w:rPr>
          <w:rFonts w:ascii="Times New Roman" w:hAnsi="Times New Roman" w:cs="Times New Roman"/>
          <w:color w:val="000000"/>
        </w:rPr>
        <w:t>evere sanctions delivered by public courts should be preferred to amicable rules for preventing or resolving disputes that arise along the way</w:t>
      </w:r>
      <w:r w:rsidR="00B42CC6" w:rsidRPr="00A60FD5">
        <w:rPr>
          <w:rFonts w:ascii="Times New Roman" w:hAnsi="Times New Roman" w:cs="Times New Roman"/>
          <w:color w:val="000000"/>
        </w:rPr>
        <w:t xml:space="preserve"> between competitors</w:t>
      </w:r>
      <w:r w:rsidR="00F77063" w:rsidRPr="00A60FD5">
        <w:rPr>
          <w:rFonts w:ascii="Times New Roman" w:hAnsi="Times New Roman" w:cs="Times New Roman"/>
          <w:bCs/>
        </w:rPr>
        <w:t xml:space="preserve">. </w:t>
      </w:r>
    </w:p>
    <w:p w14:paraId="050BAC80" w14:textId="39FE7564" w:rsidR="00D03881" w:rsidRPr="00A60FD5" w:rsidRDefault="00337A1B" w:rsidP="007011B3">
      <w:pPr>
        <w:spacing w:after="0" w:line="480" w:lineRule="auto"/>
        <w:ind w:firstLine="624"/>
        <w:rPr>
          <w:rFonts w:ascii="Times New Roman" w:hAnsi="Times New Roman" w:cs="Times New Roman"/>
          <w:bCs/>
        </w:rPr>
      </w:pPr>
      <w:r w:rsidRPr="00A60FD5">
        <w:rPr>
          <w:rFonts w:ascii="Times New Roman" w:hAnsi="Times New Roman" w:cs="Times New Roman"/>
          <w:bCs/>
        </w:rPr>
        <w:t>Third, we</w:t>
      </w:r>
      <w:r w:rsidR="00F77063" w:rsidRPr="00A60FD5">
        <w:rPr>
          <w:rFonts w:ascii="Times New Roman" w:hAnsi="Times New Roman" w:cs="Times New Roman"/>
          <w:bCs/>
        </w:rPr>
        <w:t xml:space="preserve"> account for the legal assistance provided by external experts during the contractual-design phase. </w:t>
      </w:r>
      <w:r w:rsidRPr="00A60FD5">
        <w:rPr>
          <w:rFonts w:ascii="Times New Roman" w:hAnsi="Times New Roman" w:cs="Times New Roman"/>
          <w:bCs/>
        </w:rPr>
        <w:t xml:space="preserve">Our variable, </w:t>
      </w:r>
      <w:r w:rsidRPr="00A60FD5">
        <w:rPr>
          <w:rFonts w:ascii="Times New Roman" w:hAnsi="Times New Roman" w:cs="Times New Roman"/>
          <w:bCs/>
          <w:i/>
        </w:rPr>
        <w:t xml:space="preserve">legal assistance, </w:t>
      </w:r>
      <w:r w:rsidRPr="00A60FD5">
        <w:rPr>
          <w:rFonts w:ascii="Times New Roman" w:hAnsi="Times New Roman" w:cs="Times New Roman"/>
          <w:bCs/>
        </w:rPr>
        <w:t xml:space="preserve">is set equal to one if firms used experts with legal and technical expertise in contractual or IP matters </w:t>
      </w:r>
      <w:r w:rsidR="002C4CD7" w:rsidRPr="00A60FD5">
        <w:rPr>
          <w:rFonts w:ascii="Times New Roman" w:hAnsi="Times New Roman" w:cs="Times New Roman"/>
          <w:bCs/>
        </w:rPr>
        <w:t xml:space="preserve">when </w:t>
      </w:r>
      <w:r w:rsidRPr="00A60FD5">
        <w:rPr>
          <w:rFonts w:ascii="Times New Roman" w:hAnsi="Times New Roman" w:cs="Times New Roman"/>
          <w:bCs/>
        </w:rPr>
        <w:t>negotiating their licensing contracts. It is set equal to zero otherwise.</w:t>
      </w:r>
      <w:r w:rsidR="00D03881" w:rsidRPr="00A60FD5">
        <w:rPr>
          <w:rFonts w:ascii="Times New Roman" w:hAnsi="Times New Roman" w:cs="Times New Roman"/>
          <w:bCs/>
        </w:rPr>
        <w:t xml:space="preserve"> These experts are likely to impact the contract negotiation and </w:t>
      </w:r>
      <w:r w:rsidR="000C4CC0" w:rsidRPr="00A60FD5">
        <w:rPr>
          <w:rFonts w:ascii="Times New Roman" w:hAnsi="Times New Roman" w:cs="Times New Roman"/>
          <w:bCs/>
        </w:rPr>
        <w:t xml:space="preserve">its </w:t>
      </w:r>
      <w:r w:rsidR="00D03881" w:rsidRPr="00A60FD5">
        <w:rPr>
          <w:rFonts w:ascii="Times New Roman" w:hAnsi="Times New Roman" w:cs="Times New Roman"/>
          <w:bCs/>
        </w:rPr>
        <w:t xml:space="preserve">drafting for several reasons. </w:t>
      </w:r>
      <w:r w:rsidR="00B42CC6" w:rsidRPr="00A60FD5">
        <w:rPr>
          <w:rFonts w:ascii="Times New Roman" w:hAnsi="Times New Roman" w:cs="Times New Roman"/>
          <w:bCs/>
        </w:rPr>
        <w:t xml:space="preserve">We expect </w:t>
      </w:r>
      <w:r w:rsidR="002C4CD7" w:rsidRPr="00A60FD5">
        <w:rPr>
          <w:rFonts w:ascii="Times New Roman" w:hAnsi="Times New Roman" w:cs="Times New Roman"/>
          <w:bCs/>
        </w:rPr>
        <w:t>them to</w:t>
      </w:r>
      <w:r w:rsidR="00B42CC6" w:rsidRPr="00A60FD5">
        <w:rPr>
          <w:rFonts w:ascii="Times New Roman" w:hAnsi="Times New Roman" w:cs="Times New Roman"/>
          <w:bCs/>
        </w:rPr>
        <w:t xml:space="preserve"> </w:t>
      </w:r>
      <w:r w:rsidR="00F77063" w:rsidRPr="00A60FD5">
        <w:rPr>
          <w:rFonts w:ascii="Times New Roman" w:hAnsi="Times New Roman" w:cs="Times New Roman"/>
          <w:bCs/>
        </w:rPr>
        <w:t xml:space="preserve">positively influence their clients’ propensity to resolve disputes privately </w:t>
      </w:r>
      <w:r w:rsidR="00B42CC6" w:rsidRPr="00A60FD5">
        <w:rPr>
          <w:rFonts w:ascii="Times New Roman" w:hAnsi="Times New Roman" w:cs="Times New Roman"/>
          <w:bCs/>
        </w:rPr>
        <w:t xml:space="preserve">through arbitration </w:t>
      </w:r>
      <w:r w:rsidR="00F77063" w:rsidRPr="00A60FD5">
        <w:rPr>
          <w:rFonts w:ascii="Times New Roman" w:hAnsi="Times New Roman" w:cs="Times New Roman"/>
          <w:bCs/>
        </w:rPr>
        <w:t xml:space="preserve">(Sampson, 2003). </w:t>
      </w:r>
      <w:r w:rsidR="00B42CC6" w:rsidRPr="00A60FD5">
        <w:rPr>
          <w:rFonts w:ascii="Times New Roman" w:hAnsi="Times New Roman" w:cs="Times New Roman"/>
          <w:bCs/>
        </w:rPr>
        <w:t xml:space="preserve">Lawyers resort to approaches that, they believe, will ensure the greatest degree of control over process and results, and the least likelihood of a disastrous outcome for their clients. If the worst </w:t>
      </w:r>
      <w:r w:rsidR="00D9496C" w:rsidRPr="00A60FD5">
        <w:rPr>
          <w:rFonts w:ascii="Times New Roman" w:hAnsi="Times New Roman" w:cs="Times New Roman"/>
          <w:bCs/>
        </w:rPr>
        <w:t xml:space="preserve">case </w:t>
      </w:r>
      <w:r w:rsidR="00B42CC6" w:rsidRPr="00A60FD5">
        <w:rPr>
          <w:rFonts w:ascii="Times New Roman" w:hAnsi="Times New Roman" w:cs="Times New Roman"/>
          <w:bCs/>
        </w:rPr>
        <w:t>does happen, those lawyers must be able to cover themselves by justifying the choice they ma</w:t>
      </w:r>
      <w:r w:rsidR="00606DF1" w:rsidRPr="00A60FD5">
        <w:rPr>
          <w:rFonts w:ascii="Times New Roman" w:hAnsi="Times New Roman" w:cs="Times New Roman"/>
          <w:bCs/>
        </w:rPr>
        <w:t>de (Stipanowich, 2014)</w:t>
      </w:r>
      <w:r w:rsidR="00B42CC6" w:rsidRPr="00A60FD5">
        <w:rPr>
          <w:rFonts w:ascii="Times New Roman" w:hAnsi="Times New Roman" w:cs="Times New Roman"/>
          <w:bCs/>
        </w:rPr>
        <w:t xml:space="preserve">. </w:t>
      </w:r>
      <w:r w:rsidR="00D03881" w:rsidRPr="00A60FD5">
        <w:rPr>
          <w:rFonts w:ascii="Times New Roman" w:hAnsi="Times New Roman" w:cs="Times New Roman"/>
          <w:bCs/>
        </w:rPr>
        <w:t>Fourth</w:t>
      </w:r>
      <w:r w:rsidR="00F77063" w:rsidRPr="00A60FD5">
        <w:rPr>
          <w:rFonts w:ascii="Times New Roman" w:hAnsi="Times New Roman" w:cs="Times New Roman"/>
          <w:bCs/>
        </w:rPr>
        <w:t xml:space="preserve">, we consider the heterogeneity in licensing firms’ ability to </w:t>
      </w:r>
      <w:r w:rsidR="007658EA" w:rsidRPr="00A60FD5">
        <w:rPr>
          <w:rFonts w:ascii="Times New Roman" w:hAnsi="Times New Roman" w:cs="Times New Roman"/>
          <w:bCs/>
        </w:rPr>
        <w:t xml:space="preserve">craft </w:t>
      </w:r>
      <w:r w:rsidR="007658EA">
        <w:rPr>
          <w:rFonts w:ascii="Times New Roman" w:hAnsi="Times New Roman" w:cs="Times New Roman"/>
          <w:bCs/>
        </w:rPr>
        <w:t xml:space="preserve">and </w:t>
      </w:r>
      <w:r w:rsidR="009917D7" w:rsidRPr="00A60FD5">
        <w:rPr>
          <w:rFonts w:ascii="Times New Roman" w:hAnsi="Times New Roman" w:cs="Times New Roman"/>
          <w:bCs/>
        </w:rPr>
        <w:t xml:space="preserve">engage </w:t>
      </w:r>
      <w:r w:rsidR="007658EA">
        <w:rPr>
          <w:rFonts w:ascii="Times New Roman" w:hAnsi="Times New Roman" w:cs="Times New Roman"/>
          <w:bCs/>
        </w:rPr>
        <w:t xml:space="preserve">in </w:t>
      </w:r>
      <w:r w:rsidR="009917D7" w:rsidRPr="00A60FD5">
        <w:rPr>
          <w:rFonts w:ascii="Times New Roman" w:hAnsi="Times New Roman" w:cs="Times New Roman"/>
          <w:bCs/>
        </w:rPr>
        <w:t>partnership</w:t>
      </w:r>
      <w:r w:rsidR="00F77063" w:rsidRPr="00A60FD5">
        <w:rPr>
          <w:rFonts w:ascii="Times New Roman" w:hAnsi="Times New Roman" w:cs="Times New Roman"/>
          <w:bCs/>
        </w:rPr>
        <w:t xml:space="preserve"> contracts (Kale et al., 2002). In order to proxy the level of internal capabilities, we </w:t>
      </w:r>
      <w:r w:rsidR="006947D3" w:rsidRPr="00A60FD5">
        <w:rPr>
          <w:rFonts w:ascii="Times New Roman" w:hAnsi="Times New Roman" w:cs="Times New Roman"/>
          <w:bCs/>
        </w:rPr>
        <w:t xml:space="preserve">use </w:t>
      </w:r>
      <w:r w:rsidR="00F77063" w:rsidRPr="00A60FD5">
        <w:rPr>
          <w:rFonts w:ascii="Times New Roman" w:hAnsi="Times New Roman" w:cs="Times New Roman"/>
          <w:bCs/>
        </w:rPr>
        <w:t xml:space="preserve">information about the size of the licensors. </w:t>
      </w:r>
      <w:r w:rsidR="007011B3" w:rsidRPr="00A60FD5">
        <w:rPr>
          <w:rFonts w:ascii="Times New Roman" w:hAnsi="Times New Roman" w:cs="Times New Roman"/>
          <w:bCs/>
        </w:rPr>
        <w:lastRenderedPageBreak/>
        <w:t xml:space="preserve">Prior research on technology partnerships has made use of this size measure </w:t>
      </w:r>
      <w:r w:rsidR="00D9496C" w:rsidRPr="00A60FD5">
        <w:rPr>
          <w:rFonts w:ascii="Times New Roman" w:hAnsi="Times New Roman" w:cs="Times New Roman"/>
          <w:bCs/>
        </w:rPr>
        <w:t xml:space="preserve">to </w:t>
      </w:r>
      <w:r w:rsidR="007011B3" w:rsidRPr="00A60FD5">
        <w:rPr>
          <w:rFonts w:ascii="Times New Roman" w:hAnsi="Times New Roman" w:cs="Times New Roman"/>
          <w:bCs/>
        </w:rPr>
        <w:t xml:space="preserve">predict the propensity to engage in cooperation (e.g., Berlderbos et al., 2006; Cohen and Klepper, 1996; Harrigan, 1988; Lokshin et al., </w:t>
      </w:r>
      <w:r w:rsidR="007658EA" w:rsidRPr="00A60FD5">
        <w:rPr>
          <w:rFonts w:ascii="Times New Roman" w:hAnsi="Times New Roman" w:cs="Times New Roman"/>
          <w:bCs/>
        </w:rPr>
        <w:t>201</w:t>
      </w:r>
      <w:r w:rsidR="007658EA">
        <w:rPr>
          <w:rFonts w:ascii="Times New Roman" w:hAnsi="Times New Roman" w:cs="Times New Roman"/>
          <w:bCs/>
        </w:rPr>
        <w:t>1</w:t>
      </w:r>
      <w:r w:rsidR="007011B3" w:rsidRPr="00A60FD5">
        <w:rPr>
          <w:rFonts w:ascii="Times New Roman" w:hAnsi="Times New Roman" w:cs="Times New Roman"/>
          <w:bCs/>
        </w:rPr>
        <w:t xml:space="preserve">) and </w:t>
      </w:r>
      <w:r w:rsidR="00D9496C" w:rsidRPr="00A60FD5">
        <w:rPr>
          <w:rFonts w:ascii="Times New Roman" w:hAnsi="Times New Roman" w:cs="Times New Roman"/>
          <w:bCs/>
        </w:rPr>
        <w:t xml:space="preserve">to </w:t>
      </w:r>
      <w:r w:rsidR="007011B3" w:rsidRPr="00A60FD5">
        <w:rPr>
          <w:rFonts w:ascii="Times New Roman" w:hAnsi="Times New Roman" w:cs="Times New Roman"/>
          <w:bCs/>
        </w:rPr>
        <w:t>assess the ability to maintain partnership stability (Osborn and Baughn, 1990; Park and Ungson, 1997). Larger firms have more abundant resources</w:t>
      </w:r>
      <w:r w:rsidR="00871F7E" w:rsidRPr="00A60FD5">
        <w:rPr>
          <w:rFonts w:ascii="Times New Roman" w:hAnsi="Times New Roman" w:cs="Times New Roman"/>
          <w:bCs/>
        </w:rPr>
        <w:t xml:space="preserve"> (including legal resources, Bagley, 2008)</w:t>
      </w:r>
      <w:r w:rsidR="007011B3" w:rsidRPr="00A60FD5">
        <w:rPr>
          <w:rFonts w:ascii="Times New Roman" w:hAnsi="Times New Roman" w:cs="Times New Roman"/>
          <w:bCs/>
        </w:rPr>
        <w:t xml:space="preserve"> and find it easier to manage multiple partnerships compared to smaller firms (Kim and Vonortas, 2006). Thanks to the greater extent of knowledge and capabilities developed for coordinating and monitoring technology transfers over time, larger licensors should run a lower risk of losing control over their proprietary knowledge (Hagedoorn et al., 2008).</w:t>
      </w:r>
      <w:r w:rsidR="00C44CFA" w:rsidRPr="00A60FD5">
        <w:rPr>
          <w:rFonts w:ascii="Times New Roman" w:hAnsi="Times New Roman" w:cs="Times New Roman"/>
          <w:bCs/>
        </w:rPr>
        <w:t xml:space="preserve"> If, despite th</w:t>
      </w:r>
      <w:r w:rsidR="00D9496C" w:rsidRPr="00A60FD5">
        <w:rPr>
          <w:rFonts w:ascii="Times New Roman" w:hAnsi="Times New Roman" w:cs="Times New Roman"/>
          <w:bCs/>
        </w:rPr>
        <w:t>e</w:t>
      </w:r>
      <w:r w:rsidR="00C44CFA" w:rsidRPr="00A60FD5">
        <w:rPr>
          <w:rFonts w:ascii="Times New Roman" w:hAnsi="Times New Roman" w:cs="Times New Roman"/>
          <w:bCs/>
        </w:rPr>
        <w:t>se internal capabilities</w:t>
      </w:r>
      <w:r w:rsidR="00D9496C" w:rsidRPr="00A60FD5">
        <w:rPr>
          <w:rFonts w:ascii="Times New Roman" w:hAnsi="Times New Roman" w:cs="Times New Roman"/>
          <w:bCs/>
        </w:rPr>
        <w:t>,</w:t>
      </w:r>
      <w:r w:rsidR="00C44CFA" w:rsidRPr="00A60FD5">
        <w:rPr>
          <w:rFonts w:ascii="Times New Roman" w:hAnsi="Times New Roman" w:cs="Times New Roman"/>
          <w:bCs/>
        </w:rPr>
        <w:t xml:space="preserve"> dispute</w:t>
      </w:r>
      <w:r w:rsidR="00D9496C" w:rsidRPr="00A60FD5">
        <w:rPr>
          <w:rFonts w:ascii="Times New Roman" w:hAnsi="Times New Roman" w:cs="Times New Roman"/>
          <w:bCs/>
        </w:rPr>
        <w:t>s should</w:t>
      </w:r>
      <w:r w:rsidR="00C44CFA" w:rsidRPr="00A60FD5">
        <w:rPr>
          <w:rFonts w:ascii="Times New Roman" w:hAnsi="Times New Roman" w:cs="Times New Roman"/>
          <w:bCs/>
        </w:rPr>
        <w:t xml:space="preserve"> arise, larger licensors may be more inclined to prefer </w:t>
      </w:r>
      <w:r w:rsidR="00D9496C" w:rsidRPr="00A60FD5">
        <w:rPr>
          <w:rFonts w:ascii="Times New Roman" w:hAnsi="Times New Roman" w:cs="Times New Roman"/>
          <w:bCs/>
        </w:rPr>
        <w:t xml:space="preserve">a </w:t>
      </w:r>
      <w:r w:rsidR="00C44CFA" w:rsidRPr="00A60FD5">
        <w:rPr>
          <w:rFonts w:ascii="Times New Roman" w:hAnsi="Times New Roman" w:cs="Times New Roman"/>
          <w:bCs/>
        </w:rPr>
        <w:t xml:space="preserve">strongly sanctioning forum to settle the dispute. </w:t>
      </w:r>
      <w:r w:rsidR="009917D7" w:rsidRPr="00A60FD5">
        <w:rPr>
          <w:rFonts w:ascii="Times New Roman" w:hAnsi="Times New Roman" w:cs="Times New Roman"/>
          <w:bCs/>
        </w:rPr>
        <w:t>To compute this variable, we assign licensor firms to one of five categories based on the number of employees: (i) 100 or fewer employees; (ii) between 101 and 250 employees; (iii) between 251 and 500 employees; (iv) between 501 and 1,000 employees; and (v) more than 1,000 employees. Size is an indicator of the market and bargaining power of the licensor firm. When larger, the licensor can more easily benefit from and influence the actual process of contract negotiation (Mytelka, 1991).</w:t>
      </w:r>
    </w:p>
    <w:p w14:paraId="6718D338" w14:textId="3D6C28EE" w:rsidR="00220E4C" w:rsidRPr="00A60FD5" w:rsidRDefault="00F77063" w:rsidP="00220E4C">
      <w:pPr>
        <w:spacing w:after="0" w:line="480" w:lineRule="auto"/>
        <w:ind w:firstLine="624"/>
        <w:rPr>
          <w:rFonts w:ascii="Times New Roman" w:hAnsi="Times New Roman"/>
        </w:rPr>
      </w:pPr>
      <w:r w:rsidRPr="00A60FD5">
        <w:rPr>
          <w:rFonts w:ascii="Times New Roman" w:hAnsi="Times New Roman" w:cs="Times New Roman"/>
          <w:bCs/>
        </w:rPr>
        <w:t xml:space="preserve">Finally, </w:t>
      </w:r>
      <w:r w:rsidRPr="00A60FD5">
        <w:rPr>
          <w:rFonts w:ascii="Times New Roman" w:hAnsi="Times New Roman" w:cs="Times New Roman"/>
          <w:bCs/>
          <w:color w:val="000000" w:themeColor="text1"/>
        </w:rPr>
        <w:t xml:space="preserve">we capture possible regulatory changes over time that may hinder or encourage arbitration (Stipanowich and Lamare, </w:t>
      </w:r>
      <w:r w:rsidR="007658EA" w:rsidRPr="00A60FD5">
        <w:rPr>
          <w:rFonts w:ascii="Times New Roman" w:hAnsi="Times New Roman" w:cs="Times New Roman"/>
          <w:bCs/>
          <w:color w:val="000000" w:themeColor="text1"/>
        </w:rPr>
        <w:t>201</w:t>
      </w:r>
      <w:r w:rsidR="007658EA">
        <w:rPr>
          <w:rFonts w:ascii="Times New Roman" w:hAnsi="Times New Roman" w:cs="Times New Roman"/>
          <w:bCs/>
          <w:color w:val="000000" w:themeColor="text1"/>
        </w:rPr>
        <w:t>4</w:t>
      </w:r>
      <w:r w:rsidRPr="00A60FD5">
        <w:rPr>
          <w:rFonts w:ascii="Times New Roman" w:hAnsi="Times New Roman" w:cs="Times New Roman"/>
          <w:bCs/>
          <w:color w:val="000000" w:themeColor="text1"/>
        </w:rPr>
        <w:t xml:space="preserve">) by controlling for the </w:t>
      </w:r>
      <w:r w:rsidRPr="00A60FD5">
        <w:rPr>
          <w:rFonts w:ascii="Times New Roman" w:hAnsi="Times New Roman" w:cs="Times New Roman"/>
          <w:bCs/>
          <w:i/>
          <w:color w:val="000000" w:themeColor="text1"/>
        </w:rPr>
        <w:t>license’s age</w:t>
      </w:r>
      <w:r w:rsidRPr="00A60FD5">
        <w:rPr>
          <w:rFonts w:ascii="Times New Roman" w:hAnsi="Times New Roman" w:cs="Times New Roman"/>
          <w:bCs/>
          <w:color w:val="000000" w:themeColor="text1"/>
        </w:rPr>
        <w:t>. Based on the year of negotiation of the licensing contracts included in our sample</w:t>
      </w:r>
      <w:r w:rsidR="00D9496C" w:rsidRPr="00A60FD5">
        <w:rPr>
          <w:rFonts w:ascii="Times New Roman" w:hAnsi="Times New Roman" w:cs="Times New Roman"/>
          <w:bCs/>
          <w:color w:val="000000" w:themeColor="text1"/>
        </w:rPr>
        <w:t>,</w:t>
      </w:r>
      <w:r w:rsidRPr="00A60FD5">
        <w:rPr>
          <w:rFonts w:ascii="Times New Roman" w:hAnsi="Times New Roman" w:cs="Times New Roman"/>
          <w:bCs/>
          <w:color w:val="000000" w:themeColor="text1"/>
        </w:rPr>
        <w:t xml:space="preserve"> we create three main categories: up to two years; between three and ten years; and older than ten years. </w:t>
      </w:r>
      <w:r w:rsidR="00D03881" w:rsidRPr="00A60FD5">
        <w:rPr>
          <w:rFonts w:ascii="Times New Roman" w:hAnsi="Times New Roman" w:cs="Times New Roman"/>
          <w:bCs/>
          <w:color w:val="000000" w:themeColor="text1"/>
        </w:rPr>
        <w:t xml:space="preserve">Trade customs and commercial practices and norms </w:t>
      </w:r>
      <w:r w:rsidR="0045440C" w:rsidRPr="00A60FD5">
        <w:rPr>
          <w:rFonts w:ascii="Times New Roman" w:hAnsi="Times New Roman" w:cs="Times New Roman"/>
          <w:bCs/>
          <w:color w:val="000000" w:themeColor="text1"/>
        </w:rPr>
        <w:t xml:space="preserve">are </w:t>
      </w:r>
      <w:r w:rsidR="00D03881" w:rsidRPr="00A60FD5">
        <w:rPr>
          <w:rFonts w:ascii="Times New Roman" w:hAnsi="Times New Roman" w:cs="Times New Roman"/>
          <w:bCs/>
          <w:color w:val="000000" w:themeColor="text1"/>
        </w:rPr>
        <w:t>changing over time (e.g., Oxley, 1999; Poppo et al., 2008).</w:t>
      </w:r>
      <w:r w:rsidR="00606DF1" w:rsidRPr="00A60FD5">
        <w:rPr>
          <w:rFonts w:ascii="Times New Roman" w:hAnsi="Times New Roman" w:cs="Times New Roman"/>
          <w:bCs/>
          <w:color w:val="000000" w:themeColor="text1"/>
        </w:rPr>
        <w:t xml:space="preserve"> In this regard, </w:t>
      </w:r>
      <w:r w:rsidR="00D9496C" w:rsidRPr="00A60FD5">
        <w:rPr>
          <w:rFonts w:ascii="Times New Roman" w:hAnsi="Times New Roman" w:cs="Times New Roman"/>
          <w:bCs/>
          <w:color w:val="000000" w:themeColor="text1"/>
        </w:rPr>
        <w:t xml:space="preserve">the </w:t>
      </w:r>
      <w:r w:rsidR="00606DF1" w:rsidRPr="00A60FD5">
        <w:rPr>
          <w:rFonts w:ascii="Times New Roman" w:hAnsi="Times New Roman" w:cs="Times New Roman"/>
          <w:bCs/>
          <w:color w:val="000000" w:themeColor="text1"/>
        </w:rPr>
        <w:t>l</w:t>
      </w:r>
      <w:r w:rsidR="00DD07CA" w:rsidRPr="00A60FD5">
        <w:rPr>
          <w:rFonts w:ascii="Times New Roman" w:hAnsi="Times New Roman" w:cs="Times New Roman"/>
          <w:bCs/>
          <w:color w:val="000000" w:themeColor="text1"/>
        </w:rPr>
        <w:t xml:space="preserve">egal literature is </w:t>
      </w:r>
      <w:r w:rsidR="00D9496C" w:rsidRPr="00A60FD5">
        <w:rPr>
          <w:rFonts w:ascii="Times New Roman" w:hAnsi="Times New Roman" w:cs="Times New Roman"/>
          <w:bCs/>
          <w:color w:val="000000" w:themeColor="text1"/>
        </w:rPr>
        <w:t xml:space="preserve">quite </w:t>
      </w:r>
      <w:r w:rsidR="00DD07CA" w:rsidRPr="00A60FD5">
        <w:rPr>
          <w:rFonts w:ascii="Times New Roman" w:hAnsi="Times New Roman" w:cs="Times New Roman"/>
          <w:bCs/>
          <w:color w:val="000000" w:themeColor="text1"/>
        </w:rPr>
        <w:t xml:space="preserve">expansive concerning the changes in either arbitration or litigation procedures (e.g., </w:t>
      </w:r>
      <w:r w:rsidR="0020691D" w:rsidRPr="00A60FD5">
        <w:rPr>
          <w:rFonts w:ascii="Times New Roman" w:hAnsi="Times New Roman" w:cs="Times New Roman"/>
          <w:bCs/>
          <w:color w:val="000000" w:themeColor="text1"/>
        </w:rPr>
        <w:t>Stipanowich</w:t>
      </w:r>
      <w:r w:rsidR="00DD07CA" w:rsidRPr="00A60FD5">
        <w:rPr>
          <w:rFonts w:ascii="Times New Roman" w:hAnsi="Times New Roman" w:cs="Times New Roman"/>
          <w:bCs/>
          <w:color w:val="000000" w:themeColor="text1"/>
        </w:rPr>
        <w:t xml:space="preserve"> and Lamare, 201</w:t>
      </w:r>
      <w:r w:rsidR="004051F5" w:rsidRPr="00A60FD5">
        <w:rPr>
          <w:rFonts w:ascii="Times New Roman" w:hAnsi="Times New Roman" w:cs="Times New Roman"/>
          <w:bCs/>
          <w:color w:val="000000" w:themeColor="text1"/>
        </w:rPr>
        <w:t>4</w:t>
      </w:r>
      <w:r w:rsidR="00DD07CA" w:rsidRPr="00A60FD5">
        <w:rPr>
          <w:rFonts w:ascii="Times New Roman" w:hAnsi="Times New Roman" w:cs="Times New Roman"/>
          <w:bCs/>
          <w:color w:val="000000" w:themeColor="text1"/>
        </w:rPr>
        <w:t xml:space="preserve">; </w:t>
      </w:r>
      <w:r w:rsidR="0020691D" w:rsidRPr="00A60FD5">
        <w:rPr>
          <w:rFonts w:ascii="Times New Roman" w:hAnsi="Times New Roman" w:cs="Times New Roman"/>
          <w:bCs/>
          <w:color w:val="000000" w:themeColor="text1"/>
        </w:rPr>
        <w:t>Stipanowich</w:t>
      </w:r>
      <w:r w:rsidR="00DD07CA" w:rsidRPr="00A60FD5">
        <w:rPr>
          <w:rFonts w:ascii="Times New Roman" w:hAnsi="Times New Roman" w:cs="Times New Roman"/>
          <w:bCs/>
          <w:color w:val="000000" w:themeColor="text1"/>
        </w:rPr>
        <w:t xml:space="preserve">, 2014). </w:t>
      </w:r>
      <w:r w:rsidR="00AA296E" w:rsidRPr="00A60FD5">
        <w:rPr>
          <w:rFonts w:ascii="Times New Roman" w:hAnsi="Times New Roman"/>
        </w:rPr>
        <w:t xml:space="preserve">Stipanowich (2014) points out the dynamic evolution of arbitration and the changes of attitudes </w:t>
      </w:r>
      <w:r w:rsidR="00D9496C" w:rsidRPr="00A60FD5">
        <w:rPr>
          <w:rFonts w:ascii="Times New Roman" w:hAnsi="Times New Roman"/>
        </w:rPr>
        <w:t xml:space="preserve">among </w:t>
      </w:r>
      <w:r w:rsidR="00AA296E" w:rsidRPr="00A60FD5">
        <w:rPr>
          <w:rFonts w:ascii="Times New Roman" w:hAnsi="Times New Roman"/>
        </w:rPr>
        <w:t xml:space="preserve">business users and lawyers towards arbitration over time. A drop in </w:t>
      </w:r>
      <w:r w:rsidR="00D9496C" w:rsidRPr="00A60FD5">
        <w:rPr>
          <w:rFonts w:ascii="Times New Roman" w:hAnsi="Times New Roman"/>
        </w:rPr>
        <w:t xml:space="preserve">the </w:t>
      </w:r>
      <w:r w:rsidR="00AA296E" w:rsidRPr="00A60FD5">
        <w:rPr>
          <w:rFonts w:ascii="Times New Roman" w:hAnsi="Times New Roman"/>
        </w:rPr>
        <w:t>use of arbitration by leading businesses across a wide array of disputes is notably shown by Stipanowich and Lamare (201</w:t>
      </w:r>
      <w:r w:rsidR="004051F5" w:rsidRPr="00A60FD5">
        <w:rPr>
          <w:rFonts w:ascii="Times New Roman" w:hAnsi="Times New Roman"/>
        </w:rPr>
        <w:t>4</w:t>
      </w:r>
      <w:r w:rsidR="00AA296E" w:rsidRPr="00A60FD5">
        <w:rPr>
          <w:rFonts w:ascii="Times New Roman" w:hAnsi="Times New Roman"/>
        </w:rPr>
        <w:t xml:space="preserve">). </w:t>
      </w:r>
      <w:r w:rsidR="00606DF1" w:rsidRPr="00A60FD5">
        <w:rPr>
          <w:rFonts w:ascii="Times New Roman" w:hAnsi="Times New Roman" w:cs="Times New Roman"/>
          <w:bCs/>
          <w:color w:val="000000" w:themeColor="text1"/>
        </w:rPr>
        <w:t>Th</w:t>
      </w:r>
      <w:r w:rsidR="00D9496C" w:rsidRPr="00A60FD5">
        <w:rPr>
          <w:rFonts w:ascii="Times New Roman" w:hAnsi="Times New Roman" w:cs="Times New Roman"/>
          <w:bCs/>
          <w:color w:val="000000" w:themeColor="text1"/>
        </w:rPr>
        <w:t>e</w:t>
      </w:r>
      <w:r w:rsidR="00606DF1" w:rsidRPr="00A60FD5">
        <w:rPr>
          <w:rFonts w:ascii="Times New Roman" w:hAnsi="Times New Roman" w:cs="Times New Roman"/>
          <w:bCs/>
          <w:color w:val="000000" w:themeColor="text1"/>
        </w:rPr>
        <w:t>se preferences and trends over time may in turn slightly influence our predictions.</w:t>
      </w:r>
    </w:p>
    <w:p w14:paraId="283C111E" w14:textId="3CF2C05D" w:rsidR="00137CD7" w:rsidRPr="00A60FD5" w:rsidRDefault="00417594" w:rsidP="00515DD4">
      <w:pPr>
        <w:spacing w:after="0" w:line="480" w:lineRule="auto"/>
        <w:ind w:firstLine="624"/>
        <w:rPr>
          <w:rFonts w:ascii="Times New Roman" w:hAnsi="Times New Roman" w:cs="Times New Roman"/>
          <w:bCs/>
        </w:rPr>
      </w:pPr>
      <w:r w:rsidRPr="00A60FD5">
        <w:rPr>
          <w:rFonts w:ascii="Times New Roman" w:hAnsi="Times New Roman" w:cs="Times New Roman"/>
          <w:bCs/>
        </w:rPr>
        <w:t>In order to properly specify our model, we also include</w:t>
      </w:r>
      <w:r w:rsidR="00606DF1" w:rsidRPr="00A60FD5">
        <w:rPr>
          <w:rFonts w:ascii="Times New Roman" w:hAnsi="Times New Roman" w:cs="Times New Roman"/>
          <w:bCs/>
        </w:rPr>
        <w:t xml:space="preserve"> three</w:t>
      </w:r>
      <w:r w:rsidRPr="00A60FD5">
        <w:rPr>
          <w:rFonts w:ascii="Times New Roman" w:hAnsi="Times New Roman" w:cs="Times New Roman"/>
          <w:bCs/>
        </w:rPr>
        <w:t xml:space="preserve"> instrumental variables </w:t>
      </w:r>
      <w:r w:rsidR="00267F12" w:rsidRPr="00A60FD5">
        <w:rPr>
          <w:rFonts w:ascii="Times New Roman" w:hAnsi="Times New Roman" w:cs="Times New Roman"/>
          <w:bCs/>
        </w:rPr>
        <w:t>in the first-stage equations</w:t>
      </w:r>
      <w:r w:rsidRPr="00A60FD5">
        <w:rPr>
          <w:rFonts w:ascii="Times New Roman" w:hAnsi="Times New Roman" w:cs="Times New Roman"/>
          <w:bCs/>
        </w:rPr>
        <w:t xml:space="preserve">. </w:t>
      </w:r>
      <w:r w:rsidR="00515DD4" w:rsidRPr="00A60FD5">
        <w:rPr>
          <w:rFonts w:ascii="Times New Roman" w:hAnsi="Times New Roman" w:cs="Times New Roman"/>
          <w:bCs/>
        </w:rPr>
        <w:t xml:space="preserve">The instrument </w:t>
      </w:r>
      <w:r w:rsidR="00F24875" w:rsidRPr="00A60FD5">
        <w:rPr>
          <w:rFonts w:ascii="Times New Roman" w:hAnsi="Times New Roman" w:cs="Times New Roman"/>
          <w:bCs/>
          <w:i/>
        </w:rPr>
        <w:t>arm’s-length licensing</w:t>
      </w:r>
      <w:r w:rsidR="00F24875" w:rsidRPr="00A60FD5">
        <w:rPr>
          <w:rFonts w:ascii="Times New Roman" w:hAnsi="Times New Roman" w:cs="Times New Roman"/>
          <w:bCs/>
        </w:rPr>
        <w:t xml:space="preserve"> </w:t>
      </w:r>
      <w:r w:rsidR="00515DD4" w:rsidRPr="00A60FD5">
        <w:rPr>
          <w:rFonts w:ascii="Times New Roman" w:hAnsi="Times New Roman" w:cs="Times New Roman"/>
          <w:bCs/>
        </w:rPr>
        <w:t xml:space="preserve">is included in the monitoring equation. </w:t>
      </w:r>
      <w:r w:rsidR="00F24875" w:rsidRPr="00A60FD5">
        <w:rPr>
          <w:rFonts w:ascii="Times New Roman" w:hAnsi="Times New Roman" w:cs="Times New Roman"/>
          <w:bCs/>
        </w:rPr>
        <w:t xml:space="preserve">This </w:t>
      </w:r>
      <w:r w:rsidR="00F24875" w:rsidRPr="00A60FD5">
        <w:rPr>
          <w:rFonts w:ascii="Times New Roman" w:hAnsi="Times New Roman" w:cs="Times New Roman"/>
          <w:bCs/>
        </w:rPr>
        <w:lastRenderedPageBreak/>
        <w:t xml:space="preserve">variable </w:t>
      </w:r>
      <w:r w:rsidR="00643E55" w:rsidRPr="00A60FD5">
        <w:rPr>
          <w:rFonts w:ascii="Times New Roman" w:hAnsi="Times New Roman" w:cs="Times New Roman"/>
          <w:bCs/>
        </w:rPr>
        <w:t xml:space="preserve">equals one if the licensing partner is located in Belgium or the Netherlands, and zero otherwise. Geographical proximity limits travel time and costs and so can ease the </w:t>
      </w:r>
      <w:r w:rsidR="00F24875" w:rsidRPr="00A60FD5">
        <w:rPr>
          <w:rFonts w:ascii="Times New Roman" w:hAnsi="Times New Roman" w:cs="Times New Roman"/>
          <w:bCs/>
        </w:rPr>
        <w:t xml:space="preserve">monitoring of </w:t>
      </w:r>
      <w:r w:rsidR="00643E55" w:rsidRPr="00A60FD5">
        <w:rPr>
          <w:rFonts w:ascii="Times New Roman" w:hAnsi="Times New Roman" w:cs="Times New Roman"/>
          <w:bCs/>
        </w:rPr>
        <w:t xml:space="preserve">exchanges </w:t>
      </w:r>
      <w:r w:rsidR="00906D67" w:rsidRPr="00A60FD5">
        <w:rPr>
          <w:rFonts w:ascii="Times New Roman" w:hAnsi="Times New Roman" w:cs="Times New Roman"/>
          <w:bCs/>
        </w:rPr>
        <w:t>(</w:t>
      </w:r>
      <w:r w:rsidR="00643E55" w:rsidRPr="00A60FD5">
        <w:rPr>
          <w:rFonts w:ascii="Times New Roman" w:hAnsi="Times New Roman" w:cs="Times New Roman"/>
          <w:bCs/>
        </w:rPr>
        <w:t>Berry et al.</w:t>
      </w:r>
      <w:r w:rsidR="000325B7" w:rsidRPr="00A60FD5">
        <w:rPr>
          <w:rFonts w:ascii="Times New Roman" w:hAnsi="Times New Roman" w:cs="Times New Roman"/>
          <w:bCs/>
        </w:rPr>
        <w:t>,</w:t>
      </w:r>
      <w:r w:rsidR="00643E55" w:rsidRPr="00A60FD5">
        <w:rPr>
          <w:rFonts w:ascii="Times New Roman" w:hAnsi="Times New Roman" w:cs="Times New Roman"/>
          <w:bCs/>
        </w:rPr>
        <w:t xml:space="preserve"> 2010). In particular, it </w:t>
      </w:r>
      <w:r w:rsidR="003365A9" w:rsidRPr="00A60FD5">
        <w:rPr>
          <w:rFonts w:ascii="Times New Roman" w:hAnsi="Times New Roman" w:cs="Times New Roman"/>
          <w:bCs/>
        </w:rPr>
        <w:t xml:space="preserve">facilitates </w:t>
      </w:r>
      <w:r w:rsidR="00643E55" w:rsidRPr="00A60FD5">
        <w:rPr>
          <w:rFonts w:ascii="Times New Roman" w:hAnsi="Times New Roman" w:cs="Times New Roman"/>
          <w:bCs/>
        </w:rPr>
        <w:t>the observation of counterparts’ behaviors</w:t>
      </w:r>
      <w:r w:rsidR="00613BCE" w:rsidRPr="00A60FD5">
        <w:rPr>
          <w:rFonts w:ascii="Times New Roman" w:hAnsi="Times New Roman" w:cs="Times New Roman"/>
          <w:bCs/>
        </w:rPr>
        <w:t xml:space="preserve"> and the implementation of formal monitoring process</w:t>
      </w:r>
      <w:r w:rsidR="00D9496C" w:rsidRPr="00A60FD5">
        <w:rPr>
          <w:rFonts w:ascii="Times New Roman" w:hAnsi="Times New Roman" w:cs="Times New Roman"/>
          <w:bCs/>
        </w:rPr>
        <w:t>es</w:t>
      </w:r>
      <w:r w:rsidR="00643E55" w:rsidRPr="00A60FD5">
        <w:rPr>
          <w:rFonts w:ascii="Times New Roman" w:hAnsi="Times New Roman" w:cs="Times New Roman"/>
          <w:bCs/>
        </w:rPr>
        <w:t xml:space="preserve">. </w:t>
      </w:r>
      <w:r w:rsidR="00137CD7" w:rsidRPr="00A60FD5">
        <w:rPr>
          <w:rFonts w:ascii="Times New Roman" w:hAnsi="Times New Roman" w:cs="Times New Roman"/>
          <w:bCs/>
        </w:rPr>
        <w:t xml:space="preserve">We do not expect geographical proximity </w:t>
      </w:r>
      <w:r w:rsidR="00D9496C" w:rsidRPr="00A60FD5">
        <w:rPr>
          <w:rFonts w:ascii="Times New Roman" w:hAnsi="Times New Roman" w:cs="Times New Roman"/>
          <w:bCs/>
        </w:rPr>
        <w:t xml:space="preserve">to </w:t>
      </w:r>
      <w:r w:rsidR="00137CD7" w:rsidRPr="00A60FD5">
        <w:rPr>
          <w:rFonts w:ascii="Times New Roman" w:hAnsi="Times New Roman" w:cs="Times New Roman"/>
          <w:bCs/>
        </w:rPr>
        <w:t xml:space="preserve">influence the two other independent variables. </w:t>
      </w:r>
      <w:r w:rsidR="00613BCE" w:rsidRPr="00A60FD5">
        <w:rPr>
          <w:rFonts w:ascii="Times New Roman" w:hAnsi="Times New Roman" w:cs="Times New Roman"/>
          <w:bCs/>
        </w:rPr>
        <w:t xml:space="preserve">Previous research has stressed the influence of the quality of the institutional environment on the likelihood </w:t>
      </w:r>
      <w:r w:rsidR="00CD1D0F" w:rsidRPr="00A60FD5">
        <w:rPr>
          <w:rFonts w:ascii="Times New Roman" w:hAnsi="Times New Roman" w:cs="Times New Roman"/>
          <w:bCs/>
        </w:rPr>
        <w:t xml:space="preserve">of </w:t>
      </w:r>
      <w:r w:rsidR="00613BCE" w:rsidRPr="00A60FD5">
        <w:rPr>
          <w:rFonts w:ascii="Times New Roman" w:hAnsi="Times New Roman" w:cs="Times New Roman"/>
          <w:bCs/>
        </w:rPr>
        <w:t>includ</w:t>
      </w:r>
      <w:r w:rsidR="00CD1D0F" w:rsidRPr="00A60FD5">
        <w:rPr>
          <w:rFonts w:ascii="Times New Roman" w:hAnsi="Times New Roman" w:cs="Times New Roman"/>
          <w:bCs/>
        </w:rPr>
        <w:t>ing</w:t>
      </w:r>
      <w:r w:rsidR="00613BCE" w:rsidRPr="00A60FD5">
        <w:rPr>
          <w:rFonts w:ascii="Times New Roman" w:hAnsi="Times New Roman" w:cs="Times New Roman"/>
          <w:bCs/>
        </w:rPr>
        <w:t xml:space="preserve"> an arbitration provision (e.g., Dasgupta, 2003; Lew, 2009; Roth, 2007). In order to avoid navigating </w:t>
      </w:r>
      <w:r w:rsidR="00CD1D0F" w:rsidRPr="00A60FD5">
        <w:rPr>
          <w:rFonts w:ascii="Times New Roman" w:hAnsi="Times New Roman" w:cs="Times New Roman"/>
          <w:bCs/>
        </w:rPr>
        <w:t xml:space="preserve">through </w:t>
      </w:r>
      <w:r w:rsidR="00613BCE" w:rsidRPr="00A60FD5">
        <w:rPr>
          <w:rFonts w:ascii="Times New Roman" w:hAnsi="Times New Roman" w:cs="Times New Roman"/>
          <w:bCs/>
        </w:rPr>
        <w:t xml:space="preserve">a foreign court system that does not guarantee fair processes, licensing partners may agree </w:t>
      </w:r>
      <w:r w:rsidR="00CD1D0F" w:rsidRPr="00A60FD5">
        <w:rPr>
          <w:rFonts w:ascii="Times New Roman" w:hAnsi="Times New Roman" w:cs="Times New Roman"/>
          <w:bCs/>
        </w:rPr>
        <w:t xml:space="preserve">to </w:t>
      </w:r>
      <w:r w:rsidR="00613BCE" w:rsidRPr="00A60FD5">
        <w:rPr>
          <w:rFonts w:ascii="Times New Roman" w:hAnsi="Times New Roman" w:cs="Times New Roman"/>
          <w:bCs/>
        </w:rPr>
        <w:t xml:space="preserve">refer their </w:t>
      </w:r>
      <w:r w:rsidR="00CD1D0F" w:rsidRPr="00A60FD5">
        <w:rPr>
          <w:rFonts w:ascii="Times New Roman" w:hAnsi="Times New Roman" w:cs="Times New Roman"/>
          <w:bCs/>
        </w:rPr>
        <w:t xml:space="preserve">potential </w:t>
      </w:r>
      <w:r w:rsidR="00613BCE" w:rsidRPr="00A60FD5">
        <w:rPr>
          <w:rFonts w:ascii="Times New Roman" w:hAnsi="Times New Roman" w:cs="Times New Roman"/>
          <w:bCs/>
        </w:rPr>
        <w:t xml:space="preserve">disputes to an arbitral forum. </w:t>
      </w:r>
      <w:r w:rsidR="00CD1D0F" w:rsidRPr="00A60FD5">
        <w:rPr>
          <w:rFonts w:ascii="Times New Roman" w:hAnsi="Times New Roman" w:cs="Times New Roman"/>
          <w:bCs/>
        </w:rPr>
        <w:t xml:space="preserve">In </w:t>
      </w:r>
      <w:r w:rsidR="00613BCE" w:rsidRPr="00A60FD5">
        <w:rPr>
          <w:rFonts w:ascii="Times New Roman" w:hAnsi="Times New Roman" w:cs="Times New Roman"/>
          <w:bCs/>
        </w:rPr>
        <w:t>so doing, they can define the contours of the dispute-resolution process and resolve their disputes before a trusted an</w:t>
      </w:r>
      <w:r w:rsidR="000C4CC0" w:rsidRPr="00A60FD5">
        <w:rPr>
          <w:rFonts w:ascii="Times New Roman" w:hAnsi="Times New Roman" w:cs="Times New Roman"/>
          <w:bCs/>
        </w:rPr>
        <w:t>d</w:t>
      </w:r>
      <w:r w:rsidR="00613BCE" w:rsidRPr="00A60FD5">
        <w:rPr>
          <w:rFonts w:ascii="Times New Roman" w:hAnsi="Times New Roman" w:cs="Times New Roman"/>
          <w:bCs/>
        </w:rPr>
        <w:t xml:space="preserve"> impartial decision</w:t>
      </w:r>
      <w:r w:rsidR="00CD1D0F" w:rsidRPr="00A60FD5">
        <w:rPr>
          <w:rFonts w:ascii="Times New Roman" w:hAnsi="Times New Roman" w:cs="Times New Roman"/>
          <w:bCs/>
        </w:rPr>
        <w:t>-</w:t>
      </w:r>
      <w:r w:rsidR="00613BCE" w:rsidRPr="00A60FD5">
        <w:rPr>
          <w:rFonts w:ascii="Times New Roman" w:hAnsi="Times New Roman" w:cs="Times New Roman"/>
          <w:bCs/>
        </w:rPr>
        <w:t xml:space="preserve">maker. Rather than the geographical distance between the licensing partners’ countries, it is </w:t>
      </w:r>
      <w:r w:rsidR="000C4CC0" w:rsidRPr="00A60FD5">
        <w:rPr>
          <w:rFonts w:ascii="Times New Roman" w:hAnsi="Times New Roman" w:cs="Times New Roman"/>
          <w:bCs/>
        </w:rPr>
        <w:t xml:space="preserve">therefore </w:t>
      </w:r>
      <w:r w:rsidR="00613BCE" w:rsidRPr="00A60FD5">
        <w:rPr>
          <w:rFonts w:ascii="Times New Roman" w:hAnsi="Times New Roman" w:cs="Times New Roman"/>
          <w:bCs/>
        </w:rPr>
        <w:t xml:space="preserve">the quality of their institutional environment (such as the patent-rights index) which influences the preference for arbitration </w:t>
      </w:r>
      <w:r w:rsidR="00CD1D0F" w:rsidRPr="00A60FD5">
        <w:rPr>
          <w:rFonts w:ascii="Times New Roman" w:hAnsi="Times New Roman" w:cs="Times New Roman"/>
          <w:bCs/>
        </w:rPr>
        <w:t xml:space="preserve">over </w:t>
      </w:r>
      <w:r w:rsidR="00613BCE" w:rsidRPr="00A60FD5">
        <w:rPr>
          <w:rFonts w:ascii="Times New Roman" w:hAnsi="Times New Roman" w:cs="Times New Roman"/>
          <w:bCs/>
        </w:rPr>
        <w:t xml:space="preserve">litigation. </w:t>
      </w:r>
      <w:r w:rsidR="00CD1D0F" w:rsidRPr="00A60FD5">
        <w:rPr>
          <w:rFonts w:ascii="Times New Roman" w:hAnsi="Times New Roman" w:cs="Times New Roman"/>
          <w:bCs/>
        </w:rPr>
        <w:t>Nor do w</w:t>
      </w:r>
      <w:r w:rsidR="00137CD7" w:rsidRPr="00A60FD5">
        <w:rPr>
          <w:rFonts w:ascii="Times New Roman" w:hAnsi="Times New Roman" w:cs="Times New Roman"/>
          <w:bCs/>
        </w:rPr>
        <w:t>e expect an</w:t>
      </w:r>
      <w:r w:rsidR="00CD1D0F" w:rsidRPr="00A60FD5">
        <w:rPr>
          <w:rFonts w:ascii="Times New Roman" w:hAnsi="Times New Roman" w:cs="Times New Roman"/>
          <w:bCs/>
        </w:rPr>
        <w:t>y</w:t>
      </w:r>
      <w:r w:rsidR="00137CD7" w:rsidRPr="00A60FD5">
        <w:rPr>
          <w:rFonts w:ascii="Times New Roman" w:hAnsi="Times New Roman" w:cs="Times New Roman"/>
          <w:bCs/>
        </w:rPr>
        <w:t xml:space="preserve"> influence of </w:t>
      </w:r>
      <w:r w:rsidR="00606DF1" w:rsidRPr="00A60FD5">
        <w:rPr>
          <w:rFonts w:ascii="Times New Roman" w:hAnsi="Times New Roman" w:cs="Times New Roman"/>
          <w:bCs/>
        </w:rPr>
        <w:t xml:space="preserve">the </w:t>
      </w:r>
      <w:r w:rsidR="00137CD7" w:rsidRPr="00A60FD5">
        <w:rPr>
          <w:rFonts w:ascii="Times New Roman" w:hAnsi="Times New Roman" w:cs="Times New Roman"/>
          <w:bCs/>
        </w:rPr>
        <w:t xml:space="preserve">arm’s length </w:t>
      </w:r>
      <w:r w:rsidR="00606DF1" w:rsidRPr="00A60FD5">
        <w:rPr>
          <w:rFonts w:ascii="Times New Roman" w:hAnsi="Times New Roman" w:cs="Times New Roman"/>
          <w:bCs/>
        </w:rPr>
        <w:t xml:space="preserve">variable </w:t>
      </w:r>
      <w:r w:rsidR="00137CD7" w:rsidRPr="00A60FD5">
        <w:rPr>
          <w:rFonts w:ascii="Times New Roman" w:hAnsi="Times New Roman" w:cs="Times New Roman"/>
          <w:bCs/>
        </w:rPr>
        <w:t xml:space="preserve">on the requirement for more or </w:t>
      </w:r>
      <w:r w:rsidR="00CD1D0F" w:rsidRPr="00A60FD5">
        <w:rPr>
          <w:rFonts w:ascii="Times New Roman" w:hAnsi="Times New Roman" w:cs="Times New Roman"/>
          <w:bCs/>
        </w:rPr>
        <w:t xml:space="preserve">fewer </w:t>
      </w:r>
      <w:r w:rsidR="00137CD7" w:rsidRPr="00A60FD5">
        <w:rPr>
          <w:rFonts w:ascii="Times New Roman" w:hAnsi="Times New Roman" w:cs="Times New Roman"/>
          <w:bCs/>
        </w:rPr>
        <w:t xml:space="preserve">coordination provisions; the reasons for </w:t>
      </w:r>
      <w:r w:rsidR="00CD1D0F" w:rsidRPr="00A60FD5">
        <w:rPr>
          <w:rFonts w:ascii="Times New Roman" w:hAnsi="Times New Roman" w:cs="Times New Roman"/>
          <w:bCs/>
        </w:rPr>
        <w:t xml:space="preserve">obtaining </w:t>
      </w:r>
      <w:r w:rsidR="00137CD7" w:rsidRPr="00A60FD5">
        <w:rPr>
          <w:rFonts w:ascii="Times New Roman" w:hAnsi="Times New Roman" w:cs="Times New Roman"/>
          <w:bCs/>
        </w:rPr>
        <w:t>more coordination provisions are rooted in firms’ cognitive capabilities required by the transaction itself</w:t>
      </w:r>
      <w:r w:rsidR="001B4370" w:rsidRPr="00A60FD5">
        <w:rPr>
          <w:rFonts w:ascii="Times New Roman" w:hAnsi="Times New Roman" w:cs="Times New Roman"/>
          <w:bCs/>
        </w:rPr>
        <w:t xml:space="preserve"> and the nature of the technology transferred</w:t>
      </w:r>
      <w:r w:rsidR="00137CD7" w:rsidRPr="00A60FD5">
        <w:rPr>
          <w:rFonts w:ascii="Times New Roman" w:hAnsi="Times New Roman" w:cs="Times New Roman"/>
          <w:bCs/>
        </w:rPr>
        <w:t xml:space="preserve">.  </w:t>
      </w:r>
    </w:p>
    <w:p w14:paraId="3E395ECE" w14:textId="0652CAA1" w:rsidR="00606DF1" w:rsidRPr="00A60FD5" w:rsidRDefault="00515DD4" w:rsidP="00515DD4">
      <w:pPr>
        <w:spacing w:after="0" w:line="480" w:lineRule="auto"/>
        <w:ind w:firstLine="624"/>
        <w:rPr>
          <w:rFonts w:ascii="Times New Roman" w:hAnsi="Times New Roman" w:cs="Times New Roman"/>
          <w:bCs/>
        </w:rPr>
      </w:pPr>
      <w:r w:rsidRPr="00A60FD5">
        <w:rPr>
          <w:rFonts w:ascii="Times New Roman" w:hAnsi="Times New Roman" w:cs="Times New Roman"/>
          <w:bCs/>
        </w:rPr>
        <w:t xml:space="preserve">We include in the coordination equation a measure of </w:t>
      </w:r>
      <w:r w:rsidRPr="00A60FD5">
        <w:rPr>
          <w:rFonts w:ascii="Times New Roman" w:hAnsi="Times New Roman" w:cs="Times New Roman"/>
          <w:bCs/>
          <w:i/>
        </w:rPr>
        <w:t xml:space="preserve">technology intensity </w:t>
      </w:r>
      <w:r w:rsidRPr="00A60FD5">
        <w:rPr>
          <w:rFonts w:ascii="Times New Roman" w:hAnsi="Times New Roman" w:cs="Times New Roman"/>
          <w:bCs/>
        </w:rPr>
        <w:t>for identification purposes</w:t>
      </w:r>
      <w:r w:rsidRPr="00A60FD5">
        <w:rPr>
          <w:rFonts w:ascii="Times New Roman" w:hAnsi="Times New Roman" w:cs="Times New Roman"/>
          <w:bCs/>
          <w:i/>
        </w:rPr>
        <w:t xml:space="preserve">. </w:t>
      </w:r>
      <w:r w:rsidR="00137CD7" w:rsidRPr="00A60FD5">
        <w:rPr>
          <w:rFonts w:ascii="Times New Roman" w:hAnsi="Times New Roman" w:cs="Times New Roman"/>
          <w:bCs/>
        </w:rPr>
        <w:t xml:space="preserve">Our variable is set equal to one if the respondent firm falls into a </w:t>
      </w:r>
      <w:r w:rsidR="001B4370" w:rsidRPr="00A60FD5">
        <w:rPr>
          <w:rFonts w:ascii="Times New Roman" w:hAnsi="Times New Roman" w:cs="Times New Roman"/>
          <w:bCs/>
        </w:rPr>
        <w:t xml:space="preserve">low-tech service-based sector, two into a low-or medium-tech manufacturing sector, three into a high-tech manufacturing sector, and to </w:t>
      </w:r>
      <w:r w:rsidR="001B3E66" w:rsidRPr="00A60FD5">
        <w:rPr>
          <w:rFonts w:ascii="Times New Roman" w:hAnsi="Times New Roman" w:cs="Times New Roman"/>
          <w:bCs/>
        </w:rPr>
        <w:t>four into</w:t>
      </w:r>
      <w:r w:rsidR="001B4370" w:rsidRPr="00A60FD5">
        <w:rPr>
          <w:rFonts w:ascii="Times New Roman" w:hAnsi="Times New Roman" w:cs="Times New Roman"/>
          <w:bCs/>
        </w:rPr>
        <w:t xml:space="preserve"> a knowledge-intensive service-based sector</w:t>
      </w:r>
      <w:r w:rsidR="00137CD7" w:rsidRPr="00A60FD5">
        <w:rPr>
          <w:rFonts w:ascii="Times New Roman" w:hAnsi="Times New Roman" w:cs="Times New Roman"/>
          <w:bCs/>
        </w:rPr>
        <w:t xml:space="preserve">. We refer to the Statistical Classification of Economic Activities in the European Community (NACE) Rev. 2 codes (two-digit level) for the respondent firms’ sectors as well as the Eurostat categorizations. </w:t>
      </w:r>
      <w:r w:rsidRPr="00A60FD5">
        <w:rPr>
          <w:rFonts w:ascii="Times New Roman" w:hAnsi="Times New Roman" w:cs="Times New Roman"/>
          <w:bCs/>
        </w:rPr>
        <w:t>This measure refers to the likelihood of improvements in technology, rendering the licensed technology obsolete (Robertson and Gatignon</w:t>
      </w:r>
      <w:r w:rsidR="009A7A46" w:rsidRPr="00A60FD5">
        <w:rPr>
          <w:rFonts w:ascii="Times New Roman" w:hAnsi="Times New Roman" w:cs="Times New Roman"/>
          <w:bCs/>
        </w:rPr>
        <w:t>,</w:t>
      </w:r>
      <w:r w:rsidRPr="00A60FD5">
        <w:rPr>
          <w:rFonts w:ascii="Times New Roman" w:hAnsi="Times New Roman" w:cs="Times New Roman"/>
          <w:bCs/>
        </w:rPr>
        <w:t xml:space="preserve"> 1998). Changes are largely outside partners’ control and hard to predict. This unpredictability requires them to be </w:t>
      </w:r>
      <w:r w:rsidR="005D7CE9" w:rsidRPr="00A60FD5">
        <w:rPr>
          <w:rFonts w:ascii="Times New Roman" w:hAnsi="Times New Roman" w:cs="Times New Roman"/>
          <w:bCs/>
        </w:rPr>
        <w:t xml:space="preserve">highly </w:t>
      </w:r>
      <w:r w:rsidRPr="00A60FD5">
        <w:rPr>
          <w:rFonts w:ascii="Times New Roman" w:hAnsi="Times New Roman" w:cs="Times New Roman"/>
          <w:bCs/>
        </w:rPr>
        <w:t>responsive</w:t>
      </w:r>
      <w:r w:rsidR="005D7CE9" w:rsidRPr="00A60FD5">
        <w:rPr>
          <w:rFonts w:ascii="Times New Roman" w:hAnsi="Times New Roman" w:cs="Times New Roman"/>
          <w:bCs/>
        </w:rPr>
        <w:t>,</w:t>
      </w:r>
      <w:r w:rsidRPr="00A60FD5">
        <w:rPr>
          <w:rFonts w:ascii="Times New Roman" w:hAnsi="Times New Roman" w:cs="Times New Roman"/>
          <w:bCs/>
        </w:rPr>
        <w:t xml:space="preserve"> while they lack detailed and reliable information to anticipate the changes (Dess and Beard</w:t>
      </w:r>
      <w:r w:rsidR="001135E4" w:rsidRPr="00A60FD5">
        <w:rPr>
          <w:rFonts w:ascii="Times New Roman" w:hAnsi="Times New Roman" w:cs="Times New Roman"/>
          <w:bCs/>
        </w:rPr>
        <w:t>,</w:t>
      </w:r>
      <w:r w:rsidRPr="00A60FD5">
        <w:rPr>
          <w:rFonts w:ascii="Times New Roman" w:hAnsi="Times New Roman" w:cs="Times New Roman"/>
          <w:bCs/>
        </w:rPr>
        <w:t xml:space="preserve"> 1984</w:t>
      </w:r>
      <w:r w:rsidR="001135E4" w:rsidRPr="00A60FD5">
        <w:rPr>
          <w:rFonts w:ascii="Times New Roman" w:hAnsi="Times New Roman" w:cs="Times New Roman"/>
          <w:bCs/>
        </w:rPr>
        <w:t>;</w:t>
      </w:r>
      <w:r w:rsidRPr="00A60FD5">
        <w:rPr>
          <w:rFonts w:ascii="Times New Roman" w:hAnsi="Times New Roman" w:cs="Times New Roman"/>
          <w:bCs/>
        </w:rPr>
        <w:t xml:space="preserve"> Garg et al.</w:t>
      </w:r>
      <w:r w:rsidR="001135E4" w:rsidRPr="00A60FD5">
        <w:rPr>
          <w:rFonts w:ascii="Times New Roman" w:hAnsi="Times New Roman" w:cs="Times New Roman"/>
          <w:bCs/>
        </w:rPr>
        <w:t>,</w:t>
      </w:r>
      <w:r w:rsidRPr="00A60FD5">
        <w:rPr>
          <w:rFonts w:ascii="Times New Roman" w:hAnsi="Times New Roman" w:cs="Times New Roman"/>
          <w:bCs/>
        </w:rPr>
        <w:t xml:space="preserve"> 2003). Contingency planning and well-crafted coordination mechanisms that specify, for instance, the content and schedule of inter-partner communication enable </w:t>
      </w:r>
      <w:r w:rsidR="005D7CE9" w:rsidRPr="00A60FD5">
        <w:rPr>
          <w:rFonts w:ascii="Times New Roman" w:hAnsi="Times New Roman" w:cs="Times New Roman"/>
          <w:bCs/>
        </w:rPr>
        <w:t xml:space="preserve">partners </w:t>
      </w:r>
      <w:r w:rsidRPr="00A60FD5">
        <w:rPr>
          <w:rFonts w:ascii="Times New Roman" w:hAnsi="Times New Roman" w:cs="Times New Roman"/>
          <w:bCs/>
        </w:rPr>
        <w:t>to more efficiently absorb external changes (Vlaar et al.</w:t>
      </w:r>
      <w:r w:rsidR="00472FA9" w:rsidRPr="00A60FD5">
        <w:rPr>
          <w:rFonts w:ascii="Times New Roman" w:hAnsi="Times New Roman" w:cs="Times New Roman"/>
          <w:bCs/>
        </w:rPr>
        <w:t>,</w:t>
      </w:r>
      <w:r w:rsidRPr="00A60FD5">
        <w:rPr>
          <w:rFonts w:ascii="Times New Roman" w:hAnsi="Times New Roman" w:cs="Times New Roman"/>
          <w:bCs/>
        </w:rPr>
        <w:t xml:space="preserve"> </w:t>
      </w:r>
      <w:r w:rsidRPr="00A60FD5">
        <w:rPr>
          <w:rFonts w:ascii="Times New Roman" w:hAnsi="Times New Roman" w:cs="Times New Roman"/>
          <w:bCs/>
        </w:rPr>
        <w:lastRenderedPageBreak/>
        <w:t xml:space="preserve">2007). </w:t>
      </w:r>
      <w:r w:rsidR="00137CD7" w:rsidRPr="00A60FD5">
        <w:rPr>
          <w:rFonts w:ascii="Times New Roman" w:hAnsi="Times New Roman" w:cs="Times New Roman"/>
          <w:bCs/>
        </w:rPr>
        <w:t xml:space="preserve">We do not expect the obsolescence rate of the technology in the industry </w:t>
      </w:r>
      <w:r w:rsidR="005D7CE9" w:rsidRPr="00A60FD5">
        <w:rPr>
          <w:rFonts w:ascii="Times New Roman" w:hAnsi="Times New Roman" w:cs="Times New Roman"/>
          <w:bCs/>
        </w:rPr>
        <w:t xml:space="preserve">to </w:t>
      </w:r>
      <w:r w:rsidR="00137CD7" w:rsidRPr="00A60FD5">
        <w:rPr>
          <w:rFonts w:ascii="Times New Roman" w:hAnsi="Times New Roman" w:cs="Times New Roman"/>
          <w:bCs/>
        </w:rPr>
        <w:t xml:space="preserve">affect the choice between arbitration and public courts. Rather than the technology intensity, it is the industry itself and its patent trends which </w:t>
      </w:r>
      <w:r w:rsidR="005D7CE9" w:rsidRPr="00A60FD5">
        <w:rPr>
          <w:rFonts w:ascii="Times New Roman" w:hAnsi="Times New Roman" w:cs="Times New Roman"/>
          <w:bCs/>
        </w:rPr>
        <w:t xml:space="preserve">we believe </w:t>
      </w:r>
      <w:r w:rsidR="00137CD7" w:rsidRPr="00A60FD5">
        <w:rPr>
          <w:rFonts w:ascii="Times New Roman" w:hAnsi="Times New Roman" w:cs="Times New Roman"/>
          <w:bCs/>
        </w:rPr>
        <w:t>influence the need for monitoring and arbitration decisions. Depending on the industries, new products may or may not comprise numerous, separately patentable elements. If the product is simple – i.e., based on relatively few and independent patentable elements</w:t>
      </w:r>
      <w:r w:rsidR="005D7CE9" w:rsidRPr="00A60FD5">
        <w:rPr>
          <w:rFonts w:ascii="Times New Roman" w:hAnsi="Times New Roman" w:cs="Times New Roman"/>
          <w:bCs/>
        </w:rPr>
        <w:t>,</w:t>
      </w:r>
      <w:r w:rsidR="00137CD7" w:rsidRPr="00A60FD5">
        <w:rPr>
          <w:rFonts w:ascii="Times New Roman" w:hAnsi="Times New Roman" w:cs="Times New Roman"/>
          <w:bCs/>
        </w:rPr>
        <w:t xml:space="preserve"> even if very high-tech –it will be associated with easy protection. Sectors like chemicals and pharmaceuticals, for example, have persistently reported </w:t>
      </w:r>
      <w:r w:rsidR="005D7CE9" w:rsidRPr="00A60FD5">
        <w:rPr>
          <w:rFonts w:ascii="Times New Roman" w:hAnsi="Times New Roman" w:cs="Times New Roman"/>
          <w:bCs/>
        </w:rPr>
        <w:t xml:space="preserve">a </w:t>
      </w:r>
      <w:r w:rsidR="00137CD7" w:rsidRPr="00A60FD5">
        <w:rPr>
          <w:rFonts w:ascii="Times New Roman" w:hAnsi="Times New Roman" w:cs="Times New Roman"/>
          <w:bCs/>
        </w:rPr>
        <w:t xml:space="preserve">higher reliance on formal mechanisms </w:t>
      </w:r>
      <w:r w:rsidR="005D7CE9" w:rsidRPr="00A60FD5">
        <w:rPr>
          <w:rFonts w:ascii="Times New Roman" w:hAnsi="Times New Roman" w:cs="Times New Roman"/>
          <w:bCs/>
        </w:rPr>
        <w:t xml:space="preserve">to </w:t>
      </w:r>
      <w:r w:rsidR="00137CD7" w:rsidRPr="00A60FD5">
        <w:rPr>
          <w:rFonts w:ascii="Times New Roman" w:hAnsi="Times New Roman" w:cs="Times New Roman"/>
          <w:bCs/>
        </w:rPr>
        <w:t xml:space="preserve">protect </w:t>
      </w:r>
      <w:r w:rsidR="00406DA2" w:rsidRPr="00A60FD5">
        <w:rPr>
          <w:rFonts w:ascii="Times New Roman" w:hAnsi="Times New Roman" w:cs="Times New Roman"/>
          <w:bCs/>
        </w:rPr>
        <w:t>intellectual property rights (</w:t>
      </w:r>
      <w:r w:rsidR="00137CD7" w:rsidRPr="00A60FD5">
        <w:rPr>
          <w:rFonts w:ascii="Times New Roman" w:hAnsi="Times New Roman" w:cs="Times New Roman"/>
          <w:bCs/>
        </w:rPr>
        <w:t>IPR</w:t>
      </w:r>
      <w:r w:rsidR="00406DA2" w:rsidRPr="00A60FD5">
        <w:rPr>
          <w:rFonts w:ascii="Times New Roman" w:hAnsi="Times New Roman" w:cs="Times New Roman"/>
          <w:bCs/>
        </w:rPr>
        <w:t>)</w:t>
      </w:r>
      <w:r w:rsidR="00A832A2" w:rsidRPr="00A60FD5">
        <w:rPr>
          <w:rFonts w:ascii="Times New Roman" w:hAnsi="Times New Roman" w:cs="Times New Roman"/>
          <w:bCs/>
        </w:rPr>
        <w:t xml:space="preserve"> </w:t>
      </w:r>
      <w:r w:rsidR="00137CD7" w:rsidRPr="00A60FD5">
        <w:rPr>
          <w:rFonts w:ascii="Times New Roman" w:hAnsi="Times New Roman" w:cs="Times New Roman"/>
          <w:bCs/>
        </w:rPr>
        <w:t xml:space="preserve">such as patents than sectors like electronics, computers, and machinery (Levin et al., 1987). </w:t>
      </w:r>
      <w:r w:rsidR="008E71E5" w:rsidRPr="00A60FD5">
        <w:rPr>
          <w:rFonts w:ascii="Times New Roman" w:hAnsi="Times New Roman" w:cs="Times New Roman"/>
          <w:bCs/>
        </w:rPr>
        <w:t xml:space="preserve"> </w:t>
      </w:r>
      <w:r w:rsidR="00CE6A8E" w:rsidRPr="00A60FD5">
        <w:rPr>
          <w:rFonts w:ascii="Times New Roman" w:hAnsi="Times New Roman" w:cs="Times New Roman"/>
          <w:bCs/>
        </w:rPr>
        <w:t>From the existing empirical evidence, it is clear by now that the effectiveness of patents differs across industries and technical fields</w:t>
      </w:r>
      <w:r w:rsidR="0057276A" w:rsidRPr="00A60FD5">
        <w:rPr>
          <w:rFonts w:ascii="Times New Roman" w:hAnsi="Times New Roman" w:cs="Times New Roman"/>
          <w:bCs/>
        </w:rPr>
        <w:t xml:space="preserve"> (e.g., Bessen and Meurer, 2005; Lanjouw and Schankerman, 2001)</w:t>
      </w:r>
      <w:r w:rsidR="00CE6A8E" w:rsidRPr="00A60FD5">
        <w:rPr>
          <w:rFonts w:ascii="Times New Roman" w:hAnsi="Times New Roman" w:cs="Times New Roman"/>
          <w:bCs/>
        </w:rPr>
        <w:t>.</w:t>
      </w:r>
      <w:r w:rsidR="00A129DC" w:rsidRPr="00A60FD5">
        <w:rPr>
          <w:rFonts w:ascii="Times New Roman" w:hAnsi="Times New Roman" w:cs="Times New Roman"/>
          <w:bCs/>
        </w:rPr>
        <w:t xml:space="preserve"> </w:t>
      </w:r>
    </w:p>
    <w:p w14:paraId="2B736B6E" w14:textId="0B491883" w:rsidR="00596DCD" w:rsidRPr="00A60FD5" w:rsidRDefault="00596DCD" w:rsidP="00515DD4">
      <w:pPr>
        <w:spacing w:after="0" w:line="480" w:lineRule="auto"/>
        <w:ind w:firstLine="624"/>
        <w:rPr>
          <w:rFonts w:ascii="Times New Roman" w:hAnsi="Times New Roman" w:cs="Times New Roman"/>
          <w:bCs/>
        </w:rPr>
      </w:pPr>
      <w:r w:rsidRPr="00A60FD5">
        <w:rPr>
          <w:rFonts w:ascii="Times New Roman" w:hAnsi="Times New Roman" w:cs="Times New Roman"/>
          <w:bCs/>
        </w:rPr>
        <w:t xml:space="preserve">Finally, the variable </w:t>
      </w:r>
      <w:r w:rsidRPr="00A60FD5">
        <w:rPr>
          <w:rFonts w:ascii="Times New Roman" w:hAnsi="Times New Roman" w:cs="Times New Roman"/>
          <w:bCs/>
          <w:i/>
        </w:rPr>
        <w:t>third assistance in identifying a licensing partner</w:t>
      </w:r>
      <w:r w:rsidRPr="00A60FD5">
        <w:rPr>
          <w:rFonts w:ascii="Times New Roman" w:hAnsi="Times New Roman" w:cs="Times New Roman"/>
          <w:bCs/>
        </w:rPr>
        <w:t xml:space="preserve"> is included in the first-stage equation aimed at predicting the extent of coordination provisions. </w:t>
      </w:r>
      <w:r w:rsidR="00EC5D69" w:rsidRPr="00A60FD5">
        <w:rPr>
          <w:rFonts w:ascii="Times New Roman" w:hAnsi="Times New Roman" w:cs="Times New Roman"/>
          <w:bCs/>
        </w:rPr>
        <w:t xml:space="preserve">When firms search for assistance from third parties in selecting technology licensing partners, they value the ability of those third parties to obtain information </w:t>
      </w:r>
      <w:r w:rsidR="00587F83" w:rsidRPr="00A60FD5">
        <w:rPr>
          <w:rFonts w:ascii="Times New Roman" w:hAnsi="Times New Roman" w:cs="Times New Roman"/>
          <w:bCs/>
        </w:rPr>
        <w:t>through</w:t>
      </w:r>
      <w:r w:rsidR="00EC5D69" w:rsidRPr="00A60FD5">
        <w:rPr>
          <w:rFonts w:ascii="Times New Roman" w:hAnsi="Times New Roman" w:cs="Times New Roman"/>
          <w:bCs/>
        </w:rPr>
        <w:t xml:space="preserve"> their network position as brokers (DiMaggio, 1992). They also value their ability to combine all the information obtained </w:t>
      </w:r>
      <w:r w:rsidR="00896D81" w:rsidRPr="00A60FD5">
        <w:rPr>
          <w:rFonts w:ascii="Times New Roman" w:hAnsi="Times New Roman" w:cs="Times New Roman"/>
          <w:bCs/>
        </w:rPr>
        <w:t xml:space="preserve">to </w:t>
      </w:r>
      <w:r w:rsidR="00EC5D69" w:rsidRPr="00A60FD5">
        <w:rPr>
          <w:rFonts w:ascii="Times New Roman" w:hAnsi="Times New Roman" w:cs="Times New Roman"/>
          <w:bCs/>
        </w:rPr>
        <w:t>craft promising and original collaboration projects (Ha</w:t>
      </w:r>
      <w:r w:rsidR="002F6B23">
        <w:rPr>
          <w:rFonts w:ascii="Times New Roman" w:hAnsi="Times New Roman" w:cs="Times New Roman"/>
          <w:bCs/>
        </w:rPr>
        <w:t>r</w:t>
      </w:r>
      <w:r w:rsidR="00EC5D69" w:rsidRPr="00A60FD5">
        <w:rPr>
          <w:rFonts w:ascii="Times New Roman" w:hAnsi="Times New Roman" w:cs="Times New Roman"/>
          <w:bCs/>
        </w:rPr>
        <w:t xml:space="preserve">gadon and Sutton, 1997; Walsh and Ungson, 1991). Such third parties </w:t>
      </w:r>
      <w:r w:rsidR="00587F83" w:rsidRPr="00A60FD5">
        <w:rPr>
          <w:rFonts w:ascii="Times New Roman" w:hAnsi="Times New Roman" w:cs="Times New Roman"/>
          <w:bCs/>
        </w:rPr>
        <w:t>solicited</w:t>
      </w:r>
      <w:r w:rsidR="00EC5D69" w:rsidRPr="00A60FD5">
        <w:rPr>
          <w:rFonts w:ascii="Times New Roman" w:hAnsi="Times New Roman" w:cs="Times New Roman"/>
          <w:bCs/>
        </w:rPr>
        <w:t xml:space="preserve"> at the outset of collaboration tend to emphasize the need for coordination routines and for accurate expectations with regard to the skills and efforts to be deployed (Weick, 1976; Daft, 1978). They can help in identifying partners in the first place, providing new ideas and solutions for collaborations, packaging the technology to be transferred between firms, or combining respective skills, data and assets to achieve the objectives of the exchange (Ha</w:t>
      </w:r>
      <w:r w:rsidR="002F6B23">
        <w:rPr>
          <w:rFonts w:ascii="Times New Roman" w:hAnsi="Times New Roman" w:cs="Times New Roman"/>
          <w:bCs/>
        </w:rPr>
        <w:t>r</w:t>
      </w:r>
      <w:r w:rsidR="00EC5D69" w:rsidRPr="00A60FD5">
        <w:rPr>
          <w:rFonts w:ascii="Times New Roman" w:hAnsi="Times New Roman" w:cs="Times New Roman"/>
          <w:bCs/>
        </w:rPr>
        <w:t xml:space="preserve">gadon and Sutton, 1997; Howells, </w:t>
      </w:r>
      <w:r w:rsidR="002F6B23" w:rsidRPr="00A60FD5">
        <w:rPr>
          <w:rFonts w:ascii="Times New Roman" w:hAnsi="Times New Roman" w:cs="Times New Roman"/>
          <w:bCs/>
        </w:rPr>
        <w:t>20</w:t>
      </w:r>
      <w:r w:rsidR="002F6B23">
        <w:rPr>
          <w:rFonts w:ascii="Times New Roman" w:hAnsi="Times New Roman" w:cs="Times New Roman"/>
          <w:bCs/>
        </w:rPr>
        <w:t>06</w:t>
      </w:r>
      <w:r w:rsidR="00EC5D69" w:rsidRPr="00A60FD5">
        <w:rPr>
          <w:rFonts w:ascii="Times New Roman" w:hAnsi="Times New Roman" w:cs="Times New Roman"/>
          <w:bCs/>
        </w:rPr>
        <w:t>; Zhang and Li, 2010). We therefore expect a positive relationship between the intervention of third parties for identifying a licensing partner and the extent of coordination provisions negotiated and included in the contracts. Th</w:t>
      </w:r>
      <w:r w:rsidR="00961D52" w:rsidRPr="00A60FD5">
        <w:rPr>
          <w:rFonts w:ascii="Times New Roman" w:hAnsi="Times New Roman" w:cs="Times New Roman"/>
          <w:bCs/>
        </w:rPr>
        <w:t>e</w:t>
      </w:r>
      <w:r w:rsidR="00EC5D69" w:rsidRPr="00A60FD5">
        <w:rPr>
          <w:rFonts w:ascii="Times New Roman" w:hAnsi="Times New Roman" w:cs="Times New Roman"/>
          <w:bCs/>
        </w:rPr>
        <w:t>se third parties</w:t>
      </w:r>
      <w:r w:rsidR="00674575" w:rsidRPr="00A60FD5">
        <w:rPr>
          <w:rFonts w:ascii="Times New Roman" w:hAnsi="Times New Roman" w:cs="Times New Roman"/>
          <w:bCs/>
        </w:rPr>
        <w:t>, for example</w:t>
      </w:r>
      <w:r w:rsidR="00EC5D69" w:rsidRPr="00A60FD5">
        <w:rPr>
          <w:rFonts w:ascii="Times New Roman" w:hAnsi="Times New Roman" w:cs="Times New Roman"/>
          <w:bCs/>
        </w:rPr>
        <w:t xml:space="preserve"> technology brokers, trade associations and regional institutions</w:t>
      </w:r>
      <w:r w:rsidR="00674575" w:rsidRPr="00A60FD5">
        <w:rPr>
          <w:rFonts w:ascii="Times New Roman" w:hAnsi="Times New Roman" w:cs="Times New Roman"/>
          <w:bCs/>
        </w:rPr>
        <w:t>,</w:t>
      </w:r>
      <w:r w:rsidR="00EC5D69" w:rsidRPr="00A60FD5">
        <w:rPr>
          <w:rFonts w:ascii="Times New Roman" w:hAnsi="Times New Roman" w:cs="Times New Roman"/>
          <w:bCs/>
        </w:rPr>
        <w:t xml:space="preserve"> are not expected to influence the extent of monitoring provisions </w:t>
      </w:r>
      <w:r w:rsidR="00674575" w:rsidRPr="00A60FD5">
        <w:rPr>
          <w:rFonts w:ascii="Times New Roman" w:hAnsi="Times New Roman" w:cs="Times New Roman"/>
          <w:bCs/>
        </w:rPr>
        <w:t xml:space="preserve">or </w:t>
      </w:r>
      <w:r w:rsidR="00EC5D69" w:rsidRPr="00A60FD5">
        <w:rPr>
          <w:rFonts w:ascii="Times New Roman" w:hAnsi="Times New Roman" w:cs="Times New Roman"/>
          <w:bCs/>
        </w:rPr>
        <w:t xml:space="preserve">the choice </w:t>
      </w:r>
      <w:r w:rsidR="00674575" w:rsidRPr="00A60FD5">
        <w:rPr>
          <w:rFonts w:ascii="Times New Roman" w:hAnsi="Times New Roman" w:cs="Times New Roman"/>
          <w:bCs/>
        </w:rPr>
        <w:t xml:space="preserve">in favor of </w:t>
      </w:r>
      <w:r w:rsidR="00EC5D69" w:rsidRPr="00A60FD5">
        <w:rPr>
          <w:rFonts w:ascii="Times New Roman" w:hAnsi="Times New Roman" w:cs="Times New Roman"/>
          <w:bCs/>
        </w:rPr>
        <w:t>arbitration. Advice</w:t>
      </w:r>
      <w:r w:rsidR="00802D47" w:rsidRPr="00A60FD5">
        <w:rPr>
          <w:rFonts w:ascii="Times New Roman" w:hAnsi="Times New Roman" w:cs="Times New Roman"/>
          <w:bCs/>
        </w:rPr>
        <w:t xml:space="preserve"> </w:t>
      </w:r>
      <w:r w:rsidR="00674575" w:rsidRPr="00A60FD5">
        <w:rPr>
          <w:rFonts w:ascii="Times New Roman" w:hAnsi="Times New Roman" w:cs="Times New Roman"/>
          <w:bCs/>
        </w:rPr>
        <w:t xml:space="preserve">on </w:t>
      </w:r>
      <w:r w:rsidR="00EC5D69" w:rsidRPr="00A60FD5">
        <w:rPr>
          <w:rFonts w:ascii="Times New Roman" w:hAnsi="Times New Roman" w:cs="Times New Roman"/>
          <w:bCs/>
        </w:rPr>
        <w:t xml:space="preserve">the choice between arbitration and litigation </w:t>
      </w:r>
      <w:r w:rsidR="00843FE3" w:rsidRPr="00A60FD5">
        <w:rPr>
          <w:rFonts w:ascii="Times New Roman" w:hAnsi="Times New Roman" w:cs="Times New Roman"/>
          <w:bCs/>
        </w:rPr>
        <w:t xml:space="preserve">is </w:t>
      </w:r>
      <w:r w:rsidR="00674575" w:rsidRPr="00A60FD5">
        <w:rPr>
          <w:rFonts w:ascii="Times New Roman" w:hAnsi="Times New Roman" w:cs="Times New Roman"/>
          <w:bCs/>
        </w:rPr>
        <w:t>sought</w:t>
      </w:r>
      <w:r w:rsidR="00EC5D69" w:rsidRPr="00A60FD5">
        <w:rPr>
          <w:rFonts w:ascii="Times New Roman" w:hAnsi="Times New Roman" w:cs="Times New Roman"/>
          <w:bCs/>
        </w:rPr>
        <w:t xml:space="preserve"> at a later contractual stage. Also, given the backgrounds, roles and functions of the third parties at the </w:t>
      </w:r>
      <w:r w:rsidR="00EC5D69" w:rsidRPr="00A60FD5">
        <w:rPr>
          <w:rFonts w:ascii="Times New Roman" w:hAnsi="Times New Roman" w:cs="Times New Roman"/>
          <w:bCs/>
        </w:rPr>
        <w:lastRenderedPageBreak/>
        <w:t xml:space="preserve">outset of collaborations, it is unlikely that they emphasize the control and monitoring side of possible collaborations (Bercovitz and Tyler, 2014). </w:t>
      </w:r>
      <w:r w:rsidR="00083243" w:rsidRPr="00A60FD5">
        <w:rPr>
          <w:rFonts w:ascii="Times New Roman" w:hAnsi="Times New Roman" w:cs="Times New Roman"/>
          <w:bCs/>
        </w:rPr>
        <w:t>The</w:t>
      </w:r>
      <w:r w:rsidR="00674575" w:rsidRPr="00A60FD5">
        <w:rPr>
          <w:rFonts w:ascii="Times New Roman" w:hAnsi="Times New Roman" w:cs="Times New Roman"/>
          <w:bCs/>
        </w:rPr>
        <w:t>ir</w:t>
      </w:r>
      <w:r w:rsidR="00083243" w:rsidRPr="00A60FD5">
        <w:rPr>
          <w:rFonts w:ascii="Times New Roman" w:hAnsi="Times New Roman" w:cs="Times New Roman"/>
          <w:bCs/>
        </w:rPr>
        <w:t xml:space="preserve"> goal is to facilitate </w:t>
      </w:r>
      <w:r w:rsidR="003038F0">
        <w:rPr>
          <w:rFonts w:ascii="Times New Roman" w:hAnsi="Times New Roman" w:cs="Times New Roman"/>
          <w:bCs/>
        </w:rPr>
        <w:t xml:space="preserve">the </w:t>
      </w:r>
      <w:r w:rsidR="00083243" w:rsidRPr="00A60FD5">
        <w:rPr>
          <w:rFonts w:ascii="Times New Roman" w:hAnsi="Times New Roman" w:cs="Times New Roman"/>
          <w:bCs/>
        </w:rPr>
        <w:t xml:space="preserve">knowledge transfer and ease </w:t>
      </w:r>
      <w:r w:rsidR="003038F0">
        <w:rPr>
          <w:rFonts w:ascii="Times New Roman" w:hAnsi="Times New Roman" w:cs="Times New Roman"/>
          <w:bCs/>
        </w:rPr>
        <w:t xml:space="preserve">the </w:t>
      </w:r>
      <w:r w:rsidR="00083243" w:rsidRPr="00A60FD5">
        <w:rPr>
          <w:rFonts w:ascii="Times New Roman" w:hAnsi="Times New Roman" w:cs="Times New Roman"/>
          <w:bCs/>
        </w:rPr>
        <w:t>communication between the partners (Daft, 1978; Weick, 1976)</w:t>
      </w:r>
      <w:r w:rsidR="00843FE3" w:rsidRPr="00A60FD5">
        <w:rPr>
          <w:rFonts w:ascii="Times New Roman" w:hAnsi="Times New Roman" w:cs="Times New Roman"/>
          <w:bCs/>
        </w:rPr>
        <w:t>,</w:t>
      </w:r>
      <w:r w:rsidR="00083243" w:rsidRPr="00A60FD5">
        <w:rPr>
          <w:rFonts w:ascii="Times New Roman" w:hAnsi="Times New Roman" w:cs="Times New Roman"/>
          <w:bCs/>
        </w:rPr>
        <w:t xml:space="preserve"> not to stress the need for formal legal protection against risk and value appropriation.</w:t>
      </w:r>
    </w:p>
    <w:p w14:paraId="4FACEFF8" w14:textId="51311435" w:rsidR="007011B3" w:rsidRPr="00A60FD5" w:rsidRDefault="007011B3" w:rsidP="00515DD4">
      <w:pPr>
        <w:spacing w:after="0" w:line="480" w:lineRule="auto"/>
        <w:ind w:firstLine="624"/>
        <w:rPr>
          <w:rFonts w:ascii="Times New Roman" w:hAnsi="Times New Roman" w:cs="Times New Roman"/>
          <w:bCs/>
        </w:rPr>
      </w:pPr>
      <w:r w:rsidRPr="00A60FD5">
        <w:rPr>
          <w:rFonts w:ascii="Times New Roman" w:hAnsi="Times New Roman" w:cs="Times New Roman"/>
          <w:bCs/>
        </w:rPr>
        <w:t>Three tests</w:t>
      </w:r>
      <w:r w:rsidR="00606DF1" w:rsidRPr="00A60FD5">
        <w:rPr>
          <w:rFonts w:ascii="Times New Roman" w:hAnsi="Times New Roman" w:cs="Times New Roman"/>
          <w:bCs/>
        </w:rPr>
        <w:t xml:space="preserve"> are</w:t>
      </w:r>
      <w:r w:rsidRPr="00A60FD5">
        <w:rPr>
          <w:rFonts w:ascii="Times New Roman" w:hAnsi="Times New Roman" w:cs="Times New Roman"/>
          <w:bCs/>
        </w:rPr>
        <w:t xml:space="preserve"> performed </w:t>
      </w:r>
      <w:r w:rsidR="00D17824" w:rsidRPr="00A60FD5">
        <w:rPr>
          <w:rFonts w:ascii="Times New Roman" w:hAnsi="Times New Roman" w:cs="Times New Roman"/>
          <w:bCs/>
        </w:rPr>
        <w:t xml:space="preserve">to </w:t>
      </w:r>
      <w:r w:rsidRPr="00A60FD5">
        <w:rPr>
          <w:rFonts w:ascii="Times New Roman" w:hAnsi="Times New Roman" w:cs="Times New Roman"/>
          <w:bCs/>
        </w:rPr>
        <w:t>ascertain the statistical reliability of our</w:t>
      </w:r>
      <w:r w:rsidR="00606DF1" w:rsidRPr="00A60FD5">
        <w:rPr>
          <w:rFonts w:ascii="Times New Roman" w:hAnsi="Times New Roman" w:cs="Times New Roman"/>
          <w:bCs/>
        </w:rPr>
        <w:t xml:space="preserve"> three</w:t>
      </w:r>
      <w:r w:rsidRPr="00A60FD5">
        <w:rPr>
          <w:rFonts w:ascii="Times New Roman" w:hAnsi="Times New Roman" w:cs="Times New Roman"/>
          <w:bCs/>
        </w:rPr>
        <w:t xml:space="preserve"> instruments. </w:t>
      </w:r>
      <w:r w:rsidR="00596DCD" w:rsidRPr="00A60FD5">
        <w:rPr>
          <w:rFonts w:ascii="Times New Roman" w:hAnsi="Times New Roman" w:cs="Times New Roman"/>
          <w:bCs/>
        </w:rPr>
        <w:t xml:space="preserve">First, the Amemiya-Lee-Newey test for over-identification is performed on the variable coordination since we count two instruments for a single instrumented variable. The </w:t>
      </w:r>
      <w:r w:rsidR="00606DF1" w:rsidRPr="00A60FD5">
        <w:rPr>
          <w:rFonts w:ascii="Times New Roman" w:hAnsi="Times New Roman" w:cs="Times New Roman"/>
          <w:bCs/>
        </w:rPr>
        <w:t xml:space="preserve">test </w:t>
      </w:r>
      <w:r w:rsidR="00596DCD" w:rsidRPr="00A60FD5">
        <w:rPr>
          <w:rFonts w:ascii="Times New Roman" w:hAnsi="Times New Roman" w:cs="Times New Roman"/>
          <w:bCs/>
        </w:rPr>
        <w:t>does not reject the null hypothesis (i.e., valid instrument) (</w:t>
      </w:r>
      <w:r w:rsidR="00596DCD" w:rsidRPr="00A60FD5">
        <w:rPr>
          <w:rFonts w:ascii="Times New Roman" w:hAnsi="Times New Roman" w:cs="Times New Roman"/>
          <w:bCs/>
          <w:i/>
        </w:rPr>
        <w:t>p</w:t>
      </w:r>
      <w:r w:rsidR="00596DCD" w:rsidRPr="00A60FD5">
        <w:rPr>
          <w:rFonts w:ascii="Times New Roman" w:hAnsi="Times New Roman" w:cs="Times New Roman"/>
          <w:bCs/>
        </w:rPr>
        <w:t xml:space="preserve">-value = 0.32). Second, the Kleibergen-Paap rk LM statistics, used as a test for under-identification, is obtained for monitoring as the model counts one single instrument for this instrumented variable. The test </w:t>
      </w:r>
      <w:r w:rsidR="00077D93" w:rsidRPr="00A60FD5">
        <w:rPr>
          <w:rFonts w:ascii="Times New Roman" w:hAnsi="Times New Roman" w:cs="Times New Roman"/>
          <w:bCs/>
        </w:rPr>
        <w:t xml:space="preserve">does not </w:t>
      </w:r>
      <w:r w:rsidR="00596DCD" w:rsidRPr="00A60FD5">
        <w:rPr>
          <w:rFonts w:ascii="Times New Roman" w:hAnsi="Times New Roman" w:cs="Times New Roman"/>
          <w:bCs/>
        </w:rPr>
        <w:t>reject the null hypothesis (i.e., instrument is valid) (</w:t>
      </w:r>
      <w:r w:rsidR="00596DCD" w:rsidRPr="00A60FD5">
        <w:rPr>
          <w:rFonts w:ascii="Times New Roman" w:hAnsi="Times New Roman" w:cs="Times New Roman"/>
          <w:bCs/>
          <w:i/>
        </w:rPr>
        <w:t>p</w:t>
      </w:r>
      <w:r w:rsidR="00596DCD" w:rsidRPr="00A60FD5">
        <w:rPr>
          <w:rFonts w:ascii="Times New Roman" w:hAnsi="Times New Roman" w:cs="Times New Roman"/>
          <w:bCs/>
        </w:rPr>
        <w:t xml:space="preserve">-value = 0.70). Third, </w:t>
      </w:r>
      <w:r w:rsidR="00B17168" w:rsidRPr="00A60FD5">
        <w:rPr>
          <w:rFonts w:ascii="Times New Roman" w:hAnsi="Times New Roman" w:cs="Times New Roman"/>
          <w:bCs/>
        </w:rPr>
        <w:t xml:space="preserve">the </w:t>
      </w:r>
      <w:r w:rsidR="00596DCD" w:rsidRPr="00A60FD5">
        <w:rPr>
          <w:rFonts w:ascii="Times New Roman" w:hAnsi="Times New Roman" w:cs="Times New Roman"/>
          <w:bCs/>
        </w:rPr>
        <w:t xml:space="preserve">weak-instruments problem arises when the correlation between the endogenous regressors and the excluded instruments are nonzero but small. In order to ascertain that this problem of weak identification is not present, we use the “rule of thumb” of Staiger and Stock (1997) according to which the </w:t>
      </w:r>
      <w:r w:rsidR="00596DCD" w:rsidRPr="00A60FD5">
        <w:rPr>
          <w:rFonts w:ascii="Times New Roman" w:hAnsi="Times New Roman" w:cs="Times New Roman"/>
          <w:bCs/>
          <w:i/>
        </w:rPr>
        <w:t>F</w:t>
      </w:r>
      <w:r w:rsidR="00596DCD" w:rsidRPr="00A60FD5">
        <w:rPr>
          <w:rFonts w:ascii="Times New Roman" w:hAnsi="Times New Roman" w:cs="Times New Roman"/>
          <w:bCs/>
        </w:rPr>
        <w:t xml:space="preserve">-statistics should be at least 10. The Cragg-Donald Wald </w:t>
      </w:r>
      <w:r w:rsidR="00596DCD" w:rsidRPr="00A60FD5">
        <w:rPr>
          <w:rFonts w:ascii="Times New Roman" w:hAnsi="Times New Roman" w:cs="Times New Roman"/>
          <w:bCs/>
          <w:i/>
        </w:rPr>
        <w:t>F</w:t>
      </w:r>
      <w:r w:rsidR="00596DCD" w:rsidRPr="00A60FD5">
        <w:rPr>
          <w:rFonts w:ascii="Times New Roman" w:hAnsi="Times New Roman" w:cs="Times New Roman"/>
          <w:bCs/>
        </w:rPr>
        <w:t xml:space="preserve">-statistics in our case are 12.5 and 12.6 respectively for coordination and monitoring. </w:t>
      </w:r>
      <w:r w:rsidRPr="00A60FD5">
        <w:rPr>
          <w:rFonts w:ascii="Times New Roman" w:hAnsi="Times New Roman" w:cs="Times New Roman"/>
          <w:bCs/>
        </w:rPr>
        <w:t xml:space="preserve"> </w:t>
      </w:r>
    </w:p>
    <w:p w14:paraId="7C8FED4D" w14:textId="4AD1F073" w:rsidR="00417594" w:rsidRPr="00A60FD5" w:rsidRDefault="00417594" w:rsidP="0018013B">
      <w:pPr>
        <w:pStyle w:val="ListParagraph"/>
        <w:numPr>
          <w:ilvl w:val="0"/>
          <w:numId w:val="28"/>
        </w:numPr>
        <w:tabs>
          <w:tab w:val="left" w:pos="4245"/>
          <w:tab w:val="center" w:pos="4895"/>
        </w:tabs>
        <w:spacing w:after="0" w:line="480" w:lineRule="auto"/>
        <w:rPr>
          <w:rFonts w:ascii="Times New Roman" w:hAnsi="Times New Roman"/>
          <w:b/>
          <w:bCs/>
          <w:sz w:val="24"/>
          <w:szCs w:val="24"/>
        </w:rPr>
      </w:pPr>
      <w:r w:rsidRPr="00A60FD5">
        <w:rPr>
          <w:rFonts w:ascii="Times New Roman" w:hAnsi="Times New Roman"/>
          <w:b/>
          <w:bCs/>
          <w:sz w:val="24"/>
          <w:szCs w:val="24"/>
        </w:rPr>
        <w:t>RESULTS</w:t>
      </w:r>
    </w:p>
    <w:p w14:paraId="388FA280" w14:textId="70CD4937" w:rsidR="00417594" w:rsidRPr="00A60FD5" w:rsidRDefault="00417594" w:rsidP="00417594">
      <w:pPr>
        <w:spacing w:after="0" w:line="480" w:lineRule="auto"/>
        <w:rPr>
          <w:rFonts w:ascii="Times New Roman" w:hAnsi="Times New Roman" w:cs="Times New Roman"/>
        </w:rPr>
      </w:pPr>
      <w:r w:rsidRPr="00A60FD5">
        <w:rPr>
          <w:rFonts w:ascii="Times New Roman" w:hAnsi="Times New Roman" w:cs="Times New Roman"/>
          <w:bCs/>
        </w:rPr>
        <w:t xml:space="preserve">We report the number of observations, means, standard deviations </w:t>
      </w:r>
      <w:r w:rsidR="009872B8" w:rsidRPr="00A60FD5">
        <w:rPr>
          <w:rFonts w:ascii="Times New Roman" w:hAnsi="Times New Roman" w:cs="Times New Roman"/>
          <w:bCs/>
        </w:rPr>
        <w:t xml:space="preserve">and minimum and maximum values </w:t>
      </w:r>
      <w:r w:rsidRPr="00A60FD5">
        <w:rPr>
          <w:rFonts w:ascii="Times New Roman" w:hAnsi="Times New Roman" w:cs="Times New Roman"/>
          <w:bCs/>
        </w:rPr>
        <w:t xml:space="preserve">for the variables </w:t>
      </w:r>
      <w:r w:rsidR="009872B8" w:rsidRPr="00A60FD5">
        <w:rPr>
          <w:rFonts w:ascii="Times New Roman" w:hAnsi="Times New Roman" w:cs="Times New Roman"/>
          <w:bCs/>
        </w:rPr>
        <w:t xml:space="preserve">included </w:t>
      </w:r>
      <w:r w:rsidRPr="00A60FD5">
        <w:rPr>
          <w:rFonts w:ascii="Times New Roman" w:hAnsi="Times New Roman" w:cs="Times New Roman"/>
          <w:bCs/>
        </w:rPr>
        <w:t>in the regression models in Table</w:t>
      </w:r>
      <w:r w:rsidR="006F129E" w:rsidRPr="00A60FD5">
        <w:rPr>
          <w:rFonts w:ascii="Times New Roman" w:hAnsi="Times New Roman" w:cs="Times New Roman"/>
          <w:bCs/>
        </w:rPr>
        <w:t>s</w:t>
      </w:r>
      <w:r w:rsidRPr="00A60FD5">
        <w:rPr>
          <w:rFonts w:ascii="Times New Roman" w:hAnsi="Times New Roman" w:cs="Times New Roman"/>
          <w:bCs/>
        </w:rPr>
        <w:t xml:space="preserve"> 2</w:t>
      </w:r>
      <w:r w:rsidR="006F129E" w:rsidRPr="00A60FD5">
        <w:rPr>
          <w:rFonts w:ascii="Times New Roman" w:hAnsi="Times New Roman" w:cs="Times New Roman"/>
          <w:bCs/>
        </w:rPr>
        <w:t xml:space="preserve"> and 3</w:t>
      </w:r>
      <w:r w:rsidRPr="00A60FD5">
        <w:rPr>
          <w:rFonts w:ascii="Times New Roman" w:hAnsi="Times New Roman" w:cs="Times New Roman"/>
          <w:bCs/>
        </w:rPr>
        <w:t xml:space="preserve">. </w:t>
      </w:r>
    </w:p>
    <w:p w14:paraId="092D2B32" w14:textId="77777777" w:rsidR="00417594" w:rsidRPr="00A60FD5" w:rsidRDefault="00417594" w:rsidP="00481054">
      <w:pPr>
        <w:spacing w:after="0" w:line="240" w:lineRule="auto"/>
        <w:ind w:firstLine="720"/>
        <w:jc w:val="center"/>
        <w:rPr>
          <w:rFonts w:ascii="Times New Roman" w:hAnsi="Times New Roman" w:cs="Times New Roman"/>
        </w:rPr>
      </w:pPr>
      <w:r w:rsidRPr="00A60FD5">
        <w:rPr>
          <w:rFonts w:ascii="Times New Roman" w:hAnsi="Times New Roman" w:cs="Times New Roman"/>
        </w:rPr>
        <w:t>--------------------------------</w:t>
      </w:r>
    </w:p>
    <w:p w14:paraId="24DEC1A8" w14:textId="61093590" w:rsidR="00417594" w:rsidRPr="00A60FD5" w:rsidRDefault="00417594" w:rsidP="00A05DE5">
      <w:pPr>
        <w:spacing w:after="0" w:line="240" w:lineRule="auto"/>
        <w:ind w:firstLine="720"/>
        <w:jc w:val="center"/>
        <w:rPr>
          <w:rFonts w:ascii="Times New Roman" w:hAnsi="Times New Roman" w:cs="Times New Roman"/>
        </w:rPr>
      </w:pPr>
      <w:r w:rsidRPr="00A60FD5">
        <w:rPr>
          <w:rFonts w:ascii="Times New Roman" w:hAnsi="Times New Roman" w:cs="Times New Roman"/>
        </w:rPr>
        <w:t>Insert Table</w:t>
      </w:r>
      <w:r w:rsidR="009872B8" w:rsidRPr="00A60FD5">
        <w:rPr>
          <w:rFonts w:ascii="Times New Roman" w:hAnsi="Times New Roman" w:cs="Times New Roman"/>
        </w:rPr>
        <w:t>s</w:t>
      </w:r>
      <w:r w:rsidRPr="00A60FD5">
        <w:rPr>
          <w:rFonts w:ascii="Times New Roman" w:hAnsi="Times New Roman" w:cs="Times New Roman"/>
        </w:rPr>
        <w:t xml:space="preserve"> 2 </w:t>
      </w:r>
      <w:r w:rsidR="009872B8" w:rsidRPr="00A60FD5">
        <w:rPr>
          <w:rFonts w:ascii="Times New Roman" w:hAnsi="Times New Roman" w:cs="Times New Roman"/>
        </w:rPr>
        <w:t xml:space="preserve">and 3 </w:t>
      </w:r>
      <w:r w:rsidRPr="00A60FD5">
        <w:rPr>
          <w:rFonts w:ascii="Times New Roman" w:hAnsi="Times New Roman" w:cs="Times New Roman"/>
        </w:rPr>
        <w:t>about here</w:t>
      </w:r>
    </w:p>
    <w:p w14:paraId="10B80F1E" w14:textId="77777777" w:rsidR="00417594" w:rsidRPr="00A60FD5" w:rsidRDefault="00417594" w:rsidP="00481054">
      <w:pPr>
        <w:spacing w:after="0" w:line="240" w:lineRule="auto"/>
        <w:ind w:firstLine="720"/>
        <w:jc w:val="center"/>
        <w:rPr>
          <w:rFonts w:ascii="Times New Roman" w:hAnsi="Times New Roman" w:cs="Times New Roman"/>
        </w:rPr>
      </w:pPr>
      <w:r w:rsidRPr="00A60FD5">
        <w:rPr>
          <w:rFonts w:ascii="Times New Roman" w:hAnsi="Times New Roman" w:cs="Times New Roman"/>
        </w:rPr>
        <w:t>--------------------------------</w:t>
      </w:r>
    </w:p>
    <w:p w14:paraId="48653A7D" w14:textId="2BA626C7" w:rsidR="000C4CC0" w:rsidRPr="00A60FD5" w:rsidRDefault="009917D7" w:rsidP="0018613D">
      <w:pPr>
        <w:spacing w:after="0" w:line="480" w:lineRule="auto"/>
        <w:ind w:firstLine="624"/>
        <w:rPr>
          <w:rFonts w:ascii="Times New Roman" w:hAnsi="Times New Roman" w:cs="Times New Roman"/>
          <w:bCs/>
        </w:rPr>
      </w:pPr>
      <w:r w:rsidRPr="00A60FD5">
        <w:rPr>
          <w:rFonts w:ascii="Times New Roman" w:hAnsi="Times New Roman" w:cs="Times New Roman"/>
          <w:bCs/>
        </w:rPr>
        <w:t xml:space="preserve">As the mean and standard deviation values </w:t>
      </w:r>
      <w:r w:rsidR="009872B8" w:rsidRPr="00A60FD5">
        <w:rPr>
          <w:rFonts w:ascii="Times New Roman" w:hAnsi="Times New Roman" w:cs="Times New Roman"/>
          <w:bCs/>
        </w:rPr>
        <w:t>do not provide fully indicative</w:t>
      </w:r>
      <w:r w:rsidRPr="00A60FD5">
        <w:rPr>
          <w:rFonts w:ascii="Times New Roman" w:hAnsi="Times New Roman" w:cs="Times New Roman"/>
          <w:bCs/>
        </w:rPr>
        <w:t xml:space="preserve"> information for categorical variables, we </w:t>
      </w:r>
      <w:r w:rsidR="009872B8" w:rsidRPr="00A60FD5">
        <w:rPr>
          <w:rFonts w:ascii="Times New Roman" w:hAnsi="Times New Roman" w:cs="Times New Roman"/>
          <w:bCs/>
        </w:rPr>
        <w:t xml:space="preserve">offer further details concerning those variables. </w:t>
      </w:r>
      <w:r w:rsidR="000C4CC0" w:rsidRPr="00A60FD5">
        <w:rPr>
          <w:rFonts w:ascii="Times New Roman" w:hAnsi="Times New Roman" w:cs="Times New Roman"/>
          <w:bCs/>
        </w:rPr>
        <w:t xml:space="preserve">As far as the license’s scope is concerned, our sample counts 83 licensing transactions that do not involve joint efforts in manufacturing or marketing (78.3% of our sample), 20 transactions that involve either joint marketing or manufacturing efforts (18.9%), and three transactions involving joint efforts in both marketing and manufacturing (2.8%). Our measure of the licensor’s firm corresponds to the number of employees. Five categories are created: 100 or fewer employees (42.5%), between 101 and 250 employees (11.3%), between 251 and 500 employees (8.5%), between 501 and 1,000 employees (5.7%), and </w:t>
      </w:r>
      <w:r w:rsidR="000C4CC0" w:rsidRPr="00A60FD5">
        <w:rPr>
          <w:rFonts w:ascii="Times New Roman" w:hAnsi="Times New Roman" w:cs="Times New Roman"/>
          <w:bCs/>
        </w:rPr>
        <w:lastRenderedPageBreak/>
        <w:t>more than 1,000 employees (32.1%). Our sample includes 34 licensing exchanges negotiated between 2006 and 2008 (32.1%), 57 between 1998 and 2005 (53.8%), and 15 before 1998 (14.0%). Finally, 27 transactions were negotiated in the knowledge-intensive service-based sector, 47 in the high-tech manufacturing sector, 14 in the low- or medium-tech manufacturing sector, and 11 in the low-tech service-based sector.</w:t>
      </w:r>
    </w:p>
    <w:p w14:paraId="492A393F" w14:textId="491E1B1F" w:rsidR="00417594" w:rsidRPr="00A60FD5" w:rsidRDefault="00417594" w:rsidP="0018613D">
      <w:pPr>
        <w:spacing w:after="0" w:line="480" w:lineRule="auto"/>
        <w:ind w:firstLine="624"/>
        <w:rPr>
          <w:rFonts w:ascii="Times New Roman" w:hAnsi="Times New Roman" w:cs="Times New Roman"/>
        </w:rPr>
      </w:pPr>
      <w:r w:rsidRPr="00A60FD5">
        <w:rPr>
          <w:rFonts w:ascii="Times New Roman" w:hAnsi="Times New Roman" w:cs="Times New Roman"/>
          <w:bCs/>
        </w:rPr>
        <w:t>Overall, 27.</w:t>
      </w:r>
      <w:r w:rsidR="003913FE" w:rsidRPr="00A60FD5">
        <w:rPr>
          <w:rFonts w:ascii="Times New Roman" w:hAnsi="Times New Roman" w:cs="Times New Roman"/>
          <w:bCs/>
        </w:rPr>
        <w:t>4</w:t>
      </w:r>
      <w:r w:rsidRPr="00A60FD5">
        <w:rPr>
          <w:rFonts w:ascii="Times New Roman" w:hAnsi="Times New Roman" w:cs="Times New Roman"/>
          <w:bCs/>
        </w:rPr>
        <w:t>% of the licensing contracts in our sample include an arbitration provision</w:t>
      </w:r>
      <w:r w:rsidR="00771491" w:rsidRPr="00A60FD5">
        <w:rPr>
          <w:rFonts w:ascii="Times New Roman" w:hAnsi="Times New Roman" w:cs="Times New Roman"/>
          <w:bCs/>
        </w:rPr>
        <w:t>.</w:t>
      </w:r>
      <w:r w:rsidRPr="00A60FD5">
        <w:rPr>
          <w:rFonts w:ascii="Times New Roman" w:hAnsi="Times New Roman" w:cs="Times New Roman"/>
          <w:bCs/>
        </w:rPr>
        <w:t xml:space="preserve"> </w:t>
      </w:r>
      <w:r w:rsidR="000F3773" w:rsidRPr="00A60FD5">
        <w:rPr>
          <w:rFonts w:ascii="Times New Roman" w:hAnsi="Times New Roman" w:cs="Times New Roman"/>
          <w:bCs/>
        </w:rPr>
        <w:t>This percentage is consistent with the corresponding figure</w:t>
      </w:r>
      <w:r w:rsidR="00606DF1" w:rsidRPr="00A60FD5">
        <w:rPr>
          <w:rFonts w:ascii="Times New Roman" w:hAnsi="Times New Roman" w:cs="Times New Roman"/>
          <w:bCs/>
        </w:rPr>
        <w:t>s</w:t>
      </w:r>
      <w:r w:rsidR="000F3773" w:rsidRPr="00A60FD5">
        <w:rPr>
          <w:rFonts w:ascii="Times New Roman" w:hAnsi="Times New Roman" w:cs="Times New Roman"/>
          <w:bCs/>
        </w:rPr>
        <w:t xml:space="preserve"> reported by Eisenberg and Miller (2007) for their sample of licensing contracts (33.3%)</w:t>
      </w:r>
      <w:r w:rsidR="00A269A7" w:rsidRPr="00A60FD5">
        <w:rPr>
          <w:rFonts w:ascii="Times New Roman" w:hAnsi="Times New Roman" w:cs="Times New Roman"/>
          <w:bCs/>
        </w:rPr>
        <w:t>,</w:t>
      </w:r>
      <w:r w:rsidR="000F3773" w:rsidRPr="00A60FD5">
        <w:rPr>
          <w:rFonts w:ascii="Times New Roman" w:hAnsi="Times New Roman" w:cs="Times New Roman"/>
          <w:bCs/>
        </w:rPr>
        <w:t xml:space="preserve"> as well as those reported by Anderson and Dekker (2005) for their sample of transactions between small to medium-sized Dutch firms and information technology firms for IT products and services (26.0%). </w:t>
      </w:r>
      <w:r w:rsidR="00584E59" w:rsidRPr="00A60FD5">
        <w:rPr>
          <w:rFonts w:ascii="Times New Roman" w:hAnsi="Times New Roman" w:cs="Times New Roman"/>
          <w:bCs/>
        </w:rPr>
        <w:t>T</w:t>
      </w:r>
      <w:r w:rsidRPr="00A60FD5">
        <w:rPr>
          <w:rFonts w:ascii="Times New Roman" w:hAnsi="Times New Roman" w:cs="Times New Roman"/>
          <w:bCs/>
        </w:rPr>
        <w:t xml:space="preserve">he likelihood of finding an arbitration provision is particularly low in domestic licensing (12.5%), while </w:t>
      </w:r>
      <w:r w:rsidR="00A879B5" w:rsidRPr="00A60FD5">
        <w:rPr>
          <w:rFonts w:ascii="Times New Roman" w:hAnsi="Times New Roman" w:cs="Times New Roman"/>
          <w:bCs/>
        </w:rPr>
        <w:t>it</w:t>
      </w:r>
      <w:r w:rsidRPr="00A60FD5">
        <w:rPr>
          <w:rFonts w:ascii="Times New Roman" w:hAnsi="Times New Roman" w:cs="Times New Roman"/>
          <w:bCs/>
        </w:rPr>
        <w:t xml:space="preserve"> is </w:t>
      </w:r>
      <w:r w:rsidR="004349B1" w:rsidRPr="00A60FD5">
        <w:rPr>
          <w:rFonts w:ascii="Times New Roman" w:hAnsi="Times New Roman" w:cs="Times New Roman"/>
          <w:bCs/>
        </w:rPr>
        <w:t>25.5</w:t>
      </w:r>
      <w:r w:rsidRPr="00A60FD5">
        <w:rPr>
          <w:rFonts w:ascii="Times New Roman" w:hAnsi="Times New Roman" w:cs="Times New Roman"/>
          <w:bCs/>
        </w:rPr>
        <w:t xml:space="preserve">% in Europe (excluding Belgium), </w:t>
      </w:r>
      <w:r w:rsidR="00A269A7" w:rsidRPr="00A60FD5">
        <w:rPr>
          <w:rFonts w:ascii="Times New Roman" w:hAnsi="Times New Roman" w:cs="Times New Roman"/>
          <w:bCs/>
        </w:rPr>
        <w:t xml:space="preserve">and </w:t>
      </w:r>
      <w:r w:rsidR="004349B1" w:rsidRPr="00A60FD5">
        <w:rPr>
          <w:rFonts w:ascii="Times New Roman" w:hAnsi="Times New Roman" w:cs="Times New Roman"/>
          <w:bCs/>
        </w:rPr>
        <w:t>34.5</w:t>
      </w:r>
      <w:r w:rsidRPr="00A60FD5">
        <w:rPr>
          <w:rFonts w:ascii="Times New Roman" w:hAnsi="Times New Roman" w:cs="Times New Roman"/>
          <w:bCs/>
        </w:rPr>
        <w:t xml:space="preserve">% and 28.6% </w:t>
      </w:r>
      <w:r w:rsidR="00E61E2A" w:rsidRPr="00A60FD5">
        <w:rPr>
          <w:rFonts w:ascii="Times New Roman" w:hAnsi="Times New Roman" w:cs="Times New Roman"/>
          <w:bCs/>
        </w:rPr>
        <w:t>when North American and Japanese partners are involved respectively</w:t>
      </w:r>
      <w:r w:rsidRPr="00A60FD5">
        <w:rPr>
          <w:rFonts w:ascii="Times New Roman" w:hAnsi="Times New Roman" w:cs="Times New Roman"/>
          <w:bCs/>
        </w:rPr>
        <w:t xml:space="preserve">. </w:t>
      </w:r>
      <w:r w:rsidR="004349B1" w:rsidRPr="00A60FD5">
        <w:rPr>
          <w:rFonts w:ascii="Times New Roman" w:hAnsi="Times New Roman" w:cs="Times New Roman"/>
          <w:bCs/>
        </w:rPr>
        <w:t>In the international setting, a</w:t>
      </w:r>
      <w:r w:rsidRPr="00A60FD5">
        <w:rPr>
          <w:rFonts w:ascii="Times New Roman" w:hAnsi="Times New Roman" w:cs="Times New Roman"/>
          <w:bCs/>
        </w:rPr>
        <w:t xml:space="preserve">rbitration </w:t>
      </w:r>
      <w:r w:rsidR="00771491" w:rsidRPr="00A60FD5">
        <w:rPr>
          <w:rFonts w:ascii="Times New Roman" w:hAnsi="Times New Roman" w:cs="Times New Roman"/>
          <w:bCs/>
        </w:rPr>
        <w:t xml:space="preserve">may </w:t>
      </w:r>
      <w:r w:rsidR="004349B1" w:rsidRPr="00A60FD5">
        <w:rPr>
          <w:rFonts w:ascii="Times New Roman" w:hAnsi="Times New Roman" w:cs="Times New Roman"/>
          <w:bCs/>
        </w:rPr>
        <w:t>offer</w:t>
      </w:r>
      <w:r w:rsidRPr="00A60FD5">
        <w:rPr>
          <w:rFonts w:ascii="Times New Roman" w:hAnsi="Times New Roman" w:cs="Times New Roman"/>
          <w:bCs/>
        </w:rPr>
        <w:t xml:space="preserve"> a “neutral” forum </w:t>
      </w:r>
      <w:r w:rsidR="00C6078E" w:rsidRPr="00A60FD5">
        <w:rPr>
          <w:rFonts w:ascii="Times New Roman" w:hAnsi="Times New Roman" w:cs="Times New Roman"/>
          <w:bCs/>
        </w:rPr>
        <w:t xml:space="preserve">such as the International Court of Arbitration or the American Arbitration </w:t>
      </w:r>
      <w:r w:rsidR="000461E8" w:rsidRPr="00A60FD5">
        <w:rPr>
          <w:rFonts w:ascii="Times New Roman" w:hAnsi="Times New Roman" w:cs="Times New Roman"/>
          <w:bCs/>
        </w:rPr>
        <w:t>Association</w:t>
      </w:r>
      <w:r w:rsidR="00C6078E" w:rsidRPr="00A60FD5">
        <w:rPr>
          <w:rFonts w:ascii="Times New Roman" w:hAnsi="Times New Roman" w:cs="Times New Roman"/>
          <w:bCs/>
        </w:rPr>
        <w:t xml:space="preserve">. </w:t>
      </w:r>
    </w:p>
    <w:p w14:paraId="748CFD22" w14:textId="40EDF999" w:rsidR="004E0DD9" w:rsidRPr="00A60FD5" w:rsidRDefault="00A6616B" w:rsidP="00010282">
      <w:pPr>
        <w:spacing w:after="0" w:line="480" w:lineRule="auto"/>
        <w:ind w:firstLine="709"/>
        <w:rPr>
          <w:rFonts w:ascii="Times New Roman" w:hAnsi="Times New Roman" w:cs="Times New Roman"/>
          <w:bCs/>
        </w:rPr>
      </w:pPr>
      <w:r w:rsidRPr="00A60FD5">
        <w:rPr>
          <w:rFonts w:ascii="Times New Roman" w:hAnsi="Times New Roman" w:cs="Times New Roman"/>
          <w:bCs/>
        </w:rPr>
        <w:t xml:space="preserve">Table </w:t>
      </w:r>
      <w:r w:rsidR="006F129E" w:rsidRPr="00A60FD5">
        <w:rPr>
          <w:rFonts w:ascii="Times New Roman" w:hAnsi="Times New Roman" w:cs="Times New Roman"/>
          <w:bCs/>
        </w:rPr>
        <w:t>4</w:t>
      </w:r>
      <w:r w:rsidRPr="00A60FD5">
        <w:rPr>
          <w:rFonts w:ascii="Times New Roman" w:hAnsi="Times New Roman" w:cs="Times New Roman"/>
          <w:bCs/>
        </w:rPr>
        <w:t xml:space="preserve"> presents</w:t>
      </w:r>
      <w:r w:rsidR="00417594" w:rsidRPr="00A60FD5">
        <w:rPr>
          <w:rFonts w:ascii="Times New Roman" w:hAnsi="Times New Roman" w:cs="Times New Roman"/>
          <w:bCs/>
        </w:rPr>
        <w:t xml:space="preserve"> five CMP regression models</w:t>
      </w:r>
      <w:r w:rsidR="00B11305" w:rsidRPr="00A60FD5">
        <w:rPr>
          <w:rFonts w:ascii="Times New Roman" w:hAnsi="Times New Roman" w:cs="Times New Roman"/>
          <w:bCs/>
        </w:rPr>
        <w:t xml:space="preserve"> in which the dependent variables are monitoring and coordination in the first-stage equations, and arbitration in the second-stage equation. Model I corresponds to the baseline model</w:t>
      </w:r>
      <w:r w:rsidR="00E61E2A" w:rsidRPr="00A60FD5">
        <w:rPr>
          <w:rFonts w:ascii="Times New Roman" w:hAnsi="Times New Roman" w:cs="Times New Roman"/>
          <w:bCs/>
        </w:rPr>
        <w:t>. It estimates</w:t>
      </w:r>
      <w:r w:rsidR="004E0DD9" w:rsidRPr="00A60FD5">
        <w:rPr>
          <w:rFonts w:ascii="Times New Roman" w:hAnsi="Times New Roman" w:cs="Times New Roman"/>
          <w:bCs/>
        </w:rPr>
        <w:t xml:space="preserve"> </w:t>
      </w:r>
      <w:r w:rsidR="00B11305" w:rsidRPr="00A60FD5">
        <w:rPr>
          <w:rFonts w:ascii="Times New Roman" w:hAnsi="Times New Roman" w:cs="Times New Roman"/>
          <w:bCs/>
        </w:rPr>
        <w:t>the direct effects of transaction and exchange attributes on monitoring, coordination and arbitration</w:t>
      </w:r>
      <w:r w:rsidR="00E61E2A" w:rsidRPr="00A60FD5">
        <w:rPr>
          <w:rFonts w:ascii="Times New Roman" w:hAnsi="Times New Roman" w:cs="Times New Roman"/>
          <w:bCs/>
        </w:rPr>
        <w:t xml:space="preserve"> simultaneously</w:t>
      </w:r>
      <w:r w:rsidR="00B11305" w:rsidRPr="00A60FD5">
        <w:rPr>
          <w:rFonts w:ascii="Times New Roman" w:hAnsi="Times New Roman" w:cs="Times New Roman"/>
          <w:bCs/>
        </w:rPr>
        <w:t xml:space="preserve">. </w:t>
      </w:r>
      <w:r w:rsidR="00597D4C" w:rsidRPr="00A60FD5">
        <w:rPr>
          <w:rFonts w:ascii="Times New Roman" w:hAnsi="Times New Roman" w:cs="Times New Roman"/>
          <w:bCs/>
        </w:rPr>
        <w:t xml:space="preserve">In Model II and Model III, contractual orientations are introduced individually in the arbitration equation. </w:t>
      </w:r>
      <w:r w:rsidR="00B11305" w:rsidRPr="00A60FD5">
        <w:rPr>
          <w:rFonts w:ascii="Times New Roman" w:hAnsi="Times New Roman" w:cs="Times New Roman"/>
          <w:bCs/>
        </w:rPr>
        <w:t xml:space="preserve">In Model IV, </w:t>
      </w:r>
      <w:r w:rsidR="004E0DD9" w:rsidRPr="00A60FD5">
        <w:rPr>
          <w:rFonts w:ascii="Times New Roman" w:hAnsi="Times New Roman" w:cs="Times New Roman"/>
          <w:bCs/>
        </w:rPr>
        <w:t xml:space="preserve">the two contractual orientations – monitoring and coordination – are included in the second-stage equation. After controlling for the direct effects of transaction and exchange attributes on arbitration, findings obtained in this </w:t>
      </w:r>
      <w:r w:rsidR="005824C8" w:rsidRPr="00A60FD5">
        <w:rPr>
          <w:rFonts w:ascii="Times New Roman" w:hAnsi="Times New Roman" w:cs="Times New Roman"/>
          <w:bCs/>
        </w:rPr>
        <w:t>model support</w:t>
      </w:r>
      <w:r w:rsidR="004E0DD9" w:rsidRPr="00A60FD5">
        <w:rPr>
          <w:rFonts w:ascii="Times New Roman" w:hAnsi="Times New Roman" w:cs="Times New Roman"/>
          <w:bCs/>
        </w:rPr>
        <w:t xml:space="preserve"> one of our first two hypotheses</w:t>
      </w:r>
      <w:r w:rsidR="00E61E2A" w:rsidRPr="00A60FD5">
        <w:rPr>
          <w:rFonts w:ascii="Times New Roman" w:hAnsi="Times New Roman" w:cs="Times New Roman"/>
          <w:bCs/>
        </w:rPr>
        <w:t xml:space="preserve"> (Model IV in </w:t>
      </w:r>
      <w:r w:rsidR="006F129E" w:rsidRPr="00A60FD5">
        <w:rPr>
          <w:rFonts w:ascii="Times New Roman" w:hAnsi="Times New Roman" w:cs="Times New Roman"/>
          <w:bCs/>
        </w:rPr>
        <w:t>Table 4</w:t>
      </w:r>
      <w:r w:rsidR="00E61E2A" w:rsidRPr="00A60FD5">
        <w:rPr>
          <w:rFonts w:ascii="Times New Roman" w:hAnsi="Times New Roman" w:cs="Times New Roman"/>
          <w:bCs/>
        </w:rPr>
        <w:t>)</w:t>
      </w:r>
      <w:r w:rsidR="004E0DD9" w:rsidRPr="00A60FD5">
        <w:rPr>
          <w:rFonts w:ascii="Times New Roman" w:hAnsi="Times New Roman" w:cs="Times New Roman"/>
          <w:bCs/>
        </w:rPr>
        <w:t>. Hypothesis 1, which predicts a negative relationship between the extent of the monitoring orientation and the likelihood of including an arbitration provision, does not receive support. Hypothesis 2, which covers the positive effect of an extensive coordination orientation on partner firms’ propensity to include an arbitration provision, is supported (</w:t>
      </w:r>
      <w:r w:rsidR="004E0DD9" w:rsidRPr="00A60FD5">
        <w:rPr>
          <w:rFonts w:ascii="Times New Roman" w:hAnsi="Times New Roman" w:cs="Times New Roman"/>
          <w:bCs/>
          <w:i/>
        </w:rPr>
        <w:t>β</w:t>
      </w:r>
      <w:r w:rsidR="004E0DD9" w:rsidRPr="00A60FD5">
        <w:rPr>
          <w:rFonts w:ascii="Times New Roman" w:hAnsi="Times New Roman" w:cs="Times New Roman"/>
          <w:bCs/>
        </w:rPr>
        <w:t xml:space="preserve"> = 0.</w:t>
      </w:r>
      <w:r w:rsidR="00606DF1" w:rsidRPr="00A60FD5">
        <w:rPr>
          <w:rFonts w:ascii="Times New Roman" w:hAnsi="Times New Roman" w:cs="Times New Roman"/>
          <w:bCs/>
        </w:rPr>
        <w:t>51</w:t>
      </w:r>
      <w:r w:rsidR="004E0DD9" w:rsidRPr="00A60FD5">
        <w:rPr>
          <w:rFonts w:ascii="Times New Roman" w:hAnsi="Times New Roman" w:cs="Times New Roman"/>
          <w:bCs/>
        </w:rPr>
        <w:t xml:space="preserve">; </w:t>
      </w:r>
      <w:r w:rsidR="004E0DD9" w:rsidRPr="00A60FD5">
        <w:rPr>
          <w:rFonts w:ascii="Times New Roman" w:hAnsi="Times New Roman" w:cs="Times New Roman"/>
          <w:bCs/>
          <w:i/>
        </w:rPr>
        <w:t xml:space="preserve">p </w:t>
      </w:r>
      <w:r w:rsidR="004E0DD9" w:rsidRPr="00A60FD5">
        <w:rPr>
          <w:rFonts w:ascii="Times New Roman" w:hAnsi="Times New Roman" w:cs="Times New Roman"/>
          <w:bCs/>
        </w:rPr>
        <w:t>&lt; 0.0</w:t>
      </w:r>
      <w:r w:rsidR="00606DF1" w:rsidRPr="00A60FD5">
        <w:rPr>
          <w:rFonts w:ascii="Times New Roman" w:hAnsi="Times New Roman" w:cs="Times New Roman"/>
          <w:bCs/>
        </w:rPr>
        <w:t>5</w:t>
      </w:r>
      <w:r w:rsidR="004E0DD9" w:rsidRPr="00A60FD5">
        <w:rPr>
          <w:rFonts w:ascii="Times New Roman" w:hAnsi="Times New Roman" w:cs="Times New Roman"/>
          <w:bCs/>
        </w:rPr>
        <w:t xml:space="preserve">). </w:t>
      </w:r>
    </w:p>
    <w:p w14:paraId="71346472" w14:textId="557FF004" w:rsidR="00776740" w:rsidRPr="00A60FD5" w:rsidRDefault="00FE0135" w:rsidP="00751307">
      <w:pPr>
        <w:spacing w:after="0" w:line="480" w:lineRule="auto"/>
        <w:ind w:firstLine="709"/>
        <w:rPr>
          <w:rFonts w:ascii="Times New Roman" w:hAnsi="Times New Roman" w:cs="Times New Roman"/>
          <w:bCs/>
        </w:rPr>
      </w:pPr>
      <w:r w:rsidRPr="00A60FD5">
        <w:rPr>
          <w:rFonts w:ascii="Times New Roman" w:hAnsi="Times New Roman" w:cs="Times New Roman"/>
          <w:bCs/>
        </w:rPr>
        <w:t>In order to test our third hypothesis, we examine the interactive effect of monitoring and coordination provisions on the occurrence of arbitration</w:t>
      </w:r>
      <w:r w:rsidR="00E61E2A" w:rsidRPr="00A60FD5">
        <w:rPr>
          <w:rFonts w:ascii="Times New Roman" w:hAnsi="Times New Roman" w:cs="Times New Roman"/>
          <w:bCs/>
        </w:rPr>
        <w:t>. W</w:t>
      </w:r>
      <w:r w:rsidR="00B07051" w:rsidRPr="00A60FD5">
        <w:rPr>
          <w:rFonts w:ascii="Times New Roman" w:hAnsi="Times New Roman" w:cs="Times New Roman"/>
          <w:bCs/>
        </w:rPr>
        <w:t xml:space="preserve">e </w:t>
      </w:r>
      <w:r w:rsidRPr="00A60FD5">
        <w:rPr>
          <w:rFonts w:ascii="Times New Roman" w:hAnsi="Times New Roman" w:cs="Times New Roman"/>
          <w:bCs/>
        </w:rPr>
        <w:t>explor</w:t>
      </w:r>
      <w:r w:rsidR="00B07051" w:rsidRPr="00A60FD5">
        <w:rPr>
          <w:rFonts w:ascii="Times New Roman" w:hAnsi="Times New Roman" w:cs="Times New Roman"/>
          <w:bCs/>
        </w:rPr>
        <w:t>e</w:t>
      </w:r>
      <w:r w:rsidRPr="00A60FD5">
        <w:rPr>
          <w:rFonts w:ascii="Times New Roman" w:hAnsi="Times New Roman" w:cs="Times New Roman"/>
          <w:bCs/>
        </w:rPr>
        <w:t xml:space="preserve"> whether and how the presence of </w:t>
      </w:r>
      <w:r w:rsidRPr="00A60FD5">
        <w:rPr>
          <w:rFonts w:ascii="Times New Roman" w:hAnsi="Times New Roman" w:cs="Times New Roman"/>
          <w:bCs/>
        </w:rPr>
        <w:lastRenderedPageBreak/>
        <w:t>coordination provisions affects the relationship between monitoring provisions and arbitration</w:t>
      </w:r>
      <w:r w:rsidR="00E61E2A" w:rsidRPr="00A60FD5">
        <w:rPr>
          <w:rFonts w:ascii="Times New Roman" w:hAnsi="Times New Roman" w:cs="Times New Roman"/>
          <w:bCs/>
        </w:rPr>
        <w:t>,</w:t>
      </w:r>
      <w:r w:rsidRPr="00A60FD5">
        <w:rPr>
          <w:rFonts w:ascii="Times New Roman" w:hAnsi="Times New Roman" w:cs="Times New Roman"/>
          <w:bCs/>
        </w:rPr>
        <w:t xml:space="preserve"> and</w:t>
      </w:r>
      <w:r w:rsidR="00B07051" w:rsidRPr="00A60FD5">
        <w:rPr>
          <w:rFonts w:ascii="Times New Roman" w:hAnsi="Times New Roman" w:cs="Times New Roman"/>
          <w:bCs/>
        </w:rPr>
        <w:t xml:space="preserve"> </w:t>
      </w:r>
      <w:r w:rsidRPr="00A60FD5">
        <w:rPr>
          <w:rFonts w:ascii="Times New Roman" w:hAnsi="Times New Roman" w:cs="Times New Roman"/>
          <w:bCs/>
        </w:rPr>
        <w:t xml:space="preserve">whether and how monitoring provisions influence the coordination provisions-arbitration relationship. </w:t>
      </w:r>
      <w:r w:rsidR="00A241BC" w:rsidRPr="00A60FD5">
        <w:rPr>
          <w:rFonts w:ascii="Times New Roman" w:hAnsi="Times New Roman" w:cs="Times New Roman"/>
          <w:bCs/>
        </w:rPr>
        <w:t xml:space="preserve">As shown in Model V in </w:t>
      </w:r>
      <w:r w:rsidR="006F129E" w:rsidRPr="00A60FD5">
        <w:rPr>
          <w:rFonts w:ascii="Times New Roman" w:hAnsi="Times New Roman" w:cs="Times New Roman"/>
          <w:bCs/>
        </w:rPr>
        <w:t>Table 4</w:t>
      </w:r>
      <w:r w:rsidR="00A241BC" w:rsidRPr="00A60FD5">
        <w:rPr>
          <w:rFonts w:ascii="Times New Roman" w:hAnsi="Times New Roman" w:cs="Times New Roman"/>
          <w:bCs/>
        </w:rPr>
        <w:t xml:space="preserve">, </w:t>
      </w:r>
      <w:r w:rsidR="00355799" w:rsidRPr="00A60FD5">
        <w:rPr>
          <w:rFonts w:ascii="Times New Roman" w:hAnsi="Times New Roman" w:cs="Times New Roman"/>
          <w:bCs/>
        </w:rPr>
        <w:t>the significant interaction effect</w:t>
      </w:r>
      <w:r w:rsidRPr="00A60FD5">
        <w:rPr>
          <w:rFonts w:ascii="Times New Roman" w:hAnsi="Times New Roman" w:cs="Times New Roman"/>
          <w:bCs/>
        </w:rPr>
        <w:t xml:space="preserve"> suggests that </w:t>
      </w:r>
      <w:r w:rsidR="00355799" w:rsidRPr="00A60FD5">
        <w:rPr>
          <w:rFonts w:ascii="Times New Roman" w:hAnsi="Times New Roman" w:cs="Times New Roman"/>
          <w:bCs/>
        </w:rPr>
        <w:t xml:space="preserve">the marginal effect of monitoring orientation is dependent on the extent of coordination orientation and </w:t>
      </w:r>
      <w:r w:rsidR="00355799" w:rsidRPr="00A60FD5">
        <w:rPr>
          <w:rFonts w:ascii="Times New Roman" w:hAnsi="Times New Roman" w:cs="Times New Roman"/>
          <w:bCs/>
          <w:i/>
        </w:rPr>
        <w:t xml:space="preserve">vice versa </w:t>
      </w:r>
      <w:r w:rsidR="00355799" w:rsidRPr="00A60FD5">
        <w:rPr>
          <w:rFonts w:ascii="Times New Roman" w:hAnsi="Times New Roman" w:cs="Times New Roman"/>
          <w:bCs/>
        </w:rPr>
        <w:t>(</w:t>
      </w:r>
      <w:r w:rsidR="00355799" w:rsidRPr="00A60FD5">
        <w:rPr>
          <w:rFonts w:ascii="Times New Roman" w:hAnsi="Times New Roman" w:cs="Times New Roman"/>
          <w:bCs/>
          <w:i/>
        </w:rPr>
        <w:t>β</w:t>
      </w:r>
      <w:r w:rsidR="00355799" w:rsidRPr="00A60FD5">
        <w:rPr>
          <w:rFonts w:ascii="Times New Roman" w:hAnsi="Times New Roman" w:cs="Times New Roman"/>
          <w:bCs/>
        </w:rPr>
        <w:t xml:space="preserve"> = 0.</w:t>
      </w:r>
      <w:r w:rsidR="00606DF1" w:rsidRPr="00A60FD5">
        <w:rPr>
          <w:rFonts w:ascii="Times New Roman" w:hAnsi="Times New Roman" w:cs="Times New Roman"/>
          <w:bCs/>
        </w:rPr>
        <w:t>3</w:t>
      </w:r>
      <w:r w:rsidR="00495BC6" w:rsidRPr="00A60FD5">
        <w:rPr>
          <w:rFonts w:ascii="Times New Roman" w:hAnsi="Times New Roman" w:cs="Times New Roman"/>
          <w:bCs/>
        </w:rPr>
        <w:t>9</w:t>
      </w:r>
      <w:r w:rsidR="00355799" w:rsidRPr="00A60FD5">
        <w:rPr>
          <w:rFonts w:ascii="Times New Roman" w:hAnsi="Times New Roman" w:cs="Times New Roman"/>
          <w:bCs/>
        </w:rPr>
        <w:t xml:space="preserve">; </w:t>
      </w:r>
      <w:r w:rsidR="00355799" w:rsidRPr="00A60FD5">
        <w:rPr>
          <w:rFonts w:ascii="Times New Roman" w:hAnsi="Times New Roman" w:cs="Times New Roman"/>
          <w:bCs/>
          <w:i/>
        </w:rPr>
        <w:t xml:space="preserve">p </w:t>
      </w:r>
      <w:r w:rsidR="00355799" w:rsidRPr="00A60FD5">
        <w:rPr>
          <w:rFonts w:ascii="Times New Roman" w:hAnsi="Times New Roman" w:cs="Times New Roman"/>
          <w:bCs/>
        </w:rPr>
        <w:t>&lt;</w:t>
      </w:r>
      <w:r w:rsidR="00776740" w:rsidRPr="00A60FD5">
        <w:rPr>
          <w:rFonts w:ascii="Times New Roman" w:hAnsi="Times New Roman" w:cs="Times New Roman"/>
          <w:bCs/>
        </w:rPr>
        <w:t xml:space="preserve"> </w:t>
      </w:r>
      <w:r w:rsidR="00355799" w:rsidRPr="00A60FD5">
        <w:rPr>
          <w:rFonts w:ascii="Times New Roman" w:hAnsi="Times New Roman" w:cs="Times New Roman"/>
          <w:bCs/>
        </w:rPr>
        <w:t>0.</w:t>
      </w:r>
      <w:r w:rsidR="00606DF1" w:rsidRPr="00A60FD5">
        <w:rPr>
          <w:rFonts w:ascii="Times New Roman" w:hAnsi="Times New Roman" w:cs="Times New Roman"/>
          <w:bCs/>
        </w:rPr>
        <w:t>05</w:t>
      </w:r>
      <w:r w:rsidR="00355799" w:rsidRPr="00A60FD5">
        <w:rPr>
          <w:rFonts w:ascii="Times New Roman" w:hAnsi="Times New Roman" w:cs="Times New Roman"/>
          <w:bCs/>
        </w:rPr>
        <w:t xml:space="preserve">). </w:t>
      </w:r>
      <w:r w:rsidR="0089497D" w:rsidRPr="00A60FD5">
        <w:rPr>
          <w:rFonts w:ascii="Times New Roman" w:hAnsi="Times New Roman" w:cs="Times New Roman"/>
          <w:bCs/>
        </w:rPr>
        <w:t>This last finding is supported by the figure below</w:t>
      </w:r>
      <w:r w:rsidR="00F053BA" w:rsidRPr="00A60FD5">
        <w:rPr>
          <w:rFonts w:ascii="Times New Roman" w:hAnsi="Times New Roman" w:cs="Times New Roman"/>
          <w:bCs/>
        </w:rPr>
        <w:t xml:space="preserve"> (Figure 1)</w:t>
      </w:r>
      <w:r w:rsidR="0089497D" w:rsidRPr="00A60FD5">
        <w:rPr>
          <w:rFonts w:ascii="Times New Roman" w:hAnsi="Times New Roman" w:cs="Times New Roman"/>
          <w:bCs/>
        </w:rPr>
        <w:t xml:space="preserve">. </w:t>
      </w:r>
      <w:r w:rsidR="00F053BA" w:rsidRPr="00A60FD5">
        <w:rPr>
          <w:rFonts w:ascii="Times New Roman" w:hAnsi="Times New Roman" w:cs="Times New Roman"/>
          <w:bCs/>
        </w:rPr>
        <w:t xml:space="preserve">It </w:t>
      </w:r>
      <w:r w:rsidR="00A269A7" w:rsidRPr="00A60FD5">
        <w:rPr>
          <w:rFonts w:ascii="Times New Roman" w:hAnsi="Times New Roman" w:cs="Times New Roman"/>
          <w:bCs/>
        </w:rPr>
        <w:t xml:space="preserve">illustrates </w:t>
      </w:r>
      <w:r w:rsidR="00F053BA" w:rsidRPr="00A60FD5">
        <w:rPr>
          <w:rFonts w:ascii="Times New Roman" w:hAnsi="Times New Roman" w:cs="Times New Roman"/>
          <w:bCs/>
        </w:rPr>
        <w:t>that with a greater extent of monitoring provisions, the positive relationship between coordination and arbitration increases. When the coordination orientation is negligible</w:t>
      </w:r>
      <w:r w:rsidR="00A269A7" w:rsidRPr="00A60FD5">
        <w:rPr>
          <w:rFonts w:ascii="Times New Roman" w:hAnsi="Times New Roman" w:cs="Times New Roman"/>
          <w:bCs/>
        </w:rPr>
        <w:t>,</w:t>
      </w:r>
      <w:r w:rsidR="00F053BA" w:rsidRPr="00A60FD5">
        <w:rPr>
          <w:rFonts w:ascii="Times New Roman" w:hAnsi="Times New Roman" w:cs="Times New Roman"/>
          <w:bCs/>
        </w:rPr>
        <w:t xml:space="preserve"> however, the monitoring provisions tend to reduce the occurrence of arbitration provisions in our sample. </w:t>
      </w:r>
      <w:r w:rsidR="00A241BC" w:rsidRPr="00A60FD5">
        <w:rPr>
          <w:rFonts w:ascii="Times New Roman" w:hAnsi="Times New Roman" w:cs="Times New Roman"/>
          <w:bCs/>
        </w:rPr>
        <w:t xml:space="preserve"> </w:t>
      </w:r>
    </w:p>
    <w:p w14:paraId="65C15C84" w14:textId="0A4C7615" w:rsidR="00417594" w:rsidRPr="00A60FD5" w:rsidRDefault="00417594" w:rsidP="006B070A">
      <w:pPr>
        <w:spacing w:after="0" w:line="240" w:lineRule="auto"/>
        <w:ind w:firstLine="720"/>
        <w:jc w:val="center"/>
        <w:rPr>
          <w:rFonts w:ascii="Times New Roman" w:hAnsi="Times New Roman" w:cs="Times New Roman"/>
        </w:rPr>
      </w:pPr>
      <w:r w:rsidRPr="00A60FD5">
        <w:rPr>
          <w:rFonts w:ascii="Times New Roman" w:hAnsi="Times New Roman" w:cs="Times New Roman"/>
        </w:rPr>
        <w:t>-----------------------------------------</w:t>
      </w:r>
      <w:r w:rsidR="00ED2679" w:rsidRPr="00A60FD5">
        <w:rPr>
          <w:rFonts w:ascii="Times New Roman" w:hAnsi="Times New Roman" w:cs="Times New Roman"/>
        </w:rPr>
        <w:t>--------</w:t>
      </w:r>
    </w:p>
    <w:p w14:paraId="46072EE9" w14:textId="1717A071" w:rsidR="00417594" w:rsidRPr="00A60FD5" w:rsidRDefault="00417594" w:rsidP="00A05DE5">
      <w:pPr>
        <w:spacing w:after="0" w:line="240" w:lineRule="auto"/>
        <w:ind w:firstLine="720"/>
        <w:jc w:val="center"/>
        <w:rPr>
          <w:rFonts w:ascii="Times New Roman" w:hAnsi="Times New Roman" w:cs="Times New Roman"/>
        </w:rPr>
      </w:pPr>
      <w:r w:rsidRPr="00A60FD5">
        <w:rPr>
          <w:rFonts w:ascii="Times New Roman" w:hAnsi="Times New Roman" w:cs="Times New Roman"/>
        </w:rPr>
        <w:t xml:space="preserve">Insert </w:t>
      </w:r>
      <w:r w:rsidR="006F129E" w:rsidRPr="00A60FD5">
        <w:rPr>
          <w:rFonts w:ascii="Times New Roman" w:hAnsi="Times New Roman" w:cs="Times New Roman"/>
        </w:rPr>
        <w:t>Table 4</w:t>
      </w:r>
      <w:r w:rsidR="00E61E2A" w:rsidRPr="00A60FD5">
        <w:rPr>
          <w:rFonts w:ascii="Times New Roman" w:hAnsi="Times New Roman" w:cs="Times New Roman"/>
        </w:rPr>
        <w:t xml:space="preserve"> </w:t>
      </w:r>
      <w:r w:rsidR="0089497D" w:rsidRPr="00A60FD5">
        <w:rPr>
          <w:rFonts w:ascii="Times New Roman" w:hAnsi="Times New Roman" w:cs="Times New Roman"/>
        </w:rPr>
        <w:t xml:space="preserve">and Figure 1 </w:t>
      </w:r>
      <w:r w:rsidRPr="00A60FD5">
        <w:rPr>
          <w:rFonts w:ascii="Times New Roman" w:hAnsi="Times New Roman" w:cs="Times New Roman"/>
        </w:rPr>
        <w:t>about here</w:t>
      </w:r>
    </w:p>
    <w:p w14:paraId="1C9F7D42" w14:textId="325AAB44" w:rsidR="00417594" w:rsidRPr="00A60FD5" w:rsidRDefault="00417594" w:rsidP="006B070A">
      <w:pPr>
        <w:spacing w:after="0" w:line="240" w:lineRule="auto"/>
        <w:ind w:firstLine="720"/>
        <w:jc w:val="center"/>
        <w:rPr>
          <w:rFonts w:ascii="Times New Roman" w:hAnsi="Times New Roman" w:cs="Times New Roman"/>
        </w:rPr>
      </w:pPr>
      <w:r w:rsidRPr="00A60FD5">
        <w:rPr>
          <w:rFonts w:ascii="Times New Roman" w:hAnsi="Times New Roman" w:cs="Times New Roman"/>
        </w:rPr>
        <w:t>-----------------------------------------</w:t>
      </w:r>
      <w:r w:rsidR="00ED2679" w:rsidRPr="00A60FD5">
        <w:rPr>
          <w:rFonts w:ascii="Times New Roman" w:hAnsi="Times New Roman" w:cs="Times New Roman"/>
        </w:rPr>
        <w:t>--------</w:t>
      </w:r>
    </w:p>
    <w:p w14:paraId="6073CE75" w14:textId="202A66BA" w:rsidR="006E19EF" w:rsidRPr="00A60FD5" w:rsidRDefault="00DB25E5" w:rsidP="00307602">
      <w:pPr>
        <w:spacing w:after="0" w:line="480" w:lineRule="auto"/>
        <w:ind w:firstLine="708"/>
        <w:rPr>
          <w:rFonts w:ascii="Times New Roman" w:hAnsi="Times New Roman" w:cs="Times New Roman"/>
          <w:bCs/>
        </w:rPr>
      </w:pPr>
      <w:r w:rsidRPr="00A60FD5">
        <w:rPr>
          <w:rFonts w:ascii="Times New Roman" w:hAnsi="Times New Roman" w:cs="Times New Roman"/>
        </w:rPr>
        <w:t>Overall, our models gain in robustness when the coordination orientation is added in the second-stage equation aimed at predicting the occurrence of arbitration provisions (i.e., Wald Chi</w:t>
      </w:r>
      <w:r w:rsidR="000C4CC0" w:rsidRPr="00A60FD5">
        <w:rPr>
          <w:rFonts w:ascii="Times New Roman" w:hAnsi="Times New Roman" w:cs="Times New Roman"/>
        </w:rPr>
        <w:t>2</w:t>
      </w:r>
      <w:r w:rsidRPr="00A60FD5">
        <w:rPr>
          <w:rFonts w:ascii="Times New Roman" w:hAnsi="Times New Roman" w:cs="Times New Roman"/>
        </w:rPr>
        <w:t xml:space="preserve"> is higher). </w:t>
      </w:r>
      <w:r w:rsidR="006E19EF" w:rsidRPr="00A60FD5">
        <w:rPr>
          <w:rFonts w:ascii="Times New Roman" w:hAnsi="Times New Roman" w:cs="Times New Roman"/>
          <w:bCs/>
        </w:rPr>
        <w:t>As far as the atanh-rho coefficients are concerned, a significant coefficient implies that common unobserved factors tend to increase errors for both equations. In other words, the unobserved factors influencing the dependent variables are correlated. In all our models, the atanh-rho coefficients are not statistically significant (</w:t>
      </w:r>
      <w:r w:rsidR="006F129E" w:rsidRPr="00A60FD5">
        <w:rPr>
          <w:rFonts w:ascii="Times New Roman" w:hAnsi="Times New Roman" w:cs="Times New Roman"/>
          <w:bCs/>
        </w:rPr>
        <w:t>Table 4</w:t>
      </w:r>
      <w:r w:rsidR="006E19EF" w:rsidRPr="00A60FD5">
        <w:rPr>
          <w:rFonts w:ascii="Times New Roman" w:hAnsi="Times New Roman" w:cs="Times New Roman"/>
          <w:bCs/>
        </w:rPr>
        <w:t>). Besides the athanrho, the Wald test of exogeneity also reveals that the null hypotheses – monitoring and coordination may be treated as exogenous – cannot be rejected (</w:t>
      </w:r>
      <w:r w:rsidR="006E19EF" w:rsidRPr="00A60FD5">
        <w:rPr>
          <w:rFonts w:ascii="Times New Roman" w:hAnsi="Times New Roman" w:cs="Times New Roman"/>
          <w:bCs/>
          <w:i/>
        </w:rPr>
        <w:t>p</w:t>
      </w:r>
      <w:r w:rsidR="006E19EF" w:rsidRPr="00A60FD5">
        <w:rPr>
          <w:rFonts w:ascii="Times New Roman" w:hAnsi="Times New Roman" w:cs="Times New Roman"/>
          <w:bCs/>
        </w:rPr>
        <w:t xml:space="preserve">-value = 0.16 for monitoring, </w:t>
      </w:r>
      <w:r w:rsidR="006E19EF" w:rsidRPr="00A60FD5">
        <w:rPr>
          <w:rFonts w:ascii="Times New Roman" w:hAnsi="Times New Roman" w:cs="Times New Roman"/>
          <w:bCs/>
          <w:i/>
        </w:rPr>
        <w:t>p</w:t>
      </w:r>
      <w:r w:rsidR="006E19EF" w:rsidRPr="00A60FD5">
        <w:rPr>
          <w:rFonts w:ascii="Times New Roman" w:hAnsi="Times New Roman" w:cs="Times New Roman"/>
          <w:bCs/>
        </w:rPr>
        <w:t>-value = 0.20 for coordination).</w:t>
      </w:r>
    </w:p>
    <w:p w14:paraId="784AADAA" w14:textId="77E3A783" w:rsidR="00307602" w:rsidRPr="00A60FD5" w:rsidRDefault="00307602" w:rsidP="00307602">
      <w:pPr>
        <w:spacing w:after="0" w:line="480" w:lineRule="auto"/>
        <w:ind w:firstLine="708"/>
        <w:rPr>
          <w:rFonts w:ascii="Times New Roman" w:hAnsi="Times New Roman" w:cs="Times New Roman"/>
        </w:rPr>
      </w:pPr>
      <w:r w:rsidRPr="00A60FD5">
        <w:rPr>
          <w:rFonts w:ascii="Times New Roman" w:hAnsi="Times New Roman" w:cs="Times New Roman"/>
        </w:rPr>
        <w:t xml:space="preserve">Compared to the linear OLS estimation, probit coefficients shown in Table3 require cautious interpretation due to the non-linearity of probit models (Ai and Norton, 2003; Hoetker, 2007). Marginal effects tell how much a change in an independent variable changes the probability of the focal outcome (i.e., of including an arbitration provision), while the other variables remain unchanged. Results for the marginal effects obtained for Model IV reveal that an increase </w:t>
      </w:r>
      <w:r w:rsidR="00B3004A" w:rsidRPr="00A60FD5">
        <w:rPr>
          <w:rFonts w:ascii="Times New Roman" w:hAnsi="Times New Roman" w:cs="Times New Roman"/>
        </w:rPr>
        <w:t xml:space="preserve">in </w:t>
      </w:r>
      <w:r w:rsidRPr="00A60FD5">
        <w:rPr>
          <w:rFonts w:ascii="Times New Roman" w:hAnsi="Times New Roman" w:cs="Times New Roman"/>
        </w:rPr>
        <w:t>the extent of coordination provisions by one standard deviation from its mean leads to an increase in the probability of having arbitration in licensing contracts by 1</w:t>
      </w:r>
      <w:r w:rsidR="00DA57FD" w:rsidRPr="00A60FD5">
        <w:rPr>
          <w:rFonts w:ascii="Times New Roman" w:hAnsi="Times New Roman" w:cs="Times New Roman"/>
        </w:rPr>
        <w:t>3</w:t>
      </w:r>
      <w:r w:rsidRPr="00A60FD5">
        <w:rPr>
          <w:rFonts w:ascii="Times New Roman" w:hAnsi="Times New Roman" w:cs="Times New Roman"/>
        </w:rPr>
        <w:t>.</w:t>
      </w:r>
      <w:r w:rsidR="00DA57FD" w:rsidRPr="00A60FD5">
        <w:rPr>
          <w:rFonts w:ascii="Times New Roman" w:hAnsi="Times New Roman" w:cs="Times New Roman"/>
        </w:rPr>
        <w:t>3</w:t>
      </w:r>
      <w:r w:rsidRPr="00A60FD5">
        <w:rPr>
          <w:rFonts w:ascii="Times New Roman" w:hAnsi="Times New Roman" w:cs="Times New Roman"/>
        </w:rPr>
        <w:t>% (</w:t>
      </w:r>
      <w:r w:rsidRPr="00A60FD5">
        <w:rPr>
          <w:rFonts w:ascii="Times New Roman" w:hAnsi="Times New Roman" w:cs="Times New Roman"/>
          <w:i/>
        </w:rPr>
        <w:t>p</w:t>
      </w:r>
      <w:r w:rsidRPr="00A60FD5">
        <w:rPr>
          <w:rFonts w:ascii="Times New Roman" w:hAnsi="Times New Roman" w:cs="Times New Roman"/>
        </w:rPr>
        <w:t xml:space="preserve"> &lt; 0.0</w:t>
      </w:r>
      <w:r w:rsidR="00DA57FD" w:rsidRPr="00A60FD5">
        <w:rPr>
          <w:rFonts w:ascii="Times New Roman" w:hAnsi="Times New Roman" w:cs="Times New Roman"/>
        </w:rPr>
        <w:t>5</w:t>
      </w:r>
      <w:r w:rsidRPr="00A60FD5">
        <w:rPr>
          <w:rFonts w:ascii="Times New Roman" w:hAnsi="Times New Roman" w:cs="Times New Roman"/>
        </w:rPr>
        <w:t xml:space="preserve">) on average with the other covariates held at observed sample values. Interpretation becomes more complicated when there are interactions between variables. The effect of the interaction in particular is a function not only </w:t>
      </w:r>
      <w:r w:rsidR="00B3004A" w:rsidRPr="00A60FD5">
        <w:rPr>
          <w:rFonts w:ascii="Times New Roman" w:hAnsi="Times New Roman" w:cs="Times New Roman"/>
        </w:rPr>
        <w:t xml:space="preserve">of </w:t>
      </w:r>
      <w:r w:rsidRPr="00A60FD5">
        <w:rPr>
          <w:rFonts w:ascii="Times New Roman" w:hAnsi="Times New Roman" w:cs="Times New Roman"/>
        </w:rPr>
        <w:t xml:space="preserve">the coefficient for the interaction, but also </w:t>
      </w:r>
      <w:r w:rsidR="00B3004A" w:rsidRPr="00A60FD5">
        <w:rPr>
          <w:rFonts w:ascii="Times New Roman" w:hAnsi="Times New Roman" w:cs="Times New Roman"/>
        </w:rPr>
        <w:t xml:space="preserve">of </w:t>
      </w:r>
      <w:r w:rsidRPr="00A60FD5">
        <w:rPr>
          <w:rFonts w:ascii="Times New Roman" w:hAnsi="Times New Roman" w:cs="Times New Roman"/>
        </w:rPr>
        <w:t xml:space="preserve">the coefficients for each interacted variable and the values of all the other </w:t>
      </w:r>
      <w:r w:rsidRPr="00A60FD5">
        <w:rPr>
          <w:rFonts w:ascii="Times New Roman" w:hAnsi="Times New Roman" w:cs="Times New Roman"/>
        </w:rPr>
        <w:lastRenderedPageBreak/>
        <w:t xml:space="preserve">model variables (Huang and Shields, 2000). Concerning the interaction effect obtained from Model V, holding coordination constant for every value of monitoring between 0 and 3, we observe that the marginal effects of coordination (where coordination is </w:t>
      </w:r>
      <w:r w:rsidR="002E2866" w:rsidRPr="00A60FD5">
        <w:rPr>
          <w:rFonts w:ascii="Times New Roman" w:hAnsi="Times New Roman" w:cs="Times New Roman"/>
        </w:rPr>
        <w:t xml:space="preserve">at </w:t>
      </w:r>
      <w:r w:rsidRPr="00A60FD5">
        <w:rPr>
          <w:rFonts w:ascii="Times New Roman" w:hAnsi="Times New Roman" w:cs="Times New Roman"/>
        </w:rPr>
        <w:t>its mean) respectively reach 1</w:t>
      </w:r>
      <w:r w:rsidR="00DA57FD" w:rsidRPr="00A60FD5">
        <w:rPr>
          <w:rFonts w:ascii="Times New Roman" w:hAnsi="Times New Roman" w:cs="Times New Roman"/>
        </w:rPr>
        <w:t>1</w:t>
      </w:r>
      <w:r w:rsidRPr="00A60FD5">
        <w:rPr>
          <w:rFonts w:ascii="Times New Roman" w:hAnsi="Times New Roman" w:cs="Times New Roman"/>
        </w:rPr>
        <w:t>.</w:t>
      </w:r>
      <w:r w:rsidR="00DA57FD" w:rsidRPr="00A60FD5">
        <w:rPr>
          <w:rFonts w:ascii="Times New Roman" w:hAnsi="Times New Roman" w:cs="Times New Roman"/>
        </w:rPr>
        <w:t>1</w:t>
      </w:r>
      <w:r w:rsidRPr="00A60FD5">
        <w:rPr>
          <w:rFonts w:ascii="Times New Roman" w:hAnsi="Times New Roman" w:cs="Times New Roman"/>
        </w:rPr>
        <w:t>% (</w:t>
      </w:r>
      <w:r w:rsidRPr="00A60FD5">
        <w:rPr>
          <w:rFonts w:ascii="Times New Roman" w:hAnsi="Times New Roman" w:cs="Times New Roman"/>
          <w:i/>
        </w:rPr>
        <w:t>p</w:t>
      </w:r>
      <w:r w:rsidR="004A2356" w:rsidRPr="00A60FD5">
        <w:rPr>
          <w:rFonts w:ascii="Times New Roman" w:hAnsi="Times New Roman" w:cs="Times New Roman"/>
          <w:i/>
        </w:rPr>
        <w:t xml:space="preserve"> </w:t>
      </w:r>
      <w:r w:rsidRPr="00A60FD5">
        <w:rPr>
          <w:rFonts w:ascii="Times New Roman" w:hAnsi="Times New Roman" w:cs="Times New Roman"/>
        </w:rPr>
        <w:t>&lt;</w:t>
      </w:r>
      <w:r w:rsidR="004A2356" w:rsidRPr="00A60FD5">
        <w:rPr>
          <w:rFonts w:ascii="Times New Roman" w:hAnsi="Times New Roman" w:cs="Times New Roman"/>
        </w:rPr>
        <w:t xml:space="preserve"> </w:t>
      </w:r>
      <w:r w:rsidRPr="00A60FD5">
        <w:rPr>
          <w:rFonts w:ascii="Times New Roman" w:hAnsi="Times New Roman" w:cs="Times New Roman"/>
        </w:rPr>
        <w:t>0.</w:t>
      </w:r>
      <w:r w:rsidR="00DA57FD" w:rsidRPr="00A60FD5">
        <w:rPr>
          <w:rFonts w:ascii="Times New Roman" w:hAnsi="Times New Roman" w:cs="Times New Roman"/>
        </w:rPr>
        <w:t>10</w:t>
      </w:r>
      <w:r w:rsidRPr="00A60FD5">
        <w:rPr>
          <w:rFonts w:ascii="Times New Roman" w:hAnsi="Times New Roman" w:cs="Times New Roman"/>
        </w:rPr>
        <w:t xml:space="preserve">) when monitoring equals </w:t>
      </w:r>
      <w:r w:rsidR="000255FB" w:rsidRPr="00A60FD5">
        <w:rPr>
          <w:rFonts w:ascii="Times New Roman" w:hAnsi="Times New Roman" w:cs="Times New Roman"/>
        </w:rPr>
        <w:t>zero</w:t>
      </w:r>
      <w:r w:rsidRPr="00A60FD5">
        <w:rPr>
          <w:rFonts w:ascii="Times New Roman" w:hAnsi="Times New Roman" w:cs="Times New Roman"/>
        </w:rPr>
        <w:t>, 1</w:t>
      </w:r>
      <w:r w:rsidR="00DA57FD" w:rsidRPr="00A60FD5">
        <w:rPr>
          <w:rFonts w:ascii="Times New Roman" w:hAnsi="Times New Roman" w:cs="Times New Roman"/>
        </w:rPr>
        <w:t>5</w:t>
      </w:r>
      <w:r w:rsidRPr="00A60FD5">
        <w:rPr>
          <w:rFonts w:ascii="Times New Roman" w:hAnsi="Times New Roman" w:cs="Times New Roman"/>
        </w:rPr>
        <w:t>.</w:t>
      </w:r>
      <w:r w:rsidR="00DA57FD" w:rsidRPr="00A60FD5">
        <w:rPr>
          <w:rFonts w:ascii="Times New Roman" w:hAnsi="Times New Roman" w:cs="Times New Roman"/>
        </w:rPr>
        <w:t>3</w:t>
      </w:r>
      <w:r w:rsidRPr="00A60FD5">
        <w:rPr>
          <w:rFonts w:ascii="Times New Roman" w:hAnsi="Times New Roman" w:cs="Times New Roman"/>
        </w:rPr>
        <w:t>% (</w:t>
      </w:r>
      <w:r w:rsidRPr="00A60FD5">
        <w:rPr>
          <w:rFonts w:ascii="Times New Roman" w:hAnsi="Times New Roman" w:cs="Times New Roman"/>
          <w:i/>
        </w:rPr>
        <w:t>p</w:t>
      </w:r>
      <w:r w:rsidR="004A2356" w:rsidRPr="00A60FD5">
        <w:rPr>
          <w:rFonts w:ascii="Times New Roman" w:hAnsi="Times New Roman" w:cs="Times New Roman"/>
          <w:i/>
        </w:rPr>
        <w:t xml:space="preserve"> </w:t>
      </w:r>
      <w:r w:rsidRPr="00A60FD5">
        <w:rPr>
          <w:rFonts w:ascii="Times New Roman" w:hAnsi="Times New Roman" w:cs="Times New Roman"/>
        </w:rPr>
        <w:t>&lt;</w:t>
      </w:r>
      <w:r w:rsidR="004A2356" w:rsidRPr="00A60FD5">
        <w:rPr>
          <w:rFonts w:ascii="Times New Roman" w:hAnsi="Times New Roman" w:cs="Times New Roman"/>
        </w:rPr>
        <w:t xml:space="preserve"> </w:t>
      </w:r>
      <w:r w:rsidRPr="00A60FD5">
        <w:rPr>
          <w:rFonts w:ascii="Times New Roman" w:hAnsi="Times New Roman" w:cs="Times New Roman"/>
        </w:rPr>
        <w:t xml:space="preserve">0.01) when monitoring equals </w:t>
      </w:r>
      <w:r w:rsidR="000255FB" w:rsidRPr="00A60FD5">
        <w:rPr>
          <w:rFonts w:ascii="Times New Roman" w:hAnsi="Times New Roman" w:cs="Times New Roman"/>
        </w:rPr>
        <w:t>one</w:t>
      </w:r>
      <w:r w:rsidRPr="00A60FD5">
        <w:rPr>
          <w:rFonts w:ascii="Times New Roman" w:hAnsi="Times New Roman" w:cs="Times New Roman"/>
        </w:rPr>
        <w:t>, 1</w:t>
      </w:r>
      <w:r w:rsidR="00DA57FD" w:rsidRPr="00A60FD5">
        <w:rPr>
          <w:rFonts w:ascii="Times New Roman" w:hAnsi="Times New Roman" w:cs="Times New Roman"/>
        </w:rPr>
        <w:t>6</w:t>
      </w:r>
      <w:r w:rsidRPr="00A60FD5">
        <w:rPr>
          <w:rFonts w:ascii="Times New Roman" w:hAnsi="Times New Roman" w:cs="Times New Roman"/>
        </w:rPr>
        <w:t>.</w:t>
      </w:r>
      <w:r w:rsidR="00DA57FD" w:rsidRPr="00A60FD5">
        <w:rPr>
          <w:rFonts w:ascii="Times New Roman" w:hAnsi="Times New Roman" w:cs="Times New Roman"/>
        </w:rPr>
        <w:t>3</w:t>
      </w:r>
      <w:r w:rsidRPr="00A60FD5">
        <w:rPr>
          <w:rFonts w:ascii="Times New Roman" w:hAnsi="Times New Roman" w:cs="Times New Roman"/>
        </w:rPr>
        <w:t>% (</w:t>
      </w:r>
      <w:r w:rsidRPr="00A60FD5">
        <w:rPr>
          <w:rFonts w:ascii="Times New Roman" w:hAnsi="Times New Roman" w:cs="Times New Roman"/>
          <w:i/>
        </w:rPr>
        <w:t>p</w:t>
      </w:r>
      <w:r w:rsidR="004A2356" w:rsidRPr="00A60FD5">
        <w:rPr>
          <w:rFonts w:ascii="Times New Roman" w:hAnsi="Times New Roman" w:cs="Times New Roman"/>
          <w:i/>
        </w:rPr>
        <w:t xml:space="preserve"> </w:t>
      </w:r>
      <w:r w:rsidRPr="00A60FD5">
        <w:rPr>
          <w:rFonts w:ascii="Times New Roman" w:hAnsi="Times New Roman" w:cs="Times New Roman"/>
        </w:rPr>
        <w:t>&lt;</w:t>
      </w:r>
      <w:r w:rsidR="004A2356" w:rsidRPr="00A60FD5">
        <w:rPr>
          <w:rFonts w:ascii="Times New Roman" w:hAnsi="Times New Roman" w:cs="Times New Roman"/>
        </w:rPr>
        <w:t xml:space="preserve"> </w:t>
      </w:r>
      <w:r w:rsidRPr="00A60FD5">
        <w:rPr>
          <w:rFonts w:ascii="Times New Roman" w:hAnsi="Times New Roman" w:cs="Times New Roman"/>
        </w:rPr>
        <w:t xml:space="preserve">0.01) when monitoring equals </w:t>
      </w:r>
      <w:r w:rsidR="000255FB" w:rsidRPr="00A60FD5">
        <w:rPr>
          <w:rFonts w:ascii="Times New Roman" w:hAnsi="Times New Roman" w:cs="Times New Roman"/>
        </w:rPr>
        <w:t>two</w:t>
      </w:r>
      <w:r w:rsidRPr="00A60FD5">
        <w:rPr>
          <w:rFonts w:ascii="Times New Roman" w:hAnsi="Times New Roman" w:cs="Times New Roman"/>
        </w:rPr>
        <w:t xml:space="preserve"> and 1</w:t>
      </w:r>
      <w:r w:rsidR="00DA57FD" w:rsidRPr="00A60FD5">
        <w:rPr>
          <w:rFonts w:ascii="Times New Roman" w:hAnsi="Times New Roman" w:cs="Times New Roman"/>
        </w:rPr>
        <w:t>6</w:t>
      </w:r>
      <w:r w:rsidRPr="00A60FD5">
        <w:rPr>
          <w:rFonts w:ascii="Times New Roman" w:hAnsi="Times New Roman" w:cs="Times New Roman"/>
        </w:rPr>
        <w:t>.</w:t>
      </w:r>
      <w:r w:rsidR="00DA57FD" w:rsidRPr="00A60FD5">
        <w:rPr>
          <w:rFonts w:ascii="Times New Roman" w:hAnsi="Times New Roman" w:cs="Times New Roman"/>
        </w:rPr>
        <w:t>5</w:t>
      </w:r>
      <w:r w:rsidR="000C4CC0" w:rsidRPr="00A60FD5">
        <w:rPr>
          <w:rFonts w:ascii="Times New Roman" w:hAnsi="Times New Roman" w:cs="Times New Roman"/>
        </w:rPr>
        <w:t>%</w:t>
      </w:r>
      <w:r w:rsidRPr="00A60FD5">
        <w:rPr>
          <w:rFonts w:ascii="Times New Roman" w:hAnsi="Times New Roman" w:cs="Times New Roman"/>
        </w:rPr>
        <w:t xml:space="preserve"> (</w:t>
      </w:r>
      <w:r w:rsidRPr="00A60FD5">
        <w:rPr>
          <w:rFonts w:ascii="Times New Roman" w:hAnsi="Times New Roman" w:cs="Times New Roman"/>
          <w:i/>
        </w:rPr>
        <w:t>p</w:t>
      </w:r>
      <w:r w:rsidR="004A2356" w:rsidRPr="00A60FD5">
        <w:rPr>
          <w:rFonts w:ascii="Times New Roman" w:hAnsi="Times New Roman" w:cs="Times New Roman"/>
          <w:i/>
        </w:rPr>
        <w:t xml:space="preserve"> </w:t>
      </w:r>
      <w:r w:rsidRPr="00A60FD5">
        <w:rPr>
          <w:rFonts w:ascii="Times New Roman" w:hAnsi="Times New Roman" w:cs="Times New Roman"/>
        </w:rPr>
        <w:t>&lt;</w:t>
      </w:r>
      <w:r w:rsidR="004A2356" w:rsidRPr="00A60FD5">
        <w:rPr>
          <w:rFonts w:ascii="Times New Roman" w:hAnsi="Times New Roman" w:cs="Times New Roman"/>
        </w:rPr>
        <w:t xml:space="preserve"> </w:t>
      </w:r>
      <w:r w:rsidRPr="00A60FD5">
        <w:rPr>
          <w:rFonts w:ascii="Times New Roman" w:hAnsi="Times New Roman" w:cs="Times New Roman"/>
        </w:rPr>
        <w:t>0.0</w:t>
      </w:r>
      <w:r w:rsidR="00DA57FD" w:rsidRPr="00A60FD5">
        <w:rPr>
          <w:rFonts w:ascii="Times New Roman" w:hAnsi="Times New Roman" w:cs="Times New Roman"/>
        </w:rPr>
        <w:t>5</w:t>
      </w:r>
      <w:r w:rsidRPr="00A60FD5">
        <w:rPr>
          <w:rFonts w:ascii="Times New Roman" w:hAnsi="Times New Roman" w:cs="Times New Roman"/>
        </w:rPr>
        <w:t xml:space="preserve">) when monitoring equals </w:t>
      </w:r>
      <w:r w:rsidR="000255FB" w:rsidRPr="00A60FD5">
        <w:rPr>
          <w:rFonts w:ascii="Times New Roman" w:hAnsi="Times New Roman" w:cs="Times New Roman"/>
        </w:rPr>
        <w:t>three</w:t>
      </w:r>
      <w:r w:rsidRPr="00A60FD5">
        <w:rPr>
          <w:rFonts w:ascii="Times New Roman" w:hAnsi="Times New Roman" w:cs="Times New Roman"/>
        </w:rPr>
        <w:t xml:space="preserve">. The pattern of marginal effects supports the positive moderating effect. </w:t>
      </w:r>
    </w:p>
    <w:p w14:paraId="17AFC3CA" w14:textId="294629A3" w:rsidR="00E77897" w:rsidRPr="00A60FD5" w:rsidRDefault="00417594" w:rsidP="00B06EF5">
      <w:pPr>
        <w:spacing w:after="0" w:line="480" w:lineRule="auto"/>
        <w:ind w:firstLine="708"/>
        <w:rPr>
          <w:rFonts w:ascii="Times New Roman" w:hAnsi="Times New Roman" w:cs="Times New Roman"/>
          <w:bCs/>
        </w:rPr>
      </w:pPr>
      <w:r w:rsidRPr="00A60FD5">
        <w:rPr>
          <w:rFonts w:ascii="Times New Roman" w:hAnsi="Times New Roman" w:cs="Times New Roman"/>
        </w:rPr>
        <w:t>The results for several of the control variables</w:t>
      </w:r>
      <w:r w:rsidR="00E77897" w:rsidRPr="00A60FD5">
        <w:rPr>
          <w:rFonts w:ascii="Times New Roman" w:hAnsi="Times New Roman" w:cs="Times New Roman"/>
        </w:rPr>
        <w:t xml:space="preserve"> included in the second-stage equation</w:t>
      </w:r>
      <w:r w:rsidRPr="00A60FD5">
        <w:rPr>
          <w:rFonts w:ascii="Times New Roman" w:hAnsi="Times New Roman" w:cs="Times New Roman"/>
        </w:rPr>
        <w:t xml:space="preserve"> are </w:t>
      </w:r>
      <w:r w:rsidR="00F52574" w:rsidRPr="00A60FD5">
        <w:rPr>
          <w:rFonts w:ascii="Times New Roman" w:hAnsi="Times New Roman" w:cs="Times New Roman"/>
        </w:rPr>
        <w:t>notable</w:t>
      </w:r>
      <w:r w:rsidRPr="00A60FD5">
        <w:rPr>
          <w:rFonts w:ascii="Times New Roman" w:hAnsi="Times New Roman" w:cs="Times New Roman"/>
        </w:rPr>
        <w:t>.</w:t>
      </w:r>
      <w:r w:rsidR="00D03CC0" w:rsidRPr="00A60FD5">
        <w:rPr>
          <w:rFonts w:ascii="Times New Roman" w:hAnsi="Times New Roman" w:cs="Times New Roman"/>
        </w:rPr>
        <w:t xml:space="preserve"> In the full model (Model V</w:t>
      </w:r>
      <w:r w:rsidR="00E61E2A" w:rsidRPr="00A60FD5">
        <w:rPr>
          <w:rFonts w:ascii="Times New Roman" w:hAnsi="Times New Roman" w:cs="Times New Roman"/>
        </w:rPr>
        <w:t xml:space="preserve"> in </w:t>
      </w:r>
      <w:r w:rsidR="006F129E" w:rsidRPr="00A60FD5">
        <w:rPr>
          <w:rFonts w:ascii="Times New Roman" w:hAnsi="Times New Roman" w:cs="Times New Roman"/>
        </w:rPr>
        <w:t>Table 4</w:t>
      </w:r>
      <w:r w:rsidR="00D03CC0" w:rsidRPr="00A60FD5">
        <w:rPr>
          <w:rFonts w:ascii="Times New Roman" w:hAnsi="Times New Roman" w:cs="Times New Roman"/>
        </w:rPr>
        <w:t xml:space="preserve">), it appears first that, as expected, </w:t>
      </w:r>
      <w:r w:rsidR="00A07F90" w:rsidRPr="00A60FD5">
        <w:rPr>
          <w:rFonts w:ascii="Times New Roman" w:hAnsi="Times New Roman"/>
        </w:rPr>
        <w:t xml:space="preserve">when exclusivity rights are granted, public ordering prevails for adjudicating disputes that </w:t>
      </w:r>
      <w:r w:rsidR="002E2866" w:rsidRPr="00A60FD5">
        <w:rPr>
          <w:rFonts w:ascii="Times New Roman" w:hAnsi="Times New Roman"/>
        </w:rPr>
        <w:t>can</w:t>
      </w:r>
      <w:r w:rsidR="00A07F90" w:rsidRPr="00A60FD5">
        <w:rPr>
          <w:rFonts w:ascii="Times New Roman" w:hAnsi="Times New Roman"/>
        </w:rPr>
        <w:t xml:space="preserve">not be contained internally despite the presence of critical mutual hostages </w:t>
      </w:r>
      <w:r w:rsidR="00A07F90" w:rsidRPr="00A60FD5">
        <w:rPr>
          <w:rFonts w:ascii="Times New Roman" w:hAnsi="Times New Roman" w:cs="Times New Roman"/>
          <w:bCs/>
        </w:rPr>
        <w:t>(</w:t>
      </w:r>
      <w:r w:rsidR="00A07F90" w:rsidRPr="00A60FD5">
        <w:rPr>
          <w:rFonts w:ascii="Times New Roman" w:hAnsi="Times New Roman" w:cs="Times New Roman"/>
          <w:bCs/>
          <w:i/>
        </w:rPr>
        <w:t>β</w:t>
      </w:r>
      <w:r w:rsidR="00A07F90" w:rsidRPr="00A60FD5">
        <w:rPr>
          <w:rFonts w:ascii="Times New Roman" w:hAnsi="Times New Roman" w:cs="Times New Roman"/>
          <w:bCs/>
        </w:rPr>
        <w:t xml:space="preserve"> = </w:t>
      </w:r>
      <w:r w:rsidR="004012BA" w:rsidRPr="00A60FD5">
        <w:rPr>
          <w:rFonts w:ascii="Times New Roman" w:hAnsi="Times New Roman" w:cs="Times New Roman"/>
          <w:bCs/>
        </w:rPr>
        <w:t>-</w:t>
      </w:r>
      <w:r w:rsidR="00596DCD" w:rsidRPr="00A60FD5">
        <w:rPr>
          <w:rFonts w:ascii="Times New Roman" w:hAnsi="Times New Roman" w:cs="Times New Roman"/>
          <w:bCs/>
        </w:rPr>
        <w:t>1.0</w:t>
      </w:r>
      <w:r w:rsidR="00DA57FD" w:rsidRPr="00A60FD5">
        <w:rPr>
          <w:rFonts w:ascii="Times New Roman" w:hAnsi="Times New Roman" w:cs="Times New Roman"/>
          <w:bCs/>
        </w:rPr>
        <w:t>5</w:t>
      </w:r>
      <w:r w:rsidR="00A07F90" w:rsidRPr="00A60FD5">
        <w:rPr>
          <w:rFonts w:ascii="Times New Roman" w:hAnsi="Times New Roman" w:cs="Times New Roman"/>
          <w:bCs/>
        </w:rPr>
        <w:t xml:space="preserve">; </w:t>
      </w:r>
      <w:r w:rsidR="00A07F90" w:rsidRPr="00A60FD5">
        <w:rPr>
          <w:rFonts w:ascii="Times New Roman" w:hAnsi="Times New Roman" w:cs="Times New Roman"/>
          <w:bCs/>
          <w:i/>
        </w:rPr>
        <w:t xml:space="preserve">p </w:t>
      </w:r>
      <w:r w:rsidR="00A07F90" w:rsidRPr="00A60FD5">
        <w:rPr>
          <w:rFonts w:ascii="Times New Roman" w:hAnsi="Times New Roman" w:cs="Times New Roman"/>
          <w:bCs/>
        </w:rPr>
        <w:t>&lt;</w:t>
      </w:r>
      <w:r w:rsidR="004012BA" w:rsidRPr="00A60FD5">
        <w:rPr>
          <w:rFonts w:ascii="Times New Roman" w:hAnsi="Times New Roman" w:cs="Times New Roman"/>
          <w:bCs/>
        </w:rPr>
        <w:t xml:space="preserve"> 0,</w:t>
      </w:r>
      <w:r w:rsidR="00F053BA" w:rsidRPr="00A60FD5">
        <w:rPr>
          <w:rFonts w:ascii="Times New Roman" w:hAnsi="Times New Roman" w:cs="Times New Roman"/>
          <w:bCs/>
        </w:rPr>
        <w:t>0</w:t>
      </w:r>
      <w:r w:rsidR="00596DCD" w:rsidRPr="00A60FD5">
        <w:rPr>
          <w:rFonts w:ascii="Times New Roman" w:hAnsi="Times New Roman" w:cs="Times New Roman"/>
          <w:bCs/>
        </w:rPr>
        <w:t>5</w:t>
      </w:r>
      <w:r w:rsidR="00A07F90" w:rsidRPr="00A60FD5">
        <w:rPr>
          <w:rFonts w:ascii="Times New Roman" w:hAnsi="Times New Roman" w:cs="Times New Roman"/>
          <w:bCs/>
        </w:rPr>
        <w:t>)</w:t>
      </w:r>
      <w:r w:rsidR="00A07F90" w:rsidRPr="00A60FD5">
        <w:rPr>
          <w:rFonts w:ascii="Times New Roman" w:hAnsi="Times New Roman"/>
        </w:rPr>
        <w:t>.</w:t>
      </w:r>
      <w:r w:rsidR="00871F6E" w:rsidRPr="00A60FD5">
        <w:rPr>
          <w:rStyle w:val="FootnoteReference"/>
          <w:rFonts w:ascii="Times New Roman" w:hAnsi="Times New Roman"/>
        </w:rPr>
        <w:footnoteReference w:id="12"/>
      </w:r>
      <w:r w:rsidR="00A07F90" w:rsidRPr="00A60FD5">
        <w:rPr>
          <w:rFonts w:ascii="Times New Roman" w:hAnsi="Times New Roman"/>
        </w:rPr>
        <w:t xml:space="preserve"> </w:t>
      </w:r>
      <w:r w:rsidR="00DA57FD" w:rsidRPr="00A60FD5">
        <w:rPr>
          <w:rFonts w:ascii="Times New Roman" w:hAnsi="Times New Roman" w:cs="Times New Roman"/>
          <w:bCs/>
        </w:rPr>
        <w:t xml:space="preserve">Second, a shared history of collaborations tends to reduce the likelihood </w:t>
      </w:r>
      <w:r w:rsidR="00366BE4" w:rsidRPr="00A60FD5">
        <w:rPr>
          <w:rFonts w:ascii="Times New Roman" w:hAnsi="Times New Roman" w:cs="Times New Roman"/>
          <w:bCs/>
        </w:rPr>
        <w:t xml:space="preserve">of </w:t>
      </w:r>
      <w:r w:rsidR="00DA57FD" w:rsidRPr="00A60FD5">
        <w:rPr>
          <w:rFonts w:ascii="Times New Roman" w:hAnsi="Times New Roman" w:cs="Times New Roman"/>
          <w:bCs/>
        </w:rPr>
        <w:t>opt</w:t>
      </w:r>
      <w:r w:rsidR="00366BE4" w:rsidRPr="00A60FD5">
        <w:rPr>
          <w:rFonts w:ascii="Times New Roman" w:hAnsi="Times New Roman" w:cs="Times New Roman"/>
          <w:bCs/>
        </w:rPr>
        <w:t>ing</w:t>
      </w:r>
      <w:r w:rsidR="00DA57FD" w:rsidRPr="00A60FD5">
        <w:rPr>
          <w:rFonts w:ascii="Times New Roman" w:hAnsi="Times New Roman" w:cs="Times New Roman"/>
          <w:bCs/>
        </w:rPr>
        <w:t xml:space="preserve"> for arbitration (</w:t>
      </w:r>
      <w:r w:rsidR="00DA57FD" w:rsidRPr="00A60FD5">
        <w:rPr>
          <w:rFonts w:ascii="Times New Roman" w:hAnsi="Times New Roman" w:cs="Times New Roman"/>
          <w:bCs/>
          <w:i/>
        </w:rPr>
        <w:t>β</w:t>
      </w:r>
      <w:r w:rsidR="00DA57FD" w:rsidRPr="00A60FD5">
        <w:rPr>
          <w:rFonts w:ascii="Times New Roman" w:hAnsi="Times New Roman" w:cs="Times New Roman"/>
          <w:bCs/>
        </w:rPr>
        <w:t xml:space="preserve"> = -1.72; </w:t>
      </w:r>
      <w:r w:rsidR="00DA57FD" w:rsidRPr="00A60FD5">
        <w:rPr>
          <w:rFonts w:ascii="Times New Roman" w:hAnsi="Times New Roman" w:cs="Times New Roman"/>
          <w:bCs/>
          <w:i/>
        </w:rPr>
        <w:t xml:space="preserve">p </w:t>
      </w:r>
      <w:r w:rsidR="00DA57FD" w:rsidRPr="00A60FD5">
        <w:rPr>
          <w:rFonts w:ascii="Times New Roman" w:hAnsi="Times New Roman" w:cs="Times New Roman"/>
          <w:bCs/>
        </w:rPr>
        <w:t xml:space="preserve">&lt; 0.01).  </w:t>
      </w:r>
      <w:r w:rsidR="00DA57FD" w:rsidRPr="00A60FD5">
        <w:rPr>
          <w:rFonts w:ascii="Times New Roman" w:hAnsi="Times New Roman"/>
        </w:rPr>
        <w:t>Third</w:t>
      </w:r>
      <w:r w:rsidR="00F053BA" w:rsidRPr="00A60FD5">
        <w:rPr>
          <w:rFonts w:ascii="Times New Roman" w:hAnsi="Times New Roman"/>
        </w:rPr>
        <w:t xml:space="preserve">, </w:t>
      </w:r>
      <w:r w:rsidR="00B07051" w:rsidRPr="00A60FD5">
        <w:rPr>
          <w:rFonts w:ascii="Times New Roman" w:hAnsi="Times New Roman"/>
        </w:rPr>
        <w:t>licensing partner</w:t>
      </w:r>
      <w:r w:rsidR="00E61E2A" w:rsidRPr="00A60FD5">
        <w:rPr>
          <w:rFonts w:ascii="Times New Roman" w:hAnsi="Times New Roman"/>
        </w:rPr>
        <w:t xml:space="preserve">s from the </w:t>
      </w:r>
      <w:r w:rsidR="00720CE3" w:rsidRPr="00A60FD5">
        <w:rPr>
          <w:rFonts w:ascii="Times New Roman" w:hAnsi="Times New Roman"/>
        </w:rPr>
        <w:t>same sectors</w:t>
      </w:r>
      <w:r w:rsidR="00E61E2A" w:rsidRPr="00A60FD5">
        <w:rPr>
          <w:rFonts w:ascii="Times New Roman" w:hAnsi="Times New Roman"/>
        </w:rPr>
        <w:t xml:space="preserve"> a</w:t>
      </w:r>
      <w:r w:rsidR="000A69AE" w:rsidRPr="00A60FD5">
        <w:rPr>
          <w:rFonts w:ascii="Times New Roman" w:hAnsi="Times New Roman"/>
        </w:rPr>
        <w:t xml:space="preserve">re </w:t>
      </w:r>
      <w:r w:rsidR="00E61E2A" w:rsidRPr="00A60FD5">
        <w:rPr>
          <w:rFonts w:ascii="Times New Roman" w:hAnsi="Times New Roman"/>
        </w:rPr>
        <w:t>less</w:t>
      </w:r>
      <w:r w:rsidR="000A69AE" w:rsidRPr="00A60FD5">
        <w:rPr>
          <w:rFonts w:ascii="Times New Roman" w:hAnsi="Times New Roman"/>
        </w:rPr>
        <w:t xml:space="preserve"> inclined to prefer arbitration over public ordering (</w:t>
      </w:r>
      <w:r w:rsidR="000A69AE" w:rsidRPr="00A60FD5">
        <w:rPr>
          <w:rFonts w:ascii="Times New Roman" w:hAnsi="Times New Roman" w:cs="Times New Roman"/>
          <w:bCs/>
          <w:i/>
        </w:rPr>
        <w:t>β</w:t>
      </w:r>
      <w:r w:rsidR="000A69AE" w:rsidRPr="00A60FD5">
        <w:rPr>
          <w:rFonts w:ascii="Times New Roman" w:hAnsi="Times New Roman" w:cs="Times New Roman"/>
          <w:bCs/>
        </w:rPr>
        <w:t xml:space="preserve"> = -0,</w:t>
      </w:r>
      <w:r w:rsidR="00DA57FD" w:rsidRPr="00A60FD5">
        <w:rPr>
          <w:rFonts w:ascii="Times New Roman" w:hAnsi="Times New Roman" w:cs="Times New Roman"/>
          <w:bCs/>
        </w:rPr>
        <w:t>61</w:t>
      </w:r>
      <w:r w:rsidR="000A69AE" w:rsidRPr="00A60FD5">
        <w:rPr>
          <w:rFonts w:ascii="Times New Roman" w:hAnsi="Times New Roman" w:cs="Times New Roman"/>
          <w:bCs/>
        </w:rPr>
        <w:t xml:space="preserve">; </w:t>
      </w:r>
      <w:r w:rsidR="000A69AE" w:rsidRPr="00A60FD5">
        <w:rPr>
          <w:rFonts w:ascii="Times New Roman" w:hAnsi="Times New Roman" w:cs="Times New Roman"/>
          <w:bCs/>
          <w:i/>
        </w:rPr>
        <w:t xml:space="preserve">p </w:t>
      </w:r>
      <w:r w:rsidR="000A69AE" w:rsidRPr="00A60FD5">
        <w:rPr>
          <w:rFonts w:ascii="Times New Roman" w:hAnsi="Times New Roman" w:cs="Times New Roman"/>
          <w:bCs/>
        </w:rPr>
        <w:t>&lt; 0,</w:t>
      </w:r>
      <w:r w:rsidR="005824C8" w:rsidRPr="00A60FD5">
        <w:rPr>
          <w:rFonts w:ascii="Times New Roman" w:hAnsi="Times New Roman" w:cs="Times New Roman"/>
          <w:bCs/>
        </w:rPr>
        <w:t>0</w:t>
      </w:r>
      <w:r w:rsidR="00AD5846" w:rsidRPr="00A60FD5">
        <w:rPr>
          <w:rFonts w:ascii="Times New Roman" w:hAnsi="Times New Roman" w:cs="Times New Roman"/>
          <w:bCs/>
        </w:rPr>
        <w:t>5</w:t>
      </w:r>
      <w:r w:rsidR="000A69AE" w:rsidRPr="00A60FD5">
        <w:rPr>
          <w:rFonts w:ascii="Times New Roman" w:hAnsi="Times New Roman"/>
        </w:rPr>
        <w:t xml:space="preserve">). </w:t>
      </w:r>
      <w:r w:rsidR="00D03CC0" w:rsidRPr="00A60FD5">
        <w:rPr>
          <w:rFonts w:ascii="Times New Roman" w:hAnsi="Times New Roman"/>
        </w:rPr>
        <w:t>This finding also support</w:t>
      </w:r>
      <w:r w:rsidR="00120FA8" w:rsidRPr="00A60FD5">
        <w:rPr>
          <w:rFonts w:ascii="Times New Roman" w:hAnsi="Times New Roman"/>
        </w:rPr>
        <w:t>s</w:t>
      </w:r>
      <w:r w:rsidR="00D03CC0" w:rsidRPr="00A60FD5">
        <w:rPr>
          <w:rFonts w:ascii="Times New Roman" w:hAnsi="Times New Roman"/>
        </w:rPr>
        <w:t xml:space="preserve"> our expectations. </w:t>
      </w:r>
      <w:r w:rsidR="00AD5846" w:rsidRPr="00A60FD5">
        <w:rPr>
          <w:rFonts w:ascii="Times New Roman" w:hAnsi="Times New Roman"/>
        </w:rPr>
        <w:t>Third</w:t>
      </w:r>
      <w:r w:rsidR="006F50DC" w:rsidRPr="00A60FD5">
        <w:rPr>
          <w:rFonts w:ascii="Times New Roman" w:hAnsi="Times New Roman" w:cs="Times New Roman"/>
        </w:rPr>
        <w:t xml:space="preserve">, legal assistance from expert third parties increases the likelihood of an arbitration provision </w:t>
      </w:r>
      <w:r w:rsidR="006F50DC" w:rsidRPr="00A60FD5">
        <w:rPr>
          <w:rFonts w:ascii="Times New Roman" w:hAnsi="Times New Roman" w:cs="Times New Roman"/>
          <w:bCs/>
        </w:rPr>
        <w:t>(</w:t>
      </w:r>
      <w:r w:rsidR="006F50DC" w:rsidRPr="00A60FD5">
        <w:rPr>
          <w:rFonts w:ascii="Times New Roman" w:hAnsi="Times New Roman" w:cs="Times New Roman"/>
          <w:bCs/>
          <w:i/>
        </w:rPr>
        <w:t>β</w:t>
      </w:r>
      <w:r w:rsidR="006F50DC" w:rsidRPr="00A60FD5">
        <w:rPr>
          <w:rFonts w:ascii="Times New Roman" w:hAnsi="Times New Roman" w:cs="Times New Roman"/>
          <w:bCs/>
        </w:rPr>
        <w:t xml:space="preserve"> = 0.</w:t>
      </w:r>
      <w:r w:rsidR="00AD5846" w:rsidRPr="00A60FD5">
        <w:rPr>
          <w:rFonts w:ascii="Times New Roman" w:hAnsi="Times New Roman" w:cs="Times New Roman"/>
          <w:bCs/>
        </w:rPr>
        <w:t>9</w:t>
      </w:r>
      <w:r w:rsidR="00DA57FD" w:rsidRPr="00A60FD5">
        <w:rPr>
          <w:rFonts w:ascii="Times New Roman" w:hAnsi="Times New Roman" w:cs="Times New Roman"/>
          <w:bCs/>
        </w:rPr>
        <w:t>9</w:t>
      </w:r>
      <w:r w:rsidR="006F50DC" w:rsidRPr="00A60FD5">
        <w:rPr>
          <w:rFonts w:ascii="Times New Roman" w:hAnsi="Times New Roman" w:cs="Times New Roman"/>
          <w:bCs/>
        </w:rPr>
        <w:t xml:space="preserve">; </w:t>
      </w:r>
      <w:r w:rsidR="006F50DC" w:rsidRPr="00A60FD5">
        <w:rPr>
          <w:rFonts w:ascii="Times New Roman" w:hAnsi="Times New Roman" w:cs="Times New Roman"/>
          <w:bCs/>
          <w:i/>
        </w:rPr>
        <w:t xml:space="preserve">p </w:t>
      </w:r>
      <w:r w:rsidR="006F50DC" w:rsidRPr="00A60FD5">
        <w:rPr>
          <w:rFonts w:ascii="Times New Roman" w:hAnsi="Times New Roman" w:cs="Times New Roman"/>
          <w:bCs/>
        </w:rPr>
        <w:t>&lt; 0.</w:t>
      </w:r>
      <w:r w:rsidR="00DA57FD" w:rsidRPr="00A60FD5">
        <w:rPr>
          <w:rFonts w:ascii="Times New Roman" w:hAnsi="Times New Roman" w:cs="Times New Roman"/>
          <w:bCs/>
        </w:rPr>
        <w:t>05</w:t>
      </w:r>
      <w:r w:rsidR="006F50DC" w:rsidRPr="00A60FD5">
        <w:rPr>
          <w:rFonts w:ascii="Times New Roman" w:hAnsi="Times New Roman" w:cs="Times New Roman"/>
          <w:bCs/>
        </w:rPr>
        <w:t xml:space="preserve">). Lawyers may encourage firms to avoid public litigation and instead </w:t>
      </w:r>
      <w:r w:rsidR="00120FA8" w:rsidRPr="00A60FD5">
        <w:rPr>
          <w:rFonts w:ascii="Times New Roman" w:hAnsi="Times New Roman" w:cs="Times New Roman"/>
          <w:bCs/>
        </w:rPr>
        <w:t xml:space="preserve">favor </w:t>
      </w:r>
      <w:r w:rsidR="006F50DC" w:rsidRPr="00A60FD5">
        <w:rPr>
          <w:rFonts w:ascii="Times New Roman" w:hAnsi="Times New Roman" w:cs="Times New Roman"/>
          <w:bCs/>
        </w:rPr>
        <w:t>private dispute-resolution mechanisms (Lumineau and Oxley</w:t>
      </w:r>
      <w:r w:rsidR="00D03CC0" w:rsidRPr="00A60FD5">
        <w:rPr>
          <w:rFonts w:ascii="Times New Roman" w:hAnsi="Times New Roman" w:cs="Times New Roman"/>
          <w:bCs/>
        </w:rPr>
        <w:t>,</w:t>
      </w:r>
      <w:r w:rsidR="006F50DC" w:rsidRPr="00A60FD5">
        <w:rPr>
          <w:rFonts w:ascii="Times New Roman" w:hAnsi="Times New Roman" w:cs="Times New Roman"/>
          <w:bCs/>
        </w:rPr>
        <w:t xml:space="preserve"> 2012).</w:t>
      </w:r>
      <w:r w:rsidR="00B06EF5" w:rsidRPr="00A60FD5">
        <w:rPr>
          <w:rFonts w:ascii="Times New Roman" w:hAnsi="Times New Roman" w:cs="Times New Roman"/>
          <w:bCs/>
        </w:rPr>
        <w:t xml:space="preserve"> As far as the marginal effects are concerned, we find that, when covariates are held at observed sample values, the likelihood of finding arbitration provisions in licensing contracts decreases by </w:t>
      </w:r>
      <w:r w:rsidR="0057276A" w:rsidRPr="00A60FD5">
        <w:rPr>
          <w:rFonts w:ascii="Times New Roman" w:hAnsi="Times New Roman" w:cs="Times New Roman"/>
          <w:bCs/>
        </w:rPr>
        <w:t>25.2</w:t>
      </w:r>
      <w:r w:rsidR="00B06EF5" w:rsidRPr="00A60FD5">
        <w:rPr>
          <w:rFonts w:ascii="Times New Roman" w:hAnsi="Times New Roman" w:cs="Times New Roman"/>
          <w:bCs/>
        </w:rPr>
        <w:t xml:space="preserve">% on average when the licensing transaction is exclusive, </w:t>
      </w:r>
      <w:r w:rsidR="00DA57FD" w:rsidRPr="00A60FD5">
        <w:rPr>
          <w:rFonts w:ascii="Times New Roman" w:hAnsi="Times New Roman" w:cs="Times New Roman"/>
          <w:bCs/>
        </w:rPr>
        <w:t xml:space="preserve">by </w:t>
      </w:r>
      <w:r w:rsidR="0057276A" w:rsidRPr="00A60FD5">
        <w:rPr>
          <w:rFonts w:ascii="Times New Roman" w:hAnsi="Times New Roman" w:cs="Times New Roman"/>
          <w:bCs/>
        </w:rPr>
        <w:t>41.2</w:t>
      </w:r>
      <w:r w:rsidR="00DA57FD" w:rsidRPr="00A60FD5">
        <w:rPr>
          <w:rFonts w:ascii="Times New Roman" w:hAnsi="Times New Roman" w:cs="Times New Roman"/>
          <w:bCs/>
        </w:rPr>
        <w:t xml:space="preserve">% when </w:t>
      </w:r>
      <w:r w:rsidR="00120FA8" w:rsidRPr="00A60FD5">
        <w:rPr>
          <w:rFonts w:ascii="Times New Roman" w:hAnsi="Times New Roman" w:cs="Times New Roman"/>
          <w:bCs/>
        </w:rPr>
        <w:t xml:space="preserve">prior ties </w:t>
      </w:r>
      <w:r w:rsidR="00DA57FD" w:rsidRPr="00A60FD5">
        <w:rPr>
          <w:rFonts w:ascii="Times New Roman" w:hAnsi="Times New Roman" w:cs="Times New Roman"/>
          <w:bCs/>
        </w:rPr>
        <w:t xml:space="preserve">exist, </w:t>
      </w:r>
      <w:r w:rsidR="00B06EF5" w:rsidRPr="00A60FD5">
        <w:rPr>
          <w:rFonts w:ascii="Times New Roman" w:hAnsi="Times New Roman" w:cs="Times New Roman"/>
          <w:bCs/>
        </w:rPr>
        <w:t xml:space="preserve">and by </w:t>
      </w:r>
      <w:r w:rsidR="0057276A" w:rsidRPr="00A60FD5">
        <w:rPr>
          <w:rFonts w:ascii="Times New Roman" w:hAnsi="Times New Roman" w:cs="Times New Roman"/>
          <w:bCs/>
        </w:rPr>
        <w:t>14.7</w:t>
      </w:r>
      <w:r w:rsidR="00B06EF5" w:rsidRPr="00A60FD5">
        <w:rPr>
          <w:rFonts w:ascii="Times New Roman" w:hAnsi="Times New Roman" w:cs="Times New Roman"/>
          <w:bCs/>
        </w:rPr>
        <w:t xml:space="preserve">% when the partners belong to the same industry. </w:t>
      </w:r>
      <w:r w:rsidR="00120FA8" w:rsidRPr="00A60FD5">
        <w:rPr>
          <w:rFonts w:ascii="Times New Roman" w:hAnsi="Times New Roman" w:cs="Times New Roman"/>
          <w:bCs/>
        </w:rPr>
        <w:t>However, t</w:t>
      </w:r>
      <w:r w:rsidR="00DA57FD" w:rsidRPr="00A60FD5">
        <w:rPr>
          <w:rFonts w:ascii="Times New Roman" w:hAnsi="Times New Roman" w:cs="Times New Roman"/>
          <w:bCs/>
        </w:rPr>
        <w:t xml:space="preserve">he likelihood increases by </w:t>
      </w:r>
      <w:r w:rsidR="0057276A" w:rsidRPr="00A60FD5">
        <w:rPr>
          <w:rFonts w:ascii="Times New Roman" w:hAnsi="Times New Roman" w:cs="Times New Roman"/>
          <w:bCs/>
        </w:rPr>
        <w:t>23.7</w:t>
      </w:r>
      <w:r w:rsidR="00DA57FD" w:rsidRPr="00A60FD5">
        <w:rPr>
          <w:rFonts w:ascii="Times New Roman" w:hAnsi="Times New Roman" w:cs="Times New Roman"/>
          <w:bCs/>
        </w:rPr>
        <w:t xml:space="preserve">% with assistance from legal experts. </w:t>
      </w:r>
      <w:r w:rsidR="00B06EF5" w:rsidRPr="00A60FD5">
        <w:rPr>
          <w:rFonts w:ascii="Times New Roman" w:hAnsi="Times New Roman" w:cs="Times New Roman"/>
          <w:bCs/>
        </w:rPr>
        <w:t xml:space="preserve">Overall, the results </w:t>
      </w:r>
      <w:r w:rsidR="00D3355E" w:rsidRPr="00A60FD5">
        <w:rPr>
          <w:rFonts w:ascii="Times New Roman" w:hAnsi="Times New Roman" w:cs="Times New Roman"/>
          <w:bCs/>
        </w:rPr>
        <w:t xml:space="preserve">therefore </w:t>
      </w:r>
      <w:r w:rsidR="00B06EF5" w:rsidRPr="00A60FD5">
        <w:rPr>
          <w:rFonts w:ascii="Times New Roman" w:hAnsi="Times New Roman" w:cs="Times New Roman"/>
          <w:bCs/>
        </w:rPr>
        <w:t xml:space="preserve">support the direction of the coefficients reported in </w:t>
      </w:r>
      <w:r w:rsidR="006F129E" w:rsidRPr="00A60FD5">
        <w:rPr>
          <w:rFonts w:ascii="Times New Roman" w:hAnsi="Times New Roman" w:cs="Times New Roman"/>
          <w:bCs/>
        </w:rPr>
        <w:t>Table 4</w:t>
      </w:r>
      <w:r w:rsidR="00802D47" w:rsidRPr="00A60FD5">
        <w:rPr>
          <w:rFonts w:ascii="Times New Roman" w:hAnsi="Times New Roman" w:cs="Times New Roman"/>
          <w:bCs/>
        </w:rPr>
        <w:t>.</w:t>
      </w:r>
    </w:p>
    <w:p w14:paraId="45025147" w14:textId="77777777" w:rsidR="0018013B" w:rsidRPr="00A60FD5" w:rsidRDefault="0018013B" w:rsidP="00B06EF5">
      <w:pPr>
        <w:spacing w:after="0" w:line="480" w:lineRule="auto"/>
        <w:ind w:firstLine="708"/>
        <w:rPr>
          <w:rFonts w:ascii="Times New Roman" w:hAnsi="Times New Roman" w:cs="Times New Roman"/>
          <w:bCs/>
        </w:rPr>
      </w:pPr>
    </w:p>
    <w:p w14:paraId="04F4F4AD" w14:textId="77777777" w:rsidR="0018013B" w:rsidRPr="00A60FD5" w:rsidRDefault="0018013B" w:rsidP="00B06EF5">
      <w:pPr>
        <w:spacing w:after="0" w:line="480" w:lineRule="auto"/>
        <w:ind w:firstLine="708"/>
        <w:rPr>
          <w:rFonts w:ascii="Times New Roman" w:hAnsi="Times New Roman" w:cs="Times New Roman"/>
          <w:bCs/>
        </w:rPr>
      </w:pPr>
    </w:p>
    <w:p w14:paraId="445B4932" w14:textId="77777777" w:rsidR="0018013B" w:rsidRPr="00A60FD5" w:rsidRDefault="0018013B" w:rsidP="00B06EF5">
      <w:pPr>
        <w:spacing w:after="0" w:line="480" w:lineRule="auto"/>
        <w:ind w:firstLine="708"/>
        <w:rPr>
          <w:rFonts w:ascii="Times New Roman" w:hAnsi="Times New Roman" w:cs="Times New Roman"/>
          <w:bCs/>
        </w:rPr>
      </w:pPr>
    </w:p>
    <w:p w14:paraId="16590B67" w14:textId="6D6E71B7" w:rsidR="00776740" w:rsidRPr="00A60FD5" w:rsidRDefault="00776740" w:rsidP="0018013B">
      <w:pPr>
        <w:pStyle w:val="ListParagraph"/>
        <w:numPr>
          <w:ilvl w:val="0"/>
          <w:numId w:val="28"/>
        </w:numPr>
        <w:spacing w:after="0" w:line="480" w:lineRule="auto"/>
        <w:rPr>
          <w:rFonts w:ascii="Times New Roman" w:hAnsi="Times New Roman"/>
          <w:b/>
          <w:bCs/>
          <w:sz w:val="24"/>
          <w:szCs w:val="24"/>
        </w:rPr>
      </w:pPr>
      <w:r w:rsidRPr="00A60FD5">
        <w:rPr>
          <w:rFonts w:ascii="Times New Roman" w:hAnsi="Times New Roman"/>
          <w:b/>
          <w:bCs/>
          <w:sz w:val="24"/>
          <w:szCs w:val="24"/>
        </w:rPr>
        <w:lastRenderedPageBreak/>
        <w:t>DISCUSSION</w:t>
      </w:r>
    </w:p>
    <w:p w14:paraId="239900FC" w14:textId="47CE7E5D" w:rsidR="009148B6" w:rsidRPr="00A60FD5" w:rsidRDefault="0018013B" w:rsidP="00776740">
      <w:pPr>
        <w:spacing w:after="0" w:line="480" w:lineRule="auto"/>
        <w:rPr>
          <w:rFonts w:ascii="Times New Roman" w:hAnsi="Times New Roman" w:cs="Times New Roman"/>
          <w:b/>
        </w:rPr>
      </w:pPr>
      <w:r w:rsidRPr="00A60FD5">
        <w:rPr>
          <w:rFonts w:ascii="Times New Roman" w:hAnsi="Times New Roman" w:cs="Times New Roman"/>
          <w:b/>
        </w:rPr>
        <w:t xml:space="preserve">5.1 </w:t>
      </w:r>
      <w:r w:rsidR="00776740" w:rsidRPr="00A60FD5">
        <w:rPr>
          <w:rFonts w:ascii="Times New Roman" w:hAnsi="Times New Roman" w:cs="Times New Roman"/>
          <w:b/>
        </w:rPr>
        <w:t>Contributions and Implications</w:t>
      </w:r>
    </w:p>
    <w:p w14:paraId="3FC77886" w14:textId="15B3BD86" w:rsidR="009148B6" w:rsidRPr="00A60FD5" w:rsidRDefault="009148B6" w:rsidP="00481054">
      <w:pPr>
        <w:pStyle w:val="CommentText"/>
        <w:spacing w:after="0" w:line="480" w:lineRule="auto"/>
        <w:rPr>
          <w:rFonts w:ascii="Times New Roman" w:hAnsi="Times New Roman" w:cs="Times New Roman"/>
          <w:color w:val="FF0000"/>
          <w:sz w:val="22"/>
          <w:szCs w:val="22"/>
        </w:rPr>
      </w:pPr>
      <w:r w:rsidRPr="00A60FD5">
        <w:rPr>
          <w:rFonts w:ascii="Times New Roman" w:hAnsi="Times New Roman" w:cs="Times New Roman"/>
          <w:sz w:val="22"/>
          <w:szCs w:val="22"/>
        </w:rPr>
        <w:t>In this study, we</w:t>
      </w:r>
      <w:r w:rsidR="00F70A8E" w:rsidRPr="00A60FD5">
        <w:rPr>
          <w:rFonts w:ascii="Times New Roman" w:hAnsi="Times New Roman" w:cs="Times New Roman"/>
          <w:sz w:val="22"/>
          <w:szCs w:val="22"/>
        </w:rPr>
        <w:t xml:space="preserve"> </w:t>
      </w:r>
      <w:r w:rsidRPr="00A60FD5">
        <w:rPr>
          <w:rFonts w:ascii="Times New Roman" w:hAnsi="Times New Roman" w:cs="Times New Roman"/>
          <w:sz w:val="22"/>
          <w:szCs w:val="22"/>
        </w:rPr>
        <w:t xml:space="preserve">investigated </w:t>
      </w:r>
      <w:r w:rsidR="00B07051" w:rsidRPr="00A60FD5">
        <w:rPr>
          <w:rFonts w:ascii="Times New Roman" w:hAnsi="Times New Roman" w:cs="Times New Roman"/>
          <w:sz w:val="22"/>
          <w:szCs w:val="22"/>
        </w:rPr>
        <w:t xml:space="preserve">firms’ </w:t>
      </w:r>
      <w:r w:rsidRPr="00A60FD5">
        <w:rPr>
          <w:rFonts w:ascii="Times New Roman" w:hAnsi="Times New Roman" w:cs="Times New Roman"/>
          <w:sz w:val="22"/>
          <w:szCs w:val="22"/>
        </w:rPr>
        <w:t xml:space="preserve">decisions to </w:t>
      </w:r>
      <w:r w:rsidR="0000351C" w:rsidRPr="00A60FD5">
        <w:rPr>
          <w:rFonts w:ascii="Times New Roman" w:hAnsi="Times New Roman" w:cs="Times New Roman"/>
          <w:sz w:val="22"/>
          <w:szCs w:val="22"/>
        </w:rPr>
        <w:t>include or exclude</w:t>
      </w:r>
      <w:r w:rsidR="0078798E" w:rsidRPr="00A60FD5">
        <w:rPr>
          <w:rFonts w:ascii="Times New Roman" w:hAnsi="Times New Roman" w:cs="Times New Roman"/>
          <w:sz w:val="22"/>
          <w:szCs w:val="22"/>
        </w:rPr>
        <w:t xml:space="preserve"> arbitration </w:t>
      </w:r>
      <w:r w:rsidR="00E94BA7" w:rsidRPr="00A60FD5">
        <w:rPr>
          <w:rFonts w:ascii="Times New Roman" w:hAnsi="Times New Roman" w:cs="Times New Roman"/>
          <w:sz w:val="22"/>
          <w:szCs w:val="22"/>
        </w:rPr>
        <w:t xml:space="preserve">provisions </w:t>
      </w:r>
      <w:r w:rsidRPr="00A60FD5">
        <w:rPr>
          <w:rFonts w:ascii="Times New Roman" w:hAnsi="Times New Roman" w:cs="Times New Roman"/>
          <w:sz w:val="22"/>
          <w:szCs w:val="22"/>
        </w:rPr>
        <w:t xml:space="preserve">when </w:t>
      </w:r>
      <w:r w:rsidR="00B07051" w:rsidRPr="00A60FD5">
        <w:rPr>
          <w:rFonts w:ascii="Times New Roman" w:hAnsi="Times New Roman" w:cs="Times New Roman"/>
          <w:sz w:val="22"/>
          <w:szCs w:val="22"/>
        </w:rPr>
        <w:t xml:space="preserve">they </w:t>
      </w:r>
      <w:r w:rsidR="0083084F" w:rsidRPr="00A60FD5">
        <w:rPr>
          <w:rFonts w:ascii="Times New Roman" w:hAnsi="Times New Roman" w:cs="Times New Roman"/>
          <w:sz w:val="22"/>
          <w:szCs w:val="22"/>
        </w:rPr>
        <w:t>negotiat</w:t>
      </w:r>
      <w:r w:rsidR="00B07051" w:rsidRPr="00A60FD5">
        <w:rPr>
          <w:rFonts w:ascii="Times New Roman" w:hAnsi="Times New Roman" w:cs="Times New Roman"/>
          <w:sz w:val="22"/>
          <w:szCs w:val="22"/>
        </w:rPr>
        <w:t>e</w:t>
      </w:r>
      <w:r w:rsidR="0083084F" w:rsidRPr="00A60FD5">
        <w:rPr>
          <w:rFonts w:ascii="Times New Roman" w:hAnsi="Times New Roman" w:cs="Times New Roman"/>
          <w:sz w:val="22"/>
          <w:szCs w:val="22"/>
        </w:rPr>
        <w:t xml:space="preserve"> </w:t>
      </w:r>
      <w:r w:rsidR="00EB2ED4" w:rsidRPr="00A60FD5">
        <w:rPr>
          <w:rFonts w:ascii="Times New Roman" w:hAnsi="Times New Roman" w:cs="Times New Roman"/>
          <w:sz w:val="22"/>
          <w:szCs w:val="22"/>
        </w:rPr>
        <w:t xml:space="preserve">inter-organizational </w:t>
      </w:r>
      <w:r w:rsidR="004A17CD" w:rsidRPr="00A60FD5">
        <w:rPr>
          <w:rFonts w:ascii="Times New Roman" w:hAnsi="Times New Roman" w:cs="Times New Roman"/>
          <w:sz w:val="22"/>
          <w:szCs w:val="22"/>
        </w:rPr>
        <w:t xml:space="preserve">and market-based </w:t>
      </w:r>
      <w:r w:rsidRPr="00A60FD5">
        <w:rPr>
          <w:rFonts w:ascii="Times New Roman" w:hAnsi="Times New Roman" w:cs="Times New Roman"/>
          <w:sz w:val="22"/>
          <w:szCs w:val="22"/>
        </w:rPr>
        <w:t xml:space="preserve">contracts. </w:t>
      </w:r>
      <w:r w:rsidR="0053556C" w:rsidRPr="00A60FD5">
        <w:rPr>
          <w:rFonts w:ascii="Times New Roman" w:hAnsi="Times New Roman" w:cs="Times New Roman"/>
          <w:sz w:val="22"/>
          <w:szCs w:val="22"/>
        </w:rPr>
        <w:t xml:space="preserve">We primarily aimed at understanding why, despite the numerous advantages of the arbitration mechanism </w:t>
      </w:r>
      <w:r w:rsidR="00867E57" w:rsidRPr="00A60FD5">
        <w:rPr>
          <w:rFonts w:ascii="Times New Roman" w:hAnsi="Times New Roman" w:cs="Times New Roman"/>
          <w:sz w:val="22"/>
          <w:szCs w:val="22"/>
        </w:rPr>
        <w:t>over</w:t>
      </w:r>
      <w:r w:rsidR="0053556C" w:rsidRPr="00A60FD5">
        <w:rPr>
          <w:rFonts w:ascii="Times New Roman" w:hAnsi="Times New Roman" w:cs="Times New Roman"/>
          <w:sz w:val="22"/>
          <w:szCs w:val="22"/>
        </w:rPr>
        <w:t xml:space="preserve"> public litigation, managers do not seem to consider this private mechanism as a “default” option. To this end, w</w:t>
      </w:r>
      <w:r w:rsidR="00B07051" w:rsidRPr="00A60FD5">
        <w:rPr>
          <w:rFonts w:ascii="Times New Roman" w:hAnsi="Times New Roman" w:cs="Times New Roman"/>
          <w:sz w:val="22"/>
          <w:szCs w:val="22"/>
        </w:rPr>
        <w:t xml:space="preserve">e considered the role </w:t>
      </w:r>
      <w:r w:rsidR="0053556C" w:rsidRPr="00A60FD5">
        <w:rPr>
          <w:rFonts w:ascii="Times New Roman" w:hAnsi="Times New Roman" w:cs="Times New Roman"/>
          <w:sz w:val="22"/>
          <w:szCs w:val="22"/>
        </w:rPr>
        <w:t xml:space="preserve">played by </w:t>
      </w:r>
      <w:r w:rsidR="00B07051" w:rsidRPr="00A60FD5">
        <w:rPr>
          <w:rFonts w:ascii="Times New Roman" w:hAnsi="Times New Roman" w:cs="Times New Roman"/>
          <w:sz w:val="22"/>
          <w:szCs w:val="22"/>
        </w:rPr>
        <w:t>both</w:t>
      </w:r>
      <w:r w:rsidR="00DA0EEC" w:rsidRPr="00A60FD5">
        <w:rPr>
          <w:rFonts w:ascii="Times New Roman" w:hAnsi="Times New Roman" w:cs="Times New Roman"/>
          <w:sz w:val="22"/>
          <w:szCs w:val="22"/>
        </w:rPr>
        <w:t xml:space="preserve"> coordination and monitoring orientations </w:t>
      </w:r>
      <w:r w:rsidR="0053556C" w:rsidRPr="00A60FD5">
        <w:rPr>
          <w:rFonts w:ascii="Times New Roman" w:hAnsi="Times New Roman" w:cs="Times New Roman"/>
          <w:sz w:val="22"/>
          <w:szCs w:val="22"/>
        </w:rPr>
        <w:t>adopted by corporate decision</w:t>
      </w:r>
      <w:r w:rsidR="00867E57" w:rsidRPr="00A60FD5">
        <w:rPr>
          <w:rFonts w:ascii="Times New Roman" w:hAnsi="Times New Roman" w:cs="Times New Roman"/>
          <w:sz w:val="22"/>
          <w:szCs w:val="22"/>
        </w:rPr>
        <w:t>-</w:t>
      </w:r>
      <w:r w:rsidR="0053556C" w:rsidRPr="00A60FD5">
        <w:rPr>
          <w:rFonts w:ascii="Times New Roman" w:hAnsi="Times New Roman" w:cs="Times New Roman"/>
          <w:sz w:val="22"/>
          <w:szCs w:val="22"/>
        </w:rPr>
        <w:t>makers when drafting licensing contracts</w:t>
      </w:r>
      <w:r w:rsidR="00DA0EEC" w:rsidRPr="00A60FD5">
        <w:rPr>
          <w:rFonts w:ascii="Times New Roman" w:hAnsi="Times New Roman" w:cs="Times New Roman"/>
          <w:sz w:val="22"/>
          <w:szCs w:val="22"/>
        </w:rPr>
        <w:t xml:space="preserve">. </w:t>
      </w:r>
      <w:r w:rsidRPr="00A60FD5">
        <w:rPr>
          <w:rFonts w:ascii="Times New Roman" w:hAnsi="Times New Roman" w:cs="Times New Roman"/>
          <w:sz w:val="22"/>
          <w:szCs w:val="22"/>
        </w:rPr>
        <w:t>On the basis of data on technology licensing, we found that the occurrence of an arbitration provision increases when</w:t>
      </w:r>
      <w:r w:rsidR="00345BE7" w:rsidRPr="00A60FD5">
        <w:rPr>
          <w:rFonts w:ascii="Times New Roman" w:hAnsi="Times New Roman" w:cs="Times New Roman"/>
          <w:sz w:val="22"/>
          <w:szCs w:val="22"/>
        </w:rPr>
        <w:t xml:space="preserve"> contracts emphasize </w:t>
      </w:r>
      <w:r w:rsidR="00F70A8E" w:rsidRPr="00A60FD5">
        <w:rPr>
          <w:rFonts w:ascii="Times New Roman" w:hAnsi="Times New Roman" w:cs="Times New Roman"/>
          <w:sz w:val="22"/>
          <w:szCs w:val="22"/>
        </w:rPr>
        <w:t xml:space="preserve">a </w:t>
      </w:r>
      <w:r w:rsidR="0083084F" w:rsidRPr="00A60FD5">
        <w:rPr>
          <w:rFonts w:ascii="Times New Roman" w:hAnsi="Times New Roman" w:cs="Times New Roman"/>
          <w:sz w:val="22"/>
          <w:szCs w:val="22"/>
        </w:rPr>
        <w:t>coordination</w:t>
      </w:r>
      <w:r w:rsidR="00F70A8E" w:rsidRPr="00A60FD5">
        <w:rPr>
          <w:rFonts w:ascii="Times New Roman" w:hAnsi="Times New Roman" w:cs="Times New Roman"/>
          <w:sz w:val="22"/>
          <w:szCs w:val="22"/>
        </w:rPr>
        <w:t xml:space="preserve"> </w:t>
      </w:r>
      <w:r w:rsidR="0083084F" w:rsidRPr="00A60FD5">
        <w:rPr>
          <w:rFonts w:ascii="Times New Roman" w:hAnsi="Times New Roman" w:cs="Times New Roman"/>
          <w:sz w:val="22"/>
          <w:szCs w:val="22"/>
        </w:rPr>
        <w:t>orient</w:t>
      </w:r>
      <w:r w:rsidR="00F70A8E" w:rsidRPr="00A60FD5">
        <w:rPr>
          <w:rFonts w:ascii="Times New Roman" w:hAnsi="Times New Roman" w:cs="Times New Roman"/>
          <w:sz w:val="22"/>
          <w:szCs w:val="22"/>
        </w:rPr>
        <w:t>ation</w:t>
      </w:r>
      <w:r w:rsidR="00DA0EEC" w:rsidRPr="00A60FD5">
        <w:rPr>
          <w:rFonts w:ascii="Times New Roman" w:hAnsi="Times New Roman" w:cs="Times New Roman"/>
          <w:sz w:val="22"/>
          <w:szCs w:val="22"/>
        </w:rPr>
        <w:t xml:space="preserve"> that reflects </w:t>
      </w:r>
      <w:r w:rsidR="0083084F" w:rsidRPr="00A60FD5">
        <w:rPr>
          <w:rFonts w:ascii="Times New Roman" w:hAnsi="Times New Roman" w:cs="Times New Roman"/>
          <w:sz w:val="22"/>
          <w:szCs w:val="22"/>
        </w:rPr>
        <w:t>an ext</w:t>
      </w:r>
      <w:r w:rsidR="00540BDD" w:rsidRPr="00A60FD5">
        <w:rPr>
          <w:rFonts w:ascii="Times New Roman" w:hAnsi="Times New Roman" w:cs="Times New Roman"/>
          <w:sz w:val="22"/>
          <w:szCs w:val="22"/>
        </w:rPr>
        <w:t>a</w:t>
      </w:r>
      <w:r w:rsidR="0083084F" w:rsidRPr="00A60FD5">
        <w:rPr>
          <w:rFonts w:ascii="Times New Roman" w:hAnsi="Times New Roman" w:cs="Times New Roman"/>
          <w:sz w:val="22"/>
          <w:szCs w:val="22"/>
        </w:rPr>
        <w:t>nt requirement for</w:t>
      </w:r>
      <w:r w:rsidR="00345BE7" w:rsidRPr="00A60FD5">
        <w:rPr>
          <w:rFonts w:ascii="Times New Roman" w:hAnsi="Times New Roman" w:cs="Times New Roman"/>
          <w:sz w:val="22"/>
          <w:szCs w:val="22"/>
        </w:rPr>
        <w:t xml:space="preserve"> joint efforts and </w:t>
      </w:r>
      <w:r w:rsidR="00F70A8E" w:rsidRPr="00A60FD5">
        <w:rPr>
          <w:rFonts w:ascii="Times New Roman" w:hAnsi="Times New Roman" w:cs="Times New Roman"/>
          <w:sz w:val="22"/>
          <w:szCs w:val="22"/>
        </w:rPr>
        <w:t xml:space="preserve">task interdependency </w:t>
      </w:r>
      <w:r w:rsidR="00345BE7" w:rsidRPr="00A60FD5">
        <w:rPr>
          <w:rFonts w:ascii="Times New Roman" w:hAnsi="Times New Roman" w:cs="Times New Roman"/>
          <w:i/>
          <w:sz w:val="22"/>
          <w:szCs w:val="22"/>
        </w:rPr>
        <w:t>ex post</w:t>
      </w:r>
      <w:r w:rsidRPr="00A60FD5">
        <w:rPr>
          <w:rFonts w:ascii="Times New Roman" w:hAnsi="Times New Roman" w:cs="Times New Roman"/>
          <w:sz w:val="22"/>
          <w:szCs w:val="22"/>
        </w:rPr>
        <w:t>.</w:t>
      </w:r>
      <w:r w:rsidR="00DA4FB0" w:rsidRPr="00A60FD5">
        <w:rPr>
          <w:rFonts w:ascii="Times New Roman" w:hAnsi="Times New Roman" w:cs="Times New Roman"/>
          <w:sz w:val="22"/>
          <w:szCs w:val="22"/>
        </w:rPr>
        <w:t xml:space="preserve"> We did not find</w:t>
      </w:r>
      <w:r w:rsidR="00592B6F" w:rsidRPr="00A60FD5">
        <w:rPr>
          <w:rFonts w:ascii="Times New Roman" w:hAnsi="Times New Roman" w:cs="Times New Roman"/>
          <w:sz w:val="22"/>
          <w:szCs w:val="22"/>
        </w:rPr>
        <w:t>,</w:t>
      </w:r>
      <w:r w:rsidR="00DA4FB0" w:rsidRPr="00A60FD5">
        <w:rPr>
          <w:rFonts w:ascii="Times New Roman" w:hAnsi="Times New Roman" w:cs="Times New Roman"/>
          <w:sz w:val="22"/>
          <w:szCs w:val="22"/>
        </w:rPr>
        <w:t xml:space="preserve"> however</w:t>
      </w:r>
      <w:r w:rsidR="00592B6F" w:rsidRPr="00A60FD5">
        <w:rPr>
          <w:rFonts w:ascii="Times New Roman" w:hAnsi="Times New Roman" w:cs="Times New Roman"/>
          <w:sz w:val="22"/>
          <w:szCs w:val="22"/>
        </w:rPr>
        <w:t>,</w:t>
      </w:r>
      <w:r w:rsidR="00DA4FB0" w:rsidRPr="00A60FD5">
        <w:rPr>
          <w:rFonts w:ascii="Times New Roman" w:hAnsi="Times New Roman" w:cs="Times New Roman"/>
          <w:sz w:val="22"/>
          <w:szCs w:val="22"/>
        </w:rPr>
        <w:t xml:space="preserve"> that the occurrence of arbitration provisions</w:t>
      </w:r>
      <w:r w:rsidR="001E1CB2" w:rsidRPr="00A60FD5">
        <w:rPr>
          <w:rFonts w:ascii="Times New Roman" w:hAnsi="Times New Roman" w:cs="Times New Roman"/>
          <w:sz w:val="22"/>
          <w:szCs w:val="22"/>
        </w:rPr>
        <w:t>, when considered alone,</w:t>
      </w:r>
      <w:r w:rsidR="00DA4FB0" w:rsidRPr="00A60FD5">
        <w:rPr>
          <w:rFonts w:ascii="Times New Roman" w:hAnsi="Times New Roman" w:cs="Times New Roman"/>
          <w:sz w:val="22"/>
          <w:szCs w:val="22"/>
        </w:rPr>
        <w:t xml:space="preserve"> decreases when the monitoring orientation included for deterring moral hazards is non-negligible. </w:t>
      </w:r>
      <w:r w:rsidR="001E1CB2" w:rsidRPr="00A60FD5">
        <w:rPr>
          <w:rFonts w:ascii="Times New Roman" w:hAnsi="Times New Roman" w:cs="Times New Roman"/>
          <w:sz w:val="22"/>
          <w:szCs w:val="22"/>
        </w:rPr>
        <w:t xml:space="preserve">At this stage, we admit that our results </w:t>
      </w:r>
      <w:r w:rsidR="006D245D" w:rsidRPr="00A60FD5">
        <w:rPr>
          <w:rFonts w:ascii="Times New Roman" w:hAnsi="Times New Roman" w:cs="Times New Roman"/>
          <w:sz w:val="22"/>
          <w:szCs w:val="22"/>
        </w:rPr>
        <w:t>suggest</w:t>
      </w:r>
      <w:r w:rsidR="001E1CB2" w:rsidRPr="00A60FD5">
        <w:rPr>
          <w:rFonts w:ascii="Times New Roman" w:hAnsi="Times New Roman" w:cs="Times New Roman"/>
          <w:sz w:val="22"/>
          <w:szCs w:val="22"/>
        </w:rPr>
        <w:t xml:space="preserve"> that the information brought about by monitoring </w:t>
      </w:r>
      <w:r w:rsidR="006D245D" w:rsidRPr="00A60FD5">
        <w:rPr>
          <w:rFonts w:ascii="Times New Roman" w:hAnsi="Times New Roman" w:cs="Times New Roman"/>
          <w:sz w:val="22"/>
          <w:szCs w:val="22"/>
        </w:rPr>
        <w:t xml:space="preserve">can </w:t>
      </w:r>
      <w:r w:rsidR="001E1CB2" w:rsidRPr="00A60FD5">
        <w:rPr>
          <w:rFonts w:ascii="Times New Roman" w:hAnsi="Times New Roman" w:cs="Times New Roman"/>
          <w:sz w:val="22"/>
          <w:szCs w:val="22"/>
        </w:rPr>
        <w:t xml:space="preserve">probably favor both public courts and arbitration to the same extent. </w:t>
      </w:r>
      <w:r w:rsidR="00DA0EEC" w:rsidRPr="00A60FD5">
        <w:rPr>
          <w:rFonts w:ascii="Times New Roman" w:hAnsi="Times New Roman" w:cs="Times New Roman"/>
          <w:sz w:val="22"/>
          <w:szCs w:val="22"/>
        </w:rPr>
        <w:t xml:space="preserve">The </w:t>
      </w:r>
      <w:r w:rsidR="00DA4FB0" w:rsidRPr="00A60FD5">
        <w:rPr>
          <w:rFonts w:ascii="Times New Roman" w:hAnsi="Times New Roman" w:cs="Times New Roman"/>
          <w:sz w:val="22"/>
          <w:szCs w:val="22"/>
        </w:rPr>
        <w:t>joint effect of monitoring and coordination orientations suggest</w:t>
      </w:r>
      <w:r w:rsidR="00720CE3" w:rsidRPr="00A60FD5">
        <w:rPr>
          <w:rFonts w:ascii="Times New Roman" w:hAnsi="Times New Roman" w:cs="Times New Roman"/>
          <w:sz w:val="22"/>
          <w:szCs w:val="22"/>
        </w:rPr>
        <w:t>s</w:t>
      </w:r>
      <w:r w:rsidR="005B41B8" w:rsidRPr="00A60FD5">
        <w:rPr>
          <w:rFonts w:ascii="Times New Roman" w:hAnsi="Times New Roman" w:cs="Times New Roman"/>
          <w:sz w:val="22"/>
          <w:szCs w:val="22"/>
        </w:rPr>
        <w:t>,</w:t>
      </w:r>
      <w:r w:rsidR="00DA4FB0" w:rsidRPr="00A60FD5">
        <w:rPr>
          <w:rFonts w:ascii="Times New Roman" w:hAnsi="Times New Roman" w:cs="Times New Roman"/>
          <w:sz w:val="22"/>
          <w:szCs w:val="22"/>
        </w:rPr>
        <w:t xml:space="preserve"> </w:t>
      </w:r>
      <w:r w:rsidR="000C4CC0" w:rsidRPr="00A60FD5">
        <w:rPr>
          <w:rFonts w:ascii="Times New Roman" w:hAnsi="Times New Roman" w:cs="Times New Roman"/>
          <w:sz w:val="22"/>
          <w:szCs w:val="22"/>
        </w:rPr>
        <w:t>indeed</w:t>
      </w:r>
      <w:r w:rsidR="005B41B8" w:rsidRPr="00A60FD5">
        <w:rPr>
          <w:rFonts w:ascii="Times New Roman" w:hAnsi="Times New Roman" w:cs="Times New Roman"/>
          <w:sz w:val="22"/>
          <w:szCs w:val="22"/>
        </w:rPr>
        <w:t>,</w:t>
      </w:r>
      <w:r w:rsidR="0053556C" w:rsidRPr="00A60FD5">
        <w:rPr>
          <w:rFonts w:ascii="Times New Roman" w:hAnsi="Times New Roman" w:cs="Times New Roman"/>
          <w:sz w:val="22"/>
          <w:szCs w:val="22"/>
        </w:rPr>
        <w:t xml:space="preserve"> </w:t>
      </w:r>
      <w:r w:rsidR="00DA4FB0" w:rsidRPr="00A60FD5">
        <w:rPr>
          <w:rFonts w:ascii="Times New Roman" w:hAnsi="Times New Roman" w:cs="Times New Roman"/>
          <w:sz w:val="22"/>
          <w:szCs w:val="22"/>
        </w:rPr>
        <w:t>that partners perceive arbitration as better suited than public ordering for handling and preventing disputes when both types of provisions are extensive.</w:t>
      </w:r>
      <w:r w:rsidRPr="00A60FD5">
        <w:rPr>
          <w:rFonts w:ascii="Times New Roman" w:hAnsi="Times New Roman" w:cs="Times New Roman"/>
          <w:sz w:val="22"/>
          <w:szCs w:val="22"/>
        </w:rPr>
        <w:t xml:space="preserve"> </w:t>
      </w:r>
      <w:r w:rsidR="00B903BB" w:rsidRPr="00A60FD5">
        <w:rPr>
          <w:rFonts w:ascii="Times New Roman" w:hAnsi="Times New Roman" w:cs="Times New Roman"/>
          <w:sz w:val="22"/>
          <w:szCs w:val="22"/>
        </w:rPr>
        <w:t>In accordance with our theoretical predictions, these</w:t>
      </w:r>
      <w:r w:rsidRPr="00A60FD5">
        <w:rPr>
          <w:rFonts w:ascii="Times New Roman" w:hAnsi="Times New Roman" w:cs="Times New Roman"/>
          <w:sz w:val="22"/>
          <w:szCs w:val="22"/>
        </w:rPr>
        <w:t xml:space="preserve"> results imply that </w:t>
      </w:r>
      <w:r w:rsidR="0000351C" w:rsidRPr="00A60FD5">
        <w:rPr>
          <w:rFonts w:ascii="Times New Roman" w:hAnsi="Times New Roman" w:cs="Times New Roman"/>
          <w:sz w:val="22"/>
          <w:szCs w:val="22"/>
        </w:rPr>
        <w:t xml:space="preserve">we must </w:t>
      </w:r>
      <w:r w:rsidR="00B903BB" w:rsidRPr="00A60FD5">
        <w:rPr>
          <w:rFonts w:ascii="Times New Roman" w:hAnsi="Times New Roman" w:cs="Times New Roman"/>
          <w:sz w:val="22"/>
          <w:szCs w:val="22"/>
        </w:rPr>
        <w:t xml:space="preserve">consider </w:t>
      </w:r>
      <w:r w:rsidR="0038149B" w:rsidRPr="00A60FD5">
        <w:rPr>
          <w:rFonts w:ascii="Times New Roman" w:hAnsi="Times New Roman" w:cs="Times New Roman"/>
          <w:sz w:val="22"/>
          <w:szCs w:val="22"/>
        </w:rPr>
        <w:t>the complex architecture</w:t>
      </w:r>
      <w:r w:rsidR="007845E4" w:rsidRPr="00A60FD5">
        <w:rPr>
          <w:rFonts w:ascii="Times New Roman" w:hAnsi="Times New Roman" w:cs="Times New Roman"/>
          <w:sz w:val="22"/>
          <w:szCs w:val="22"/>
        </w:rPr>
        <w:t xml:space="preserve"> of contractual governance</w:t>
      </w:r>
      <w:r w:rsidR="007845E4" w:rsidRPr="00A60FD5" w:rsidDel="007845E4">
        <w:rPr>
          <w:rFonts w:ascii="Times New Roman" w:hAnsi="Times New Roman" w:cs="Times New Roman"/>
          <w:sz w:val="22"/>
          <w:szCs w:val="22"/>
        </w:rPr>
        <w:t xml:space="preserve"> </w:t>
      </w:r>
      <w:r w:rsidR="000A4451" w:rsidRPr="00A60FD5">
        <w:rPr>
          <w:rFonts w:ascii="Times New Roman" w:hAnsi="Times New Roman" w:cs="Times New Roman"/>
          <w:sz w:val="22"/>
          <w:szCs w:val="22"/>
        </w:rPr>
        <w:t>(Faems et al.</w:t>
      </w:r>
      <w:r w:rsidR="00DA4FB0" w:rsidRPr="00A60FD5">
        <w:rPr>
          <w:rFonts w:ascii="Times New Roman" w:hAnsi="Times New Roman" w:cs="Times New Roman"/>
          <w:sz w:val="22"/>
          <w:szCs w:val="22"/>
        </w:rPr>
        <w:t>,</w:t>
      </w:r>
      <w:r w:rsidR="000A4451" w:rsidRPr="00A60FD5">
        <w:rPr>
          <w:rFonts w:ascii="Times New Roman" w:hAnsi="Times New Roman" w:cs="Times New Roman"/>
          <w:sz w:val="22"/>
          <w:szCs w:val="22"/>
        </w:rPr>
        <w:t xml:space="preserve"> 2008</w:t>
      </w:r>
      <w:r w:rsidR="00DA4FB0" w:rsidRPr="00A60FD5">
        <w:rPr>
          <w:rFonts w:ascii="Times New Roman" w:hAnsi="Times New Roman" w:cs="Times New Roman"/>
          <w:sz w:val="22"/>
          <w:szCs w:val="22"/>
        </w:rPr>
        <w:t>;</w:t>
      </w:r>
      <w:r w:rsidR="000A4451" w:rsidRPr="00A60FD5">
        <w:rPr>
          <w:rFonts w:ascii="Times New Roman" w:hAnsi="Times New Roman" w:cs="Times New Roman"/>
          <w:sz w:val="22"/>
          <w:szCs w:val="22"/>
        </w:rPr>
        <w:t xml:space="preserve"> Ma</w:t>
      </w:r>
      <w:r w:rsidR="0083084F" w:rsidRPr="00A60FD5">
        <w:rPr>
          <w:rFonts w:ascii="Times New Roman" w:hAnsi="Times New Roman" w:cs="Times New Roman"/>
          <w:sz w:val="22"/>
          <w:szCs w:val="22"/>
        </w:rPr>
        <w:t>lhotra</w:t>
      </w:r>
      <w:r w:rsidR="000A4451" w:rsidRPr="00A60FD5">
        <w:rPr>
          <w:rFonts w:ascii="Times New Roman" w:hAnsi="Times New Roman" w:cs="Times New Roman"/>
          <w:sz w:val="22"/>
          <w:szCs w:val="22"/>
        </w:rPr>
        <w:t xml:space="preserve"> </w:t>
      </w:r>
      <w:r w:rsidR="009C2D7F" w:rsidRPr="00A60FD5">
        <w:rPr>
          <w:rFonts w:ascii="Times New Roman" w:hAnsi="Times New Roman" w:cs="Times New Roman"/>
          <w:sz w:val="22"/>
          <w:szCs w:val="22"/>
        </w:rPr>
        <w:t>and</w:t>
      </w:r>
      <w:r w:rsidR="00AE7C74" w:rsidRPr="00A60FD5">
        <w:rPr>
          <w:rFonts w:ascii="Times New Roman" w:hAnsi="Times New Roman" w:cs="Times New Roman"/>
          <w:sz w:val="22"/>
          <w:szCs w:val="22"/>
        </w:rPr>
        <w:t xml:space="preserve"> </w:t>
      </w:r>
      <w:r w:rsidR="000A4451" w:rsidRPr="00A60FD5">
        <w:rPr>
          <w:rFonts w:ascii="Times New Roman" w:hAnsi="Times New Roman" w:cs="Times New Roman"/>
          <w:sz w:val="22"/>
          <w:szCs w:val="22"/>
        </w:rPr>
        <w:t>Lumineau</w:t>
      </w:r>
      <w:r w:rsidR="00DA4FB0" w:rsidRPr="00A60FD5">
        <w:rPr>
          <w:rFonts w:ascii="Times New Roman" w:hAnsi="Times New Roman" w:cs="Times New Roman"/>
          <w:sz w:val="22"/>
          <w:szCs w:val="22"/>
        </w:rPr>
        <w:t>,</w:t>
      </w:r>
      <w:r w:rsidR="000A4451" w:rsidRPr="00A60FD5">
        <w:rPr>
          <w:rFonts w:ascii="Times New Roman" w:hAnsi="Times New Roman" w:cs="Times New Roman"/>
          <w:sz w:val="22"/>
          <w:szCs w:val="22"/>
        </w:rPr>
        <w:t xml:space="preserve"> 20</w:t>
      </w:r>
      <w:r w:rsidR="00E455C1" w:rsidRPr="00A60FD5">
        <w:rPr>
          <w:rFonts w:ascii="Times New Roman" w:hAnsi="Times New Roman" w:cs="Times New Roman"/>
          <w:sz w:val="22"/>
          <w:szCs w:val="22"/>
        </w:rPr>
        <w:t>11</w:t>
      </w:r>
      <w:r w:rsidR="000A4451" w:rsidRPr="00A60FD5">
        <w:rPr>
          <w:rFonts w:ascii="Times New Roman" w:hAnsi="Times New Roman" w:cs="Times New Roman"/>
          <w:sz w:val="22"/>
          <w:szCs w:val="22"/>
        </w:rPr>
        <w:t xml:space="preserve">) </w:t>
      </w:r>
      <w:r w:rsidR="004677D9" w:rsidRPr="00A60FD5">
        <w:rPr>
          <w:rFonts w:ascii="Times New Roman" w:hAnsi="Times New Roman" w:cs="Times New Roman"/>
          <w:sz w:val="22"/>
          <w:szCs w:val="22"/>
        </w:rPr>
        <w:t xml:space="preserve">if we wish to understand </w:t>
      </w:r>
      <w:r w:rsidR="0000351C" w:rsidRPr="00A60FD5">
        <w:rPr>
          <w:rFonts w:ascii="Times New Roman" w:hAnsi="Times New Roman" w:cs="Times New Roman"/>
          <w:sz w:val="22"/>
          <w:szCs w:val="22"/>
        </w:rPr>
        <w:t xml:space="preserve">the </w:t>
      </w:r>
      <w:r w:rsidR="004677D9" w:rsidRPr="00A60FD5">
        <w:rPr>
          <w:rFonts w:ascii="Times New Roman" w:hAnsi="Times New Roman" w:cs="Times New Roman"/>
          <w:sz w:val="22"/>
          <w:szCs w:val="22"/>
        </w:rPr>
        <w:t>decision</w:t>
      </w:r>
      <w:r w:rsidR="000A4451" w:rsidRPr="00A60FD5">
        <w:rPr>
          <w:rFonts w:ascii="Times New Roman" w:hAnsi="Times New Roman" w:cs="Times New Roman"/>
          <w:sz w:val="22"/>
          <w:szCs w:val="22"/>
        </w:rPr>
        <w:t xml:space="preserve">-making process behind choices </w:t>
      </w:r>
      <w:r w:rsidR="0000351C" w:rsidRPr="00A60FD5">
        <w:rPr>
          <w:rFonts w:ascii="Times New Roman" w:hAnsi="Times New Roman" w:cs="Times New Roman"/>
          <w:sz w:val="22"/>
          <w:szCs w:val="22"/>
        </w:rPr>
        <w:t>of</w:t>
      </w:r>
      <w:r w:rsidR="00B903BB" w:rsidRPr="00A60FD5">
        <w:rPr>
          <w:rFonts w:ascii="Times New Roman" w:hAnsi="Times New Roman" w:cs="Times New Roman"/>
          <w:sz w:val="22"/>
          <w:szCs w:val="22"/>
        </w:rPr>
        <w:t xml:space="preserve"> dispute</w:t>
      </w:r>
      <w:r w:rsidR="0000351C" w:rsidRPr="00A60FD5">
        <w:rPr>
          <w:rFonts w:ascii="Times New Roman" w:hAnsi="Times New Roman" w:cs="Times New Roman"/>
          <w:sz w:val="22"/>
          <w:szCs w:val="22"/>
        </w:rPr>
        <w:t>-</w:t>
      </w:r>
      <w:r w:rsidR="00B903BB" w:rsidRPr="00A60FD5">
        <w:rPr>
          <w:rFonts w:ascii="Times New Roman" w:hAnsi="Times New Roman" w:cs="Times New Roman"/>
          <w:sz w:val="22"/>
          <w:szCs w:val="22"/>
        </w:rPr>
        <w:t>resolution mechanisms</w:t>
      </w:r>
      <w:r w:rsidRPr="00A60FD5">
        <w:rPr>
          <w:rFonts w:ascii="Times New Roman" w:hAnsi="Times New Roman" w:cs="Times New Roman"/>
          <w:sz w:val="22"/>
          <w:szCs w:val="22"/>
        </w:rPr>
        <w:t xml:space="preserve">. </w:t>
      </w:r>
    </w:p>
    <w:p w14:paraId="407F77BC" w14:textId="4523E5A6" w:rsidR="00D1177D" w:rsidRPr="00A60FD5" w:rsidRDefault="00C63060" w:rsidP="00C63060">
      <w:pPr>
        <w:pStyle w:val="CommentText"/>
        <w:spacing w:after="0" w:line="480" w:lineRule="auto"/>
        <w:ind w:firstLine="624"/>
        <w:rPr>
          <w:rFonts w:ascii="Times New Roman" w:hAnsi="Times New Roman" w:cs="Times New Roman"/>
          <w:sz w:val="22"/>
          <w:szCs w:val="22"/>
        </w:rPr>
      </w:pPr>
      <w:r w:rsidRPr="00A60FD5">
        <w:rPr>
          <w:rFonts w:ascii="Times New Roman" w:hAnsi="Times New Roman" w:cs="Times New Roman"/>
          <w:sz w:val="22"/>
          <w:szCs w:val="22"/>
        </w:rPr>
        <w:t>Our main contribution relates to the comparative approach for the choice of dispute-resolution mechanisms.</w:t>
      </w:r>
      <w:r w:rsidRPr="00A60FD5">
        <w:rPr>
          <w:rFonts w:ascii="Times New Roman" w:hAnsi="Times New Roman" w:cs="Times New Roman"/>
        </w:rPr>
        <w:t xml:space="preserve"> </w:t>
      </w:r>
      <w:r w:rsidR="0086582E" w:rsidRPr="00A60FD5">
        <w:rPr>
          <w:rFonts w:ascii="Times New Roman" w:hAnsi="Times New Roman" w:cs="Times New Roman"/>
          <w:sz w:val="22"/>
          <w:szCs w:val="22"/>
        </w:rPr>
        <w:t xml:space="preserve">In their seminal contributions, Macneil (1974, 1978) and Williamson (1985, 1991) </w:t>
      </w:r>
      <w:r w:rsidR="00D23AD0" w:rsidRPr="00A60FD5">
        <w:rPr>
          <w:rFonts w:ascii="Times New Roman" w:hAnsi="Times New Roman" w:cs="Times New Roman"/>
          <w:sz w:val="22"/>
          <w:szCs w:val="22"/>
        </w:rPr>
        <w:t xml:space="preserve">state </w:t>
      </w:r>
      <w:r w:rsidR="0086582E" w:rsidRPr="00A60FD5">
        <w:rPr>
          <w:rFonts w:ascii="Times New Roman" w:hAnsi="Times New Roman" w:cs="Times New Roman"/>
          <w:sz w:val="22"/>
          <w:szCs w:val="22"/>
        </w:rPr>
        <w:t xml:space="preserve">that distinct governance modes require distinct ordering systems for their efficient </w:t>
      </w:r>
      <w:r w:rsidR="00D23AD0" w:rsidRPr="00A60FD5">
        <w:rPr>
          <w:rFonts w:ascii="Times New Roman" w:hAnsi="Times New Roman" w:cs="Times New Roman"/>
          <w:sz w:val="22"/>
          <w:szCs w:val="22"/>
        </w:rPr>
        <w:t xml:space="preserve">execution and </w:t>
      </w:r>
      <w:r w:rsidR="0086582E" w:rsidRPr="00A60FD5">
        <w:rPr>
          <w:rFonts w:ascii="Times New Roman" w:hAnsi="Times New Roman" w:cs="Times New Roman"/>
          <w:sz w:val="22"/>
          <w:szCs w:val="22"/>
        </w:rPr>
        <w:t>enforcement. They explain the discrepancies characterizing these systems</w:t>
      </w:r>
      <w:r w:rsidR="00943941" w:rsidRPr="00A60FD5">
        <w:rPr>
          <w:rFonts w:ascii="Times New Roman" w:hAnsi="Times New Roman" w:cs="Times New Roman"/>
          <w:sz w:val="22"/>
          <w:szCs w:val="22"/>
        </w:rPr>
        <w:t xml:space="preserve"> (i.e., classical, neoclassical, and forbearance)</w:t>
      </w:r>
      <w:r w:rsidR="0086582E" w:rsidRPr="00A60FD5">
        <w:rPr>
          <w:rFonts w:ascii="Times New Roman" w:hAnsi="Times New Roman" w:cs="Times New Roman"/>
          <w:sz w:val="22"/>
          <w:szCs w:val="22"/>
        </w:rPr>
        <w:t xml:space="preserve">, and the reasons why each system may or may not be suited </w:t>
      </w:r>
      <w:r w:rsidR="00934044" w:rsidRPr="00A60FD5">
        <w:rPr>
          <w:rFonts w:ascii="Times New Roman" w:hAnsi="Times New Roman" w:cs="Times New Roman"/>
          <w:sz w:val="22"/>
          <w:szCs w:val="22"/>
        </w:rPr>
        <w:t>for</w:t>
      </w:r>
      <w:r w:rsidR="0086582E" w:rsidRPr="00A60FD5">
        <w:rPr>
          <w:rFonts w:ascii="Times New Roman" w:hAnsi="Times New Roman" w:cs="Times New Roman"/>
          <w:sz w:val="22"/>
          <w:szCs w:val="22"/>
        </w:rPr>
        <w:t xml:space="preserve"> enforcing and </w:t>
      </w:r>
      <w:r w:rsidR="00B5542A" w:rsidRPr="00A60FD5">
        <w:rPr>
          <w:rFonts w:ascii="Times New Roman" w:hAnsi="Times New Roman" w:cs="Times New Roman"/>
          <w:sz w:val="22"/>
          <w:szCs w:val="22"/>
        </w:rPr>
        <w:t xml:space="preserve">facilitating </w:t>
      </w:r>
      <w:r w:rsidR="0086582E" w:rsidRPr="00A60FD5">
        <w:rPr>
          <w:rFonts w:ascii="Times New Roman" w:hAnsi="Times New Roman" w:cs="Times New Roman"/>
          <w:sz w:val="22"/>
          <w:szCs w:val="22"/>
        </w:rPr>
        <w:t>generic governance modes (i.e., market, hybrid</w:t>
      </w:r>
      <w:r w:rsidR="00934044" w:rsidRPr="00A60FD5">
        <w:rPr>
          <w:rFonts w:ascii="Times New Roman" w:hAnsi="Times New Roman" w:cs="Times New Roman"/>
          <w:sz w:val="22"/>
          <w:szCs w:val="22"/>
        </w:rPr>
        <w:t>,</w:t>
      </w:r>
      <w:r w:rsidR="00E91F55" w:rsidRPr="00A60FD5">
        <w:rPr>
          <w:rFonts w:ascii="Times New Roman" w:hAnsi="Times New Roman" w:cs="Times New Roman"/>
          <w:sz w:val="22"/>
          <w:szCs w:val="22"/>
        </w:rPr>
        <w:t xml:space="preserve"> </w:t>
      </w:r>
      <w:r w:rsidR="0086582E" w:rsidRPr="00A60FD5">
        <w:rPr>
          <w:rFonts w:ascii="Times New Roman" w:hAnsi="Times New Roman" w:cs="Times New Roman"/>
          <w:sz w:val="22"/>
          <w:szCs w:val="22"/>
        </w:rPr>
        <w:t>and internal organization).</w:t>
      </w:r>
      <w:r w:rsidR="00175DB7" w:rsidRPr="00A60FD5">
        <w:rPr>
          <w:rFonts w:ascii="Times New Roman" w:hAnsi="Times New Roman" w:cs="Times New Roman"/>
          <w:sz w:val="22"/>
          <w:szCs w:val="22"/>
        </w:rPr>
        <w:t xml:space="preserve"> </w:t>
      </w:r>
      <w:r w:rsidR="00CF4D12" w:rsidRPr="00A60FD5">
        <w:rPr>
          <w:rFonts w:ascii="Times New Roman" w:hAnsi="Times New Roman" w:cs="Times New Roman"/>
          <w:sz w:val="22"/>
          <w:szCs w:val="22"/>
        </w:rPr>
        <w:t xml:space="preserve">Rather than considering broad categories of governance, we </w:t>
      </w:r>
      <w:r w:rsidR="0005660B" w:rsidRPr="00A60FD5">
        <w:rPr>
          <w:rFonts w:ascii="Times New Roman" w:hAnsi="Times New Roman" w:cs="Times New Roman"/>
          <w:sz w:val="22"/>
          <w:szCs w:val="22"/>
        </w:rPr>
        <w:t xml:space="preserve">propose a more refined approach by distinguishing among </w:t>
      </w:r>
      <w:r w:rsidR="006F1B7E" w:rsidRPr="00A60FD5">
        <w:rPr>
          <w:rFonts w:ascii="Times New Roman" w:hAnsi="Times New Roman" w:cs="Times New Roman"/>
          <w:sz w:val="22"/>
          <w:szCs w:val="22"/>
        </w:rPr>
        <w:t xml:space="preserve">the </w:t>
      </w:r>
      <w:r w:rsidR="0005660B" w:rsidRPr="00A60FD5">
        <w:rPr>
          <w:rFonts w:ascii="Times New Roman" w:hAnsi="Times New Roman" w:cs="Times New Roman"/>
          <w:sz w:val="22"/>
          <w:szCs w:val="22"/>
        </w:rPr>
        <w:t>monitoring</w:t>
      </w:r>
      <w:r w:rsidR="0089497D" w:rsidRPr="00A60FD5">
        <w:rPr>
          <w:rFonts w:ascii="Times New Roman" w:hAnsi="Times New Roman" w:cs="Times New Roman"/>
          <w:sz w:val="22"/>
          <w:szCs w:val="22"/>
        </w:rPr>
        <w:t xml:space="preserve"> and</w:t>
      </w:r>
      <w:r w:rsidR="0005660B" w:rsidRPr="00A60FD5">
        <w:rPr>
          <w:rFonts w:ascii="Times New Roman" w:hAnsi="Times New Roman" w:cs="Times New Roman"/>
          <w:sz w:val="22"/>
          <w:szCs w:val="22"/>
        </w:rPr>
        <w:t xml:space="preserve"> coordination characteristics of </w:t>
      </w:r>
      <w:r w:rsidR="00F57536" w:rsidRPr="00A60FD5">
        <w:rPr>
          <w:rFonts w:ascii="Times New Roman" w:hAnsi="Times New Roman" w:cs="Times New Roman"/>
          <w:sz w:val="22"/>
          <w:szCs w:val="22"/>
        </w:rPr>
        <w:t>governance modes</w:t>
      </w:r>
      <w:r w:rsidR="00CF4D12" w:rsidRPr="00A60FD5">
        <w:rPr>
          <w:rFonts w:ascii="Times New Roman" w:hAnsi="Times New Roman" w:cs="Times New Roman"/>
          <w:sz w:val="22"/>
          <w:szCs w:val="22"/>
        </w:rPr>
        <w:t>.</w:t>
      </w:r>
      <w:r w:rsidR="0005660B" w:rsidRPr="00A60FD5">
        <w:rPr>
          <w:rFonts w:ascii="Times New Roman" w:hAnsi="Times New Roman" w:cs="Times New Roman"/>
          <w:sz w:val="22"/>
          <w:szCs w:val="22"/>
        </w:rPr>
        <w:t xml:space="preserve"> </w:t>
      </w:r>
      <w:r w:rsidR="00CC2460" w:rsidRPr="00A60FD5">
        <w:rPr>
          <w:rFonts w:ascii="Times New Roman" w:hAnsi="Times New Roman" w:cs="Times New Roman"/>
          <w:sz w:val="22"/>
          <w:szCs w:val="22"/>
        </w:rPr>
        <w:t xml:space="preserve">Our findings support this fine-grained approach </w:t>
      </w:r>
      <w:r w:rsidR="00F57536" w:rsidRPr="00A60FD5">
        <w:rPr>
          <w:rFonts w:ascii="Times New Roman" w:hAnsi="Times New Roman" w:cs="Times New Roman"/>
          <w:sz w:val="22"/>
          <w:szCs w:val="22"/>
        </w:rPr>
        <w:t xml:space="preserve">and reveal </w:t>
      </w:r>
      <w:r w:rsidR="00934044" w:rsidRPr="00A60FD5">
        <w:rPr>
          <w:rFonts w:ascii="Times New Roman" w:hAnsi="Times New Roman" w:cs="Times New Roman"/>
          <w:sz w:val="22"/>
          <w:szCs w:val="22"/>
        </w:rPr>
        <w:t>that</w:t>
      </w:r>
      <w:r w:rsidR="00FC4514" w:rsidRPr="00A60FD5">
        <w:rPr>
          <w:rFonts w:ascii="Times New Roman" w:hAnsi="Times New Roman" w:cs="Times New Roman"/>
          <w:sz w:val="22"/>
          <w:szCs w:val="22"/>
        </w:rPr>
        <w:t xml:space="preserve"> public ordering </w:t>
      </w:r>
      <w:r w:rsidR="00934044" w:rsidRPr="00A60FD5">
        <w:rPr>
          <w:rFonts w:ascii="Times New Roman" w:hAnsi="Times New Roman" w:cs="Times New Roman"/>
          <w:sz w:val="22"/>
          <w:szCs w:val="22"/>
        </w:rPr>
        <w:t xml:space="preserve">is preferred </w:t>
      </w:r>
      <w:r w:rsidR="00FC4514" w:rsidRPr="00A60FD5">
        <w:rPr>
          <w:rFonts w:ascii="Times New Roman" w:hAnsi="Times New Roman" w:cs="Times New Roman"/>
          <w:sz w:val="22"/>
          <w:szCs w:val="22"/>
        </w:rPr>
        <w:t>in</w:t>
      </w:r>
      <w:r w:rsidR="005B5E26" w:rsidRPr="00A60FD5">
        <w:rPr>
          <w:rFonts w:ascii="Times New Roman" w:hAnsi="Times New Roman" w:cs="Times New Roman"/>
          <w:sz w:val="22"/>
          <w:szCs w:val="22"/>
        </w:rPr>
        <w:t xml:space="preserve"> simple</w:t>
      </w:r>
      <w:r w:rsidR="00FC4514" w:rsidRPr="00A60FD5">
        <w:rPr>
          <w:rFonts w:ascii="Times New Roman" w:hAnsi="Times New Roman" w:cs="Times New Roman"/>
          <w:sz w:val="22"/>
          <w:szCs w:val="22"/>
        </w:rPr>
        <w:t xml:space="preserve"> </w:t>
      </w:r>
      <w:r w:rsidR="005B5E26" w:rsidRPr="00A60FD5">
        <w:rPr>
          <w:rFonts w:ascii="Times New Roman" w:hAnsi="Times New Roman" w:cs="Times New Roman"/>
          <w:sz w:val="22"/>
          <w:szCs w:val="22"/>
        </w:rPr>
        <w:t xml:space="preserve">and discrete </w:t>
      </w:r>
      <w:r w:rsidR="00FC4514" w:rsidRPr="00A60FD5">
        <w:rPr>
          <w:rFonts w:ascii="Times New Roman" w:hAnsi="Times New Roman" w:cs="Times New Roman"/>
          <w:sz w:val="22"/>
          <w:szCs w:val="22"/>
        </w:rPr>
        <w:t xml:space="preserve">exchanges </w:t>
      </w:r>
      <w:r w:rsidR="00FC4514" w:rsidRPr="00A60FD5">
        <w:rPr>
          <w:rFonts w:ascii="Times New Roman" w:hAnsi="Times New Roman" w:cs="Times New Roman"/>
          <w:sz w:val="22"/>
          <w:szCs w:val="22"/>
        </w:rPr>
        <w:lastRenderedPageBreak/>
        <w:t xml:space="preserve">where </w:t>
      </w:r>
      <w:r w:rsidR="006F1B7E" w:rsidRPr="00A60FD5">
        <w:rPr>
          <w:rFonts w:ascii="Times New Roman" w:hAnsi="Times New Roman" w:cs="Times New Roman"/>
          <w:sz w:val="22"/>
          <w:szCs w:val="22"/>
        </w:rPr>
        <w:t xml:space="preserve">there are </w:t>
      </w:r>
      <w:r w:rsidR="005B5E26" w:rsidRPr="00A60FD5">
        <w:rPr>
          <w:rFonts w:ascii="Times New Roman" w:hAnsi="Times New Roman" w:cs="Times New Roman"/>
          <w:sz w:val="22"/>
          <w:szCs w:val="22"/>
        </w:rPr>
        <w:t xml:space="preserve">no significant relations to be preserved beyond disputes and public judges can strictly apply the letter of the original contract. </w:t>
      </w:r>
      <w:r w:rsidR="00934044" w:rsidRPr="00A60FD5">
        <w:rPr>
          <w:rFonts w:ascii="Times New Roman" w:hAnsi="Times New Roman" w:cs="Times New Roman"/>
          <w:sz w:val="22"/>
          <w:szCs w:val="22"/>
        </w:rPr>
        <w:t>On the other hand</w:t>
      </w:r>
      <w:r w:rsidR="00804D69" w:rsidRPr="00A60FD5">
        <w:rPr>
          <w:rFonts w:ascii="Times New Roman" w:hAnsi="Times New Roman" w:cs="Times New Roman"/>
          <w:sz w:val="22"/>
          <w:szCs w:val="22"/>
        </w:rPr>
        <w:t xml:space="preserve">, arbitration corresponds to a trilateral “governance” mechanism </w:t>
      </w:r>
      <w:r w:rsidR="00934044" w:rsidRPr="00A60FD5">
        <w:rPr>
          <w:rFonts w:ascii="Times New Roman" w:hAnsi="Times New Roman" w:cs="Times New Roman"/>
          <w:sz w:val="22"/>
          <w:szCs w:val="22"/>
        </w:rPr>
        <w:t>that</w:t>
      </w:r>
      <w:r w:rsidR="00804D69" w:rsidRPr="00A60FD5">
        <w:rPr>
          <w:rFonts w:ascii="Times New Roman" w:hAnsi="Times New Roman" w:cs="Times New Roman"/>
          <w:sz w:val="22"/>
          <w:szCs w:val="22"/>
        </w:rPr>
        <w:t xml:space="preserve"> fosters the re-alignment of interests and objectives </w:t>
      </w:r>
      <w:r w:rsidR="00934044" w:rsidRPr="00A60FD5">
        <w:rPr>
          <w:rFonts w:ascii="Times New Roman" w:hAnsi="Times New Roman" w:cs="Times New Roman"/>
          <w:sz w:val="22"/>
          <w:szCs w:val="22"/>
        </w:rPr>
        <w:t>following</w:t>
      </w:r>
      <w:r w:rsidR="00804D69" w:rsidRPr="00A60FD5">
        <w:rPr>
          <w:rFonts w:ascii="Times New Roman" w:hAnsi="Times New Roman" w:cs="Times New Roman"/>
          <w:sz w:val="22"/>
          <w:szCs w:val="22"/>
        </w:rPr>
        <w:t xml:space="preserve"> disputes. </w:t>
      </w:r>
      <w:r w:rsidR="00934044" w:rsidRPr="00A60FD5">
        <w:rPr>
          <w:rFonts w:ascii="Times New Roman" w:hAnsi="Times New Roman" w:cs="Times New Roman"/>
          <w:sz w:val="22"/>
          <w:szCs w:val="22"/>
        </w:rPr>
        <w:t>Arbitration</w:t>
      </w:r>
      <w:r w:rsidR="00804D69" w:rsidRPr="00A60FD5">
        <w:rPr>
          <w:rFonts w:ascii="Times New Roman" w:hAnsi="Times New Roman" w:cs="Times New Roman"/>
          <w:sz w:val="22"/>
          <w:szCs w:val="22"/>
        </w:rPr>
        <w:t xml:space="preserve"> is preferred in exchanges characterized by a non-negligible </w:t>
      </w:r>
      <w:r w:rsidR="00934044" w:rsidRPr="00A60FD5">
        <w:rPr>
          <w:rFonts w:ascii="Times New Roman" w:hAnsi="Times New Roman" w:cs="Times New Roman"/>
          <w:sz w:val="22"/>
          <w:szCs w:val="22"/>
        </w:rPr>
        <w:t>need</w:t>
      </w:r>
      <w:r w:rsidR="00804D69" w:rsidRPr="00A60FD5">
        <w:rPr>
          <w:rFonts w:ascii="Times New Roman" w:hAnsi="Times New Roman" w:cs="Times New Roman"/>
          <w:sz w:val="22"/>
          <w:szCs w:val="22"/>
        </w:rPr>
        <w:t xml:space="preserve"> for coordination. Consequently, </w:t>
      </w:r>
      <w:r w:rsidR="000659EF" w:rsidRPr="00A60FD5">
        <w:rPr>
          <w:rFonts w:ascii="Times New Roman" w:hAnsi="Times New Roman" w:cs="Times New Roman"/>
          <w:sz w:val="22"/>
          <w:szCs w:val="22"/>
        </w:rPr>
        <w:t xml:space="preserve">our </w:t>
      </w:r>
      <w:r w:rsidR="00804D69" w:rsidRPr="00A60FD5">
        <w:rPr>
          <w:rFonts w:ascii="Times New Roman" w:hAnsi="Times New Roman" w:cs="Times New Roman"/>
          <w:sz w:val="22"/>
          <w:szCs w:val="22"/>
        </w:rPr>
        <w:t xml:space="preserve">results show that </w:t>
      </w:r>
      <w:r w:rsidR="006F1B7E" w:rsidRPr="00A60FD5">
        <w:rPr>
          <w:rFonts w:ascii="Times New Roman" w:hAnsi="Times New Roman" w:cs="Times New Roman"/>
          <w:sz w:val="22"/>
          <w:szCs w:val="22"/>
        </w:rPr>
        <w:t xml:space="preserve">the </w:t>
      </w:r>
      <w:r w:rsidR="00804D69" w:rsidRPr="00A60FD5">
        <w:rPr>
          <w:rFonts w:ascii="Times New Roman" w:hAnsi="Times New Roman" w:cs="Times New Roman"/>
          <w:sz w:val="22"/>
          <w:szCs w:val="22"/>
        </w:rPr>
        <w:t xml:space="preserve">trade-offs </w:t>
      </w:r>
      <w:r w:rsidR="006F1B7E" w:rsidRPr="00A60FD5">
        <w:rPr>
          <w:rFonts w:ascii="Times New Roman" w:hAnsi="Times New Roman" w:cs="Times New Roman"/>
          <w:sz w:val="22"/>
          <w:szCs w:val="22"/>
        </w:rPr>
        <w:t xml:space="preserve">that </w:t>
      </w:r>
      <w:r w:rsidR="00804D69" w:rsidRPr="00A60FD5">
        <w:rPr>
          <w:rFonts w:ascii="Times New Roman" w:hAnsi="Times New Roman" w:cs="Times New Roman"/>
          <w:sz w:val="22"/>
          <w:szCs w:val="22"/>
        </w:rPr>
        <w:t>tak</w:t>
      </w:r>
      <w:r w:rsidR="006F1B7E" w:rsidRPr="00A60FD5">
        <w:rPr>
          <w:rFonts w:ascii="Times New Roman" w:hAnsi="Times New Roman" w:cs="Times New Roman"/>
          <w:sz w:val="22"/>
          <w:szCs w:val="22"/>
        </w:rPr>
        <w:t>e</w:t>
      </w:r>
      <w:r w:rsidR="00804D69" w:rsidRPr="00A60FD5">
        <w:rPr>
          <w:rFonts w:ascii="Times New Roman" w:hAnsi="Times New Roman" w:cs="Times New Roman"/>
          <w:sz w:val="22"/>
          <w:szCs w:val="22"/>
        </w:rPr>
        <w:t xml:space="preserve"> place </w:t>
      </w:r>
      <w:r w:rsidR="006F1B7E" w:rsidRPr="00A60FD5">
        <w:rPr>
          <w:rFonts w:ascii="Times New Roman" w:hAnsi="Times New Roman" w:cs="Times New Roman"/>
          <w:sz w:val="22"/>
          <w:szCs w:val="22"/>
        </w:rPr>
        <w:t xml:space="preserve">when </w:t>
      </w:r>
      <w:r w:rsidR="00804D69" w:rsidRPr="00A60FD5">
        <w:rPr>
          <w:rFonts w:ascii="Times New Roman" w:hAnsi="Times New Roman" w:cs="Times New Roman"/>
          <w:sz w:val="22"/>
          <w:szCs w:val="22"/>
        </w:rPr>
        <w:t>opting for either public or private ordering tend to parallel the two key impediments to cooperation: the threat of exploitation and the possibility of coordination failures.</w:t>
      </w:r>
      <w:r w:rsidR="00FA1FEF" w:rsidRPr="00A60FD5">
        <w:rPr>
          <w:rFonts w:ascii="Times New Roman" w:hAnsi="Times New Roman" w:cs="Times New Roman"/>
          <w:sz w:val="22"/>
          <w:szCs w:val="22"/>
        </w:rPr>
        <w:t xml:space="preserve"> </w:t>
      </w:r>
    </w:p>
    <w:p w14:paraId="21731CBD" w14:textId="41B2FA0B" w:rsidR="00E82CD2" w:rsidRPr="00A60FD5" w:rsidRDefault="00D1177D" w:rsidP="00F57536">
      <w:pPr>
        <w:pStyle w:val="CommentText"/>
        <w:spacing w:after="0" w:line="480" w:lineRule="auto"/>
        <w:ind w:firstLine="624"/>
        <w:rPr>
          <w:rFonts w:ascii="Times New Roman" w:hAnsi="Times New Roman" w:cs="Times New Roman"/>
          <w:sz w:val="22"/>
          <w:szCs w:val="22"/>
        </w:rPr>
      </w:pPr>
      <w:r w:rsidRPr="00A60FD5">
        <w:rPr>
          <w:rFonts w:ascii="Times New Roman" w:hAnsi="Times New Roman" w:cs="Times New Roman"/>
          <w:sz w:val="22"/>
          <w:szCs w:val="22"/>
        </w:rPr>
        <w:t>Furthermore, w</w:t>
      </w:r>
      <w:r w:rsidR="00A71325" w:rsidRPr="00A60FD5">
        <w:rPr>
          <w:rFonts w:ascii="Times New Roman" w:hAnsi="Times New Roman" w:cs="Times New Roman"/>
          <w:sz w:val="22"/>
          <w:szCs w:val="22"/>
        </w:rPr>
        <w:t xml:space="preserve">e </w:t>
      </w:r>
      <w:r w:rsidRPr="00A60FD5">
        <w:rPr>
          <w:rFonts w:ascii="Times New Roman" w:hAnsi="Times New Roman" w:cs="Times New Roman"/>
          <w:sz w:val="22"/>
          <w:szCs w:val="22"/>
        </w:rPr>
        <w:t>extend nascent</w:t>
      </w:r>
      <w:r w:rsidR="00CB22FB" w:rsidRPr="00A60FD5">
        <w:rPr>
          <w:rFonts w:ascii="Times New Roman" w:hAnsi="Times New Roman" w:cs="Times New Roman"/>
          <w:sz w:val="22"/>
          <w:szCs w:val="22"/>
        </w:rPr>
        <w:t xml:space="preserve"> research</w:t>
      </w:r>
      <w:r w:rsidR="00A71325" w:rsidRPr="00A60FD5">
        <w:rPr>
          <w:rFonts w:ascii="Times New Roman" w:hAnsi="Times New Roman" w:cs="Times New Roman"/>
          <w:sz w:val="22"/>
          <w:szCs w:val="22"/>
        </w:rPr>
        <w:t xml:space="preserve"> </w:t>
      </w:r>
      <w:r w:rsidR="00CB22FB" w:rsidRPr="00A60FD5">
        <w:rPr>
          <w:rFonts w:ascii="Times New Roman" w:hAnsi="Times New Roman" w:cs="Times New Roman"/>
          <w:sz w:val="22"/>
          <w:szCs w:val="22"/>
        </w:rPr>
        <w:t>relate</w:t>
      </w:r>
      <w:r w:rsidR="00A4799A" w:rsidRPr="00A60FD5">
        <w:rPr>
          <w:rFonts w:ascii="Times New Roman" w:hAnsi="Times New Roman" w:cs="Times New Roman"/>
          <w:sz w:val="22"/>
          <w:szCs w:val="22"/>
        </w:rPr>
        <w:t>d</w:t>
      </w:r>
      <w:r w:rsidR="00CB22FB" w:rsidRPr="00A60FD5">
        <w:rPr>
          <w:rFonts w:ascii="Times New Roman" w:hAnsi="Times New Roman" w:cs="Times New Roman"/>
          <w:sz w:val="22"/>
          <w:szCs w:val="22"/>
        </w:rPr>
        <w:t xml:space="preserve"> to </w:t>
      </w:r>
      <w:r w:rsidR="0089497D" w:rsidRPr="00A60FD5">
        <w:rPr>
          <w:rFonts w:ascii="Times New Roman" w:hAnsi="Times New Roman" w:cs="Times New Roman"/>
          <w:sz w:val="22"/>
          <w:szCs w:val="22"/>
        </w:rPr>
        <w:t xml:space="preserve">the joint effect of </w:t>
      </w:r>
      <w:r w:rsidR="00F52574" w:rsidRPr="00A60FD5">
        <w:rPr>
          <w:rFonts w:ascii="Times New Roman" w:hAnsi="Times New Roman" w:cs="Times New Roman"/>
          <w:sz w:val="22"/>
          <w:szCs w:val="22"/>
        </w:rPr>
        <w:t>contractual provisions – monitoring and coordination in particular –</w:t>
      </w:r>
      <w:r w:rsidR="00DA0EEC" w:rsidRPr="00A60FD5">
        <w:rPr>
          <w:rFonts w:ascii="Times New Roman" w:hAnsi="Times New Roman" w:cs="Times New Roman"/>
          <w:sz w:val="22"/>
          <w:szCs w:val="22"/>
        </w:rPr>
        <w:t xml:space="preserve"> </w:t>
      </w:r>
      <w:r w:rsidR="00FC68FE" w:rsidRPr="00A60FD5">
        <w:rPr>
          <w:rFonts w:ascii="Times New Roman" w:hAnsi="Times New Roman" w:cs="Times New Roman"/>
          <w:sz w:val="22"/>
          <w:szCs w:val="22"/>
        </w:rPr>
        <w:t xml:space="preserve">on subsequent decisions. </w:t>
      </w:r>
      <w:r w:rsidRPr="00A60FD5">
        <w:rPr>
          <w:rFonts w:ascii="Times New Roman" w:hAnsi="Times New Roman" w:cs="Times New Roman"/>
          <w:sz w:val="22"/>
          <w:szCs w:val="22"/>
        </w:rPr>
        <w:t>W</w:t>
      </w:r>
      <w:r w:rsidR="00CB22FB" w:rsidRPr="00A60FD5">
        <w:rPr>
          <w:rFonts w:ascii="Times New Roman" w:hAnsi="Times New Roman" w:cs="Times New Roman"/>
          <w:sz w:val="22"/>
          <w:szCs w:val="22"/>
        </w:rPr>
        <w:t xml:space="preserve">e observe in practice a </w:t>
      </w:r>
      <w:r w:rsidR="00A4799A" w:rsidRPr="00A60FD5">
        <w:rPr>
          <w:rFonts w:ascii="Times New Roman" w:hAnsi="Times New Roman" w:cs="Times New Roman"/>
          <w:sz w:val="22"/>
          <w:szCs w:val="22"/>
        </w:rPr>
        <w:t xml:space="preserve">high </w:t>
      </w:r>
      <w:r w:rsidR="00CB22FB" w:rsidRPr="00A60FD5">
        <w:rPr>
          <w:rFonts w:ascii="Times New Roman" w:hAnsi="Times New Roman" w:cs="Times New Roman"/>
          <w:sz w:val="22"/>
          <w:szCs w:val="22"/>
        </w:rPr>
        <w:t xml:space="preserve">occurrence of highly </w:t>
      </w:r>
      <w:r w:rsidRPr="00A60FD5">
        <w:rPr>
          <w:rFonts w:ascii="Times New Roman" w:hAnsi="Times New Roman" w:cs="Times New Roman"/>
          <w:sz w:val="22"/>
          <w:szCs w:val="22"/>
        </w:rPr>
        <w:t>coordinative licensing</w:t>
      </w:r>
      <w:r w:rsidR="00CB22FB" w:rsidRPr="00A60FD5">
        <w:rPr>
          <w:rFonts w:ascii="Times New Roman" w:hAnsi="Times New Roman" w:cs="Times New Roman"/>
          <w:sz w:val="22"/>
          <w:szCs w:val="22"/>
        </w:rPr>
        <w:t xml:space="preserve"> </w:t>
      </w:r>
      <w:r w:rsidRPr="00A60FD5">
        <w:rPr>
          <w:rFonts w:ascii="Times New Roman" w:hAnsi="Times New Roman" w:cs="Times New Roman"/>
          <w:sz w:val="22"/>
          <w:szCs w:val="22"/>
        </w:rPr>
        <w:t xml:space="preserve">exchanges </w:t>
      </w:r>
      <w:r w:rsidR="00CB22FB" w:rsidRPr="00A60FD5">
        <w:rPr>
          <w:rFonts w:ascii="Times New Roman" w:hAnsi="Times New Roman" w:cs="Times New Roman"/>
          <w:sz w:val="22"/>
          <w:szCs w:val="22"/>
        </w:rPr>
        <w:t xml:space="preserve">in which both orientations are prevalent. </w:t>
      </w:r>
      <w:r w:rsidR="00FC7B82" w:rsidRPr="00A60FD5">
        <w:rPr>
          <w:rFonts w:ascii="Times New Roman" w:hAnsi="Times New Roman" w:cs="Times New Roman"/>
          <w:sz w:val="22"/>
          <w:szCs w:val="22"/>
        </w:rPr>
        <w:t>F</w:t>
      </w:r>
      <w:r w:rsidR="006112CA" w:rsidRPr="00A60FD5">
        <w:rPr>
          <w:rFonts w:ascii="Times New Roman" w:hAnsi="Times New Roman" w:cs="Times New Roman"/>
          <w:sz w:val="22"/>
          <w:szCs w:val="22"/>
        </w:rPr>
        <w:t>indings</w:t>
      </w:r>
      <w:r w:rsidR="00805A0B" w:rsidRPr="00A60FD5">
        <w:rPr>
          <w:rFonts w:ascii="Times New Roman" w:hAnsi="Times New Roman" w:cs="Times New Roman"/>
          <w:sz w:val="22"/>
          <w:szCs w:val="22"/>
        </w:rPr>
        <w:t xml:space="preserve"> reveal an interesting interactive effect</w:t>
      </w:r>
      <w:r w:rsidR="006112CA" w:rsidRPr="00A60FD5">
        <w:rPr>
          <w:rFonts w:ascii="Times New Roman" w:hAnsi="Times New Roman" w:cs="Times New Roman"/>
          <w:sz w:val="22"/>
          <w:szCs w:val="22"/>
        </w:rPr>
        <w:t xml:space="preserve"> from which we can infer </w:t>
      </w:r>
      <w:r w:rsidR="00805A0B" w:rsidRPr="00A60FD5">
        <w:rPr>
          <w:rFonts w:ascii="Times New Roman" w:hAnsi="Times New Roman" w:cs="Times New Roman"/>
          <w:sz w:val="22"/>
          <w:szCs w:val="22"/>
        </w:rPr>
        <w:t xml:space="preserve">the influence of monitoring and </w:t>
      </w:r>
      <w:r w:rsidR="006112CA" w:rsidRPr="00A60FD5">
        <w:rPr>
          <w:rFonts w:ascii="Times New Roman" w:hAnsi="Times New Roman" w:cs="Times New Roman"/>
          <w:sz w:val="22"/>
          <w:szCs w:val="22"/>
        </w:rPr>
        <w:t>co</w:t>
      </w:r>
      <w:r w:rsidR="00805A0B" w:rsidRPr="00A60FD5">
        <w:rPr>
          <w:rFonts w:ascii="Times New Roman" w:hAnsi="Times New Roman" w:cs="Times New Roman"/>
          <w:sz w:val="22"/>
          <w:szCs w:val="22"/>
        </w:rPr>
        <w:t>ordination on one another in the</w:t>
      </w:r>
      <w:r w:rsidR="00FC68FE" w:rsidRPr="00A60FD5">
        <w:rPr>
          <w:rFonts w:ascii="Times New Roman" w:hAnsi="Times New Roman" w:cs="Times New Roman"/>
          <w:sz w:val="22"/>
          <w:szCs w:val="22"/>
        </w:rPr>
        <w:t xml:space="preserve"> choice of dispute-resolution mechanism</w:t>
      </w:r>
      <w:r w:rsidR="00250026" w:rsidRPr="00A60FD5">
        <w:rPr>
          <w:rFonts w:ascii="Times New Roman" w:hAnsi="Times New Roman" w:cs="Times New Roman"/>
          <w:sz w:val="22"/>
          <w:szCs w:val="22"/>
        </w:rPr>
        <w:t>s</w:t>
      </w:r>
      <w:r w:rsidR="00FC68FE" w:rsidRPr="00A60FD5">
        <w:rPr>
          <w:rFonts w:ascii="Times New Roman" w:hAnsi="Times New Roman" w:cs="Times New Roman"/>
          <w:sz w:val="22"/>
          <w:szCs w:val="22"/>
        </w:rPr>
        <w:t>.</w:t>
      </w:r>
      <w:r w:rsidR="00250026" w:rsidRPr="00A60FD5">
        <w:rPr>
          <w:rFonts w:ascii="Times New Roman" w:hAnsi="Times New Roman" w:cs="Times New Roman"/>
          <w:sz w:val="22"/>
          <w:szCs w:val="22"/>
        </w:rPr>
        <w:t xml:space="preserve"> </w:t>
      </w:r>
      <w:r w:rsidRPr="00A60FD5">
        <w:rPr>
          <w:rFonts w:ascii="Times New Roman" w:hAnsi="Times New Roman" w:cs="Times New Roman"/>
          <w:sz w:val="22"/>
          <w:szCs w:val="22"/>
        </w:rPr>
        <w:t xml:space="preserve">They show </w:t>
      </w:r>
      <w:r w:rsidR="00805A0B" w:rsidRPr="00A60FD5">
        <w:rPr>
          <w:rFonts w:ascii="Times New Roman" w:hAnsi="Times New Roman" w:cs="Times New Roman"/>
          <w:sz w:val="22"/>
          <w:szCs w:val="22"/>
        </w:rPr>
        <w:t>that</w:t>
      </w:r>
      <w:r w:rsidR="00FC7B82" w:rsidRPr="00A60FD5">
        <w:rPr>
          <w:rFonts w:ascii="Times New Roman" w:hAnsi="Times New Roman" w:cs="Times New Roman"/>
          <w:bCs/>
          <w:sz w:val="22"/>
          <w:szCs w:val="22"/>
        </w:rPr>
        <w:t xml:space="preserve"> </w:t>
      </w:r>
      <w:r w:rsidR="00A71325" w:rsidRPr="00A60FD5">
        <w:rPr>
          <w:rFonts w:ascii="Times New Roman" w:hAnsi="Times New Roman" w:cs="Times New Roman"/>
          <w:bCs/>
          <w:sz w:val="22"/>
          <w:szCs w:val="22"/>
        </w:rPr>
        <w:t xml:space="preserve">monitoring provisions magnify firms’ inclination to </w:t>
      </w:r>
      <w:r w:rsidR="00B76CB3" w:rsidRPr="00A60FD5">
        <w:rPr>
          <w:rFonts w:ascii="Times New Roman" w:hAnsi="Times New Roman" w:cs="Times New Roman"/>
          <w:bCs/>
          <w:sz w:val="22"/>
          <w:szCs w:val="22"/>
        </w:rPr>
        <w:t>prefer the</w:t>
      </w:r>
      <w:r w:rsidR="00A71325" w:rsidRPr="00A60FD5">
        <w:rPr>
          <w:rFonts w:ascii="Times New Roman" w:hAnsi="Times New Roman" w:cs="Times New Roman"/>
          <w:bCs/>
          <w:sz w:val="22"/>
          <w:szCs w:val="22"/>
        </w:rPr>
        <w:t xml:space="preserve"> </w:t>
      </w:r>
      <w:r w:rsidR="00FC7B82" w:rsidRPr="00A60FD5">
        <w:rPr>
          <w:rFonts w:ascii="Times New Roman" w:hAnsi="Times New Roman" w:cs="Times New Roman"/>
          <w:bCs/>
          <w:sz w:val="22"/>
          <w:szCs w:val="22"/>
        </w:rPr>
        <w:t xml:space="preserve">arbitral forum </w:t>
      </w:r>
      <w:r w:rsidR="00A71325" w:rsidRPr="00A60FD5">
        <w:rPr>
          <w:rFonts w:ascii="Times New Roman" w:hAnsi="Times New Roman" w:cs="Times New Roman"/>
          <w:bCs/>
          <w:sz w:val="22"/>
          <w:szCs w:val="22"/>
        </w:rPr>
        <w:t xml:space="preserve">over </w:t>
      </w:r>
      <w:r w:rsidR="00FC7B82" w:rsidRPr="00A60FD5">
        <w:rPr>
          <w:rFonts w:ascii="Times New Roman" w:hAnsi="Times New Roman" w:cs="Times New Roman"/>
          <w:bCs/>
          <w:sz w:val="22"/>
          <w:szCs w:val="22"/>
        </w:rPr>
        <w:t xml:space="preserve">public courts </w:t>
      </w:r>
      <w:r w:rsidR="00A71325" w:rsidRPr="00A60FD5">
        <w:rPr>
          <w:rFonts w:ascii="Times New Roman" w:hAnsi="Times New Roman" w:cs="Times New Roman"/>
          <w:bCs/>
          <w:sz w:val="22"/>
          <w:szCs w:val="22"/>
        </w:rPr>
        <w:t>in</w:t>
      </w:r>
      <w:r w:rsidRPr="00A60FD5">
        <w:rPr>
          <w:rFonts w:ascii="Times New Roman" w:hAnsi="Times New Roman" w:cs="Times New Roman"/>
          <w:bCs/>
          <w:sz w:val="22"/>
          <w:szCs w:val="22"/>
        </w:rPr>
        <w:t xml:space="preserve"> the presence of extensive coordination provisions</w:t>
      </w:r>
      <w:r w:rsidR="00A71325" w:rsidRPr="00A60FD5">
        <w:rPr>
          <w:rFonts w:ascii="Times New Roman" w:hAnsi="Times New Roman" w:cs="Times New Roman"/>
          <w:bCs/>
          <w:sz w:val="22"/>
          <w:szCs w:val="22"/>
        </w:rPr>
        <w:t xml:space="preserve">. </w:t>
      </w:r>
      <w:r w:rsidR="00A71325" w:rsidRPr="00A60FD5">
        <w:rPr>
          <w:rFonts w:ascii="Times New Roman" w:hAnsi="Times New Roman" w:cs="Times New Roman"/>
          <w:sz w:val="22"/>
          <w:szCs w:val="22"/>
        </w:rPr>
        <w:t xml:space="preserve">This suggests that </w:t>
      </w:r>
      <w:r w:rsidR="004725C7" w:rsidRPr="00A60FD5">
        <w:rPr>
          <w:rFonts w:ascii="Times New Roman" w:hAnsi="Times New Roman" w:cs="Times New Roman"/>
          <w:sz w:val="22"/>
          <w:szCs w:val="22"/>
        </w:rPr>
        <w:t>monitoring</w:t>
      </w:r>
      <w:r w:rsidR="00FC7B82" w:rsidRPr="00A60FD5">
        <w:rPr>
          <w:rFonts w:ascii="Times New Roman" w:hAnsi="Times New Roman" w:cs="Times New Roman"/>
          <w:sz w:val="22"/>
          <w:szCs w:val="22"/>
        </w:rPr>
        <w:t xml:space="preserve"> – and more broadly control – </w:t>
      </w:r>
      <w:r w:rsidR="00FC68FE" w:rsidRPr="00A60FD5">
        <w:rPr>
          <w:rFonts w:ascii="Times New Roman" w:hAnsi="Times New Roman" w:cs="Times New Roman"/>
          <w:sz w:val="22"/>
          <w:szCs w:val="22"/>
        </w:rPr>
        <w:t xml:space="preserve">provisions may be used as a means to ease </w:t>
      </w:r>
      <w:r w:rsidR="00B76CB3" w:rsidRPr="00A60FD5">
        <w:rPr>
          <w:rFonts w:ascii="Times New Roman" w:hAnsi="Times New Roman" w:cs="Times New Roman"/>
          <w:sz w:val="22"/>
          <w:szCs w:val="22"/>
        </w:rPr>
        <w:t xml:space="preserve">and support </w:t>
      </w:r>
      <w:r w:rsidR="00FC68FE" w:rsidRPr="00A60FD5">
        <w:rPr>
          <w:rFonts w:ascii="Times New Roman" w:hAnsi="Times New Roman" w:cs="Times New Roman"/>
          <w:sz w:val="22"/>
          <w:szCs w:val="22"/>
        </w:rPr>
        <w:t>collaboration</w:t>
      </w:r>
      <w:r w:rsidR="00FC7B82" w:rsidRPr="00A60FD5">
        <w:rPr>
          <w:rFonts w:ascii="Times New Roman" w:hAnsi="Times New Roman" w:cs="Times New Roman"/>
          <w:sz w:val="22"/>
          <w:szCs w:val="22"/>
        </w:rPr>
        <w:t xml:space="preserve"> rather than as coercive solutions</w:t>
      </w:r>
      <w:r w:rsidR="00B76CB3" w:rsidRPr="00A60FD5">
        <w:rPr>
          <w:rFonts w:ascii="Times New Roman" w:hAnsi="Times New Roman" w:cs="Times New Roman"/>
          <w:sz w:val="22"/>
          <w:szCs w:val="22"/>
        </w:rPr>
        <w:t xml:space="preserve"> (Gulati and Singh, 1998)</w:t>
      </w:r>
      <w:r w:rsidR="00FC7B82" w:rsidRPr="00A60FD5">
        <w:rPr>
          <w:rFonts w:ascii="Times New Roman" w:hAnsi="Times New Roman" w:cs="Times New Roman"/>
          <w:sz w:val="22"/>
          <w:szCs w:val="22"/>
        </w:rPr>
        <w:t>.</w:t>
      </w:r>
      <w:r w:rsidR="00B76CB3" w:rsidRPr="00A60FD5">
        <w:rPr>
          <w:rFonts w:ascii="Times New Roman" w:hAnsi="Times New Roman" w:cs="Times New Roman"/>
          <w:sz w:val="22"/>
          <w:szCs w:val="22"/>
        </w:rPr>
        <w:t xml:space="preserve"> </w:t>
      </w:r>
      <w:r w:rsidR="003D494E" w:rsidRPr="00A60FD5">
        <w:rPr>
          <w:rFonts w:ascii="Times New Roman" w:hAnsi="Times New Roman" w:cs="Times New Roman"/>
          <w:sz w:val="22"/>
          <w:szCs w:val="22"/>
        </w:rPr>
        <w:t>The presence of clearly articulate</w:t>
      </w:r>
      <w:r w:rsidR="00DA0EEC" w:rsidRPr="00A60FD5">
        <w:rPr>
          <w:rFonts w:ascii="Times New Roman" w:hAnsi="Times New Roman" w:cs="Times New Roman"/>
          <w:sz w:val="22"/>
          <w:szCs w:val="22"/>
        </w:rPr>
        <w:t>d</w:t>
      </w:r>
      <w:r w:rsidR="003D494E" w:rsidRPr="00A60FD5">
        <w:rPr>
          <w:rFonts w:ascii="Times New Roman" w:hAnsi="Times New Roman" w:cs="Times New Roman"/>
          <w:sz w:val="22"/>
          <w:szCs w:val="22"/>
        </w:rPr>
        <w:t xml:space="preserve"> monitoring terms may inspire </w:t>
      </w:r>
      <w:r w:rsidR="00A4799A" w:rsidRPr="00A60FD5">
        <w:rPr>
          <w:rFonts w:ascii="Times New Roman" w:hAnsi="Times New Roman" w:cs="Times New Roman"/>
          <w:sz w:val="22"/>
          <w:szCs w:val="22"/>
        </w:rPr>
        <w:t xml:space="preserve">the </w:t>
      </w:r>
      <w:r w:rsidR="003D494E" w:rsidRPr="00A60FD5">
        <w:rPr>
          <w:rFonts w:ascii="Times New Roman" w:hAnsi="Times New Roman" w:cs="Times New Roman"/>
          <w:sz w:val="22"/>
          <w:szCs w:val="22"/>
        </w:rPr>
        <w:t xml:space="preserve">confidence needed for close collaboration (Baker et al., 1994). </w:t>
      </w:r>
      <w:r w:rsidR="00B76CB3" w:rsidRPr="00A60FD5">
        <w:rPr>
          <w:rFonts w:ascii="Times New Roman" w:hAnsi="Times New Roman" w:cs="Times New Roman"/>
          <w:sz w:val="22"/>
          <w:szCs w:val="22"/>
        </w:rPr>
        <w:t xml:space="preserve">By aligning interests thanks to enhanced monitoring activities, licensing partners may be more willing to closely collaborate and to overcome their cognitive limitations. </w:t>
      </w:r>
      <w:r w:rsidR="00CD4961" w:rsidRPr="00A60FD5">
        <w:rPr>
          <w:rFonts w:ascii="Times New Roman" w:hAnsi="Times New Roman" w:cs="Times New Roman"/>
          <w:sz w:val="22"/>
          <w:szCs w:val="22"/>
        </w:rPr>
        <w:t xml:space="preserve">This </w:t>
      </w:r>
      <w:r w:rsidR="00D87C4F" w:rsidRPr="00A60FD5">
        <w:rPr>
          <w:rFonts w:ascii="Times New Roman" w:hAnsi="Times New Roman" w:cs="Times New Roman"/>
          <w:sz w:val="22"/>
          <w:szCs w:val="22"/>
        </w:rPr>
        <w:t>finding tends to highlight the different functions and roles of monitoring provisions along with the nature of the partnership. Prior research on arbitration provisions in franchising suggests a positive relationship between monitoring and the use of litigation (Antia et al., 2013</w:t>
      </w:r>
      <w:r w:rsidR="003038F0">
        <w:rPr>
          <w:rFonts w:ascii="Times New Roman" w:hAnsi="Times New Roman" w:cs="Times New Roman"/>
          <w:sz w:val="22"/>
          <w:szCs w:val="22"/>
        </w:rPr>
        <w:t xml:space="preserve">; </w:t>
      </w:r>
      <w:r w:rsidR="003038F0" w:rsidRPr="00A60FD5">
        <w:rPr>
          <w:rFonts w:ascii="Times New Roman" w:hAnsi="Times New Roman" w:cs="Times New Roman"/>
          <w:sz w:val="22"/>
          <w:szCs w:val="22"/>
        </w:rPr>
        <w:t>Drahozal and Hylton, 2003;</w:t>
      </w:r>
      <w:r w:rsidR="00D87C4F" w:rsidRPr="00A60FD5">
        <w:rPr>
          <w:rFonts w:ascii="Times New Roman" w:hAnsi="Times New Roman" w:cs="Times New Roman"/>
          <w:sz w:val="22"/>
          <w:szCs w:val="22"/>
        </w:rPr>
        <w:t xml:space="preserve">). Monitoring may therefore serve as a coercive tool. In licensing however, the need for coordination over time is likely to be comparatively more extensive than in franchising. </w:t>
      </w:r>
      <w:r w:rsidR="00D77E9C" w:rsidRPr="00A60FD5">
        <w:rPr>
          <w:rFonts w:ascii="Times New Roman" w:hAnsi="Times New Roman" w:cs="Times New Roman"/>
          <w:sz w:val="22"/>
          <w:szCs w:val="22"/>
        </w:rPr>
        <w:t>In essence, technology licensing contracts are inherently incomplete due to the extent of tacit knowledge, the difficulties of protecting IP, or the uncertainty and contingencies surrounding the commercialization and implementation of non-proprietary technology. Monitoring might then help to support the needed coordination in more relational licensing exchanges.</w:t>
      </w:r>
      <w:r w:rsidR="00D87C4F" w:rsidRPr="00A60FD5">
        <w:rPr>
          <w:rFonts w:ascii="Times New Roman" w:hAnsi="Times New Roman" w:cs="Times New Roman"/>
          <w:sz w:val="22"/>
          <w:szCs w:val="22"/>
        </w:rPr>
        <w:t xml:space="preserve"> </w:t>
      </w:r>
    </w:p>
    <w:p w14:paraId="48464F29" w14:textId="566E51E8" w:rsidR="00A71325" w:rsidRPr="00A60FD5" w:rsidRDefault="00A71325" w:rsidP="00A05DE5">
      <w:pPr>
        <w:pStyle w:val="CommentText"/>
        <w:spacing w:after="0" w:line="480" w:lineRule="auto"/>
        <w:ind w:firstLine="624"/>
        <w:rPr>
          <w:rFonts w:ascii="Times New Roman" w:hAnsi="Times New Roman" w:cs="Times New Roman"/>
          <w:sz w:val="22"/>
          <w:szCs w:val="22"/>
        </w:rPr>
      </w:pPr>
      <w:r w:rsidRPr="00A60FD5">
        <w:rPr>
          <w:rFonts w:ascii="Times New Roman" w:hAnsi="Times New Roman" w:cs="Times New Roman"/>
          <w:sz w:val="22"/>
          <w:szCs w:val="22"/>
        </w:rPr>
        <w:lastRenderedPageBreak/>
        <w:t>Our study therefore complements recent research that distinguishes the control functions of contractual agreements from their coordination functions (e.g., Gulati and Singh, 1998) by exploring the manner</w:t>
      </w:r>
      <w:r w:rsidR="00CD4961" w:rsidRPr="00A60FD5">
        <w:rPr>
          <w:rFonts w:ascii="Times New Roman" w:hAnsi="Times New Roman" w:cs="Times New Roman"/>
          <w:sz w:val="22"/>
          <w:szCs w:val="22"/>
        </w:rPr>
        <w:t xml:space="preserve"> in which</w:t>
      </w:r>
      <w:r w:rsidRPr="00A60FD5">
        <w:rPr>
          <w:rFonts w:ascii="Times New Roman" w:hAnsi="Times New Roman" w:cs="Times New Roman"/>
          <w:sz w:val="22"/>
          <w:szCs w:val="22"/>
        </w:rPr>
        <w:t xml:space="preserve"> alternative ordering systems are expected to empower contracts. We also contribute to the trilateral “governance” concept introduced by Williamson (1979). Williamson (1979, p.237) notes</w:t>
      </w:r>
      <w:r w:rsidR="00CD4961" w:rsidRPr="00A60FD5">
        <w:rPr>
          <w:rFonts w:ascii="Times New Roman" w:hAnsi="Times New Roman" w:cs="Times New Roman"/>
          <w:sz w:val="22"/>
          <w:szCs w:val="22"/>
        </w:rPr>
        <w:t xml:space="preserve"> that</w:t>
      </w:r>
      <w:r w:rsidRPr="00A60FD5">
        <w:rPr>
          <w:rFonts w:ascii="Times New Roman" w:hAnsi="Times New Roman" w:cs="Times New Roman"/>
          <w:sz w:val="22"/>
          <w:szCs w:val="22"/>
        </w:rPr>
        <w:t xml:space="preserve"> “</w:t>
      </w:r>
      <w:r w:rsidR="00B64045" w:rsidRPr="00A60FD5">
        <w:rPr>
          <w:rFonts w:ascii="Times New Roman" w:hAnsi="Times New Roman" w:cs="Times New Roman"/>
          <w:sz w:val="22"/>
          <w:szCs w:val="22"/>
        </w:rPr>
        <w:t xml:space="preserve">… </w:t>
      </w:r>
      <w:r w:rsidRPr="00A60FD5">
        <w:rPr>
          <w:rFonts w:ascii="Times New Roman" w:hAnsi="Times New Roman" w:cs="Times New Roman"/>
          <w:sz w:val="22"/>
          <w:szCs w:val="22"/>
        </w:rPr>
        <w:t>third-party assistance in resolving disputes and evaluating performance often has advantages over litigation in serving these functions of flexibility and gap filling</w:t>
      </w:r>
      <w:r w:rsidR="00B64045" w:rsidRPr="00A60FD5">
        <w:rPr>
          <w:rFonts w:ascii="Times New Roman" w:hAnsi="Times New Roman" w:cs="Times New Roman"/>
          <w:sz w:val="22"/>
          <w:szCs w:val="22"/>
        </w:rPr>
        <w:t>…</w:t>
      </w:r>
      <w:r w:rsidRPr="00A60FD5">
        <w:rPr>
          <w:rFonts w:ascii="Times New Roman" w:hAnsi="Times New Roman" w:cs="Times New Roman"/>
          <w:sz w:val="22"/>
          <w:szCs w:val="22"/>
        </w:rPr>
        <w:t>” Th</w:t>
      </w:r>
      <w:r w:rsidR="00B64045" w:rsidRPr="00A60FD5">
        <w:rPr>
          <w:rFonts w:ascii="Times New Roman" w:hAnsi="Times New Roman" w:cs="Times New Roman"/>
          <w:sz w:val="22"/>
          <w:szCs w:val="22"/>
        </w:rPr>
        <w:t>us far, the</w:t>
      </w:r>
      <w:r w:rsidRPr="00A60FD5">
        <w:rPr>
          <w:rFonts w:ascii="Times New Roman" w:hAnsi="Times New Roman" w:cs="Times New Roman"/>
          <w:sz w:val="22"/>
          <w:szCs w:val="22"/>
        </w:rPr>
        <w:t xml:space="preserve"> assistance provided by thir</w:t>
      </w:r>
      <w:r w:rsidR="003A224E" w:rsidRPr="00A60FD5">
        <w:rPr>
          <w:rFonts w:ascii="Times New Roman" w:hAnsi="Times New Roman" w:cs="Times New Roman"/>
          <w:sz w:val="22"/>
          <w:szCs w:val="22"/>
        </w:rPr>
        <w:t>d parties has been understudied</w:t>
      </w:r>
      <w:r w:rsidR="00DD1111" w:rsidRPr="00A60FD5">
        <w:rPr>
          <w:rFonts w:ascii="Times New Roman" w:hAnsi="Times New Roman" w:cs="Times New Roman"/>
          <w:sz w:val="22"/>
          <w:szCs w:val="22"/>
        </w:rPr>
        <w:t xml:space="preserve"> (Nooteboom, 1999)</w:t>
      </w:r>
      <w:r w:rsidRPr="00A60FD5">
        <w:rPr>
          <w:rFonts w:ascii="Times New Roman" w:hAnsi="Times New Roman" w:cs="Times New Roman"/>
          <w:sz w:val="22"/>
          <w:szCs w:val="22"/>
        </w:rPr>
        <w:t>. Our study provides theoretical and empirical insights into when arbitrators are perceived as necessary active gap fillers and amicable arrangers. Our arguments therefore follow Buchanan (1975, p.229), who suggests that the arbitrator is “</w:t>
      </w:r>
      <w:r w:rsidR="00DA0EEC" w:rsidRPr="00A60FD5">
        <w:rPr>
          <w:rFonts w:ascii="Times New Roman" w:hAnsi="Times New Roman" w:cs="Times New Roman"/>
          <w:sz w:val="22"/>
          <w:szCs w:val="22"/>
        </w:rPr>
        <w:t xml:space="preserve">… </w:t>
      </w:r>
      <w:r w:rsidRPr="00A60FD5">
        <w:rPr>
          <w:rFonts w:ascii="Times New Roman" w:hAnsi="Times New Roman" w:cs="Times New Roman"/>
          <w:sz w:val="22"/>
          <w:szCs w:val="22"/>
        </w:rPr>
        <w:t>the outsider who tries to work out compromises among conflicting claims</w:t>
      </w:r>
      <w:r w:rsidR="00B64045" w:rsidRPr="00A60FD5">
        <w:rPr>
          <w:rFonts w:ascii="Times New Roman" w:hAnsi="Times New Roman" w:cs="Times New Roman"/>
          <w:sz w:val="22"/>
          <w:szCs w:val="22"/>
        </w:rPr>
        <w:t>…</w:t>
      </w:r>
      <w:r w:rsidRPr="00A60FD5">
        <w:rPr>
          <w:rFonts w:ascii="Times New Roman" w:hAnsi="Times New Roman" w:cs="Times New Roman"/>
          <w:sz w:val="22"/>
          <w:szCs w:val="22"/>
        </w:rPr>
        <w:t xml:space="preserve">” Williamson (1985, p.193) also argues that the arbitrator is an “institutional design specialist.” By opting for arbitration and trilateral governance </w:t>
      </w:r>
      <w:r w:rsidRPr="00A60FD5">
        <w:rPr>
          <w:rFonts w:ascii="Times New Roman" w:hAnsi="Times New Roman" w:cs="Times New Roman"/>
          <w:i/>
          <w:sz w:val="22"/>
          <w:szCs w:val="22"/>
        </w:rPr>
        <w:t>ex ante</w:t>
      </w:r>
      <w:r w:rsidRPr="00A60FD5">
        <w:rPr>
          <w:rFonts w:ascii="Times New Roman" w:hAnsi="Times New Roman" w:cs="Times New Roman"/>
          <w:sz w:val="22"/>
          <w:szCs w:val="22"/>
        </w:rPr>
        <w:t>, strategic decision</w:t>
      </w:r>
      <w:r w:rsidR="00CD4961" w:rsidRPr="00A60FD5">
        <w:rPr>
          <w:rFonts w:ascii="Times New Roman" w:hAnsi="Times New Roman" w:cs="Times New Roman"/>
          <w:sz w:val="22"/>
          <w:szCs w:val="22"/>
        </w:rPr>
        <w:t>-</w:t>
      </w:r>
      <w:r w:rsidRPr="00A60FD5">
        <w:rPr>
          <w:rFonts w:ascii="Times New Roman" w:hAnsi="Times New Roman" w:cs="Times New Roman"/>
          <w:sz w:val="22"/>
          <w:szCs w:val="22"/>
        </w:rPr>
        <w:t xml:space="preserve">makers gain </w:t>
      </w:r>
      <w:r w:rsidRPr="00A60FD5">
        <w:rPr>
          <w:rFonts w:ascii="Times New Roman" w:hAnsi="Times New Roman" w:cs="Times New Roman"/>
          <w:i/>
          <w:sz w:val="22"/>
          <w:szCs w:val="22"/>
        </w:rPr>
        <w:t>ex post</w:t>
      </w:r>
      <w:r w:rsidRPr="00A60FD5">
        <w:rPr>
          <w:rFonts w:ascii="Times New Roman" w:hAnsi="Times New Roman" w:cs="Times New Roman"/>
          <w:sz w:val="22"/>
          <w:szCs w:val="22"/>
        </w:rPr>
        <w:t xml:space="preserve"> the procedural flexibility that contractual gaps demand and avoid too much rigidity (Macneil, 1978). Arbitration can be viewed as an “external” administrative apparatus used for settling disputes in coordinative market-based exchanges. </w:t>
      </w:r>
    </w:p>
    <w:p w14:paraId="6B60B7F9" w14:textId="221EC0D3" w:rsidR="009323FA" w:rsidRPr="00A60FD5" w:rsidRDefault="00FC68FE" w:rsidP="00A05DE5">
      <w:pPr>
        <w:pStyle w:val="CommentText"/>
        <w:spacing w:after="0" w:line="480" w:lineRule="auto"/>
        <w:ind w:firstLine="624"/>
        <w:rPr>
          <w:rFonts w:ascii="Times New Roman" w:hAnsi="Times New Roman" w:cs="Times New Roman"/>
          <w:sz w:val="22"/>
          <w:szCs w:val="22"/>
        </w:rPr>
      </w:pPr>
      <w:r w:rsidRPr="00A60FD5">
        <w:rPr>
          <w:rFonts w:ascii="Times New Roman" w:hAnsi="Times New Roman" w:cs="Times New Roman"/>
          <w:sz w:val="22"/>
          <w:szCs w:val="22"/>
        </w:rPr>
        <w:t>Finally, w</w:t>
      </w:r>
      <w:r w:rsidR="00181149" w:rsidRPr="00A60FD5">
        <w:rPr>
          <w:rFonts w:ascii="Times New Roman" w:hAnsi="Times New Roman" w:cs="Times New Roman"/>
          <w:sz w:val="22"/>
          <w:szCs w:val="22"/>
        </w:rPr>
        <w:t xml:space="preserve">e </w:t>
      </w:r>
      <w:r w:rsidRPr="00A60FD5">
        <w:rPr>
          <w:rFonts w:ascii="Times New Roman" w:hAnsi="Times New Roman" w:cs="Times New Roman"/>
          <w:sz w:val="22"/>
          <w:szCs w:val="22"/>
        </w:rPr>
        <w:t>complement</w:t>
      </w:r>
      <w:r w:rsidR="00181149" w:rsidRPr="00A60FD5">
        <w:rPr>
          <w:rFonts w:ascii="Times New Roman" w:hAnsi="Times New Roman" w:cs="Times New Roman"/>
          <w:sz w:val="22"/>
          <w:szCs w:val="22"/>
        </w:rPr>
        <w:t xml:space="preserve"> </w:t>
      </w:r>
      <w:r w:rsidR="00F34925" w:rsidRPr="00A60FD5">
        <w:rPr>
          <w:rFonts w:ascii="Times New Roman" w:hAnsi="Times New Roman" w:cs="Times New Roman"/>
          <w:sz w:val="22"/>
          <w:szCs w:val="22"/>
        </w:rPr>
        <w:t xml:space="preserve">the </w:t>
      </w:r>
      <w:r w:rsidR="00D63154" w:rsidRPr="00A60FD5">
        <w:rPr>
          <w:rFonts w:ascii="Times New Roman" w:hAnsi="Times New Roman" w:cs="Times New Roman"/>
          <w:sz w:val="22"/>
          <w:szCs w:val="22"/>
        </w:rPr>
        <w:t xml:space="preserve">legal </w:t>
      </w:r>
      <w:r w:rsidR="006D62ED" w:rsidRPr="00A60FD5">
        <w:rPr>
          <w:rFonts w:ascii="Times New Roman" w:hAnsi="Times New Roman" w:cs="Times New Roman"/>
          <w:sz w:val="22"/>
          <w:szCs w:val="22"/>
        </w:rPr>
        <w:t xml:space="preserve">literature on arbitration. </w:t>
      </w:r>
      <w:r w:rsidR="0063491D" w:rsidRPr="00A60FD5">
        <w:rPr>
          <w:rFonts w:ascii="Times New Roman" w:hAnsi="Times New Roman" w:cs="Times New Roman"/>
          <w:sz w:val="22"/>
          <w:szCs w:val="22"/>
        </w:rPr>
        <w:t xml:space="preserve">Cooter and Rubinfeld (1989) and Stipanowich (2014) point out the differences between the interests of lawyers and those of their clients in most legal disputes. </w:t>
      </w:r>
      <w:r w:rsidR="006D62ED" w:rsidRPr="00A60FD5">
        <w:rPr>
          <w:rFonts w:ascii="Times New Roman" w:hAnsi="Times New Roman" w:cs="Times New Roman"/>
          <w:sz w:val="22"/>
          <w:szCs w:val="22"/>
        </w:rPr>
        <w:t xml:space="preserve">While </w:t>
      </w:r>
      <w:r w:rsidR="009323FA" w:rsidRPr="00A60FD5">
        <w:rPr>
          <w:rFonts w:ascii="Times New Roman" w:hAnsi="Times New Roman" w:cs="Times New Roman"/>
          <w:sz w:val="22"/>
          <w:szCs w:val="22"/>
        </w:rPr>
        <w:t>build</w:t>
      </w:r>
      <w:r w:rsidR="006D62ED" w:rsidRPr="00A60FD5">
        <w:rPr>
          <w:rFonts w:ascii="Times New Roman" w:hAnsi="Times New Roman" w:cs="Times New Roman"/>
          <w:sz w:val="22"/>
          <w:szCs w:val="22"/>
        </w:rPr>
        <w:t>ing</w:t>
      </w:r>
      <w:r w:rsidR="009323FA" w:rsidRPr="00A60FD5">
        <w:rPr>
          <w:rFonts w:ascii="Times New Roman" w:hAnsi="Times New Roman" w:cs="Times New Roman"/>
          <w:sz w:val="22"/>
          <w:szCs w:val="22"/>
        </w:rPr>
        <w:t xml:space="preserve"> on the legal literature and its </w:t>
      </w:r>
      <w:r w:rsidR="00C32828" w:rsidRPr="00A60FD5">
        <w:rPr>
          <w:rFonts w:ascii="Times New Roman" w:hAnsi="Times New Roman" w:cs="Times New Roman"/>
          <w:sz w:val="22"/>
          <w:szCs w:val="22"/>
        </w:rPr>
        <w:t xml:space="preserve">demonstration </w:t>
      </w:r>
      <w:r w:rsidR="009323FA" w:rsidRPr="00A60FD5">
        <w:rPr>
          <w:rFonts w:ascii="Times New Roman" w:hAnsi="Times New Roman" w:cs="Times New Roman"/>
          <w:sz w:val="22"/>
          <w:szCs w:val="22"/>
        </w:rPr>
        <w:t xml:space="preserve">of </w:t>
      </w:r>
      <w:r w:rsidR="004677D9" w:rsidRPr="00A60FD5">
        <w:rPr>
          <w:rFonts w:ascii="Times New Roman" w:hAnsi="Times New Roman" w:cs="Times New Roman"/>
          <w:sz w:val="22"/>
          <w:szCs w:val="22"/>
        </w:rPr>
        <w:t xml:space="preserve">the </w:t>
      </w:r>
      <w:r w:rsidR="009323FA" w:rsidRPr="00A60FD5">
        <w:rPr>
          <w:rFonts w:ascii="Times New Roman" w:hAnsi="Times New Roman" w:cs="Times New Roman"/>
          <w:sz w:val="22"/>
          <w:szCs w:val="22"/>
        </w:rPr>
        <w:t xml:space="preserve">advantages and disadvantages of private </w:t>
      </w:r>
      <w:r w:rsidR="004677D9" w:rsidRPr="00A60FD5">
        <w:rPr>
          <w:rFonts w:ascii="Times New Roman" w:hAnsi="Times New Roman" w:cs="Times New Roman"/>
          <w:sz w:val="22"/>
          <w:szCs w:val="22"/>
        </w:rPr>
        <w:t>and public dispute resolution</w:t>
      </w:r>
      <w:r w:rsidR="006D62ED" w:rsidRPr="00A60FD5">
        <w:rPr>
          <w:rFonts w:ascii="Times New Roman" w:hAnsi="Times New Roman" w:cs="Times New Roman"/>
          <w:sz w:val="22"/>
          <w:szCs w:val="22"/>
        </w:rPr>
        <w:t xml:space="preserve">, we offer </w:t>
      </w:r>
      <w:r w:rsidR="009323FA" w:rsidRPr="00A60FD5">
        <w:rPr>
          <w:rFonts w:ascii="Times New Roman" w:hAnsi="Times New Roman" w:cs="Times New Roman"/>
          <w:sz w:val="22"/>
          <w:szCs w:val="22"/>
        </w:rPr>
        <w:t>a synthetic</w:t>
      </w:r>
      <w:r w:rsidR="00C53EE2" w:rsidRPr="00A60FD5">
        <w:rPr>
          <w:rFonts w:ascii="Times New Roman" w:hAnsi="Times New Roman" w:cs="Times New Roman"/>
          <w:sz w:val="22"/>
          <w:szCs w:val="22"/>
        </w:rPr>
        <w:t>,</w:t>
      </w:r>
      <w:r w:rsidR="009323FA" w:rsidRPr="00A60FD5">
        <w:rPr>
          <w:rFonts w:ascii="Times New Roman" w:hAnsi="Times New Roman" w:cs="Times New Roman"/>
          <w:sz w:val="22"/>
          <w:szCs w:val="22"/>
        </w:rPr>
        <w:t xml:space="preserve"> testable framework</w:t>
      </w:r>
      <w:r w:rsidR="006F1A31" w:rsidRPr="00A60FD5">
        <w:rPr>
          <w:rFonts w:ascii="Times New Roman" w:hAnsi="Times New Roman" w:cs="Times New Roman"/>
          <w:sz w:val="22"/>
          <w:szCs w:val="22"/>
        </w:rPr>
        <w:t xml:space="preserve"> </w:t>
      </w:r>
      <w:r w:rsidR="001C2C56" w:rsidRPr="00A60FD5">
        <w:rPr>
          <w:rFonts w:ascii="Times New Roman" w:hAnsi="Times New Roman" w:cs="Times New Roman"/>
          <w:sz w:val="22"/>
          <w:szCs w:val="22"/>
        </w:rPr>
        <w:t xml:space="preserve">rooted in </w:t>
      </w:r>
      <w:r w:rsidR="005E725A" w:rsidRPr="00A60FD5">
        <w:rPr>
          <w:rFonts w:ascii="Times New Roman" w:hAnsi="Times New Roman" w:cs="Times New Roman"/>
          <w:sz w:val="22"/>
          <w:szCs w:val="22"/>
        </w:rPr>
        <w:t>transaction cost economics</w:t>
      </w:r>
      <w:r w:rsidR="009323FA" w:rsidRPr="00A60FD5">
        <w:rPr>
          <w:rFonts w:ascii="Times New Roman" w:hAnsi="Times New Roman" w:cs="Times New Roman"/>
          <w:sz w:val="22"/>
          <w:szCs w:val="22"/>
        </w:rPr>
        <w:t xml:space="preserve"> logic</w:t>
      </w:r>
      <w:r w:rsidR="00C53EE2" w:rsidRPr="00A60FD5">
        <w:rPr>
          <w:rFonts w:ascii="Times New Roman" w:hAnsi="Times New Roman" w:cs="Times New Roman"/>
          <w:sz w:val="22"/>
          <w:szCs w:val="22"/>
        </w:rPr>
        <w:t>,</w:t>
      </w:r>
      <w:r w:rsidR="009323FA" w:rsidRPr="00A60FD5">
        <w:rPr>
          <w:rFonts w:ascii="Times New Roman" w:hAnsi="Times New Roman" w:cs="Times New Roman"/>
          <w:sz w:val="22"/>
          <w:szCs w:val="22"/>
        </w:rPr>
        <w:t xml:space="preserve"> and driven by corporate decision</w:t>
      </w:r>
      <w:r w:rsidR="00C32828" w:rsidRPr="00A60FD5">
        <w:rPr>
          <w:rFonts w:ascii="Times New Roman" w:hAnsi="Times New Roman" w:cs="Times New Roman"/>
          <w:sz w:val="22"/>
          <w:szCs w:val="22"/>
        </w:rPr>
        <w:t>-</w:t>
      </w:r>
      <w:r w:rsidR="009323FA" w:rsidRPr="00A60FD5">
        <w:rPr>
          <w:rFonts w:ascii="Times New Roman" w:hAnsi="Times New Roman" w:cs="Times New Roman"/>
          <w:sz w:val="22"/>
          <w:szCs w:val="22"/>
        </w:rPr>
        <w:t>makers’ concerns and considerations</w:t>
      </w:r>
      <w:r w:rsidR="00176190" w:rsidRPr="00A60FD5">
        <w:rPr>
          <w:rFonts w:ascii="Times New Roman" w:hAnsi="Times New Roman" w:cs="Times New Roman"/>
          <w:sz w:val="22"/>
          <w:szCs w:val="22"/>
        </w:rPr>
        <w:t xml:space="preserve">: </w:t>
      </w:r>
      <w:r w:rsidR="00176190" w:rsidRPr="00A60FD5">
        <w:rPr>
          <w:rFonts w:ascii="Times New Roman" w:hAnsi="Times New Roman" w:cs="Times New Roman"/>
          <w:i/>
          <w:sz w:val="22"/>
          <w:szCs w:val="22"/>
        </w:rPr>
        <w:t>Si Vis Pacem, Para Bellum</w:t>
      </w:r>
      <w:r w:rsidR="009323FA" w:rsidRPr="00A60FD5">
        <w:rPr>
          <w:rFonts w:ascii="Times New Roman" w:hAnsi="Times New Roman" w:cs="Times New Roman"/>
          <w:sz w:val="22"/>
          <w:szCs w:val="22"/>
        </w:rPr>
        <w:t xml:space="preserve">. </w:t>
      </w:r>
      <w:r w:rsidR="00C53EE2" w:rsidRPr="00A60FD5">
        <w:rPr>
          <w:rFonts w:ascii="Times New Roman" w:hAnsi="Times New Roman" w:cs="Times New Roman"/>
          <w:sz w:val="22"/>
          <w:szCs w:val="22"/>
        </w:rPr>
        <w:t>T</w:t>
      </w:r>
      <w:r w:rsidR="009323FA" w:rsidRPr="00A60FD5">
        <w:rPr>
          <w:rFonts w:ascii="Times New Roman" w:hAnsi="Times New Roman" w:cs="Times New Roman"/>
          <w:sz w:val="22"/>
          <w:szCs w:val="22"/>
        </w:rPr>
        <w:t xml:space="preserve">he selection of the </w:t>
      </w:r>
      <w:r w:rsidR="00FA4020" w:rsidRPr="00A60FD5">
        <w:rPr>
          <w:rFonts w:ascii="Times New Roman" w:hAnsi="Times New Roman" w:cs="Times New Roman"/>
          <w:sz w:val="22"/>
          <w:szCs w:val="22"/>
        </w:rPr>
        <w:t>dispute</w:t>
      </w:r>
      <w:r w:rsidR="00C53EE2" w:rsidRPr="00A60FD5">
        <w:rPr>
          <w:rFonts w:ascii="Times New Roman" w:hAnsi="Times New Roman" w:cs="Times New Roman"/>
          <w:sz w:val="22"/>
          <w:szCs w:val="22"/>
        </w:rPr>
        <w:t>-</w:t>
      </w:r>
      <w:r w:rsidR="00FA4020" w:rsidRPr="00A60FD5">
        <w:rPr>
          <w:rFonts w:ascii="Times New Roman" w:hAnsi="Times New Roman" w:cs="Times New Roman"/>
          <w:sz w:val="22"/>
          <w:szCs w:val="22"/>
        </w:rPr>
        <w:t>resolution forum</w:t>
      </w:r>
      <w:r w:rsidR="009323FA" w:rsidRPr="00A60FD5">
        <w:rPr>
          <w:rFonts w:ascii="Times New Roman" w:hAnsi="Times New Roman" w:cs="Times New Roman"/>
          <w:sz w:val="22"/>
          <w:szCs w:val="22"/>
        </w:rPr>
        <w:t xml:space="preserve"> </w:t>
      </w:r>
      <w:r w:rsidR="00C53EE2" w:rsidRPr="00A60FD5">
        <w:rPr>
          <w:rFonts w:ascii="Times New Roman" w:hAnsi="Times New Roman" w:cs="Times New Roman"/>
          <w:sz w:val="22"/>
          <w:szCs w:val="22"/>
        </w:rPr>
        <w:t>is</w:t>
      </w:r>
      <w:r w:rsidR="009323FA" w:rsidRPr="00A60FD5">
        <w:rPr>
          <w:rFonts w:ascii="Times New Roman" w:hAnsi="Times New Roman" w:cs="Times New Roman"/>
          <w:sz w:val="22"/>
          <w:szCs w:val="22"/>
        </w:rPr>
        <w:t xml:space="preserve"> a strategic </w:t>
      </w:r>
      <w:r w:rsidR="00504E34" w:rsidRPr="00A60FD5">
        <w:rPr>
          <w:rFonts w:ascii="Times New Roman" w:hAnsi="Times New Roman" w:cs="Times New Roman"/>
          <w:sz w:val="22"/>
          <w:szCs w:val="22"/>
        </w:rPr>
        <w:t xml:space="preserve">tool that can be used </w:t>
      </w:r>
      <w:r w:rsidR="005E725A" w:rsidRPr="00A60FD5">
        <w:rPr>
          <w:rFonts w:ascii="Times New Roman" w:hAnsi="Times New Roman" w:cs="Times New Roman"/>
          <w:sz w:val="22"/>
          <w:szCs w:val="22"/>
        </w:rPr>
        <w:t xml:space="preserve">either </w:t>
      </w:r>
      <w:r w:rsidR="00504E34" w:rsidRPr="00A60FD5">
        <w:rPr>
          <w:rFonts w:ascii="Times New Roman" w:hAnsi="Times New Roman" w:cs="Times New Roman"/>
          <w:sz w:val="22"/>
          <w:szCs w:val="22"/>
        </w:rPr>
        <w:t xml:space="preserve">for </w:t>
      </w:r>
      <w:r w:rsidR="009323FA" w:rsidRPr="00A60FD5">
        <w:rPr>
          <w:rFonts w:ascii="Times New Roman" w:hAnsi="Times New Roman" w:cs="Times New Roman"/>
          <w:sz w:val="22"/>
          <w:szCs w:val="22"/>
        </w:rPr>
        <w:t>dissuasion</w:t>
      </w:r>
      <w:r w:rsidR="00504E34" w:rsidRPr="00A60FD5">
        <w:rPr>
          <w:rFonts w:ascii="Times New Roman" w:hAnsi="Times New Roman" w:cs="Times New Roman"/>
          <w:sz w:val="22"/>
          <w:szCs w:val="22"/>
        </w:rPr>
        <w:t xml:space="preserve"> </w:t>
      </w:r>
      <w:r w:rsidR="00C53EE2" w:rsidRPr="00A60FD5">
        <w:rPr>
          <w:rFonts w:ascii="Times New Roman" w:hAnsi="Times New Roman" w:cs="Times New Roman"/>
          <w:sz w:val="22"/>
          <w:szCs w:val="22"/>
        </w:rPr>
        <w:t>if</w:t>
      </w:r>
      <w:r w:rsidR="00AC6E78" w:rsidRPr="00A60FD5">
        <w:rPr>
          <w:rFonts w:ascii="Times New Roman" w:hAnsi="Times New Roman" w:cs="Times New Roman"/>
          <w:sz w:val="22"/>
          <w:szCs w:val="22"/>
        </w:rPr>
        <w:t xml:space="preserve"> the chosen forum </w:t>
      </w:r>
      <w:r w:rsidR="009323FA" w:rsidRPr="00A60FD5">
        <w:rPr>
          <w:rFonts w:ascii="Times New Roman" w:hAnsi="Times New Roman" w:cs="Times New Roman"/>
          <w:sz w:val="22"/>
          <w:szCs w:val="22"/>
        </w:rPr>
        <w:t>act</w:t>
      </w:r>
      <w:r w:rsidR="00F34925" w:rsidRPr="00A60FD5">
        <w:rPr>
          <w:rFonts w:ascii="Times New Roman" w:hAnsi="Times New Roman" w:cs="Times New Roman"/>
          <w:sz w:val="22"/>
          <w:szCs w:val="22"/>
        </w:rPr>
        <w:t>s</w:t>
      </w:r>
      <w:r w:rsidR="009323FA" w:rsidRPr="00A60FD5">
        <w:rPr>
          <w:rFonts w:ascii="Times New Roman" w:hAnsi="Times New Roman" w:cs="Times New Roman"/>
          <w:sz w:val="22"/>
          <w:szCs w:val="22"/>
        </w:rPr>
        <w:t xml:space="preserve"> as a credible threat against opportunistic behaviors</w:t>
      </w:r>
      <w:r w:rsidR="00C32828" w:rsidRPr="00A60FD5">
        <w:rPr>
          <w:rFonts w:ascii="Times New Roman" w:hAnsi="Times New Roman" w:cs="Times New Roman"/>
          <w:sz w:val="22"/>
          <w:szCs w:val="22"/>
        </w:rPr>
        <w:t>,</w:t>
      </w:r>
      <w:r w:rsidR="005E725A" w:rsidRPr="00A60FD5">
        <w:rPr>
          <w:rFonts w:ascii="Times New Roman" w:hAnsi="Times New Roman" w:cs="Times New Roman"/>
          <w:sz w:val="22"/>
          <w:szCs w:val="22"/>
        </w:rPr>
        <w:t xml:space="preserve"> or as</w:t>
      </w:r>
      <w:r w:rsidR="00387AE6" w:rsidRPr="00A60FD5">
        <w:rPr>
          <w:rFonts w:ascii="Times New Roman" w:hAnsi="Times New Roman" w:cs="Times New Roman"/>
          <w:sz w:val="22"/>
          <w:szCs w:val="22"/>
        </w:rPr>
        <w:t xml:space="preserve"> </w:t>
      </w:r>
      <w:r w:rsidR="005E725A" w:rsidRPr="00A60FD5">
        <w:rPr>
          <w:rFonts w:ascii="Times New Roman" w:hAnsi="Times New Roman" w:cs="Times New Roman"/>
          <w:sz w:val="22"/>
          <w:szCs w:val="22"/>
        </w:rPr>
        <w:t xml:space="preserve">a </w:t>
      </w:r>
      <w:r w:rsidR="00387AE6" w:rsidRPr="00A60FD5">
        <w:rPr>
          <w:rFonts w:ascii="Times New Roman" w:hAnsi="Times New Roman" w:cs="Times New Roman"/>
          <w:sz w:val="22"/>
          <w:szCs w:val="22"/>
        </w:rPr>
        <w:t xml:space="preserve">signal </w:t>
      </w:r>
      <w:r w:rsidR="00C53EE2" w:rsidRPr="00A60FD5">
        <w:rPr>
          <w:rFonts w:ascii="Times New Roman" w:hAnsi="Times New Roman" w:cs="Times New Roman"/>
          <w:sz w:val="22"/>
          <w:szCs w:val="22"/>
        </w:rPr>
        <w:t>of</w:t>
      </w:r>
      <w:r w:rsidR="00387AE6" w:rsidRPr="00A60FD5">
        <w:rPr>
          <w:rFonts w:ascii="Times New Roman" w:hAnsi="Times New Roman" w:cs="Times New Roman"/>
          <w:sz w:val="22"/>
          <w:szCs w:val="22"/>
        </w:rPr>
        <w:t xml:space="preserve"> partners’ willingness to “work things out</w:t>
      </w:r>
      <w:r w:rsidR="00C20B0C" w:rsidRPr="00A60FD5">
        <w:rPr>
          <w:rFonts w:ascii="Times New Roman" w:hAnsi="Times New Roman" w:cs="Times New Roman"/>
          <w:sz w:val="22"/>
          <w:szCs w:val="22"/>
        </w:rPr>
        <w:t>.</w:t>
      </w:r>
      <w:r w:rsidR="00387AE6" w:rsidRPr="00A60FD5">
        <w:rPr>
          <w:rFonts w:ascii="Times New Roman" w:hAnsi="Times New Roman" w:cs="Times New Roman"/>
          <w:sz w:val="22"/>
          <w:szCs w:val="22"/>
        </w:rPr>
        <w:t>”</w:t>
      </w:r>
      <w:r w:rsidR="009323FA" w:rsidRPr="00A60FD5">
        <w:rPr>
          <w:rFonts w:ascii="Times New Roman" w:hAnsi="Times New Roman" w:cs="Times New Roman"/>
          <w:sz w:val="22"/>
          <w:szCs w:val="22"/>
        </w:rPr>
        <w:t xml:space="preserve"> </w:t>
      </w:r>
      <w:r w:rsidR="002617CB" w:rsidRPr="00A60FD5">
        <w:rPr>
          <w:rFonts w:ascii="Times New Roman" w:hAnsi="Times New Roman" w:cs="Times New Roman"/>
          <w:sz w:val="22"/>
          <w:szCs w:val="22"/>
        </w:rPr>
        <w:t xml:space="preserve">By adopting the transaction as the unit of analysis, rather than </w:t>
      </w:r>
      <w:r w:rsidR="00C32828" w:rsidRPr="00A60FD5">
        <w:rPr>
          <w:rFonts w:ascii="Times New Roman" w:hAnsi="Times New Roman" w:cs="Times New Roman"/>
          <w:sz w:val="22"/>
          <w:szCs w:val="22"/>
        </w:rPr>
        <w:t xml:space="preserve">performing </w:t>
      </w:r>
      <w:r w:rsidR="002617CB" w:rsidRPr="00A60FD5">
        <w:rPr>
          <w:rFonts w:ascii="Times New Roman" w:hAnsi="Times New Roman" w:cs="Times New Roman"/>
          <w:sz w:val="22"/>
          <w:szCs w:val="22"/>
        </w:rPr>
        <w:t>cross-country or cross-industry analyses as</w:t>
      </w:r>
      <w:r w:rsidR="00C32828" w:rsidRPr="00A60FD5">
        <w:rPr>
          <w:rFonts w:ascii="Times New Roman" w:hAnsi="Times New Roman" w:cs="Times New Roman"/>
          <w:sz w:val="22"/>
          <w:szCs w:val="22"/>
        </w:rPr>
        <w:t xml:space="preserve"> is</w:t>
      </w:r>
      <w:r w:rsidR="002617CB" w:rsidRPr="00A60FD5">
        <w:rPr>
          <w:rFonts w:ascii="Times New Roman" w:hAnsi="Times New Roman" w:cs="Times New Roman"/>
          <w:sz w:val="22"/>
          <w:szCs w:val="22"/>
        </w:rPr>
        <w:t xml:space="preserve"> usually done in legal studies, we provide further insights </w:t>
      </w:r>
      <w:r w:rsidR="00C32828" w:rsidRPr="00A60FD5">
        <w:rPr>
          <w:rFonts w:ascii="Times New Roman" w:hAnsi="Times New Roman" w:cs="Times New Roman"/>
          <w:sz w:val="22"/>
          <w:szCs w:val="22"/>
        </w:rPr>
        <w:t xml:space="preserve">into </w:t>
      </w:r>
      <w:r w:rsidR="002617CB" w:rsidRPr="00A60FD5">
        <w:rPr>
          <w:rFonts w:ascii="Times New Roman" w:hAnsi="Times New Roman" w:cs="Times New Roman"/>
          <w:sz w:val="22"/>
          <w:szCs w:val="22"/>
        </w:rPr>
        <w:t xml:space="preserve">managers’ reluctance to rely on arbitration. Given the risk at stake when engaging in inter-firm partnerships, arbitration cannot be depicted as “the” optimal dispute-resolution mechanism to use under any circumstances. </w:t>
      </w:r>
    </w:p>
    <w:p w14:paraId="116B06A3" w14:textId="77777777" w:rsidR="0018013B" w:rsidRPr="00A60FD5" w:rsidRDefault="0018013B" w:rsidP="00A05DE5">
      <w:pPr>
        <w:pStyle w:val="CommentText"/>
        <w:spacing w:after="0" w:line="480" w:lineRule="auto"/>
        <w:ind w:firstLine="624"/>
        <w:rPr>
          <w:rFonts w:ascii="Times New Roman" w:hAnsi="Times New Roman" w:cs="Times New Roman"/>
          <w:sz w:val="22"/>
          <w:szCs w:val="22"/>
        </w:rPr>
      </w:pPr>
    </w:p>
    <w:p w14:paraId="32BF8B12" w14:textId="57D29997" w:rsidR="009148B6" w:rsidRPr="00A60FD5" w:rsidRDefault="0018013B" w:rsidP="009148B6">
      <w:pPr>
        <w:spacing w:after="0" w:line="480" w:lineRule="auto"/>
        <w:rPr>
          <w:rFonts w:ascii="Times New Roman" w:hAnsi="Times New Roman" w:cs="Times New Roman"/>
          <w:b/>
        </w:rPr>
      </w:pPr>
      <w:r w:rsidRPr="00A60FD5">
        <w:rPr>
          <w:rFonts w:ascii="Times New Roman" w:hAnsi="Times New Roman" w:cs="Times New Roman"/>
          <w:b/>
        </w:rPr>
        <w:lastRenderedPageBreak/>
        <w:t xml:space="preserve">5.2 </w:t>
      </w:r>
      <w:r w:rsidR="009148B6" w:rsidRPr="00A60FD5">
        <w:rPr>
          <w:rFonts w:ascii="Times New Roman" w:hAnsi="Times New Roman" w:cs="Times New Roman"/>
          <w:b/>
        </w:rPr>
        <w:t xml:space="preserve">Limitations and </w:t>
      </w:r>
      <w:r w:rsidR="00AC6E78" w:rsidRPr="00A60FD5">
        <w:rPr>
          <w:rFonts w:ascii="Times New Roman" w:hAnsi="Times New Roman" w:cs="Times New Roman"/>
          <w:b/>
        </w:rPr>
        <w:t xml:space="preserve">Directions for </w:t>
      </w:r>
      <w:r w:rsidR="009148B6" w:rsidRPr="00A60FD5">
        <w:rPr>
          <w:rFonts w:ascii="Times New Roman" w:hAnsi="Times New Roman" w:cs="Times New Roman"/>
          <w:b/>
        </w:rPr>
        <w:t xml:space="preserve">Future Research </w:t>
      </w:r>
    </w:p>
    <w:p w14:paraId="6351044A" w14:textId="162098EA" w:rsidR="00406DA2" w:rsidRPr="00A60FD5" w:rsidRDefault="00406DA2" w:rsidP="00406DA2">
      <w:pPr>
        <w:spacing w:after="0" w:line="480" w:lineRule="auto"/>
        <w:rPr>
          <w:rFonts w:ascii="Times New Roman" w:hAnsi="Times New Roman" w:cs="Times New Roman"/>
        </w:rPr>
      </w:pPr>
      <w:r w:rsidRPr="00A60FD5">
        <w:rPr>
          <w:rFonts w:ascii="Times New Roman" w:hAnsi="Times New Roman" w:cs="Times New Roman"/>
        </w:rPr>
        <w:t>First, w</w:t>
      </w:r>
      <w:r w:rsidR="009148B6" w:rsidRPr="00A60FD5">
        <w:rPr>
          <w:rFonts w:ascii="Times New Roman" w:hAnsi="Times New Roman" w:cs="Times New Roman"/>
        </w:rPr>
        <w:t xml:space="preserve">hile our study </w:t>
      </w:r>
      <w:r w:rsidR="00E62199" w:rsidRPr="00A60FD5">
        <w:rPr>
          <w:rFonts w:ascii="Times New Roman" w:hAnsi="Times New Roman" w:cs="Times New Roman"/>
        </w:rPr>
        <w:t>focuses on</w:t>
      </w:r>
      <w:r w:rsidR="009148B6" w:rsidRPr="00A60FD5">
        <w:rPr>
          <w:rFonts w:ascii="Times New Roman" w:hAnsi="Times New Roman" w:cs="Times New Roman"/>
        </w:rPr>
        <w:t xml:space="preserve"> the </w:t>
      </w:r>
      <w:r w:rsidR="00E62199" w:rsidRPr="00A60FD5">
        <w:rPr>
          <w:rFonts w:ascii="Times New Roman" w:hAnsi="Times New Roman" w:cs="Times New Roman"/>
        </w:rPr>
        <w:t>use</w:t>
      </w:r>
      <w:r w:rsidR="009148B6" w:rsidRPr="00A60FD5">
        <w:rPr>
          <w:rFonts w:ascii="Times New Roman" w:hAnsi="Times New Roman" w:cs="Times New Roman"/>
        </w:rPr>
        <w:t xml:space="preserve"> of arbitration provision</w:t>
      </w:r>
      <w:r w:rsidR="00E62199" w:rsidRPr="00A60FD5">
        <w:rPr>
          <w:rFonts w:ascii="Times New Roman" w:hAnsi="Times New Roman" w:cs="Times New Roman"/>
        </w:rPr>
        <w:t>s</w:t>
      </w:r>
      <w:r w:rsidR="009148B6" w:rsidRPr="00A60FD5">
        <w:rPr>
          <w:rFonts w:ascii="Times New Roman" w:hAnsi="Times New Roman" w:cs="Times New Roman"/>
        </w:rPr>
        <w:t xml:space="preserve"> in </w:t>
      </w:r>
      <w:r w:rsidR="000659EF" w:rsidRPr="00A60FD5">
        <w:rPr>
          <w:rFonts w:ascii="Times New Roman" w:hAnsi="Times New Roman" w:cs="Times New Roman"/>
        </w:rPr>
        <w:t>licensing contracts</w:t>
      </w:r>
      <w:r w:rsidR="007E03FE" w:rsidRPr="00A60FD5">
        <w:rPr>
          <w:rFonts w:ascii="Times New Roman" w:hAnsi="Times New Roman" w:cs="Times New Roman"/>
        </w:rPr>
        <w:t xml:space="preserve">, </w:t>
      </w:r>
      <w:r w:rsidR="009148B6" w:rsidRPr="00A60FD5">
        <w:rPr>
          <w:rFonts w:ascii="Times New Roman" w:hAnsi="Times New Roman" w:cs="Times New Roman"/>
        </w:rPr>
        <w:t xml:space="preserve">it would be valuable to </w:t>
      </w:r>
      <w:r w:rsidR="00E62199" w:rsidRPr="00A60FD5">
        <w:rPr>
          <w:rFonts w:ascii="Times New Roman" w:hAnsi="Times New Roman" w:cs="Times New Roman"/>
        </w:rPr>
        <w:t>expand</w:t>
      </w:r>
      <w:r w:rsidR="005A2A43" w:rsidRPr="00A60FD5">
        <w:rPr>
          <w:rFonts w:ascii="Times New Roman" w:hAnsi="Times New Roman" w:cs="Times New Roman"/>
        </w:rPr>
        <w:t xml:space="preserve"> </w:t>
      </w:r>
      <w:r w:rsidR="00C20B0C" w:rsidRPr="00A60FD5">
        <w:rPr>
          <w:rFonts w:ascii="Times New Roman" w:hAnsi="Times New Roman" w:cs="Times New Roman"/>
        </w:rPr>
        <w:t>it</w:t>
      </w:r>
      <w:r w:rsidR="009148B6" w:rsidRPr="00A60FD5">
        <w:rPr>
          <w:rFonts w:ascii="Times New Roman" w:hAnsi="Times New Roman" w:cs="Times New Roman"/>
        </w:rPr>
        <w:t xml:space="preserve"> </w:t>
      </w:r>
      <w:r w:rsidR="005A2A43" w:rsidRPr="00A60FD5">
        <w:rPr>
          <w:rFonts w:ascii="Times New Roman" w:hAnsi="Times New Roman" w:cs="Times New Roman"/>
        </w:rPr>
        <w:t xml:space="preserve">to </w:t>
      </w:r>
      <w:r w:rsidR="00E62199" w:rsidRPr="00A60FD5">
        <w:rPr>
          <w:rFonts w:ascii="Times New Roman" w:hAnsi="Times New Roman" w:cs="Times New Roman"/>
        </w:rPr>
        <w:t xml:space="preserve">include </w:t>
      </w:r>
      <w:r w:rsidR="009148B6" w:rsidRPr="00A60FD5">
        <w:rPr>
          <w:rFonts w:ascii="Times New Roman" w:hAnsi="Times New Roman" w:cs="Times New Roman"/>
        </w:rPr>
        <w:t xml:space="preserve">more hierarchical modes. In equity-based joint ventures, for instance, </w:t>
      </w:r>
      <w:r w:rsidR="001910D6" w:rsidRPr="00A60FD5">
        <w:rPr>
          <w:rFonts w:ascii="Times New Roman" w:hAnsi="Times New Roman" w:cs="Times New Roman"/>
        </w:rPr>
        <w:t xml:space="preserve">boards of directors </w:t>
      </w:r>
      <w:r w:rsidR="0001471F" w:rsidRPr="00A60FD5">
        <w:rPr>
          <w:rFonts w:ascii="Times New Roman" w:hAnsi="Times New Roman" w:cs="Times New Roman"/>
        </w:rPr>
        <w:t xml:space="preserve">are able to guard against harmful actions by partner firms (Adams and Ferreira, </w:t>
      </w:r>
      <w:r w:rsidR="00601A6B" w:rsidRPr="00A60FD5">
        <w:rPr>
          <w:rFonts w:ascii="Times New Roman" w:hAnsi="Times New Roman" w:cs="Times New Roman"/>
        </w:rPr>
        <w:t>200</w:t>
      </w:r>
      <w:r w:rsidR="00601A6B">
        <w:rPr>
          <w:rFonts w:ascii="Times New Roman" w:hAnsi="Times New Roman" w:cs="Times New Roman"/>
        </w:rPr>
        <w:t>8</w:t>
      </w:r>
      <w:r w:rsidR="0001471F" w:rsidRPr="00A60FD5">
        <w:rPr>
          <w:rFonts w:ascii="Times New Roman" w:hAnsi="Times New Roman" w:cs="Times New Roman"/>
        </w:rPr>
        <w:t xml:space="preserve">). They may also play a critical role in reconciling their different needs and interests (Kumar and Seth, 1998), resolving conflicts (Pisano, 1989) and adjusting cooperation over time (Ravasi and Zattoni, 2006). </w:t>
      </w:r>
      <w:r w:rsidR="001910D6" w:rsidRPr="00A60FD5">
        <w:rPr>
          <w:rFonts w:ascii="Times New Roman" w:hAnsi="Times New Roman" w:cs="Times New Roman"/>
        </w:rPr>
        <w:t>As such</w:t>
      </w:r>
      <w:r w:rsidR="00A34F25" w:rsidRPr="00A60FD5">
        <w:rPr>
          <w:rFonts w:ascii="Times New Roman" w:hAnsi="Times New Roman" w:cs="Times New Roman"/>
        </w:rPr>
        <w:t>,</w:t>
      </w:r>
      <w:r w:rsidR="001910D6" w:rsidRPr="00A60FD5">
        <w:rPr>
          <w:rFonts w:ascii="Times New Roman" w:hAnsi="Times New Roman" w:cs="Times New Roman"/>
        </w:rPr>
        <w:t xml:space="preserve"> boards </w:t>
      </w:r>
      <w:r w:rsidR="00EB3CC5" w:rsidRPr="00A60FD5">
        <w:rPr>
          <w:rFonts w:ascii="Times New Roman" w:hAnsi="Times New Roman" w:cs="Times New Roman"/>
        </w:rPr>
        <w:t xml:space="preserve">and other internal administrative mechanisms </w:t>
      </w:r>
      <w:r w:rsidR="009148B6" w:rsidRPr="00A60FD5">
        <w:rPr>
          <w:rFonts w:ascii="Times New Roman" w:hAnsi="Times New Roman" w:cs="Times New Roman"/>
        </w:rPr>
        <w:t xml:space="preserve">may be perceived as </w:t>
      </w:r>
      <w:r w:rsidR="007E03FE" w:rsidRPr="00A60FD5">
        <w:rPr>
          <w:rFonts w:ascii="Times New Roman" w:hAnsi="Times New Roman" w:cs="Times New Roman"/>
        </w:rPr>
        <w:t>alternative</w:t>
      </w:r>
      <w:r w:rsidR="009148B6" w:rsidRPr="00A60FD5">
        <w:rPr>
          <w:rFonts w:ascii="Times New Roman" w:hAnsi="Times New Roman" w:cs="Times New Roman"/>
        </w:rPr>
        <w:t xml:space="preserve"> </w:t>
      </w:r>
      <w:r w:rsidR="00FA4020" w:rsidRPr="00A60FD5">
        <w:rPr>
          <w:rFonts w:ascii="Times New Roman" w:hAnsi="Times New Roman" w:cs="Times New Roman"/>
        </w:rPr>
        <w:t>dispute</w:t>
      </w:r>
      <w:r w:rsidR="00E62199" w:rsidRPr="00A60FD5">
        <w:rPr>
          <w:rFonts w:ascii="Times New Roman" w:hAnsi="Times New Roman" w:cs="Times New Roman"/>
        </w:rPr>
        <w:t>-</w:t>
      </w:r>
      <w:r w:rsidR="00FA4020" w:rsidRPr="00A60FD5">
        <w:rPr>
          <w:rFonts w:ascii="Times New Roman" w:hAnsi="Times New Roman" w:cs="Times New Roman"/>
        </w:rPr>
        <w:t>resolution for</w:t>
      </w:r>
      <w:r w:rsidR="00C20B0C" w:rsidRPr="00A60FD5">
        <w:rPr>
          <w:rFonts w:ascii="Times New Roman" w:hAnsi="Times New Roman" w:cs="Times New Roman"/>
        </w:rPr>
        <w:t>a</w:t>
      </w:r>
      <w:r w:rsidR="009148B6" w:rsidRPr="00A60FD5">
        <w:rPr>
          <w:rFonts w:ascii="Times New Roman" w:hAnsi="Times New Roman" w:cs="Times New Roman"/>
        </w:rPr>
        <w:t xml:space="preserve"> or </w:t>
      </w:r>
      <w:r w:rsidR="007E03FE" w:rsidRPr="00A60FD5">
        <w:rPr>
          <w:rFonts w:ascii="Times New Roman" w:hAnsi="Times New Roman" w:cs="Times New Roman"/>
        </w:rPr>
        <w:t xml:space="preserve">as </w:t>
      </w:r>
      <w:r w:rsidR="009148B6" w:rsidRPr="00A60FD5">
        <w:rPr>
          <w:rFonts w:ascii="Times New Roman" w:hAnsi="Times New Roman" w:cs="Times New Roman"/>
        </w:rPr>
        <w:t>complement</w:t>
      </w:r>
      <w:r w:rsidR="00C20B0C" w:rsidRPr="00A60FD5">
        <w:rPr>
          <w:rFonts w:ascii="Times New Roman" w:hAnsi="Times New Roman" w:cs="Times New Roman"/>
        </w:rPr>
        <w:t>s</w:t>
      </w:r>
      <w:r w:rsidR="009148B6" w:rsidRPr="00A60FD5">
        <w:rPr>
          <w:rFonts w:ascii="Times New Roman" w:hAnsi="Times New Roman" w:cs="Times New Roman"/>
        </w:rPr>
        <w:t xml:space="preserve"> to arbitration. </w:t>
      </w:r>
      <w:r w:rsidR="0001471F" w:rsidRPr="00A60FD5">
        <w:rPr>
          <w:rFonts w:ascii="Times New Roman" w:hAnsi="Times New Roman" w:cs="Times New Roman"/>
        </w:rPr>
        <w:t>The size of our sample has not enabled us to consider th</w:t>
      </w:r>
      <w:r w:rsidR="00C26DA6" w:rsidRPr="00A60FD5">
        <w:rPr>
          <w:rFonts w:ascii="Times New Roman" w:hAnsi="Times New Roman" w:cs="Times New Roman"/>
        </w:rPr>
        <w:t xml:space="preserve">e influence of this </w:t>
      </w:r>
      <w:r w:rsidR="0001471F" w:rsidRPr="00A60FD5">
        <w:rPr>
          <w:rFonts w:ascii="Times New Roman" w:hAnsi="Times New Roman" w:cs="Times New Roman"/>
        </w:rPr>
        <w:t>governance choice (i.e., licensing embedded in equity-based structure</w:t>
      </w:r>
      <w:r w:rsidR="00FD4A09" w:rsidRPr="00A60FD5">
        <w:rPr>
          <w:rFonts w:ascii="Times New Roman" w:hAnsi="Times New Roman" w:cs="Times New Roman"/>
        </w:rPr>
        <w:t>s</w:t>
      </w:r>
      <w:r w:rsidR="0001471F" w:rsidRPr="00A60FD5">
        <w:rPr>
          <w:rFonts w:ascii="Times New Roman" w:hAnsi="Times New Roman" w:cs="Times New Roman"/>
        </w:rPr>
        <w:t>)</w:t>
      </w:r>
      <w:r w:rsidR="00C26DA6" w:rsidRPr="00A60FD5">
        <w:rPr>
          <w:rFonts w:ascii="Times New Roman" w:hAnsi="Times New Roman" w:cs="Times New Roman"/>
        </w:rPr>
        <w:t xml:space="preserve"> simultaneously with those of monitoring and coordination choices. </w:t>
      </w:r>
    </w:p>
    <w:p w14:paraId="780C26EF" w14:textId="77777777" w:rsidR="00406DA2" w:rsidRPr="00A60FD5" w:rsidRDefault="004F606F" w:rsidP="00406DA2">
      <w:pPr>
        <w:spacing w:after="0" w:line="480" w:lineRule="auto"/>
        <w:ind w:firstLine="624"/>
        <w:rPr>
          <w:rFonts w:ascii="Times New Roman" w:hAnsi="Times New Roman" w:cs="Times New Roman"/>
        </w:rPr>
      </w:pPr>
      <w:r w:rsidRPr="00A60FD5">
        <w:rPr>
          <w:rFonts w:ascii="Times New Roman" w:hAnsi="Times New Roman" w:cs="Times New Roman"/>
        </w:rPr>
        <w:t>Second, despite the tests and procedural precautions we used (e.g., Podsakof</w:t>
      </w:r>
      <w:r w:rsidR="001A1571" w:rsidRPr="00A60FD5">
        <w:rPr>
          <w:rFonts w:ascii="Times New Roman" w:hAnsi="Times New Roman" w:cs="Times New Roman"/>
        </w:rPr>
        <w:t>f</w:t>
      </w:r>
      <w:r w:rsidRPr="00A60FD5">
        <w:rPr>
          <w:rFonts w:ascii="Times New Roman" w:hAnsi="Times New Roman" w:cs="Times New Roman"/>
        </w:rPr>
        <w:t xml:space="preserve"> et al., 2003), we recognize that surveying one of the partners involved in the licensing exchange is a limitation </w:t>
      </w:r>
      <w:r w:rsidR="00FD4A09" w:rsidRPr="00A60FD5">
        <w:rPr>
          <w:rFonts w:ascii="Times New Roman" w:hAnsi="Times New Roman" w:cs="Times New Roman"/>
        </w:rPr>
        <w:t xml:space="preserve">of </w:t>
      </w:r>
      <w:r w:rsidRPr="00A60FD5">
        <w:rPr>
          <w:rFonts w:ascii="Times New Roman" w:hAnsi="Times New Roman" w:cs="Times New Roman"/>
        </w:rPr>
        <w:t>our study (Doz et al., 2000</w:t>
      </w:r>
      <w:r w:rsidR="0030630C" w:rsidRPr="00A60FD5">
        <w:rPr>
          <w:rFonts w:ascii="Times New Roman" w:hAnsi="Times New Roman" w:cs="Times New Roman"/>
        </w:rPr>
        <w:t>; Muthusamy and White, 2005</w:t>
      </w:r>
      <w:r w:rsidRPr="00A60FD5">
        <w:rPr>
          <w:rFonts w:ascii="Times New Roman" w:hAnsi="Times New Roman" w:cs="Times New Roman"/>
        </w:rPr>
        <w:t xml:space="preserve">). The position of licensor or licensee may affect </w:t>
      </w:r>
      <w:r w:rsidR="00FD4A09" w:rsidRPr="00A60FD5">
        <w:rPr>
          <w:rFonts w:ascii="Times New Roman" w:hAnsi="Times New Roman" w:cs="Times New Roman"/>
        </w:rPr>
        <w:t xml:space="preserve">the </w:t>
      </w:r>
      <w:r w:rsidRPr="00A60FD5">
        <w:rPr>
          <w:rFonts w:ascii="Times New Roman" w:hAnsi="Times New Roman" w:cs="Times New Roman"/>
        </w:rPr>
        <w:t xml:space="preserve">respondent’s assessment of the economic value of a patent or the nature, scope and extent of necessary investments (Benassi and Di Minin, 2009). We therefore encourage study settings that enable </w:t>
      </w:r>
      <w:r w:rsidR="00FD4A09" w:rsidRPr="00A60FD5">
        <w:rPr>
          <w:rFonts w:ascii="Times New Roman" w:hAnsi="Times New Roman" w:cs="Times New Roman"/>
        </w:rPr>
        <w:t>the collection of</w:t>
      </w:r>
      <w:r w:rsidRPr="00A60FD5">
        <w:rPr>
          <w:rFonts w:ascii="Times New Roman" w:hAnsi="Times New Roman" w:cs="Times New Roman"/>
        </w:rPr>
        <w:t xml:space="preserve"> information from both sides of partnerships. </w:t>
      </w:r>
    </w:p>
    <w:p w14:paraId="2B1C7552" w14:textId="053EA3FA" w:rsidR="00D55D51" w:rsidRPr="00A60FD5" w:rsidRDefault="004F606F" w:rsidP="00406DA2">
      <w:pPr>
        <w:spacing w:after="0" w:line="480" w:lineRule="auto"/>
        <w:ind w:firstLine="624"/>
        <w:rPr>
          <w:rFonts w:ascii="Times New Roman" w:hAnsi="Times New Roman" w:cs="Times New Roman"/>
        </w:rPr>
      </w:pPr>
      <w:r w:rsidRPr="00A60FD5">
        <w:rPr>
          <w:rFonts w:ascii="Times New Roman" w:hAnsi="Times New Roman" w:cs="Times New Roman"/>
        </w:rPr>
        <w:t>Third</w:t>
      </w:r>
      <w:r w:rsidR="009148B6" w:rsidRPr="00A60FD5">
        <w:rPr>
          <w:rFonts w:ascii="Times New Roman" w:hAnsi="Times New Roman" w:cs="Times New Roman"/>
        </w:rPr>
        <w:t xml:space="preserve">, </w:t>
      </w:r>
      <w:r w:rsidR="00D55D51" w:rsidRPr="00A60FD5">
        <w:rPr>
          <w:rFonts w:ascii="Times New Roman" w:hAnsi="Times New Roman" w:cs="Times New Roman"/>
        </w:rPr>
        <w:t xml:space="preserve">besides arbitration, licensing partners can opt to rely on internal negotiation and/or mediation for handling possible disputes. As for arbitration and litigation, internal negotiation and mediation can also be </w:t>
      </w:r>
      <w:r w:rsidR="00BE75D0" w:rsidRPr="00A60FD5">
        <w:rPr>
          <w:rFonts w:ascii="Times New Roman" w:hAnsi="Times New Roman" w:cs="Times New Roman"/>
        </w:rPr>
        <w:t xml:space="preserve">chosen </w:t>
      </w:r>
      <w:r w:rsidR="00D55D51" w:rsidRPr="00A60FD5">
        <w:rPr>
          <w:rFonts w:ascii="Times New Roman" w:hAnsi="Times New Roman" w:cs="Times New Roman"/>
        </w:rPr>
        <w:t xml:space="preserve">when drafting the licensing contract. Unlike arbitration and litigation however, negotiation and mediation do not result in a legally binding or enforceable award. In mediation, there is a third party – the mediator – who facilitates the dispute-resolution process but does not impose a resolution on the parties (e.g., Ross and Conlon, 2000; Shavell, 1995). Negotiation </w:t>
      </w:r>
      <w:r w:rsidR="00D478CA" w:rsidRPr="00A60FD5">
        <w:rPr>
          <w:rFonts w:ascii="Times New Roman" w:hAnsi="Times New Roman" w:cs="Times New Roman"/>
        </w:rPr>
        <w:t xml:space="preserve">is </w:t>
      </w:r>
      <w:r w:rsidR="00D55D51" w:rsidRPr="00A60FD5">
        <w:rPr>
          <w:rFonts w:ascii="Times New Roman" w:hAnsi="Times New Roman" w:cs="Times New Roman"/>
        </w:rPr>
        <w:t>distinguishe</w:t>
      </w:r>
      <w:r w:rsidR="00D478CA" w:rsidRPr="00A60FD5">
        <w:rPr>
          <w:rFonts w:ascii="Times New Roman" w:hAnsi="Times New Roman" w:cs="Times New Roman"/>
        </w:rPr>
        <w:t>d</w:t>
      </w:r>
      <w:r w:rsidR="00D55D51" w:rsidRPr="00A60FD5">
        <w:rPr>
          <w:rFonts w:ascii="Times New Roman" w:hAnsi="Times New Roman" w:cs="Times New Roman"/>
        </w:rPr>
        <w:t xml:space="preserve"> from mediation as it </w:t>
      </w:r>
      <w:r w:rsidR="00E277A3" w:rsidRPr="00A60FD5">
        <w:rPr>
          <w:rFonts w:ascii="Times New Roman" w:hAnsi="Times New Roman" w:cs="Times New Roman"/>
        </w:rPr>
        <w:t xml:space="preserve">does not </w:t>
      </w:r>
      <w:r w:rsidR="00D55D51" w:rsidRPr="00A60FD5">
        <w:rPr>
          <w:rFonts w:ascii="Times New Roman" w:hAnsi="Times New Roman" w:cs="Times New Roman"/>
        </w:rPr>
        <w:t>involve a third party to facilitate the settlement (neither a mediator, an arbitrator nor a judge). Although it would be insightful to investigate those options together, our data do not enable us to account for negotiation and mediation choices. We encourage scholars to further investigate those options</w:t>
      </w:r>
      <w:r w:rsidR="00D478CA" w:rsidRPr="00A60FD5">
        <w:rPr>
          <w:rFonts w:ascii="Times New Roman" w:hAnsi="Times New Roman" w:cs="Times New Roman"/>
        </w:rPr>
        <w:t xml:space="preserve"> together</w:t>
      </w:r>
      <w:r w:rsidR="00D55D51" w:rsidRPr="00A60FD5">
        <w:rPr>
          <w:rFonts w:ascii="Times New Roman" w:hAnsi="Times New Roman" w:cs="Times New Roman"/>
        </w:rPr>
        <w:t xml:space="preserve">. </w:t>
      </w:r>
    </w:p>
    <w:p w14:paraId="4F2558C1" w14:textId="77777777" w:rsidR="00406DA2" w:rsidRPr="00A60FD5" w:rsidRDefault="00D55D51" w:rsidP="00406DA2">
      <w:pPr>
        <w:spacing w:after="0" w:line="480" w:lineRule="auto"/>
        <w:ind w:firstLine="624"/>
        <w:rPr>
          <w:rFonts w:ascii="Times New Roman" w:hAnsi="Times New Roman" w:cs="Times New Roman"/>
        </w:rPr>
      </w:pPr>
      <w:r w:rsidRPr="00A60FD5">
        <w:rPr>
          <w:rFonts w:ascii="Times New Roman" w:hAnsi="Times New Roman" w:cs="Times New Roman"/>
        </w:rPr>
        <w:t xml:space="preserve">Fourth, </w:t>
      </w:r>
      <w:r w:rsidR="00E62199" w:rsidRPr="00A60FD5">
        <w:rPr>
          <w:rFonts w:ascii="Times New Roman" w:hAnsi="Times New Roman" w:cs="Times New Roman"/>
        </w:rPr>
        <w:t>an investigation of</w:t>
      </w:r>
      <w:r w:rsidR="009148B6" w:rsidRPr="00A60FD5">
        <w:rPr>
          <w:rFonts w:ascii="Times New Roman" w:hAnsi="Times New Roman" w:cs="Times New Roman"/>
        </w:rPr>
        <w:t xml:space="preserve"> the performance implication</w:t>
      </w:r>
      <w:r w:rsidR="00AC6E78" w:rsidRPr="00A60FD5">
        <w:rPr>
          <w:rFonts w:ascii="Times New Roman" w:hAnsi="Times New Roman" w:cs="Times New Roman"/>
        </w:rPr>
        <w:t>s</w:t>
      </w:r>
      <w:r w:rsidR="009148B6" w:rsidRPr="00A60FD5">
        <w:rPr>
          <w:rFonts w:ascii="Times New Roman" w:hAnsi="Times New Roman" w:cs="Times New Roman"/>
        </w:rPr>
        <w:t xml:space="preserve"> of the choice </w:t>
      </w:r>
      <w:r w:rsidR="007E03FE" w:rsidRPr="00A60FD5">
        <w:rPr>
          <w:rFonts w:ascii="Times New Roman" w:hAnsi="Times New Roman" w:cs="Times New Roman"/>
        </w:rPr>
        <w:t>of</w:t>
      </w:r>
      <w:r w:rsidR="009148B6" w:rsidRPr="00A60FD5">
        <w:rPr>
          <w:rFonts w:ascii="Times New Roman" w:hAnsi="Times New Roman" w:cs="Times New Roman"/>
        </w:rPr>
        <w:t xml:space="preserve"> </w:t>
      </w:r>
      <w:r w:rsidR="00FA4020" w:rsidRPr="00A60FD5">
        <w:rPr>
          <w:rFonts w:ascii="Times New Roman" w:hAnsi="Times New Roman" w:cs="Times New Roman"/>
        </w:rPr>
        <w:t>dispute</w:t>
      </w:r>
      <w:r w:rsidR="00E62199" w:rsidRPr="00A60FD5">
        <w:rPr>
          <w:rFonts w:ascii="Times New Roman" w:hAnsi="Times New Roman" w:cs="Times New Roman"/>
        </w:rPr>
        <w:t>-</w:t>
      </w:r>
      <w:r w:rsidR="00FA4020" w:rsidRPr="00A60FD5">
        <w:rPr>
          <w:rFonts w:ascii="Times New Roman" w:hAnsi="Times New Roman" w:cs="Times New Roman"/>
        </w:rPr>
        <w:t xml:space="preserve">resolution </w:t>
      </w:r>
      <w:r w:rsidR="00EB3CC5" w:rsidRPr="00A60FD5">
        <w:rPr>
          <w:rFonts w:ascii="Times New Roman" w:hAnsi="Times New Roman" w:cs="Times New Roman"/>
        </w:rPr>
        <w:t>mechanism</w:t>
      </w:r>
      <w:r w:rsidR="009148B6" w:rsidRPr="00A60FD5">
        <w:rPr>
          <w:rFonts w:ascii="Times New Roman" w:hAnsi="Times New Roman" w:cs="Times New Roman"/>
        </w:rPr>
        <w:t xml:space="preserve"> and</w:t>
      </w:r>
      <w:r w:rsidR="007E03FE" w:rsidRPr="00A60FD5">
        <w:rPr>
          <w:rFonts w:ascii="Times New Roman" w:hAnsi="Times New Roman" w:cs="Times New Roman"/>
        </w:rPr>
        <w:t>,</w:t>
      </w:r>
      <w:r w:rsidR="009148B6" w:rsidRPr="00A60FD5">
        <w:rPr>
          <w:rFonts w:ascii="Times New Roman" w:hAnsi="Times New Roman" w:cs="Times New Roman"/>
        </w:rPr>
        <w:t xml:space="preserve"> more broadly</w:t>
      </w:r>
      <w:r w:rsidR="007E03FE" w:rsidRPr="00A60FD5">
        <w:rPr>
          <w:rFonts w:ascii="Times New Roman" w:hAnsi="Times New Roman" w:cs="Times New Roman"/>
        </w:rPr>
        <w:t>,</w:t>
      </w:r>
      <w:r w:rsidR="009148B6" w:rsidRPr="00A60FD5">
        <w:rPr>
          <w:rFonts w:ascii="Times New Roman" w:hAnsi="Times New Roman" w:cs="Times New Roman"/>
        </w:rPr>
        <w:t xml:space="preserve"> its consequences (e.g., </w:t>
      </w:r>
      <w:r w:rsidR="00E62199" w:rsidRPr="00A60FD5">
        <w:rPr>
          <w:rFonts w:ascii="Times New Roman" w:hAnsi="Times New Roman" w:cs="Times New Roman"/>
        </w:rPr>
        <w:t xml:space="preserve">partnership </w:t>
      </w:r>
      <w:r w:rsidR="009148B6" w:rsidRPr="00A60FD5">
        <w:rPr>
          <w:rFonts w:ascii="Times New Roman" w:hAnsi="Times New Roman" w:cs="Times New Roman"/>
        </w:rPr>
        <w:t>duration, tensions</w:t>
      </w:r>
      <w:r w:rsidR="00D45688" w:rsidRPr="00A60FD5">
        <w:rPr>
          <w:rFonts w:ascii="Times New Roman" w:hAnsi="Times New Roman" w:cs="Times New Roman"/>
        </w:rPr>
        <w:t xml:space="preserve"> avoided</w:t>
      </w:r>
      <w:r w:rsidR="009148B6" w:rsidRPr="00A60FD5">
        <w:rPr>
          <w:rFonts w:ascii="Times New Roman" w:hAnsi="Times New Roman" w:cs="Times New Roman"/>
        </w:rPr>
        <w:t xml:space="preserve">, </w:t>
      </w:r>
      <w:r w:rsidR="00A54DB8" w:rsidRPr="00A60FD5">
        <w:rPr>
          <w:rFonts w:ascii="Times New Roman" w:hAnsi="Times New Roman" w:cs="Times New Roman"/>
        </w:rPr>
        <w:t>fora</w:t>
      </w:r>
      <w:r w:rsidR="009148B6" w:rsidRPr="00A60FD5">
        <w:rPr>
          <w:rFonts w:ascii="Times New Roman" w:hAnsi="Times New Roman" w:cs="Times New Roman"/>
        </w:rPr>
        <w:t xml:space="preserve"> </w:t>
      </w:r>
      <w:r w:rsidR="009148B6" w:rsidRPr="00A60FD5">
        <w:rPr>
          <w:rFonts w:ascii="Times New Roman" w:hAnsi="Times New Roman" w:cs="Times New Roman"/>
        </w:rPr>
        <w:lastRenderedPageBreak/>
        <w:t>actually used</w:t>
      </w:r>
      <w:r w:rsidR="007E03FE" w:rsidRPr="00A60FD5">
        <w:rPr>
          <w:rFonts w:ascii="Times New Roman" w:hAnsi="Times New Roman" w:cs="Times New Roman"/>
        </w:rPr>
        <w:t>,</w:t>
      </w:r>
      <w:r w:rsidR="009148B6" w:rsidRPr="00A60FD5">
        <w:rPr>
          <w:rFonts w:ascii="Times New Roman" w:hAnsi="Times New Roman" w:cs="Times New Roman"/>
        </w:rPr>
        <w:t xml:space="preserve"> and renegotiation)</w:t>
      </w:r>
      <w:r w:rsidR="00E62199" w:rsidRPr="00A60FD5">
        <w:rPr>
          <w:rFonts w:ascii="Times New Roman" w:hAnsi="Times New Roman" w:cs="Times New Roman"/>
        </w:rPr>
        <w:t xml:space="preserve"> would be worthwhile</w:t>
      </w:r>
      <w:r w:rsidR="009148B6" w:rsidRPr="00A60FD5">
        <w:rPr>
          <w:rFonts w:ascii="Times New Roman" w:hAnsi="Times New Roman" w:cs="Times New Roman"/>
        </w:rPr>
        <w:t xml:space="preserve">. </w:t>
      </w:r>
      <w:r w:rsidR="00E62199" w:rsidRPr="00A60FD5">
        <w:rPr>
          <w:rFonts w:ascii="Times New Roman" w:hAnsi="Times New Roman" w:cs="Times New Roman"/>
        </w:rPr>
        <w:t>Our</w:t>
      </w:r>
      <w:r w:rsidR="009148B6" w:rsidRPr="00A60FD5">
        <w:rPr>
          <w:rFonts w:ascii="Times New Roman" w:hAnsi="Times New Roman" w:cs="Times New Roman"/>
        </w:rPr>
        <w:t xml:space="preserve"> objective has been to investigate the antecedents of the </w:t>
      </w:r>
      <w:r w:rsidR="007E03FE" w:rsidRPr="00A60FD5">
        <w:rPr>
          <w:rFonts w:ascii="Times New Roman" w:hAnsi="Times New Roman" w:cs="Times New Roman"/>
        </w:rPr>
        <w:t xml:space="preserve">choice </w:t>
      </w:r>
      <w:r w:rsidR="00EB3CC5" w:rsidRPr="00A60FD5">
        <w:rPr>
          <w:rFonts w:ascii="Times New Roman" w:hAnsi="Times New Roman" w:cs="Times New Roman"/>
        </w:rPr>
        <w:t>on arbitration.</w:t>
      </w:r>
      <w:r w:rsidR="009148B6" w:rsidRPr="00A60FD5">
        <w:rPr>
          <w:rFonts w:ascii="Times New Roman" w:hAnsi="Times New Roman" w:cs="Times New Roman"/>
        </w:rPr>
        <w:t xml:space="preserve"> </w:t>
      </w:r>
      <w:r w:rsidR="00E62199" w:rsidRPr="00A60FD5">
        <w:rPr>
          <w:rFonts w:ascii="Times New Roman" w:hAnsi="Times New Roman" w:cs="Times New Roman"/>
        </w:rPr>
        <w:t>However</w:t>
      </w:r>
      <w:r w:rsidR="009148B6" w:rsidRPr="00A60FD5">
        <w:rPr>
          <w:rFonts w:ascii="Times New Roman" w:hAnsi="Times New Roman" w:cs="Times New Roman"/>
        </w:rPr>
        <w:t xml:space="preserve">, we </w:t>
      </w:r>
      <w:r w:rsidR="007E03FE" w:rsidRPr="00A60FD5">
        <w:rPr>
          <w:rFonts w:ascii="Times New Roman" w:hAnsi="Times New Roman" w:cs="Times New Roman"/>
        </w:rPr>
        <w:t>highlight</w:t>
      </w:r>
      <w:r w:rsidR="009148B6" w:rsidRPr="00A60FD5">
        <w:rPr>
          <w:rFonts w:ascii="Times New Roman" w:hAnsi="Times New Roman" w:cs="Times New Roman"/>
        </w:rPr>
        <w:t xml:space="preserve"> the </w:t>
      </w:r>
      <w:r w:rsidR="00E62199" w:rsidRPr="00A60FD5">
        <w:rPr>
          <w:rFonts w:ascii="Times New Roman" w:hAnsi="Times New Roman" w:cs="Times New Roman"/>
        </w:rPr>
        <w:t>need to</w:t>
      </w:r>
      <w:r w:rsidR="007E03FE" w:rsidRPr="00A60FD5">
        <w:rPr>
          <w:rFonts w:ascii="Times New Roman" w:hAnsi="Times New Roman" w:cs="Times New Roman"/>
        </w:rPr>
        <w:t xml:space="preserve"> </w:t>
      </w:r>
      <w:r w:rsidR="009148B6" w:rsidRPr="00A60FD5">
        <w:rPr>
          <w:rFonts w:ascii="Times New Roman" w:hAnsi="Times New Roman" w:cs="Times New Roman"/>
        </w:rPr>
        <w:t>explor</w:t>
      </w:r>
      <w:r w:rsidR="00E62199" w:rsidRPr="00A60FD5">
        <w:rPr>
          <w:rFonts w:ascii="Times New Roman" w:hAnsi="Times New Roman" w:cs="Times New Roman"/>
        </w:rPr>
        <w:t>e</w:t>
      </w:r>
      <w:r w:rsidR="009148B6" w:rsidRPr="00A60FD5">
        <w:rPr>
          <w:rFonts w:ascii="Times New Roman" w:hAnsi="Times New Roman" w:cs="Times New Roman"/>
        </w:rPr>
        <w:t xml:space="preserve"> whether </w:t>
      </w:r>
      <w:r w:rsidR="004D298F" w:rsidRPr="00A60FD5">
        <w:rPr>
          <w:rFonts w:ascii="Times New Roman" w:hAnsi="Times New Roman" w:cs="Times New Roman"/>
        </w:rPr>
        <w:t>“</w:t>
      </w:r>
      <w:r w:rsidR="009148B6" w:rsidRPr="00A60FD5">
        <w:rPr>
          <w:rFonts w:ascii="Times New Roman" w:hAnsi="Times New Roman" w:cs="Times New Roman"/>
        </w:rPr>
        <w:t>adequately</w:t>
      </w:r>
      <w:r w:rsidR="004D298F" w:rsidRPr="00A60FD5">
        <w:rPr>
          <w:rFonts w:ascii="Times New Roman" w:hAnsi="Times New Roman" w:cs="Times New Roman"/>
        </w:rPr>
        <w:t>”</w:t>
      </w:r>
      <w:r w:rsidR="009148B6" w:rsidRPr="00A60FD5">
        <w:rPr>
          <w:rFonts w:ascii="Times New Roman" w:hAnsi="Times New Roman" w:cs="Times New Roman"/>
        </w:rPr>
        <w:t xml:space="preserve"> aligning contractual </w:t>
      </w:r>
      <w:r w:rsidR="00EB3CC5" w:rsidRPr="00A60FD5">
        <w:rPr>
          <w:rFonts w:ascii="Times New Roman" w:hAnsi="Times New Roman" w:cs="Times New Roman"/>
        </w:rPr>
        <w:t>orientation</w:t>
      </w:r>
      <w:r w:rsidR="009148B6" w:rsidRPr="00A60FD5">
        <w:rPr>
          <w:rFonts w:ascii="Times New Roman" w:hAnsi="Times New Roman" w:cs="Times New Roman"/>
        </w:rPr>
        <w:t xml:space="preserve"> with the </w:t>
      </w:r>
      <w:r w:rsidR="00EB3CC5" w:rsidRPr="00A60FD5">
        <w:rPr>
          <w:rFonts w:ascii="Times New Roman" w:hAnsi="Times New Roman" w:cs="Times New Roman"/>
        </w:rPr>
        <w:t>type of ordering</w:t>
      </w:r>
      <w:r w:rsidR="009148B6" w:rsidRPr="00A60FD5">
        <w:rPr>
          <w:rFonts w:ascii="Times New Roman" w:hAnsi="Times New Roman" w:cs="Times New Roman"/>
        </w:rPr>
        <w:t xml:space="preserve"> </w:t>
      </w:r>
      <w:r w:rsidR="004D298F" w:rsidRPr="00A60FD5">
        <w:rPr>
          <w:rFonts w:ascii="Times New Roman" w:hAnsi="Times New Roman" w:cs="Times New Roman"/>
          <w:i/>
        </w:rPr>
        <w:t xml:space="preserve">ex ante </w:t>
      </w:r>
      <w:r w:rsidR="009148B6" w:rsidRPr="00A60FD5">
        <w:rPr>
          <w:rFonts w:ascii="Times New Roman" w:hAnsi="Times New Roman" w:cs="Times New Roman"/>
        </w:rPr>
        <w:t>contributes to governance efficienc</w:t>
      </w:r>
      <w:r w:rsidR="00E62199" w:rsidRPr="00A60FD5">
        <w:rPr>
          <w:rFonts w:ascii="Times New Roman" w:hAnsi="Times New Roman" w:cs="Times New Roman"/>
        </w:rPr>
        <w:t>y</w:t>
      </w:r>
      <w:r w:rsidR="004D298F" w:rsidRPr="00A60FD5">
        <w:rPr>
          <w:rFonts w:ascii="Times New Roman" w:hAnsi="Times New Roman" w:cs="Times New Roman"/>
        </w:rPr>
        <w:t xml:space="preserve"> </w:t>
      </w:r>
      <w:r w:rsidR="004D298F" w:rsidRPr="00A60FD5">
        <w:rPr>
          <w:rFonts w:ascii="Times New Roman" w:hAnsi="Times New Roman" w:cs="Times New Roman"/>
          <w:i/>
        </w:rPr>
        <w:t>ex post</w:t>
      </w:r>
      <w:r w:rsidR="009148B6" w:rsidRPr="00A60FD5">
        <w:rPr>
          <w:rFonts w:ascii="Times New Roman" w:hAnsi="Times New Roman" w:cs="Times New Roman"/>
        </w:rPr>
        <w:t xml:space="preserve">. </w:t>
      </w:r>
      <w:r w:rsidR="0066546B" w:rsidRPr="00A60FD5">
        <w:rPr>
          <w:rFonts w:ascii="Times New Roman" w:hAnsi="Times New Roman" w:cs="Times New Roman"/>
        </w:rPr>
        <w:t xml:space="preserve">Similarly, </w:t>
      </w:r>
      <w:r w:rsidR="00AC6E78" w:rsidRPr="00A60FD5">
        <w:rPr>
          <w:rFonts w:ascii="Times New Roman" w:hAnsi="Times New Roman" w:cs="Times New Roman"/>
        </w:rPr>
        <w:t xml:space="preserve">future </w:t>
      </w:r>
      <w:r w:rsidR="0066546B" w:rsidRPr="00A60FD5">
        <w:rPr>
          <w:rFonts w:ascii="Times New Roman" w:hAnsi="Times New Roman" w:cs="Times New Roman"/>
        </w:rPr>
        <w:t xml:space="preserve">research may explore whether </w:t>
      </w:r>
      <w:r w:rsidR="00972259" w:rsidRPr="00A60FD5">
        <w:rPr>
          <w:rFonts w:ascii="Times New Roman" w:hAnsi="Times New Roman" w:cs="Times New Roman"/>
        </w:rPr>
        <w:t>“</w:t>
      </w:r>
      <w:r w:rsidR="0066546B" w:rsidRPr="00A60FD5">
        <w:rPr>
          <w:rFonts w:ascii="Times New Roman" w:hAnsi="Times New Roman" w:cs="Times New Roman"/>
        </w:rPr>
        <w:t>misalignment</w:t>
      </w:r>
      <w:r w:rsidR="007E03FE" w:rsidRPr="00A60FD5">
        <w:rPr>
          <w:rFonts w:ascii="Times New Roman" w:hAnsi="Times New Roman" w:cs="Times New Roman"/>
        </w:rPr>
        <w:t>s</w:t>
      </w:r>
      <w:r w:rsidR="00972259" w:rsidRPr="00A60FD5">
        <w:rPr>
          <w:rFonts w:ascii="Times New Roman" w:hAnsi="Times New Roman" w:cs="Times New Roman"/>
        </w:rPr>
        <w:t>”</w:t>
      </w:r>
      <w:r w:rsidR="0066546B" w:rsidRPr="00A60FD5">
        <w:rPr>
          <w:rFonts w:ascii="Times New Roman" w:hAnsi="Times New Roman" w:cs="Times New Roman"/>
        </w:rPr>
        <w:t xml:space="preserve"> </w:t>
      </w:r>
      <w:r w:rsidR="00E62199" w:rsidRPr="00A60FD5">
        <w:rPr>
          <w:rFonts w:ascii="Times New Roman" w:hAnsi="Times New Roman" w:cs="Times New Roman"/>
        </w:rPr>
        <w:t>are</w:t>
      </w:r>
      <w:r w:rsidR="0066546B" w:rsidRPr="00A60FD5">
        <w:rPr>
          <w:rFonts w:ascii="Times New Roman" w:hAnsi="Times New Roman" w:cs="Times New Roman"/>
        </w:rPr>
        <w:t xml:space="preserve"> more or less damaging when </w:t>
      </w:r>
      <w:r w:rsidR="007E03FE" w:rsidRPr="00A60FD5">
        <w:rPr>
          <w:rFonts w:ascii="Times New Roman" w:hAnsi="Times New Roman" w:cs="Times New Roman"/>
        </w:rPr>
        <w:t>they</w:t>
      </w:r>
      <w:r w:rsidR="0066546B" w:rsidRPr="00A60FD5">
        <w:rPr>
          <w:rFonts w:ascii="Times New Roman" w:hAnsi="Times New Roman" w:cs="Times New Roman"/>
        </w:rPr>
        <w:t xml:space="preserve"> concern</w:t>
      </w:r>
      <w:r w:rsidR="007E03FE" w:rsidRPr="00A60FD5">
        <w:rPr>
          <w:rFonts w:ascii="Times New Roman" w:hAnsi="Times New Roman" w:cs="Times New Roman"/>
        </w:rPr>
        <w:t xml:space="preserve"> </w:t>
      </w:r>
      <w:r w:rsidR="00EB3CC5" w:rsidRPr="00A60FD5">
        <w:rPr>
          <w:rFonts w:ascii="Times New Roman" w:hAnsi="Times New Roman" w:cs="Times New Roman"/>
        </w:rPr>
        <w:t xml:space="preserve">monitoring or coordination </w:t>
      </w:r>
      <w:r w:rsidR="004D298F" w:rsidRPr="00A60FD5">
        <w:rPr>
          <w:rFonts w:ascii="Times New Roman" w:hAnsi="Times New Roman" w:cs="Times New Roman"/>
        </w:rPr>
        <w:t>orientations</w:t>
      </w:r>
      <w:r w:rsidR="0066546B" w:rsidRPr="00A60FD5">
        <w:rPr>
          <w:rFonts w:ascii="Times New Roman" w:hAnsi="Times New Roman" w:cs="Times New Roman"/>
        </w:rPr>
        <w:t>.</w:t>
      </w:r>
      <w:r w:rsidR="00921AFE" w:rsidRPr="00A60FD5">
        <w:rPr>
          <w:rFonts w:ascii="Times New Roman" w:hAnsi="Times New Roman" w:cs="Times New Roman"/>
        </w:rPr>
        <w:t xml:space="preserve"> </w:t>
      </w:r>
    </w:p>
    <w:p w14:paraId="0B5BE603" w14:textId="77777777" w:rsidR="00406DA2" w:rsidRPr="00A60FD5" w:rsidRDefault="001A1571" w:rsidP="00406DA2">
      <w:pPr>
        <w:spacing w:after="0" w:line="480" w:lineRule="auto"/>
        <w:ind w:firstLine="624"/>
        <w:rPr>
          <w:rFonts w:ascii="Times New Roman" w:hAnsi="Times New Roman" w:cs="Times New Roman"/>
        </w:rPr>
      </w:pPr>
      <w:r w:rsidRPr="00A60FD5">
        <w:rPr>
          <w:rFonts w:ascii="Times New Roman" w:hAnsi="Times New Roman" w:cs="Times New Roman"/>
        </w:rPr>
        <w:t>Fifth</w:t>
      </w:r>
      <w:r w:rsidR="009148B6" w:rsidRPr="00A60FD5">
        <w:rPr>
          <w:rFonts w:ascii="Times New Roman" w:hAnsi="Times New Roman" w:cs="Times New Roman"/>
        </w:rPr>
        <w:t xml:space="preserve">, our measure of arbitration does not account for the degree of detail </w:t>
      </w:r>
      <w:r w:rsidR="00E62199" w:rsidRPr="00A60FD5">
        <w:rPr>
          <w:rFonts w:ascii="Times New Roman" w:hAnsi="Times New Roman" w:cs="Times New Roman"/>
        </w:rPr>
        <w:t>found in</w:t>
      </w:r>
      <w:r w:rsidR="009148B6" w:rsidRPr="00A60FD5">
        <w:rPr>
          <w:rFonts w:ascii="Times New Roman" w:hAnsi="Times New Roman" w:cs="Times New Roman"/>
        </w:rPr>
        <w:t xml:space="preserve"> the arbitration provision. Future research may </w:t>
      </w:r>
      <w:r w:rsidR="00EB3CC5" w:rsidRPr="00A60FD5">
        <w:rPr>
          <w:rFonts w:ascii="Times New Roman" w:hAnsi="Times New Roman" w:cs="Times New Roman"/>
        </w:rPr>
        <w:t>explore</w:t>
      </w:r>
      <w:r w:rsidR="009148B6" w:rsidRPr="00A60FD5">
        <w:rPr>
          <w:rFonts w:ascii="Times New Roman" w:hAnsi="Times New Roman" w:cs="Times New Roman"/>
        </w:rPr>
        <w:t xml:space="preserve"> differences </w:t>
      </w:r>
      <w:r w:rsidR="007E03FE" w:rsidRPr="00A60FD5">
        <w:rPr>
          <w:rFonts w:ascii="Times New Roman" w:hAnsi="Times New Roman" w:cs="Times New Roman"/>
        </w:rPr>
        <w:t>among</w:t>
      </w:r>
      <w:r w:rsidR="009148B6" w:rsidRPr="00A60FD5">
        <w:rPr>
          <w:rFonts w:ascii="Times New Roman" w:hAnsi="Times New Roman" w:cs="Times New Roman"/>
        </w:rPr>
        <w:t xml:space="preserve"> arbitration provisions (e.g., number of arbitrators, issues to be arbitrated, arbitral rules, and schedule and form of award)</w:t>
      </w:r>
      <w:r w:rsidR="00EB3CC5" w:rsidRPr="00A60FD5">
        <w:rPr>
          <w:rFonts w:ascii="Times New Roman" w:hAnsi="Times New Roman" w:cs="Times New Roman"/>
        </w:rPr>
        <w:t>,</w:t>
      </w:r>
      <w:r w:rsidR="009148B6" w:rsidRPr="00A60FD5">
        <w:rPr>
          <w:rFonts w:ascii="Times New Roman" w:hAnsi="Times New Roman" w:cs="Times New Roman"/>
        </w:rPr>
        <w:t xml:space="preserve"> </w:t>
      </w:r>
      <w:r w:rsidR="00E62199" w:rsidRPr="00A60FD5">
        <w:rPr>
          <w:rFonts w:ascii="Times New Roman" w:hAnsi="Times New Roman" w:cs="Times New Roman"/>
        </w:rPr>
        <w:t>especially in terms of</w:t>
      </w:r>
      <w:r w:rsidR="009148B6" w:rsidRPr="00A60FD5">
        <w:rPr>
          <w:rFonts w:ascii="Times New Roman" w:hAnsi="Times New Roman" w:cs="Times New Roman"/>
        </w:rPr>
        <w:t xml:space="preserve"> choices </w:t>
      </w:r>
      <w:r w:rsidR="00E62199" w:rsidRPr="00A60FD5">
        <w:rPr>
          <w:rFonts w:ascii="Times New Roman" w:hAnsi="Times New Roman" w:cs="Times New Roman"/>
        </w:rPr>
        <w:t xml:space="preserve">of </w:t>
      </w:r>
      <w:r w:rsidR="009148B6" w:rsidRPr="00A60FD5">
        <w:rPr>
          <w:rFonts w:ascii="Times New Roman" w:hAnsi="Times New Roman" w:cs="Times New Roman"/>
          <w:i/>
        </w:rPr>
        <w:t>ad hoc</w:t>
      </w:r>
      <w:r w:rsidR="009148B6" w:rsidRPr="00A60FD5">
        <w:rPr>
          <w:rFonts w:ascii="Times New Roman" w:hAnsi="Times New Roman" w:cs="Times New Roman"/>
        </w:rPr>
        <w:t xml:space="preserve"> or institutional arbitration (</w:t>
      </w:r>
      <w:r w:rsidR="00921AFE" w:rsidRPr="00A60FD5">
        <w:rPr>
          <w:rFonts w:ascii="Times New Roman" w:hAnsi="Times New Roman" w:cs="Times New Roman"/>
        </w:rPr>
        <w:t>Leeson</w:t>
      </w:r>
      <w:r w:rsidR="002145BC" w:rsidRPr="00A60FD5">
        <w:rPr>
          <w:rFonts w:ascii="Times New Roman" w:hAnsi="Times New Roman" w:cs="Times New Roman"/>
        </w:rPr>
        <w:t>,</w:t>
      </w:r>
      <w:r w:rsidR="00921AFE" w:rsidRPr="00A60FD5">
        <w:rPr>
          <w:rFonts w:ascii="Times New Roman" w:hAnsi="Times New Roman" w:cs="Times New Roman"/>
        </w:rPr>
        <w:t xml:space="preserve"> 2008</w:t>
      </w:r>
      <w:r w:rsidR="002145BC" w:rsidRPr="00A60FD5">
        <w:rPr>
          <w:rFonts w:ascii="Times New Roman" w:hAnsi="Times New Roman" w:cs="Times New Roman"/>
        </w:rPr>
        <w:t>;</w:t>
      </w:r>
      <w:r w:rsidR="00921AFE" w:rsidRPr="00A60FD5">
        <w:rPr>
          <w:rFonts w:ascii="Times New Roman" w:hAnsi="Times New Roman" w:cs="Times New Roman"/>
        </w:rPr>
        <w:t xml:space="preserve"> </w:t>
      </w:r>
      <w:r w:rsidR="00EB3CC5" w:rsidRPr="00A60FD5">
        <w:rPr>
          <w:rFonts w:ascii="Times New Roman" w:hAnsi="Times New Roman" w:cs="Times New Roman"/>
        </w:rPr>
        <w:t>Slate</w:t>
      </w:r>
      <w:r w:rsidR="002145BC" w:rsidRPr="00A60FD5">
        <w:rPr>
          <w:rFonts w:ascii="Times New Roman" w:hAnsi="Times New Roman" w:cs="Times New Roman"/>
        </w:rPr>
        <w:t>,</w:t>
      </w:r>
      <w:r w:rsidR="00EB3CC5" w:rsidRPr="00A60FD5">
        <w:rPr>
          <w:rFonts w:ascii="Times New Roman" w:hAnsi="Times New Roman" w:cs="Times New Roman"/>
        </w:rPr>
        <w:t xml:space="preserve"> 1996</w:t>
      </w:r>
      <w:r w:rsidR="009148B6" w:rsidRPr="00A60FD5">
        <w:rPr>
          <w:rFonts w:ascii="Times New Roman" w:hAnsi="Times New Roman" w:cs="Times New Roman"/>
        </w:rPr>
        <w:t>).</w:t>
      </w:r>
    </w:p>
    <w:p w14:paraId="128E1492" w14:textId="621B0333" w:rsidR="005123BB" w:rsidRDefault="009148B6" w:rsidP="00EC5AD6">
      <w:pPr>
        <w:spacing w:after="0" w:line="480" w:lineRule="auto"/>
        <w:ind w:firstLine="624"/>
        <w:rPr>
          <w:rFonts w:ascii="Times New Roman" w:hAnsi="Times New Roman" w:cs="Times New Roman"/>
        </w:rPr>
      </w:pPr>
      <w:r w:rsidRPr="00A60FD5">
        <w:rPr>
          <w:rFonts w:ascii="Times New Roman" w:hAnsi="Times New Roman" w:cs="Times New Roman"/>
        </w:rPr>
        <w:t xml:space="preserve">Finally, </w:t>
      </w:r>
      <w:r w:rsidR="00E62199" w:rsidRPr="00A60FD5">
        <w:rPr>
          <w:rFonts w:ascii="Times New Roman" w:hAnsi="Times New Roman" w:cs="Times New Roman"/>
        </w:rPr>
        <w:t>as</w:t>
      </w:r>
      <w:r w:rsidRPr="00A60FD5">
        <w:rPr>
          <w:rFonts w:ascii="Times New Roman" w:hAnsi="Times New Roman" w:cs="Times New Roman"/>
        </w:rPr>
        <w:t xml:space="preserve"> our sample is composed of licensing </w:t>
      </w:r>
      <w:r w:rsidR="00EB3CC5" w:rsidRPr="00A60FD5">
        <w:rPr>
          <w:rFonts w:ascii="Times New Roman" w:hAnsi="Times New Roman" w:cs="Times New Roman"/>
        </w:rPr>
        <w:t xml:space="preserve">exchanges </w:t>
      </w:r>
      <w:r w:rsidRPr="00A60FD5">
        <w:rPr>
          <w:rFonts w:ascii="Times New Roman" w:hAnsi="Times New Roman" w:cs="Times New Roman"/>
        </w:rPr>
        <w:t xml:space="preserve">involving at least one Belgian firm, it would be valuable to investigate the choice </w:t>
      </w:r>
      <w:r w:rsidR="00E62199" w:rsidRPr="00A60FD5">
        <w:rPr>
          <w:rFonts w:ascii="Times New Roman" w:hAnsi="Times New Roman" w:cs="Times New Roman"/>
        </w:rPr>
        <w:t>of</w:t>
      </w:r>
      <w:r w:rsidR="00EB3CC5" w:rsidRPr="00A60FD5">
        <w:rPr>
          <w:rFonts w:ascii="Times New Roman" w:hAnsi="Times New Roman" w:cs="Times New Roman"/>
        </w:rPr>
        <w:t xml:space="preserve"> dispute</w:t>
      </w:r>
      <w:r w:rsidR="00E62199" w:rsidRPr="00A60FD5">
        <w:rPr>
          <w:rFonts w:ascii="Times New Roman" w:hAnsi="Times New Roman" w:cs="Times New Roman"/>
        </w:rPr>
        <w:t>-</w:t>
      </w:r>
      <w:r w:rsidR="00EB3CC5" w:rsidRPr="00A60FD5">
        <w:rPr>
          <w:rFonts w:ascii="Times New Roman" w:hAnsi="Times New Roman" w:cs="Times New Roman"/>
        </w:rPr>
        <w:t>resolution mechanisms</w:t>
      </w:r>
      <w:r w:rsidRPr="00A60FD5">
        <w:rPr>
          <w:rFonts w:ascii="Times New Roman" w:hAnsi="Times New Roman" w:cs="Times New Roman"/>
        </w:rPr>
        <w:t xml:space="preserve"> </w:t>
      </w:r>
      <w:r w:rsidR="007E03FE" w:rsidRPr="00A60FD5">
        <w:rPr>
          <w:rFonts w:ascii="Times New Roman" w:hAnsi="Times New Roman" w:cs="Times New Roman"/>
        </w:rPr>
        <w:t>among</w:t>
      </w:r>
      <w:r w:rsidRPr="00A60FD5">
        <w:rPr>
          <w:rFonts w:ascii="Times New Roman" w:hAnsi="Times New Roman" w:cs="Times New Roman"/>
        </w:rPr>
        <w:t xml:space="preserve"> partner firms </w:t>
      </w:r>
      <w:r w:rsidR="00406DA2" w:rsidRPr="00A60FD5">
        <w:rPr>
          <w:rFonts w:ascii="Times New Roman" w:hAnsi="Times New Roman" w:cs="Times New Roman"/>
        </w:rPr>
        <w:t>in a broader international setting with partner firms from a wider range of countries</w:t>
      </w:r>
      <w:r w:rsidRPr="00A60FD5">
        <w:rPr>
          <w:rFonts w:ascii="Times New Roman" w:hAnsi="Times New Roman" w:cs="Times New Roman"/>
        </w:rPr>
        <w:t xml:space="preserve">. </w:t>
      </w:r>
      <w:r w:rsidR="007E03FE" w:rsidRPr="00A60FD5">
        <w:rPr>
          <w:rFonts w:ascii="Times New Roman" w:hAnsi="Times New Roman" w:cs="Times New Roman"/>
        </w:rPr>
        <w:t>Such s</w:t>
      </w:r>
      <w:r w:rsidRPr="00A60FD5">
        <w:rPr>
          <w:rFonts w:ascii="Times New Roman" w:hAnsi="Times New Roman" w:cs="Times New Roman"/>
        </w:rPr>
        <w:t xml:space="preserve">tudies could </w:t>
      </w:r>
      <w:r w:rsidR="00E62199" w:rsidRPr="00A60FD5">
        <w:rPr>
          <w:rFonts w:ascii="Times New Roman" w:hAnsi="Times New Roman" w:cs="Times New Roman"/>
        </w:rPr>
        <w:t>provide</w:t>
      </w:r>
      <w:r w:rsidR="00972259" w:rsidRPr="00A60FD5">
        <w:rPr>
          <w:rFonts w:ascii="Times New Roman" w:hAnsi="Times New Roman" w:cs="Times New Roman"/>
        </w:rPr>
        <w:t xml:space="preserve"> </w:t>
      </w:r>
      <w:r w:rsidRPr="00A60FD5">
        <w:rPr>
          <w:rFonts w:ascii="Times New Roman" w:hAnsi="Times New Roman" w:cs="Times New Roman"/>
        </w:rPr>
        <w:t xml:space="preserve">valuable insights </w:t>
      </w:r>
      <w:r w:rsidR="007E03FE" w:rsidRPr="00A60FD5">
        <w:rPr>
          <w:rFonts w:ascii="Times New Roman" w:hAnsi="Times New Roman" w:cs="Times New Roman"/>
        </w:rPr>
        <w:t>into</w:t>
      </w:r>
      <w:r w:rsidRPr="00A60FD5">
        <w:rPr>
          <w:rFonts w:ascii="Times New Roman" w:hAnsi="Times New Roman" w:cs="Times New Roman"/>
        </w:rPr>
        <w:t xml:space="preserve"> the influence</w:t>
      </w:r>
      <w:r w:rsidR="00AC6E78" w:rsidRPr="00A60FD5">
        <w:rPr>
          <w:rFonts w:ascii="Times New Roman" w:hAnsi="Times New Roman" w:cs="Times New Roman"/>
        </w:rPr>
        <w:t>s</w:t>
      </w:r>
      <w:r w:rsidRPr="00A60FD5">
        <w:rPr>
          <w:rFonts w:ascii="Times New Roman" w:hAnsi="Times New Roman" w:cs="Times New Roman"/>
        </w:rPr>
        <w:t xml:space="preserve"> of institutional environments, cultural distance, or legal traditions on the </w:t>
      </w:r>
      <w:r w:rsidR="00AC6E78" w:rsidRPr="00A60FD5">
        <w:rPr>
          <w:rFonts w:ascii="Times New Roman" w:hAnsi="Times New Roman" w:cs="Times New Roman"/>
        </w:rPr>
        <w:t>inclusion</w:t>
      </w:r>
      <w:r w:rsidRPr="00A60FD5">
        <w:rPr>
          <w:rFonts w:ascii="Times New Roman" w:hAnsi="Times New Roman" w:cs="Times New Roman"/>
        </w:rPr>
        <w:t xml:space="preserve"> of arbitration</w:t>
      </w:r>
      <w:r w:rsidR="00AC6E78" w:rsidRPr="00A60FD5">
        <w:rPr>
          <w:rFonts w:ascii="Times New Roman" w:hAnsi="Times New Roman" w:cs="Times New Roman"/>
        </w:rPr>
        <w:t xml:space="preserve"> provisions</w:t>
      </w:r>
      <w:r w:rsidRPr="00A60FD5">
        <w:rPr>
          <w:rFonts w:ascii="Times New Roman" w:hAnsi="Times New Roman" w:cs="Times New Roman"/>
        </w:rPr>
        <w:t>.</w:t>
      </w:r>
      <w:r w:rsidR="00C4110C" w:rsidRPr="00A60FD5">
        <w:rPr>
          <w:rFonts w:ascii="Times New Roman" w:hAnsi="Times New Roman" w:cs="Times New Roman"/>
        </w:rPr>
        <w:t xml:space="preserve"> </w:t>
      </w:r>
      <w:r w:rsidR="00406DA2" w:rsidRPr="00A60FD5">
        <w:rPr>
          <w:rFonts w:ascii="Times New Roman" w:hAnsi="Times New Roman" w:cs="Times New Roman"/>
        </w:rPr>
        <w:t>In that context, future studies</w:t>
      </w:r>
      <w:r w:rsidR="00C4110C" w:rsidRPr="00A60FD5">
        <w:rPr>
          <w:rFonts w:ascii="Times New Roman" w:hAnsi="Times New Roman" w:cs="Times New Roman"/>
        </w:rPr>
        <w:t xml:space="preserve"> could also investigate whether the cultural background of licensing partners influence</w:t>
      </w:r>
      <w:r w:rsidR="00406DA2" w:rsidRPr="00A60FD5">
        <w:rPr>
          <w:rFonts w:ascii="Times New Roman" w:hAnsi="Times New Roman" w:cs="Times New Roman"/>
        </w:rPr>
        <w:t>s</w:t>
      </w:r>
      <w:r w:rsidR="00C4110C" w:rsidRPr="00A60FD5">
        <w:rPr>
          <w:rFonts w:ascii="Times New Roman" w:hAnsi="Times New Roman" w:cs="Times New Roman"/>
        </w:rPr>
        <w:t xml:space="preserve"> the sequence of matters (i.e., monitoring, coordination and dispute-resolution provisions) addressed during the negotiation process.</w:t>
      </w:r>
      <w:r w:rsidR="004534D1" w:rsidRPr="00A60FD5">
        <w:rPr>
          <w:rFonts w:ascii="Times New Roman" w:hAnsi="Times New Roman" w:cs="Times New Roman"/>
        </w:rPr>
        <w:t xml:space="preserve"> </w:t>
      </w:r>
      <w:r w:rsidR="00293B49" w:rsidRPr="00A60FD5">
        <w:rPr>
          <w:rFonts w:ascii="Times New Roman" w:hAnsi="Times New Roman" w:cs="Times New Roman"/>
        </w:rPr>
        <w:t xml:space="preserve">There is still a lot to study about conflict resolution in inter-organizational </w:t>
      </w:r>
      <w:r w:rsidR="004534D1" w:rsidRPr="00A60FD5">
        <w:rPr>
          <w:rFonts w:ascii="Times New Roman" w:hAnsi="Times New Roman" w:cs="Times New Roman"/>
        </w:rPr>
        <w:t>exchanges</w:t>
      </w:r>
      <w:r w:rsidR="00293B49" w:rsidRPr="00A60FD5">
        <w:rPr>
          <w:rFonts w:ascii="Times New Roman" w:hAnsi="Times New Roman" w:cs="Times New Roman"/>
        </w:rPr>
        <w:t xml:space="preserve">. </w:t>
      </w:r>
      <w:r w:rsidR="004534D1" w:rsidRPr="00A60FD5">
        <w:rPr>
          <w:rFonts w:ascii="Times New Roman" w:hAnsi="Times New Roman" w:cs="Times New Roman"/>
        </w:rPr>
        <w:t>Our study paves the way for further contributions to research on doing business through technology license.</w:t>
      </w:r>
    </w:p>
    <w:p w14:paraId="1823CCFB" w14:textId="77777777" w:rsidR="00DA43E0" w:rsidRDefault="00DA43E0" w:rsidP="00EC5AD6">
      <w:pPr>
        <w:spacing w:after="0" w:line="480" w:lineRule="auto"/>
        <w:ind w:firstLine="624"/>
        <w:rPr>
          <w:rFonts w:ascii="Times New Roman" w:hAnsi="Times New Roman" w:cs="Times New Roman"/>
        </w:rPr>
      </w:pPr>
    </w:p>
    <w:p w14:paraId="307B80F7" w14:textId="77777777" w:rsidR="00DA43E0" w:rsidRDefault="00DA43E0" w:rsidP="00EC5AD6">
      <w:pPr>
        <w:spacing w:after="0" w:line="480" w:lineRule="auto"/>
        <w:ind w:firstLine="624"/>
        <w:rPr>
          <w:rFonts w:ascii="Times New Roman" w:hAnsi="Times New Roman" w:cs="Times New Roman"/>
        </w:rPr>
      </w:pPr>
    </w:p>
    <w:p w14:paraId="0D0F5E06" w14:textId="77777777" w:rsidR="00DA43E0" w:rsidRDefault="00DA43E0" w:rsidP="00EC5AD6">
      <w:pPr>
        <w:spacing w:after="0" w:line="480" w:lineRule="auto"/>
        <w:ind w:firstLine="624"/>
        <w:rPr>
          <w:rFonts w:ascii="Times New Roman" w:hAnsi="Times New Roman" w:cs="Times New Roman"/>
        </w:rPr>
      </w:pPr>
    </w:p>
    <w:p w14:paraId="2196BAF0" w14:textId="77777777" w:rsidR="00DA43E0" w:rsidRDefault="00DA43E0" w:rsidP="00EC5AD6">
      <w:pPr>
        <w:spacing w:after="0" w:line="480" w:lineRule="auto"/>
        <w:ind w:firstLine="624"/>
        <w:rPr>
          <w:rFonts w:ascii="Times New Roman" w:hAnsi="Times New Roman" w:cs="Times New Roman"/>
        </w:rPr>
      </w:pPr>
    </w:p>
    <w:p w14:paraId="2E8E49DA" w14:textId="77777777" w:rsidR="00DA43E0" w:rsidRDefault="00DA43E0" w:rsidP="00EC5AD6">
      <w:pPr>
        <w:spacing w:after="0" w:line="480" w:lineRule="auto"/>
        <w:ind w:firstLine="624"/>
        <w:rPr>
          <w:rFonts w:ascii="Times New Roman" w:hAnsi="Times New Roman" w:cs="Times New Roman"/>
        </w:rPr>
      </w:pPr>
    </w:p>
    <w:p w14:paraId="23B400AC" w14:textId="77777777" w:rsidR="00DA43E0" w:rsidRDefault="00DA43E0" w:rsidP="00EC5AD6">
      <w:pPr>
        <w:spacing w:after="0" w:line="480" w:lineRule="auto"/>
        <w:ind w:firstLine="624"/>
        <w:rPr>
          <w:rFonts w:ascii="Times New Roman" w:hAnsi="Times New Roman" w:cs="Times New Roman"/>
        </w:rPr>
      </w:pPr>
    </w:p>
    <w:p w14:paraId="4B8A7D1B" w14:textId="77777777" w:rsidR="00DA43E0" w:rsidRDefault="00DA43E0" w:rsidP="00EC5AD6">
      <w:pPr>
        <w:spacing w:after="0" w:line="480" w:lineRule="auto"/>
        <w:ind w:firstLine="624"/>
        <w:rPr>
          <w:rFonts w:ascii="Times New Roman" w:hAnsi="Times New Roman" w:cs="Times New Roman"/>
        </w:rPr>
      </w:pPr>
    </w:p>
    <w:p w14:paraId="1AEE5E9C" w14:textId="77777777" w:rsidR="00DA43E0" w:rsidRDefault="00DA43E0" w:rsidP="00EC5AD6">
      <w:pPr>
        <w:spacing w:after="0" w:line="480" w:lineRule="auto"/>
        <w:ind w:firstLine="624"/>
        <w:rPr>
          <w:rFonts w:ascii="Times New Roman" w:hAnsi="Times New Roman" w:cs="Times New Roman"/>
        </w:rPr>
      </w:pPr>
    </w:p>
    <w:p w14:paraId="45B04C6E" w14:textId="77777777" w:rsidR="00DA43E0" w:rsidRPr="00A60FD5" w:rsidRDefault="00DA43E0" w:rsidP="00EC5AD6">
      <w:pPr>
        <w:spacing w:after="0" w:line="480" w:lineRule="auto"/>
        <w:ind w:firstLine="624"/>
        <w:rPr>
          <w:rFonts w:ascii="Times New Roman" w:hAnsi="Times New Roman" w:cs="Times New Roman"/>
          <w:b/>
        </w:rPr>
      </w:pPr>
    </w:p>
    <w:p w14:paraId="44D75F57" w14:textId="25FB7079" w:rsidR="00754823" w:rsidRPr="00EC5AD6" w:rsidRDefault="00A05DE5" w:rsidP="00EC5AD6">
      <w:pPr>
        <w:pStyle w:val="ListParagraph"/>
        <w:numPr>
          <w:ilvl w:val="0"/>
          <w:numId w:val="28"/>
        </w:numPr>
        <w:spacing w:after="0" w:line="240" w:lineRule="auto"/>
        <w:rPr>
          <w:rFonts w:ascii="Times New Roman" w:hAnsi="Times New Roman"/>
          <w:b/>
        </w:rPr>
      </w:pPr>
      <w:r w:rsidRPr="00EC5AD6">
        <w:rPr>
          <w:rFonts w:ascii="Times New Roman" w:hAnsi="Times New Roman"/>
          <w:b/>
        </w:rPr>
        <w:lastRenderedPageBreak/>
        <w:t>R</w:t>
      </w:r>
      <w:r w:rsidR="00754823" w:rsidRPr="00EC5AD6">
        <w:rPr>
          <w:rFonts w:ascii="Times New Roman" w:hAnsi="Times New Roman"/>
          <w:b/>
        </w:rPr>
        <w:t>EFERENCES</w:t>
      </w:r>
      <w:r w:rsidR="002145BC" w:rsidRPr="00EC5AD6">
        <w:rPr>
          <w:rFonts w:ascii="Times New Roman" w:hAnsi="Times New Roman"/>
          <w:b/>
        </w:rPr>
        <w:t xml:space="preserve"> </w:t>
      </w:r>
    </w:p>
    <w:p w14:paraId="63556F00" w14:textId="7C7441CF" w:rsidR="005123BB" w:rsidRPr="00A60FD5" w:rsidRDefault="005123BB" w:rsidP="00EB0BB0">
      <w:pPr>
        <w:spacing w:line="220" w:lineRule="exact"/>
        <w:rPr>
          <w:rFonts w:ascii="Times New Roman" w:hAnsi="Times New Roman"/>
        </w:rPr>
      </w:pPr>
      <w:r w:rsidRPr="00A60FD5">
        <w:rPr>
          <w:rFonts w:ascii="Times New Roman" w:hAnsi="Times New Roman"/>
        </w:rPr>
        <w:t>Adams, R.B., Ferreira</w:t>
      </w:r>
      <w:r w:rsidR="00601A6B">
        <w:rPr>
          <w:rFonts w:ascii="Times New Roman" w:hAnsi="Times New Roman"/>
        </w:rPr>
        <w:t xml:space="preserve">, </w:t>
      </w:r>
      <w:r w:rsidR="00601A6B" w:rsidRPr="00A60FD5">
        <w:rPr>
          <w:rFonts w:ascii="Times New Roman" w:hAnsi="Times New Roman"/>
        </w:rPr>
        <w:t>D.</w:t>
      </w:r>
      <w:r w:rsidR="00601A6B">
        <w:rPr>
          <w:rFonts w:ascii="Times New Roman" w:hAnsi="Times New Roman"/>
        </w:rPr>
        <w:t>,</w:t>
      </w:r>
      <w:r w:rsidRPr="00A60FD5">
        <w:rPr>
          <w:rFonts w:ascii="Times New Roman" w:hAnsi="Times New Roman"/>
        </w:rPr>
        <w:t xml:space="preserve"> 2008. Do directors perform for pay?. J</w:t>
      </w:r>
      <w:r w:rsidR="00601A6B">
        <w:rPr>
          <w:rFonts w:ascii="Times New Roman" w:hAnsi="Times New Roman"/>
        </w:rPr>
        <w:t>ournal</w:t>
      </w:r>
      <w:r w:rsidRPr="00A60FD5">
        <w:rPr>
          <w:rFonts w:ascii="Times New Roman" w:hAnsi="Times New Roman"/>
        </w:rPr>
        <w:t xml:space="preserve"> of Accounting and Econom</w:t>
      </w:r>
      <w:r w:rsidR="00601A6B">
        <w:rPr>
          <w:rFonts w:ascii="Times New Roman" w:hAnsi="Times New Roman"/>
        </w:rPr>
        <w:t>ics</w:t>
      </w:r>
      <w:r w:rsidRPr="00A60FD5">
        <w:rPr>
          <w:rFonts w:ascii="Times New Roman" w:hAnsi="Times New Roman"/>
        </w:rPr>
        <w:t xml:space="preserve"> 46</w:t>
      </w:r>
      <w:r w:rsidR="00601A6B">
        <w:rPr>
          <w:rFonts w:ascii="Times New Roman" w:hAnsi="Times New Roman"/>
        </w:rPr>
        <w:t>,</w:t>
      </w:r>
      <w:r w:rsidRPr="00A60FD5">
        <w:rPr>
          <w:rFonts w:ascii="Times New Roman" w:hAnsi="Times New Roman"/>
        </w:rPr>
        <w:t xml:space="preserve"> 154-171.</w:t>
      </w:r>
    </w:p>
    <w:p w14:paraId="6B283CC9" w14:textId="77D88207" w:rsidR="004A2356" w:rsidRPr="00A60FD5" w:rsidRDefault="004A2356" w:rsidP="00EB0BB0">
      <w:pPr>
        <w:spacing w:line="220" w:lineRule="exact"/>
        <w:rPr>
          <w:rFonts w:ascii="Times New Roman" w:hAnsi="Times New Roman"/>
        </w:rPr>
      </w:pPr>
      <w:r w:rsidRPr="00A60FD5">
        <w:rPr>
          <w:rFonts w:ascii="Times New Roman" w:hAnsi="Times New Roman"/>
        </w:rPr>
        <w:t>Ai, C., Norton</w:t>
      </w:r>
      <w:r w:rsidR="00601A6B">
        <w:rPr>
          <w:rFonts w:ascii="Times New Roman" w:hAnsi="Times New Roman"/>
        </w:rPr>
        <w:t xml:space="preserve">, </w:t>
      </w:r>
      <w:r w:rsidR="00601A6B" w:rsidRPr="00A60FD5">
        <w:rPr>
          <w:rFonts w:ascii="Times New Roman" w:hAnsi="Times New Roman"/>
        </w:rPr>
        <w:t>E.C.</w:t>
      </w:r>
      <w:r w:rsidR="00601A6B">
        <w:rPr>
          <w:rFonts w:ascii="Times New Roman" w:hAnsi="Times New Roman"/>
        </w:rPr>
        <w:t>,</w:t>
      </w:r>
      <w:r w:rsidRPr="00A60FD5">
        <w:rPr>
          <w:rFonts w:ascii="Times New Roman" w:hAnsi="Times New Roman"/>
        </w:rPr>
        <w:t xml:space="preserve"> 2003. Interaction terms in logit and probit models. Econom</w:t>
      </w:r>
      <w:r w:rsidR="00601A6B">
        <w:rPr>
          <w:rFonts w:ascii="Times New Roman" w:hAnsi="Times New Roman"/>
        </w:rPr>
        <w:t>ic</w:t>
      </w:r>
      <w:r w:rsidRPr="00A60FD5">
        <w:rPr>
          <w:rFonts w:ascii="Times New Roman" w:hAnsi="Times New Roman"/>
        </w:rPr>
        <w:t xml:space="preserve"> Letters 80</w:t>
      </w:r>
      <w:r w:rsidR="00601A6B">
        <w:rPr>
          <w:rFonts w:ascii="Times New Roman" w:hAnsi="Times New Roman"/>
        </w:rPr>
        <w:t>,</w:t>
      </w:r>
      <w:r w:rsidRPr="00A60FD5">
        <w:rPr>
          <w:rFonts w:ascii="Times New Roman" w:hAnsi="Times New Roman"/>
        </w:rPr>
        <w:t xml:space="preserve"> 123-129.</w:t>
      </w:r>
    </w:p>
    <w:p w14:paraId="1037459F" w14:textId="660FAD4D" w:rsidR="002E1126" w:rsidRPr="00A60FD5" w:rsidRDefault="002E1126" w:rsidP="00EB0BB0">
      <w:pPr>
        <w:spacing w:line="220" w:lineRule="exact"/>
        <w:rPr>
          <w:rFonts w:ascii="Times New Roman" w:hAnsi="Times New Roman"/>
        </w:rPr>
      </w:pPr>
      <w:r w:rsidRPr="00A60FD5">
        <w:rPr>
          <w:rFonts w:ascii="Times New Roman" w:hAnsi="Times New Roman"/>
        </w:rPr>
        <w:t>Alchian, A.A., Demsetz</w:t>
      </w:r>
      <w:r w:rsidR="0067569F" w:rsidRPr="00A60FD5">
        <w:rPr>
          <w:rFonts w:ascii="Times New Roman" w:hAnsi="Times New Roman"/>
        </w:rPr>
        <w:t>, H.,</w:t>
      </w:r>
      <w:r w:rsidRPr="00A60FD5">
        <w:rPr>
          <w:rFonts w:ascii="Times New Roman" w:hAnsi="Times New Roman"/>
        </w:rPr>
        <w:t xml:space="preserve"> 1972. Production, information costs, and economic organization. The American Econom</w:t>
      </w:r>
      <w:r w:rsidR="0067569F" w:rsidRPr="00A60FD5">
        <w:rPr>
          <w:rFonts w:ascii="Times New Roman" w:hAnsi="Times New Roman"/>
        </w:rPr>
        <w:t>ic</w:t>
      </w:r>
      <w:r w:rsidRPr="00A60FD5">
        <w:rPr>
          <w:rFonts w:ascii="Times New Roman" w:hAnsi="Times New Roman"/>
        </w:rPr>
        <w:t xml:space="preserve"> Rev</w:t>
      </w:r>
      <w:r w:rsidR="0067569F" w:rsidRPr="00A60FD5">
        <w:rPr>
          <w:rFonts w:ascii="Times New Roman" w:hAnsi="Times New Roman"/>
        </w:rPr>
        <w:t>iew</w:t>
      </w:r>
      <w:r w:rsidRPr="00A60FD5">
        <w:rPr>
          <w:rFonts w:ascii="Times New Roman" w:hAnsi="Times New Roman"/>
        </w:rPr>
        <w:t xml:space="preserve"> 62</w:t>
      </w:r>
      <w:r w:rsidR="0067569F" w:rsidRPr="00A60FD5">
        <w:rPr>
          <w:rFonts w:ascii="Times New Roman" w:hAnsi="Times New Roman"/>
        </w:rPr>
        <w:t>,</w:t>
      </w:r>
      <w:r w:rsidRPr="00A60FD5">
        <w:rPr>
          <w:rFonts w:ascii="Times New Roman" w:hAnsi="Times New Roman"/>
        </w:rPr>
        <w:t xml:space="preserve"> 777-795.</w:t>
      </w:r>
    </w:p>
    <w:p w14:paraId="0AAEC5CC" w14:textId="1DF8E808" w:rsidR="00EB0BB0" w:rsidRPr="00A60FD5" w:rsidRDefault="00EB0BB0" w:rsidP="00EB0BB0">
      <w:pPr>
        <w:spacing w:line="220" w:lineRule="exact"/>
        <w:rPr>
          <w:rFonts w:ascii="Times New Roman" w:hAnsi="Times New Roman"/>
          <w:lang w:val="de-DE"/>
        </w:rPr>
      </w:pPr>
      <w:r w:rsidRPr="00A60FD5">
        <w:rPr>
          <w:rFonts w:ascii="Times New Roman" w:hAnsi="Times New Roman"/>
          <w:lang w:val="de-DE"/>
        </w:rPr>
        <w:t>Anderson, S.W., Dekker</w:t>
      </w:r>
      <w:r w:rsidR="00EE2AEA" w:rsidRPr="00A60FD5">
        <w:rPr>
          <w:rFonts w:ascii="Times New Roman" w:hAnsi="Times New Roman"/>
          <w:lang w:val="de-DE"/>
        </w:rPr>
        <w:t>, H.C.,</w:t>
      </w:r>
      <w:r w:rsidRPr="00A60FD5">
        <w:rPr>
          <w:rFonts w:ascii="Times New Roman" w:hAnsi="Times New Roman"/>
          <w:lang w:val="de-DE"/>
        </w:rPr>
        <w:t xml:space="preserve"> 2005. Management control for market transactions: The relation between transaction characteristics, incomplete contract design and subsequent performance. Management Sci</w:t>
      </w:r>
      <w:r w:rsidR="00EE2AEA" w:rsidRPr="00A60FD5">
        <w:rPr>
          <w:rFonts w:ascii="Times New Roman" w:hAnsi="Times New Roman"/>
          <w:lang w:val="de-DE"/>
        </w:rPr>
        <w:t>ence</w:t>
      </w:r>
      <w:r w:rsidRPr="00A60FD5">
        <w:rPr>
          <w:rFonts w:ascii="Times New Roman" w:hAnsi="Times New Roman"/>
          <w:lang w:val="de-DE"/>
        </w:rPr>
        <w:t xml:space="preserve"> 51</w:t>
      </w:r>
      <w:r w:rsidR="00EE2AEA" w:rsidRPr="00A60FD5">
        <w:rPr>
          <w:rFonts w:ascii="Times New Roman" w:hAnsi="Times New Roman"/>
          <w:lang w:val="de-DE"/>
        </w:rPr>
        <w:t>,</w:t>
      </w:r>
      <w:r w:rsidRPr="00A60FD5">
        <w:rPr>
          <w:rFonts w:ascii="Times New Roman" w:hAnsi="Times New Roman"/>
          <w:lang w:val="de-DE"/>
        </w:rPr>
        <w:t xml:space="preserve"> 1734-1752.  </w:t>
      </w:r>
    </w:p>
    <w:p w14:paraId="797EA49F" w14:textId="623939CD" w:rsidR="00EB0BB0" w:rsidRPr="00A60FD5" w:rsidRDefault="00EB0BB0" w:rsidP="00EB0BB0">
      <w:pPr>
        <w:spacing w:line="220" w:lineRule="exact"/>
        <w:rPr>
          <w:rFonts w:ascii="Times New Roman" w:hAnsi="Times New Roman"/>
          <w:lang w:eastAsia="fr-BE"/>
        </w:rPr>
      </w:pPr>
      <w:r w:rsidRPr="00A60FD5">
        <w:rPr>
          <w:rFonts w:ascii="Times New Roman" w:hAnsi="Times New Roman"/>
          <w:lang w:eastAsia="fr-BE"/>
        </w:rPr>
        <w:t xml:space="preserve">Antia, K.D., Zheng, </w:t>
      </w:r>
      <w:r w:rsidR="002E4A98" w:rsidRPr="00A60FD5">
        <w:rPr>
          <w:rFonts w:ascii="Times New Roman" w:hAnsi="Times New Roman"/>
          <w:lang w:eastAsia="fr-BE"/>
        </w:rPr>
        <w:t xml:space="preserve">X., </w:t>
      </w:r>
      <w:r w:rsidRPr="00A60FD5">
        <w:rPr>
          <w:rFonts w:ascii="Times New Roman" w:hAnsi="Times New Roman"/>
          <w:lang w:eastAsia="fr-BE"/>
        </w:rPr>
        <w:t>Frazier</w:t>
      </w:r>
      <w:r w:rsidR="002E4A98" w:rsidRPr="00A60FD5">
        <w:rPr>
          <w:rFonts w:ascii="Times New Roman" w:hAnsi="Times New Roman"/>
          <w:lang w:eastAsia="fr-BE"/>
        </w:rPr>
        <w:t>, G.L.,</w:t>
      </w:r>
      <w:r w:rsidRPr="00A60FD5">
        <w:rPr>
          <w:rFonts w:ascii="Times New Roman" w:hAnsi="Times New Roman"/>
          <w:lang w:eastAsia="fr-BE"/>
        </w:rPr>
        <w:t xml:space="preserve"> 2013. Conflict management and outcomes in franchise relationships: the role of regulation. J</w:t>
      </w:r>
      <w:r w:rsidR="002E4A98" w:rsidRPr="00A60FD5">
        <w:rPr>
          <w:rFonts w:ascii="Times New Roman" w:hAnsi="Times New Roman"/>
          <w:lang w:eastAsia="fr-BE"/>
        </w:rPr>
        <w:t>ournal</w:t>
      </w:r>
      <w:r w:rsidRPr="00A60FD5">
        <w:rPr>
          <w:rFonts w:ascii="Times New Roman" w:hAnsi="Times New Roman"/>
          <w:lang w:eastAsia="fr-BE"/>
        </w:rPr>
        <w:t xml:space="preserve"> of Marketing Res</w:t>
      </w:r>
      <w:r w:rsidR="002E4A98" w:rsidRPr="00A60FD5">
        <w:rPr>
          <w:rFonts w:ascii="Times New Roman" w:hAnsi="Times New Roman"/>
          <w:lang w:eastAsia="fr-BE"/>
        </w:rPr>
        <w:t>earch</w:t>
      </w:r>
      <w:r w:rsidRPr="00A60FD5">
        <w:rPr>
          <w:rFonts w:ascii="Times New Roman" w:hAnsi="Times New Roman"/>
          <w:lang w:eastAsia="fr-BE"/>
        </w:rPr>
        <w:t xml:space="preserve"> 5</w:t>
      </w:r>
      <w:r w:rsidR="002E4A98" w:rsidRPr="00A60FD5">
        <w:rPr>
          <w:rFonts w:ascii="Times New Roman" w:hAnsi="Times New Roman"/>
          <w:lang w:eastAsia="fr-BE"/>
        </w:rPr>
        <w:t>0,</w:t>
      </w:r>
      <w:r w:rsidRPr="00A60FD5">
        <w:rPr>
          <w:rFonts w:ascii="Times New Roman" w:hAnsi="Times New Roman"/>
          <w:lang w:eastAsia="fr-BE"/>
        </w:rPr>
        <w:t xml:space="preserve"> 577-589. </w:t>
      </w:r>
    </w:p>
    <w:p w14:paraId="17095BFA" w14:textId="5CA09F07" w:rsidR="00754823" w:rsidRPr="00A60FD5" w:rsidRDefault="00754823" w:rsidP="00E258CC">
      <w:pPr>
        <w:spacing w:line="220" w:lineRule="exact"/>
        <w:rPr>
          <w:rFonts w:ascii="Times New Roman" w:hAnsi="Times New Roman"/>
          <w:lang w:eastAsia="fr-BE"/>
        </w:rPr>
      </w:pPr>
      <w:r w:rsidRPr="00A60FD5">
        <w:rPr>
          <w:rFonts w:ascii="Times New Roman" w:hAnsi="Times New Roman"/>
          <w:lang w:eastAsia="fr-BE"/>
        </w:rPr>
        <w:t>Argyres, N.S., Mayer</w:t>
      </w:r>
      <w:r w:rsidR="00BD7F94" w:rsidRPr="00A60FD5">
        <w:rPr>
          <w:rFonts w:ascii="Times New Roman" w:hAnsi="Times New Roman"/>
          <w:lang w:eastAsia="fr-BE"/>
        </w:rPr>
        <w:t>, K.J.,</w:t>
      </w:r>
      <w:r w:rsidRPr="00A60FD5">
        <w:rPr>
          <w:rFonts w:ascii="Times New Roman" w:hAnsi="Times New Roman"/>
          <w:lang w:eastAsia="fr-BE"/>
        </w:rPr>
        <w:t xml:space="preserve"> 2007. Contract design as a firm capability: an integration of learning and transaction cost perspectives. Acad</w:t>
      </w:r>
      <w:r w:rsidR="00BD7F94" w:rsidRPr="00A60FD5">
        <w:rPr>
          <w:rFonts w:ascii="Times New Roman" w:hAnsi="Times New Roman"/>
          <w:lang w:eastAsia="fr-BE"/>
        </w:rPr>
        <w:t>emy of</w:t>
      </w:r>
      <w:r w:rsidRPr="00A60FD5">
        <w:rPr>
          <w:rFonts w:ascii="Times New Roman" w:hAnsi="Times New Roman"/>
          <w:lang w:eastAsia="fr-BE"/>
        </w:rPr>
        <w:t xml:space="preserve"> Management Rev</w:t>
      </w:r>
      <w:r w:rsidR="00BD7F94" w:rsidRPr="00A60FD5">
        <w:rPr>
          <w:rFonts w:ascii="Times New Roman" w:hAnsi="Times New Roman"/>
          <w:lang w:eastAsia="fr-BE"/>
        </w:rPr>
        <w:t>iew</w:t>
      </w:r>
      <w:r w:rsidRPr="00A60FD5">
        <w:rPr>
          <w:rFonts w:ascii="Times New Roman" w:hAnsi="Times New Roman"/>
          <w:lang w:eastAsia="fr-BE"/>
        </w:rPr>
        <w:t xml:space="preserve"> 32</w:t>
      </w:r>
      <w:r w:rsidR="00601A6B">
        <w:rPr>
          <w:rFonts w:ascii="Times New Roman" w:hAnsi="Times New Roman"/>
          <w:lang w:eastAsia="fr-BE"/>
        </w:rPr>
        <w:t>,</w:t>
      </w:r>
      <w:r w:rsidRPr="00A60FD5">
        <w:rPr>
          <w:rFonts w:ascii="Times New Roman" w:hAnsi="Times New Roman"/>
          <w:lang w:eastAsia="fr-BE"/>
        </w:rPr>
        <w:t xml:space="preserve"> 1060-1077.</w:t>
      </w:r>
    </w:p>
    <w:p w14:paraId="5D1A44AF" w14:textId="0DAF71FD" w:rsidR="00754823" w:rsidRPr="00A60FD5" w:rsidRDefault="00754823" w:rsidP="00E258CC">
      <w:pPr>
        <w:spacing w:line="220" w:lineRule="exact"/>
        <w:rPr>
          <w:rFonts w:ascii="Times New Roman" w:hAnsi="Times New Roman"/>
          <w:lang w:eastAsia="fr-BE"/>
        </w:rPr>
      </w:pPr>
      <w:r w:rsidRPr="00A60FD5">
        <w:rPr>
          <w:rFonts w:ascii="Times New Roman" w:hAnsi="Times New Roman"/>
          <w:lang w:eastAsia="fr-BE"/>
        </w:rPr>
        <w:t xml:space="preserve">Argyres, N.S., Bercovitz, </w:t>
      </w:r>
      <w:r w:rsidR="00A53F47" w:rsidRPr="00A60FD5">
        <w:rPr>
          <w:rFonts w:ascii="Times New Roman" w:hAnsi="Times New Roman"/>
          <w:lang w:eastAsia="fr-BE"/>
        </w:rPr>
        <w:t xml:space="preserve">J., </w:t>
      </w:r>
      <w:r w:rsidRPr="00A60FD5">
        <w:rPr>
          <w:rFonts w:ascii="Times New Roman" w:hAnsi="Times New Roman"/>
          <w:lang w:eastAsia="fr-BE"/>
        </w:rPr>
        <w:t>Mayer</w:t>
      </w:r>
      <w:r w:rsidR="00A53F47" w:rsidRPr="00A60FD5">
        <w:rPr>
          <w:rFonts w:ascii="Times New Roman" w:hAnsi="Times New Roman"/>
          <w:lang w:eastAsia="fr-BE"/>
        </w:rPr>
        <w:t>, K.J.,</w:t>
      </w:r>
      <w:r w:rsidRPr="00A60FD5">
        <w:rPr>
          <w:rFonts w:ascii="Times New Roman" w:hAnsi="Times New Roman"/>
          <w:lang w:eastAsia="fr-BE"/>
        </w:rPr>
        <w:t xml:space="preserve"> 2007. Complementary and evolution of contractual provisions: an empirical study of IT services contracts. Organ</w:t>
      </w:r>
      <w:r w:rsidR="00A53F47" w:rsidRPr="00A60FD5">
        <w:rPr>
          <w:rFonts w:ascii="Times New Roman" w:hAnsi="Times New Roman"/>
          <w:lang w:eastAsia="fr-BE"/>
        </w:rPr>
        <w:t>ization</w:t>
      </w:r>
      <w:r w:rsidRPr="00A60FD5">
        <w:rPr>
          <w:rFonts w:ascii="Times New Roman" w:hAnsi="Times New Roman"/>
          <w:lang w:eastAsia="fr-BE"/>
        </w:rPr>
        <w:t xml:space="preserve"> Sci</w:t>
      </w:r>
      <w:r w:rsidR="00A53F47" w:rsidRPr="00A60FD5">
        <w:rPr>
          <w:rFonts w:ascii="Times New Roman" w:hAnsi="Times New Roman"/>
          <w:lang w:eastAsia="fr-BE"/>
        </w:rPr>
        <w:t>ence</w:t>
      </w:r>
      <w:r w:rsidRPr="00A60FD5">
        <w:rPr>
          <w:rFonts w:ascii="Times New Roman" w:hAnsi="Times New Roman"/>
          <w:lang w:eastAsia="fr-BE"/>
        </w:rPr>
        <w:t xml:space="preserve"> 18</w:t>
      </w:r>
      <w:r w:rsidR="00A53F47" w:rsidRPr="00A60FD5">
        <w:rPr>
          <w:rFonts w:ascii="Times New Roman" w:hAnsi="Times New Roman"/>
          <w:lang w:eastAsia="fr-BE"/>
        </w:rPr>
        <w:t>,</w:t>
      </w:r>
      <w:r w:rsidRPr="00A60FD5">
        <w:rPr>
          <w:rFonts w:ascii="Times New Roman" w:hAnsi="Times New Roman"/>
          <w:lang w:eastAsia="fr-BE"/>
        </w:rPr>
        <w:t xml:space="preserve"> 3-19.</w:t>
      </w:r>
    </w:p>
    <w:p w14:paraId="636758E7" w14:textId="77EAB94D" w:rsidR="00754823" w:rsidRPr="00A60FD5" w:rsidRDefault="00754823" w:rsidP="00E258CC">
      <w:pPr>
        <w:spacing w:line="220" w:lineRule="exact"/>
        <w:rPr>
          <w:rFonts w:ascii="Times New Roman" w:hAnsi="Times New Roman"/>
          <w:lang w:val="de-DE"/>
        </w:rPr>
      </w:pPr>
      <w:r w:rsidRPr="00A60FD5">
        <w:rPr>
          <w:rFonts w:ascii="Times New Roman" w:hAnsi="Times New Roman"/>
          <w:lang w:eastAsia="fr-BE"/>
        </w:rPr>
        <w:t>Armstrong, J.S., Overton</w:t>
      </w:r>
      <w:r w:rsidR="00A81F92" w:rsidRPr="00A60FD5">
        <w:rPr>
          <w:rFonts w:ascii="Times New Roman" w:hAnsi="Times New Roman"/>
          <w:lang w:eastAsia="fr-BE"/>
        </w:rPr>
        <w:t>, T.S.,</w:t>
      </w:r>
      <w:r w:rsidRPr="00A60FD5">
        <w:rPr>
          <w:rFonts w:ascii="Times New Roman" w:hAnsi="Times New Roman"/>
          <w:lang w:eastAsia="fr-BE"/>
        </w:rPr>
        <w:t xml:space="preserve"> 1977. Estimating nonresponse bias in mail surveys. J</w:t>
      </w:r>
      <w:r w:rsidR="00A81F92" w:rsidRPr="00A60FD5">
        <w:rPr>
          <w:rFonts w:ascii="Times New Roman" w:hAnsi="Times New Roman"/>
          <w:lang w:eastAsia="fr-BE"/>
        </w:rPr>
        <w:t>ournal</w:t>
      </w:r>
      <w:r w:rsidRPr="00A60FD5">
        <w:rPr>
          <w:rFonts w:ascii="Times New Roman" w:hAnsi="Times New Roman"/>
          <w:lang w:eastAsia="fr-BE"/>
        </w:rPr>
        <w:t xml:space="preserve"> of Marketing Res</w:t>
      </w:r>
      <w:r w:rsidR="00A81F92" w:rsidRPr="00A60FD5">
        <w:rPr>
          <w:rFonts w:ascii="Times New Roman" w:hAnsi="Times New Roman"/>
          <w:lang w:eastAsia="fr-BE"/>
        </w:rPr>
        <w:t>earch</w:t>
      </w:r>
      <w:r w:rsidRPr="00A60FD5">
        <w:rPr>
          <w:rFonts w:ascii="Times New Roman" w:hAnsi="Times New Roman"/>
          <w:lang w:eastAsia="fr-BE"/>
        </w:rPr>
        <w:t xml:space="preserve"> 14</w:t>
      </w:r>
      <w:r w:rsidR="00A81F92" w:rsidRPr="00A60FD5">
        <w:rPr>
          <w:rFonts w:ascii="Times New Roman" w:hAnsi="Times New Roman"/>
          <w:lang w:eastAsia="fr-BE"/>
        </w:rPr>
        <w:t>,</w:t>
      </w:r>
      <w:r w:rsidRPr="00A60FD5">
        <w:rPr>
          <w:rFonts w:ascii="Times New Roman" w:hAnsi="Times New Roman"/>
          <w:lang w:eastAsia="fr-BE"/>
        </w:rPr>
        <w:t xml:space="preserve"> 396-402.  </w:t>
      </w:r>
      <w:r w:rsidRPr="00A60FD5">
        <w:rPr>
          <w:rFonts w:ascii="Times New Roman" w:hAnsi="Times New Roman"/>
          <w:lang w:val="de-DE"/>
        </w:rPr>
        <w:t xml:space="preserve">  </w:t>
      </w:r>
    </w:p>
    <w:p w14:paraId="42FDB154" w14:textId="5CD1835F" w:rsidR="00C614F3" w:rsidRPr="00A60FD5" w:rsidRDefault="00C614F3" w:rsidP="00E258CC">
      <w:pPr>
        <w:spacing w:line="220" w:lineRule="exact"/>
        <w:rPr>
          <w:rFonts w:ascii="Times New Roman" w:hAnsi="Times New Roman"/>
        </w:rPr>
      </w:pPr>
      <w:r w:rsidRPr="00A60FD5">
        <w:rPr>
          <w:rFonts w:ascii="Times New Roman" w:hAnsi="Times New Roman"/>
        </w:rPr>
        <w:t xml:space="preserve">Arnold, T., Fletcher, </w:t>
      </w:r>
      <w:r w:rsidR="00DA12C5" w:rsidRPr="00A60FD5">
        <w:rPr>
          <w:rFonts w:ascii="Times New Roman" w:hAnsi="Times New Roman"/>
        </w:rPr>
        <w:t xml:space="preserve">M.G., </w:t>
      </w:r>
      <w:r w:rsidRPr="00A60FD5">
        <w:rPr>
          <w:rFonts w:ascii="Times New Roman" w:hAnsi="Times New Roman"/>
        </w:rPr>
        <w:t>McAughan</w:t>
      </w:r>
      <w:r w:rsidR="00DA12C5" w:rsidRPr="00A60FD5">
        <w:rPr>
          <w:rFonts w:ascii="Times New Roman" w:hAnsi="Times New Roman"/>
        </w:rPr>
        <w:t>, R.J.,</w:t>
      </w:r>
      <w:r w:rsidRPr="00A60FD5">
        <w:rPr>
          <w:rFonts w:ascii="Times New Roman" w:hAnsi="Times New Roman"/>
        </w:rPr>
        <w:t xml:space="preserve"> 1991. Managing Patent Disputes Through Arbitration. Arbitration Journal 46</w:t>
      </w:r>
      <w:r w:rsidR="00DA12C5" w:rsidRPr="00A60FD5">
        <w:rPr>
          <w:rFonts w:ascii="Times New Roman" w:hAnsi="Times New Roman"/>
        </w:rPr>
        <w:t>, 5-12</w:t>
      </w:r>
      <w:r w:rsidRPr="00A60FD5">
        <w:rPr>
          <w:rFonts w:ascii="Times New Roman" w:hAnsi="Times New Roman"/>
        </w:rPr>
        <w:t>.</w:t>
      </w:r>
    </w:p>
    <w:p w14:paraId="6FDE6006" w14:textId="316D0B9F" w:rsidR="005A2062" w:rsidRPr="00A60FD5" w:rsidRDefault="005A2062" w:rsidP="00E258CC">
      <w:pPr>
        <w:spacing w:line="220" w:lineRule="exact"/>
        <w:rPr>
          <w:rFonts w:ascii="Times New Roman" w:hAnsi="Times New Roman"/>
        </w:rPr>
      </w:pPr>
      <w:r w:rsidRPr="00A60FD5">
        <w:rPr>
          <w:rFonts w:ascii="Times New Roman" w:hAnsi="Times New Roman"/>
        </w:rPr>
        <w:t>Arora, A.</w:t>
      </w:r>
      <w:r w:rsidR="008E2D97" w:rsidRPr="00A60FD5">
        <w:rPr>
          <w:rFonts w:ascii="Times New Roman" w:hAnsi="Times New Roman"/>
        </w:rPr>
        <w:t>,</w:t>
      </w:r>
      <w:r w:rsidRPr="00A60FD5">
        <w:rPr>
          <w:rFonts w:ascii="Times New Roman" w:hAnsi="Times New Roman"/>
        </w:rPr>
        <w:t xml:space="preserve"> 1995. Licensing tacit knowledge: intellectual property rights and the market for know-how. Econom</w:t>
      </w:r>
      <w:r w:rsidR="008E2D97" w:rsidRPr="00A60FD5">
        <w:rPr>
          <w:rFonts w:ascii="Times New Roman" w:hAnsi="Times New Roman"/>
        </w:rPr>
        <w:t>ics</w:t>
      </w:r>
      <w:r w:rsidRPr="00A60FD5">
        <w:rPr>
          <w:rFonts w:ascii="Times New Roman" w:hAnsi="Times New Roman"/>
        </w:rPr>
        <w:t xml:space="preserve"> of </w:t>
      </w:r>
      <w:r w:rsidR="008E2D97" w:rsidRPr="00A60FD5">
        <w:rPr>
          <w:rFonts w:ascii="Times New Roman" w:hAnsi="Times New Roman"/>
        </w:rPr>
        <w:t>I</w:t>
      </w:r>
      <w:r w:rsidRPr="00A60FD5">
        <w:rPr>
          <w:rFonts w:ascii="Times New Roman" w:hAnsi="Times New Roman"/>
        </w:rPr>
        <w:t xml:space="preserve">nnovation and </w:t>
      </w:r>
      <w:r w:rsidR="008E2D97" w:rsidRPr="00A60FD5">
        <w:rPr>
          <w:rFonts w:ascii="Times New Roman" w:hAnsi="Times New Roman"/>
        </w:rPr>
        <w:t>Ne</w:t>
      </w:r>
      <w:r w:rsidRPr="00A60FD5">
        <w:rPr>
          <w:rFonts w:ascii="Times New Roman" w:hAnsi="Times New Roman"/>
        </w:rPr>
        <w:t xml:space="preserve">w </w:t>
      </w:r>
      <w:r w:rsidR="008E2D97" w:rsidRPr="00A60FD5">
        <w:rPr>
          <w:rFonts w:ascii="Times New Roman" w:hAnsi="Times New Roman"/>
        </w:rPr>
        <w:t>Te</w:t>
      </w:r>
      <w:r w:rsidRPr="00A60FD5">
        <w:rPr>
          <w:rFonts w:ascii="Times New Roman" w:hAnsi="Times New Roman"/>
        </w:rPr>
        <w:t>chnology 4</w:t>
      </w:r>
      <w:r w:rsidR="008E2D97" w:rsidRPr="00A60FD5">
        <w:rPr>
          <w:rFonts w:ascii="Times New Roman" w:hAnsi="Times New Roman"/>
        </w:rPr>
        <w:t>,</w:t>
      </w:r>
      <w:r w:rsidRPr="00A60FD5">
        <w:rPr>
          <w:rFonts w:ascii="Times New Roman" w:hAnsi="Times New Roman"/>
        </w:rPr>
        <w:t xml:space="preserve"> 41-60.</w:t>
      </w:r>
    </w:p>
    <w:p w14:paraId="18580EF0" w14:textId="35586BDE" w:rsidR="00BD7F94" w:rsidRPr="00A60FD5" w:rsidRDefault="00BD7F94" w:rsidP="00E258CC">
      <w:pPr>
        <w:spacing w:line="220" w:lineRule="exact"/>
        <w:rPr>
          <w:rFonts w:ascii="Times New Roman" w:hAnsi="Times New Roman"/>
        </w:rPr>
      </w:pPr>
      <w:r w:rsidRPr="00A60FD5">
        <w:rPr>
          <w:rFonts w:ascii="Times New Roman" w:hAnsi="Times New Roman"/>
        </w:rPr>
        <w:t>Arora, A., Gambardella, A.</w:t>
      </w:r>
      <w:r w:rsidR="00601A6B">
        <w:rPr>
          <w:rFonts w:ascii="Times New Roman" w:hAnsi="Times New Roman"/>
        </w:rPr>
        <w:t>, 1994.</w:t>
      </w:r>
      <w:r w:rsidRPr="00A60FD5">
        <w:rPr>
          <w:rFonts w:ascii="Times New Roman" w:hAnsi="Times New Roman"/>
        </w:rPr>
        <w:t xml:space="preserve"> The changing technology of technological change: general and abstract knowledge and the division of innovative labour. Research policy 23, 523-532.</w:t>
      </w:r>
    </w:p>
    <w:p w14:paraId="0B16959C" w14:textId="671C52DC" w:rsidR="00754823" w:rsidRPr="00A60FD5" w:rsidRDefault="00754823" w:rsidP="00E258CC">
      <w:pPr>
        <w:spacing w:line="220" w:lineRule="exact"/>
        <w:rPr>
          <w:rFonts w:ascii="Times New Roman" w:hAnsi="Times New Roman"/>
        </w:rPr>
      </w:pPr>
      <w:r w:rsidRPr="00A60FD5">
        <w:rPr>
          <w:rFonts w:ascii="Times New Roman" w:hAnsi="Times New Roman"/>
        </w:rPr>
        <w:t>Arora, A., Fosfuri</w:t>
      </w:r>
      <w:r w:rsidR="00C61B9E" w:rsidRPr="00A60FD5">
        <w:rPr>
          <w:rFonts w:ascii="Times New Roman" w:hAnsi="Times New Roman"/>
        </w:rPr>
        <w:t>, A.,</w:t>
      </w:r>
      <w:r w:rsidRPr="00A60FD5">
        <w:rPr>
          <w:rFonts w:ascii="Times New Roman" w:hAnsi="Times New Roman"/>
        </w:rPr>
        <w:t xml:space="preserve"> 2000. Wholly owned subsidiary versus technology licensing in the worldwide chemical industry. </w:t>
      </w:r>
      <w:r w:rsidR="00C61B9E" w:rsidRPr="00A60FD5">
        <w:rPr>
          <w:rFonts w:ascii="Times New Roman" w:hAnsi="Times New Roman"/>
        </w:rPr>
        <w:t xml:space="preserve">Journal of International Business Studies 31, </w:t>
      </w:r>
      <w:r w:rsidRPr="00A60FD5">
        <w:rPr>
          <w:rFonts w:ascii="Times New Roman" w:hAnsi="Times New Roman"/>
        </w:rPr>
        <w:t>555-572.</w:t>
      </w:r>
    </w:p>
    <w:p w14:paraId="7878DC89" w14:textId="773625DF" w:rsidR="00B46A3C" w:rsidRPr="00A60FD5" w:rsidRDefault="00B46A3C" w:rsidP="00E258CC">
      <w:pPr>
        <w:spacing w:line="220" w:lineRule="exact"/>
        <w:rPr>
          <w:rFonts w:ascii="Times New Roman" w:hAnsi="Times New Roman"/>
        </w:rPr>
      </w:pPr>
      <w:r w:rsidRPr="00A60FD5">
        <w:rPr>
          <w:rFonts w:ascii="Times New Roman" w:hAnsi="Times New Roman"/>
        </w:rPr>
        <w:t>Arora, A., Fosfuri</w:t>
      </w:r>
      <w:r w:rsidR="00692821" w:rsidRPr="00A60FD5">
        <w:rPr>
          <w:rFonts w:ascii="Times New Roman" w:hAnsi="Times New Roman"/>
        </w:rPr>
        <w:t>, A.,</w:t>
      </w:r>
      <w:r w:rsidRPr="00A60FD5">
        <w:rPr>
          <w:rFonts w:ascii="Times New Roman" w:hAnsi="Times New Roman"/>
        </w:rPr>
        <w:t xml:space="preserve"> 2003. Licensing the market for technology. J</w:t>
      </w:r>
      <w:r w:rsidR="00692821" w:rsidRPr="00A60FD5">
        <w:rPr>
          <w:rFonts w:ascii="Times New Roman" w:hAnsi="Times New Roman"/>
        </w:rPr>
        <w:t>ournal</w:t>
      </w:r>
      <w:r w:rsidRPr="00A60FD5">
        <w:rPr>
          <w:rFonts w:ascii="Times New Roman" w:hAnsi="Times New Roman"/>
        </w:rPr>
        <w:t xml:space="preserve"> of Econom</w:t>
      </w:r>
      <w:r w:rsidR="00692821" w:rsidRPr="00A60FD5">
        <w:rPr>
          <w:rFonts w:ascii="Times New Roman" w:hAnsi="Times New Roman"/>
        </w:rPr>
        <w:t>ic</w:t>
      </w:r>
      <w:r w:rsidRPr="00A60FD5">
        <w:rPr>
          <w:rFonts w:ascii="Times New Roman" w:hAnsi="Times New Roman"/>
        </w:rPr>
        <w:t xml:space="preserve"> Behavior and Organ</w:t>
      </w:r>
      <w:r w:rsidR="00692821" w:rsidRPr="00A60FD5">
        <w:rPr>
          <w:rFonts w:ascii="Times New Roman" w:hAnsi="Times New Roman"/>
        </w:rPr>
        <w:t>ization</w:t>
      </w:r>
      <w:r w:rsidRPr="00A60FD5">
        <w:rPr>
          <w:rFonts w:ascii="Times New Roman" w:hAnsi="Times New Roman"/>
        </w:rPr>
        <w:t xml:space="preserve"> 52</w:t>
      </w:r>
      <w:r w:rsidR="00692821" w:rsidRPr="00A60FD5">
        <w:rPr>
          <w:rFonts w:ascii="Times New Roman" w:hAnsi="Times New Roman"/>
        </w:rPr>
        <w:t>,</w:t>
      </w:r>
      <w:r w:rsidRPr="00A60FD5">
        <w:rPr>
          <w:rFonts w:ascii="Times New Roman" w:hAnsi="Times New Roman"/>
        </w:rPr>
        <w:t xml:space="preserve"> 277-295.</w:t>
      </w:r>
    </w:p>
    <w:p w14:paraId="51DA6E60" w14:textId="7F3F33F4" w:rsidR="00754823" w:rsidRPr="00A60FD5" w:rsidRDefault="00754823" w:rsidP="00E258CC">
      <w:pPr>
        <w:spacing w:line="220" w:lineRule="exact"/>
        <w:rPr>
          <w:rFonts w:ascii="Times New Roman" w:hAnsi="Times New Roman"/>
        </w:rPr>
      </w:pPr>
      <w:r w:rsidRPr="00A60FD5">
        <w:rPr>
          <w:rFonts w:ascii="Times New Roman" w:hAnsi="Times New Roman"/>
        </w:rPr>
        <w:t>Arora, A., Ceccagnoli</w:t>
      </w:r>
      <w:r w:rsidR="008E2D97" w:rsidRPr="00A60FD5">
        <w:rPr>
          <w:rFonts w:ascii="Times New Roman" w:hAnsi="Times New Roman"/>
        </w:rPr>
        <w:t>, M.,</w:t>
      </w:r>
      <w:r w:rsidRPr="00A60FD5">
        <w:rPr>
          <w:rFonts w:ascii="Times New Roman" w:hAnsi="Times New Roman"/>
        </w:rPr>
        <w:t xml:space="preserve"> 2006. Patent protection, complementary assets, and firms’ incentives for technology licensing. Management Sci</w:t>
      </w:r>
      <w:r w:rsidR="008E2D97" w:rsidRPr="00A60FD5">
        <w:rPr>
          <w:rFonts w:ascii="Times New Roman" w:hAnsi="Times New Roman"/>
        </w:rPr>
        <w:t>ence</w:t>
      </w:r>
      <w:r w:rsidRPr="00A60FD5">
        <w:rPr>
          <w:rFonts w:ascii="Times New Roman" w:hAnsi="Times New Roman"/>
        </w:rPr>
        <w:t xml:space="preserve"> 52</w:t>
      </w:r>
      <w:r w:rsidR="008E2D97" w:rsidRPr="00A60FD5">
        <w:rPr>
          <w:rFonts w:ascii="Times New Roman" w:hAnsi="Times New Roman"/>
        </w:rPr>
        <w:t>,</w:t>
      </w:r>
      <w:r w:rsidRPr="00A60FD5">
        <w:rPr>
          <w:rFonts w:ascii="Times New Roman" w:hAnsi="Times New Roman"/>
        </w:rPr>
        <w:t xml:space="preserve"> 293-308.</w:t>
      </w:r>
    </w:p>
    <w:p w14:paraId="43C92E85" w14:textId="657029E0" w:rsidR="00754823" w:rsidRPr="00A60FD5" w:rsidRDefault="00754823" w:rsidP="00E258CC">
      <w:pPr>
        <w:spacing w:line="220" w:lineRule="exact"/>
        <w:rPr>
          <w:rFonts w:ascii="Times New Roman" w:hAnsi="Times New Roman"/>
        </w:rPr>
      </w:pPr>
      <w:r w:rsidRPr="00A60FD5">
        <w:rPr>
          <w:rFonts w:ascii="Times New Roman" w:hAnsi="Times New Roman"/>
          <w:color w:val="000000"/>
        </w:rPr>
        <w:t>Artz, K.W., Brush</w:t>
      </w:r>
      <w:r w:rsidR="00BD7F94" w:rsidRPr="00A60FD5">
        <w:rPr>
          <w:rFonts w:ascii="Times New Roman" w:hAnsi="Times New Roman"/>
          <w:color w:val="000000"/>
        </w:rPr>
        <w:t>, T.H.,</w:t>
      </w:r>
      <w:r w:rsidRPr="00A60FD5">
        <w:rPr>
          <w:rFonts w:ascii="Times New Roman" w:hAnsi="Times New Roman"/>
          <w:color w:val="000000"/>
        </w:rPr>
        <w:t xml:space="preserve"> 2000. Asset specificity, uncertainty and relational norms: an examination of coordination costs in collaborative strategic alliances. J</w:t>
      </w:r>
      <w:r w:rsidR="00BD7F94" w:rsidRPr="00A60FD5">
        <w:rPr>
          <w:rFonts w:ascii="Times New Roman" w:hAnsi="Times New Roman"/>
          <w:color w:val="000000"/>
        </w:rPr>
        <w:t>ournal</w:t>
      </w:r>
      <w:r w:rsidRPr="00A60FD5">
        <w:rPr>
          <w:rFonts w:ascii="Times New Roman" w:hAnsi="Times New Roman"/>
          <w:color w:val="000000"/>
        </w:rPr>
        <w:t xml:space="preserve"> of Econom</w:t>
      </w:r>
      <w:r w:rsidR="00BD7F94" w:rsidRPr="00A60FD5">
        <w:rPr>
          <w:rFonts w:ascii="Times New Roman" w:hAnsi="Times New Roman"/>
          <w:color w:val="000000"/>
        </w:rPr>
        <w:t>ic</w:t>
      </w:r>
      <w:r w:rsidRPr="00A60FD5">
        <w:rPr>
          <w:rFonts w:ascii="Times New Roman" w:hAnsi="Times New Roman"/>
          <w:color w:val="000000"/>
        </w:rPr>
        <w:t xml:space="preserve"> Behavior and Organ</w:t>
      </w:r>
      <w:r w:rsidR="00BD7F94" w:rsidRPr="00A60FD5">
        <w:rPr>
          <w:rFonts w:ascii="Times New Roman" w:hAnsi="Times New Roman"/>
          <w:color w:val="000000"/>
        </w:rPr>
        <w:t>ization</w:t>
      </w:r>
      <w:r w:rsidRPr="00A60FD5">
        <w:rPr>
          <w:rFonts w:ascii="Times New Roman" w:hAnsi="Times New Roman"/>
          <w:color w:val="000000"/>
        </w:rPr>
        <w:t xml:space="preserve"> 41</w:t>
      </w:r>
      <w:r w:rsidR="00BD7F94" w:rsidRPr="00A60FD5">
        <w:rPr>
          <w:rFonts w:ascii="Times New Roman" w:hAnsi="Times New Roman"/>
          <w:color w:val="000000"/>
        </w:rPr>
        <w:t>,</w:t>
      </w:r>
      <w:r w:rsidRPr="00A60FD5">
        <w:rPr>
          <w:rFonts w:ascii="Times New Roman" w:hAnsi="Times New Roman"/>
          <w:color w:val="000000"/>
        </w:rPr>
        <w:t xml:space="preserve"> 337-362.  </w:t>
      </w:r>
    </w:p>
    <w:p w14:paraId="180A6F66" w14:textId="36C8107B" w:rsidR="00754823" w:rsidRPr="00A60FD5" w:rsidRDefault="00754823" w:rsidP="00E258CC">
      <w:pPr>
        <w:spacing w:line="220" w:lineRule="exact"/>
        <w:rPr>
          <w:rFonts w:ascii="Times New Roman" w:hAnsi="Times New Roman"/>
        </w:rPr>
      </w:pPr>
      <w:r w:rsidRPr="00A60FD5">
        <w:rPr>
          <w:rFonts w:ascii="Times New Roman" w:hAnsi="Times New Roman"/>
        </w:rPr>
        <w:t xml:space="preserve">Aulakh, P.S., Cavusgil, </w:t>
      </w:r>
      <w:r w:rsidR="008E2D97" w:rsidRPr="00A60FD5">
        <w:rPr>
          <w:rFonts w:ascii="Times New Roman" w:hAnsi="Times New Roman"/>
        </w:rPr>
        <w:t xml:space="preserve">S.T., </w:t>
      </w:r>
      <w:r w:rsidRPr="00A60FD5">
        <w:rPr>
          <w:rFonts w:ascii="Times New Roman" w:hAnsi="Times New Roman"/>
        </w:rPr>
        <w:t>Sarkar</w:t>
      </w:r>
      <w:r w:rsidR="008E2D97" w:rsidRPr="00A60FD5">
        <w:rPr>
          <w:rFonts w:ascii="Times New Roman" w:hAnsi="Times New Roman"/>
        </w:rPr>
        <w:t>, M.B.,</w:t>
      </w:r>
      <w:r w:rsidRPr="00A60FD5">
        <w:rPr>
          <w:rFonts w:ascii="Times New Roman" w:hAnsi="Times New Roman"/>
        </w:rPr>
        <w:t xml:space="preserve"> 1998. Compensation in international licensing agreements. J</w:t>
      </w:r>
      <w:r w:rsidR="008E2D97" w:rsidRPr="00A60FD5">
        <w:rPr>
          <w:rFonts w:ascii="Times New Roman" w:hAnsi="Times New Roman"/>
        </w:rPr>
        <w:t>ournal</w:t>
      </w:r>
      <w:r w:rsidRPr="00A60FD5">
        <w:rPr>
          <w:rFonts w:ascii="Times New Roman" w:hAnsi="Times New Roman"/>
        </w:rPr>
        <w:t xml:space="preserve"> of Intern</w:t>
      </w:r>
      <w:r w:rsidR="008E2D97" w:rsidRPr="00A60FD5">
        <w:rPr>
          <w:rFonts w:ascii="Times New Roman" w:hAnsi="Times New Roman"/>
        </w:rPr>
        <w:t>ational</w:t>
      </w:r>
      <w:r w:rsidRPr="00A60FD5">
        <w:rPr>
          <w:rFonts w:ascii="Times New Roman" w:hAnsi="Times New Roman"/>
        </w:rPr>
        <w:t xml:space="preserve"> Business Stud</w:t>
      </w:r>
      <w:r w:rsidR="008E2D97" w:rsidRPr="00A60FD5">
        <w:rPr>
          <w:rFonts w:ascii="Times New Roman" w:hAnsi="Times New Roman"/>
        </w:rPr>
        <w:t>ies</w:t>
      </w:r>
      <w:r w:rsidRPr="00A60FD5">
        <w:rPr>
          <w:rFonts w:ascii="Times New Roman" w:hAnsi="Times New Roman"/>
        </w:rPr>
        <w:t xml:space="preserve"> 29</w:t>
      </w:r>
      <w:r w:rsidR="008E2D97" w:rsidRPr="00A60FD5">
        <w:rPr>
          <w:rFonts w:ascii="Times New Roman" w:hAnsi="Times New Roman"/>
        </w:rPr>
        <w:t>,</w:t>
      </w:r>
      <w:r w:rsidRPr="00A60FD5">
        <w:rPr>
          <w:rFonts w:ascii="Times New Roman" w:hAnsi="Times New Roman"/>
        </w:rPr>
        <w:t xml:space="preserve"> 409-419.</w:t>
      </w:r>
    </w:p>
    <w:p w14:paraId="63604FAE" w14:textId="3D02DEF1" w:rsidR="00754823" w:rsidRPr="00A60FD5" w:rsidRDefault="00754823" w:rsidP="00E258CC">
      <w:pPr>
        <w:spacing w:line="220" w:lineRule="exact"/>
        <w:rPr>
          <w:rFonts w:ascii="Times New Roman" w:hAnsi="Times New Roman"/>
        </w:rPr>
      </w:pPr>
      <w:r w:rsidRPr="00A60FD5">
        <w:rPr>
          <w:rFonts w:ascii="Times New Roman" w:hAnsi="Times New Roman"/>
        </w:rPr>
        <w:t xml:space="preserve">Aulakh, P.S., Jiang, </w:t>
      </w:r>
      <w:r w:rsidR="004D5AA7" w:rsidRPr="00A60FD5">
        <w:rPr>
          <w:rFonts w:ascii="Times New Roman" w:hAnsi="Times New Roman"/>
        </w:rPr>
        <w:t xml:space="preserve">M.S., </w:t>
      </w:r>
      <w:r w:rsidRPr="00A60FD5">
        <w:rPr>
          <w:rFonts w:ascii="Times New Roman" w:hAnsi="Times New Roman"/>
        </w:rPr>
        <w:t>Pan</w:t>
      </w:r>
      <w:r w:rsidR="004D5AA7" w:rsidRPr="00A60FD5">
        <w:rPr>
          <w:rFonts w:ascii="Times New Roman" w:hAnsi="Times New Roman"/>
        </w:rPr>
        <w:t>, Y.,</w:t>
      </w:r>
      <w:r w:rsidRPr="00A60FD5">
        <w:rPr>
          <w:rFonts w:ascii="Times New Roman" w:hAnsi="Times New Roman"/>
        </w:rPr>
        <w:t xml:space="preserve"> 2010. International technology licensing: monopoly rents, transaction costs and exclusive rights. J</w:t>
      </w:r>
      <w:r w:rsidR="004D5AA7" w:rsidRPr="00A60FD5">
        <w:rPr>
          <w:rFonts w:ascii="Times New Roman" w:hAnsi="Times New Roman"/>
        </w:rPr>
        <w:t>ournal</w:t>
      </w:r>
      <w:r w:rsidRPr="00A60FD5">
        <w:rPr>
          <w:rFonts w:ascii="Times New Roman" w:hAnsi="Times New Roman"/>
        </w:rPr>
        <w:t xml:space="preserve"> of Intern</w:t>
      </w:r>
      <w:r w:rsidR="004D5AA7" w:rsidRPr="00A60FD5">
        <w:rPr>
          <w:rFonts w:ascii="Times New Roman" w:hAnsi="Times New Roman"/>
        </w:rPr>
        <w:t>ational</w:t>
      </w:r>
      <w:r w:rsidRPr="00A60FD5">
        <w:rPr>
          <w:rFonts w:ascii="Times New Roman" w:hAnsi="Times New Roman"/>
        </w:rPr>
        <w:t xml:space="preserve"> Business Stud</w:t>
      </w:r>
      <w:r w:rsidR="004D5AA7" w:rsidRPr="00A60FD5">
        <w:rPr>
          <w:rFonts w:ascii="Times New Roman" w:hAnsi="Times New Roman"/>
        </w:rPr>
        <w:t>ies</w:t>
      </w:r>
      <w:r w:rsidRPr="00A60FD5">
        <w:rPr>
          <w:rFonts w:ascii="Times New Roman" w:hAnsi="Times New Roman"/>
        </w:rPr>
        <w:t xml:space="preserve"> 41</w:t>
      </w:r>
      <w:r w:rsidR="004D5AA7" w:rsidRPr="00A60FD5">
        <w:rPr>
          <w:rFonts w:ascii="Times New Roman" w:hAnsi="Times New Roman"/>
        </w:rPr>
        <w:t xml:space="preserve">, </w:t>
      </w:r>
      <w:r w:rsidRPr="00A60FD5">
        <w:rPr>
          <w:rFonts w:ascii="Times New Roman" w:hAnsi="Times New Roman"/>
        </w:rPr>
        <w:t>587-605.</w:t>
      </w:r>
    </w:p>
    <w:p w14:paraId="00DDA5D3" w14:textId="21C37C34" w:rsidR="00754823" w:rsidRPr="00A60FD5" w:rsidRDefault="005D6922" w:rsidP="00E258CC">
      <w:pPr>
        <w:spacing w:line="220" w:lineRule="exact"/>
        <w:rPr>
          <w:rFonts w:ascii="Times New Roman" w:hAnsi="Times New Roman"/>
        </w:rPr>
      </w:pPr>
      <w:r w:rsidRPr="00A60FD5">
        <w:rPr>
          <w:rFonts w:ascii="Times New Roman" w:hAnsi="Times New Roman"/>
        </w:rPr>
        <w:t>Aulakh</w:t>
      </w:r>
      <w:r w:rsidR="00754823" w:rsidRPr="00A60FD5">
        <w:rPr>
          <w:rFonts w:ascii="Times New Roman" w:hAnsi="Times New Roman"/>
        </w:rPr>
        <w:t xml:space="preserve">, P.S., Jiang, </w:t>
      </w:r>
      <w:r w:rsidR="004D5AA7" w:rsidRPr="00A60FD5">
        <w:rPr>
          <w:rFonts w:ascii="Times New Roman" w:hAnsi="Times New Roman"/>
        </w:rPr>
        <w:t xml:space="preserve">A.S., </w:t>
      </w:r>
      <w:r w:rsidR="00754823" w:rsidRPr="00A60FD5">
        <w:rPr>
          <w:rFonts w:ascii="Times New Roman" w:hAnsi="Times New Roman"/>
        </w:rPr>
        <w:t>Li.</w:t>
      </w:r>
      <w:r w:rsidR="004D5AA7" w:rsidRPr="00A60FD5">
        <w:rPr>
          <w:rFonts w:ascii="Times New Roman" w:hAnsi="Times New Roman"/>
        </w:rPr>
        <w:t xml:space="preserve">, S., </w:t>
      </w:r>
      <w:r w:rsidR="00754823" w:rsidRPr="00A60FD5">
        <w:rPr>
          <w:rFonts w:ascii="Times New Roman" w:hAnsi="Times New Roman"/>
        </w:rPr>
        <w:t>2013. Licensee technological potential and exclusive rights in international licensing: a multilevel model. J</w:t>
      </w:r>
      <w:r w:rsidR="004D5AA7" w:rsidRPr="00A60FD5">
        <w:rPr>
          <w:rFonts w:ascii="Times New Roman" w:hAnsi="Times New Roman"/>
        </w:rPr>
        <w:t>ournal</w:t>
      </w:r>
      <w:r w:rsidR="00754823" w:rsidRPr="00A60FD5">
        <w:rPr>
          <w:rFonts w:ascii="Times New Roman" w:hAnsi="Times New Roman"/>
        </w:rPr>
        <w:t xml:space="preserve"> of Inter</w:t>
      </w:r>
      <w:r w:rsidR="00B46A3C" w:rsidRPr="00A60FD5">
        <w:rPr>
          <w:rFonts w:ascii="Times New Roman" w:hAnsi="Times New Roman"/>
        </w:rPr>
        <w:t>n</w:t>
      </w:r>
      <w:r w:rsidR="004D5AA7" w:rsidRPr="00A60FD5">
        <w:rPr>
          <w:rFonts w:ascii="Times New Roman" w:hAnsi="Times New Roman"/>
        </w:rPr>
        <w:t>ational</w:t>
      </w:r>
      <w:r w:rsidR="00754823" w:rsidRPr="00A60FD5">
        <w:rPr>
          <w:rFonts w:ascii="Times New Roman" w:hAnsi="Times New Roman"/>
        </w:rPr>
        <w:t xml:space="preserve"> Business Stud</w:t>
      </w:r>
      <w:r w:rsidR="004D5AA7" w:rsidRPr="00A60FD5">
        <w:rPr>
          <w:rFonts w:ascii="Times New Roman" w:hAnsi="Times New Roman"/>
        </w:rPr>
        <w:t>ies</w:t>
      </w:r>
      <w:r w:rsidR="00754823" w:rsidRPr="00A60FD5">
        <w:rPr>
          <w:rFonts w:ascii="Times New Roman" w:hAnsi="Times New Roman"/>
        </w:rPr>
        <w:t xml:space="preserve"> 44</w:t>
      </w:r>
      <w:r w:rsidR="004D5AA7" w:rsidRPr="00A60FD5">
        <w:rPr>
          <w:rFonts w:ascii="Times New Roman" w:hAnsi="Times New Roman"/>
        </w:rPr>
        <w:t>,</w:t>
      </w:r>
      <w:r w:rsidR="00754823" w:rsidRPr="00A60FD5">
        <w:rPr>
          <w:rFonts w:ascii="Times New Roman" w:hAnsi="Times New Roman"/>
        </w:rPr>
        <w:t xml:space="preserve"> 699-718.</w:t>
      </w:r>
    </w:p>
    <w:p w14:paraId="36E11DEA" w14:textId="6E249749" w:rsidR="00FE2EB3" w:rsidRDefault="00FE2EB3" w:rsidP="00E258CC">
      <w:pPr>
        <w:spacing w:line="220" w:lineRule="exact"/>
        <w:rPr>
          <w:rFonts w:ascii="Times New Roman" w:hAnsi="Times New Roman"/>
          <w:lang w:eastAsia="fr-BE"/>
        </w:rPr>
      </w:pPr>
      <w:r w:rsidRPr="00FE2EB3">
        <w:rPr>
          <w:rFonts w:ascii="Times New Roman" w:hAnsi="Times New Roman"/>
          <w:lang w:eastAsia="fr-BE"/>
        </w:rPr>
        <w:t>Bagley, C</w:t>
      </w:r>
      <w:r>
        <w:rPr>
          <w:rFonts w:ascii="Times New Roman" w:hAnsi="Times New Roman"/>
          <w:lang w:eastAsia="fr-BE"/>
        </w:rPr>
        <w:t>.</w:t>
      </w:r>
      <w:r w:rsidRPr="00FE2EB3">
        <w:rPr>
          <w:rFonts w:ascii="Times New Roman" w:hAnsi="Times New Roman"/>
          <w:lang w:eastAsia="fr-BE"/>
        </w:rPr>
        <w:t>E.</w:t>
      </w:r>
      <w:r>
        <w:rPr>
          <w:rFonts w:ascii="Times New Roman" w:hAnsi="Times New Roman"/>
          <w:lang w:eastAsia="fr-BE"/>
        </w:rPr>
        <w:t>,</w:t>
      </w:r>
      <w:r w:rsidRPr="00FE2EB3">
        <w:rPr>
          <w:rFonts w:ascii="Times New Roman" w:hAnsi="Times New Roman"/>
          <w:lang w:eastAsia="fr-BE"/>
        </w:rPr>
        <w:t xml:space="preserve"> </w:t>
      </w:r>
      <w:r>
        <w:rPr>
          <w:rFonts w:ascii="Times New Roman" w:hAnsi="Times New Roman"/>
          <w:lang w:eastAsia="fr-BE"/>
        </w:rPr>
        <w:t>2008. W</w:t>
      </w:r>
      <w:r w:rsidRPr="00FE2EB3">
        <w:rPr>
          <w:rFonts w:ascii="Times New Roman" w:hAnsi="Times New Roman"/>
          <w:lang w:eastAsia="fr-BE"/>
        </w:rPr>
        <w:t>inning legally: The value of legal astuteness. Academy of Management Review 33</w:t>
      </w:r>
      <w:r>
        <w:rPr>
          <w:rFonts w:ascii="Times New Roman" w:hAnsi="Times New Roman"/>
          <w:lang w:eastAsia="fr-BE"/>
        </w:rPr>
        <w:t>,</w:t>
      </w:r>
      <w:r w:rsidRPr="00FE2EB3">
        <w:rPr>
          <w:rFonts w:ascii="Times New Roman" w:hAnsi="Times New Roman"/>
          <w:lang w:eastAsia="fr-BE"/>
        </w:rPr>
        <w:t xml:space="preserve"> 378-390</w:t>
      </w:r>
    </w:p>
    <w:p w14:paraId="04C4971B" w14:textId="45EB225B" w:rsidR="00776FA6" w:rsidRPr="00A60FD5" w:rsidRDefault="00776FA6" w:rsidP="00E258CC">
      <w:pPr>
        <w:spacing w:line="220" w:lineRule="exact"/>
        <w:rPr>
          <w:rFonts w:ascii="Times New Roman" w:hAnsi="Times New Roman"/>
          <w:lang w:eastAsia="fr-BE"/>
        </w:rPr>
      </w:pPr>
      <w:r w:rsidRPr="00A60FD5">
        <w:rPr>
          <w:rFonts w:ascii="Times New Roman" w:hAnsi="Times New Roman"/>
          <w:lang w:eastAsia="fr-BE"/>
        </w:rPr>
        <w:t xml:space="preserve">Baker, G., Gibbons, </w:t>
      </w:r>
      <w:r w:rsidR="00EF7528" w:rsidRPr="00A60FD5">
        <w:rPr>
          <w:rFonts w:ascii="Times New Roman" w:hAnsi="Times New Roman"/>
          <w:lang w:eastAsia="fr-BE"/>
        </w:rPr>
        <w:t xml:space="preserve">R., </w:t>
      </w:r>
      <w:r w:rsidRPr="00A60FD5">
        <w:rPr>
          <w:rFonts w:ascii="Times New Roman" w:hAnsi="Times New Roman"/>
          <w:lang w:eastAsia="fr-BE"/>
        </w:rPr>
        <w:t>Murphy</w:t>
      </w:r>
      <w:r w:rsidR="00EF7528" w:rsidRPr="00A60FD5">
        <w:rPr>
          <w:rFonts w:ascii="Times New Roman" w:hAnsi="Times New Roman"/>
          <w:lang w:eastAsia="fr-BE"/>
        </w:rPr>
        <w:t>, K.J.,</w:t>
      </w:r>
      <w:r w:rsidRPr="00A60FD5">
        <w:rPr>
          <w:rFonts w:ascii="Times New Roman" w:hAnsi="Times New Roman"/>
          <w:lang w:eastAsia="fr-BE"/>
        </w:rPr>
        <w:t xml:space="preserve"> 1994. Subjective performance measures in optimal incentive contracts. The Quarterly J</w:t>
      </w:r>
      <w:r w:rsidR="00601A6B">
        <w:rPr>
          <w:rFonts w:ascii="Times New Roman" w:hAnsi="Times New Roman"/>
          <w:lang w:eastAsia="fr-BE"/>
        </w:rPr>
        <w:t>ournal</w:t>
      </w:r>
      <w:r w:rsidRPr="00A60FD5">
        <w:rPr>
          <w:rFonts w:ascii="Times New Roman" w:hAnsi="Times New Roman"/>
          <w:lang w:eastAsia="fr-BE"/>
        </w:rPr>
        <w:t xml:space="preserve"> of Econom</w:t>
      </w:r>
      <w:r w:rsidR="00EF7528" w:rsidRPr="00A60FD5">
        <w:rPr>
          <w:rFonts w:ascii="Times New Roman" w:hAnsi="Times New Roman"/>
          <w:lang w:eastAsia="fr-BE"/>
        </w:rPr>
        <w:t>ics</w:t>
      </w:r>
      <w:r w:rsidRPr="00A60FD5">
        <w:rPr>
          <w:rFonts w:ascii="Times New Roman" w:hAnsi="Times New Roman"/>
          <w:lang w:eastAsia="fr-BE"/>
        </w:rPr>
        <w:t xml:space="preserve"> 109</w:t>
      </w:r>
      <w:r w:rsidR="00EF7528" w:rsidRPr="00A60FD5">
        <w:rPr>
          <w:rFonts w:ascii="Times New Roman" w:hAnsi="Times New Roman"/>
          <w:lang w:eastAsia="fr-BE"/>
        </w:rPr>
        <w:t>,</w:t>
      </w:r>
      <w:r w:rsidRPr="00A60FD5">
        <w:rPr>
          <w:rFonts w:ascii="Times New Roman" w:hAnsi="Times New Roman"/>
          <w:lang w:eastAsia="fr-BE"/>
        </w:rPr>
        <w:t xml:space="preserve"> 1125-1156.</w:t>
      </w:r>
    </w:p>
    <w:p w14:paraId="292059E1" w14:textId="6891CB95" w:rsidR="00A81F92" w:rsidRPr="00A60FD5" w:rsidRDefault="00A81F92" w:rsidP="00E258CC">
      <w:pPr>
        <w:spacing w:line="220" w:lineRule="exact"/>
        <w:rPr>
          <w:rFonts w:ascii="Times New Roman" w:hAnsi="Times New Roman"/>
          <w:lang w:eastAsia="fr-BE"/>
        </w:rPr>
      </w:pPr>
      <w:r w:rsidRPr="00A60FD5">
        <w:rPr>
          <w:rFonts w:ascii="Times New Roman" w:hAnsi="Times New Roman"/>
          <w:lang w:eastAsia="fr-BE"/>
        </w:rPr>
        <w:t>Baruch, Y., Holtom, B.C., 2008. Survey response rate levels and trends in organizational research. Human Relation 61, 1139-1160.</w:t>
      </w:r>
    </w:p>
    <w:p w14:paraId="4721E075" w14:textId="218B5450" w:rsidR="00D77F2A" w:rsidRPr="00A60FD5" w:rsidRDefault="00D77F2A" w:rsidP="00E258CC">
      <w:pPr>
        <w:spacing w:line="220" w:lineRule="exact"/>
        <w:rPr>
          <w:rFonts w:ascii="Times New Roman" w:hAnsi="Times New Roman"/>
          <w:lang w:eastAsia="fr-BE"/>
        </w:rPr>
      </w:pPr>
      <w:r w:rsidRPr="00A60FD5">
        <w:rPr>
          <w:rFonts w:ascii="Times New Roman" w:hAnsi="Times New Roman"/>
          <w:lang w:eastAsia="fr-BE"/>
        </w:rPr>
        <w:lastRenderedPageBreak/>
        <w:t>Bednar, M.K., Westphal</w:t>
      </w:r>
      <w:r w:rsidR="00A81F92" w:rsidRPr="00A60FD5">
        <w:rPr>
          <w:rFonts w:ascii="Times New Roman" w:hAnsi="Times New Roman"/>
          <w:lang w:eastAsia="fr-BE"/>
        </w:rPr>
        <w:t>, J.D.,</w:t>
      </w:r>
      <w:r w:rsidRPr="00A60FD5">
        <w:rPr>
          <w:rFonts w:ascii="Times New Roman" w:hAnsi="Times New Roman"/>
          <w:lang w:eastAsia="fr-BE"/>
        </w:rPr>
        <w:t xml:space="preserve"> 2006. Surveying the corporate elite: Theoretical and practical guidance on improving response rates and response quality in top management survey questionnaires. In Research methodology in strategy and management (p. 37-55). Emerald Group Publishing Limited.</w:t>
      </w:r>
    </w:p>
    <w:p w14:paraId="10CC6BA6" w14:textId="69E31BAA" w:rsidR="00415DB7" w:rsidRPr="00A60FD5" w:rsidRDefault="00415DB7" w:rsidP="00E258CC">
      <w:pPr>
        <w:spacing w:line="220" w:lineRule="exact"/>
        <w:rPr>
          <w:rFonts w:ascii="Times New Roman" w:hAnsi="Times New Roman"/>
          <w:lang w:eastAsia="fr-BE"/>
        </w:rPr>
      </w:pPr>
      <w:r w:rsidRPr="00A60FD5">
        <w:rPr>
          <w:rFonts w:ascii="Times New Roman" w:hAnsi="Times New Roman"/>
          <w:lang w:val="it-IT" w:eastAsia="fr-BE"/>
        </w:rPr>
        <w:t>Benassi, M., Di Minin</w:t>
      </w:r>
      <w:r w:rsidR="00601A6B">
        <w:rPr>
          <w:rFonts w:ascii="Times New Roman" w:hAnsi="Times New Roman"/>
          <w:lang w:val="it-IT" w:eastAsia="fr-BE"/>
        </w:rPr>
        <w:t xml:space="preserve">, </w:t>
      </w:r>
      <w:r w:rsidR="00601A6B" w:rsidRPr="00A60FD5">
        <w:rPr>
          <w:rFonts w:ascii="Times New Roman" w:hAnsi="Times New Roman"/>
          <w:lang w:val="it-IT" w:eastAsia="fr-BE"/>
        </w:rPr>
        <w:t>A.</w:t>
      </w:r>
      <w:r w:rsidR="00601A6B">
        <w:rPr>
          <w:rFonts w:ascii="Times New Roman" w:hAnsi="Times New Roman"/>
          <w:lang w:val="it-IT" w:eastAsia="fr-BE"/>
        </w:rPr>
        <w:t>,</w:t>
      </w:r>
      <w:r w:rsidRPr="00A60FD5">
        <w:rPr>
          <w:rFonts w:ascii="Times New Roman" w:hAnsi="Times New Roman"/>
          <w:lang w:val="it-IT" w:eastAsia="fr-BE"/>
        </w:rPr>
        <w:t xml:space="preserve"> </w:t>
      </w:r>
      <w:r w:rsidRPr="00601A6B">
        <w:rPr>
          <w:rFonts w:ascii="Times New Roman" w:hAnsi="Times New Roman"/>
          <w:lang w:val="fr-BE" w:eastAsia="fr-BE"/>
        </w:rPr>
        <w:t xml:space="preserve">2009. </w:t>
      </w:r>
      <w:r w:rsidRPr="00A60FD5">
        <w:rPr>
          <w:rFonts w:ascii="Times New Roman" w:hAnsi="Times New Roman"/>
          <w:lang w:eastAsia="fr-BE"/>
        </w:rPr>
        <w:t>Playing in between: patent brokers in markets for technology. R&amp;d Management 39</w:t>
      </w:r>
      <w:r w:rsidR="00601A6B">
        <w:rPr>
          <w:rFonts w:ascii="Times New Roman" w:hAnsi="Times New Roman"/>
          <w:lang w:eastAsia="fr-BE"/>
        </w:rPr>
        <w:t xml:space="preserve">, </w:t>
      </w:r>
      <w:r w:rsidRPr="00A60FD5">
        <w:rPr>
          <w:rFonts w:ascii="Times New Roman" w:hAnsi="Times New Roman"/>
          <w:lang w:eastAsia="fr-BE"/>
        </w:rPr>
        <w:t>68-86.</w:t>
      </w:r>
    </w:p>
    <w:p w14:paraId="57E76BF2" w14:textId="6FD4A1D8" w:rsidR="00AD37FF" w:rsidRDefault="00AD37FF" w:rsidP="00E258CC">
      <w:pPr>
        <w:spacing w:line="220" w:lineRule="exact"/>
        <w:rPr>
          <w:rFonts w:ascii="Times New Roman" w:hAnsi="Times New Roman"/>
          <w:lang w:eastAsia="fr-BE"/>
        </w:rPr>
      </w:pPr>
      <w:r w:rsidRPr="00A60FD5">
        <w:rPr>
          <w:rFonts w:ascii="Times New Roman" w:hAnsi="Times New Roman"/>
          <w:lang w:eastAsia="fr-BE"/>
        </w:rPr>
        <w:t>Bercovitz, J.E., Tyler</w:t>
      </w:r>
      <w:r w:rsidR="00A53F47" w:rsidRPr="00A60FD5">
        <w:rPr>
          <w:rFonts w:ascii="Times New Roman" w:hAnsi="Times New Roman"/>
          <w:lang w:eastAsia="fr-BE"/>
        </w:rPr>
        <w:t>, B.B.,</w:t>
      </w:r>
      <w:r w:rsidRPr="00A60FD5">
        <w:rPr>
          <w:rFonts w:ascii="Times New Roman" w:hAnsi="Times New Roman"/>
          <w:lang w:eastAsia="fr-BE"/>
        </w:rPr>
        <w:t xml:space="preserve"> 2014. Who I am and how I contract: The effect of contractors’ roles on the evolution of contract structure in university–industry research agreements. Org</w:t>
      </w:r>
      <w:r w:rsidR="005447D4" w:rsidRPr="00A60FD5">
        <w:rPr>
          <w:rFonts w:ascii="Times New Roman" w:hAnsi="Times New Roman"/>
          <w:lang w:eastAsia="fr-BE"/>
        </w:rPr>
        <w:t>an</w:t>
      </w:r>
      <w:r w:rsidR="00A53F47" w:rsidRPr="00A60FD5">
        <w:rPr>
          <w:rFonts w:ascii="Times New Roman" w:hAnsi="Times New Roman"/>
          <w:lang w:eastAsia="fr-BE"/>
        </w:rPr>
        <w:t>ization</w:t>
      </w:r>
      <w:r w:rsidRPr="00A60FD5">
        <w:rPr>
          <w:rFonts w:ascii="Times New Roman" w:hAnsi="Times New Roman"/>
          <w:lang w:eastAsia="fr-BE"/>
        </w:rPr>
        <w:t xml:space="preserve"> Sci</w:t>
      </w:r>
      <w:r w:rsidR="00A53F47" w:rsidRPr="00A60FD5">
        <w:rPr>
          <w:rFonts w:ascii="Times New Roman" w:hAnsi="Times New Roman"/>
          <w:lang w:eastAsia="fr-BE"/>
        </w:rPr>
        <w:t>ence</w:t>
      </w:r>
      <w:r w:rsidRPr="00A60FD5">
        <w:rPr>
          <w:rFonts w:ascii="Times New Roman" w:hAnsi="Times New Roman"/>
          <w:lang w:eastAsia="fr-BE"/>
        </w:rPr>
        <w:t xml:space="preserve"> 25</w:t>
      </w:r>
      <w:r w:rsidR="00A53F47" w:rsidRPr="00A60FD5">
        <w:rPr>
          <w:rFonts w:ascii="Times New Roman" w:hAnsi="Times New Roman"/>
          <w:lang w:eastAsia="fr-BE"/>
        </w:rPr>
        <w:t>,</w:t>
      </w:r>
      <w:r w:rsidRPr="00A60FD5">
        <w:rPr>
          <w:rFonts w:ascii="Times New Roman" w:hAnsi="Times New Roman"/>
          <w:lang w:eastAsia="fr-BE"/>
        </w:rPr>
        <w:t xml:space="preserve"> 1840-1859.</w:t>
      </w:r>
    </w:p>
    <w:p w14:paraId="1F676049" w14:textId="0D903C69" w:rsidR="007658EA" w:rsidRPr="00A60FD5" w:rsidRDefault="007658EA" w:rsidP="00E258CC">
      <w:pPr>
        <w:spacing w:line="220" w:lineRule="exact"/>
        <w:rPr>
          <w:rFonts w:ascii="Times New Roman" w:hAnsi="Times New Roman"/>
          <w:lang w:eastAsia="fr-BE"/>
        </w:rPr>
      </w:pPr>
      <w:r w:rsidRPr="007658EA">
        <w:rPr>
          <w:rFonts w:ascii="Times New Roman" w:hAnsi="Times New Roman"/>
          <w:lang w:eastAsia="fr-BE"/>
        </w:rPr>
        <w:t>Be</w:t>
      </w:r>
      <w:r>
        <w:rPr>
          <w:rFonts w:ascii="Times New Roman" w:hAnsi="Times New Roman"/>
          <w:lang w:eastAsia="fr-BE"/>
        </w:rPr>
        <w:t>r</w:t>
      </w:r>
      <w:r w:rsidRPr="007658EA">
        <w:rPr>
          <w:rFonts w:ascii="Times New Roman" w:hAnsi="Times New Roman"/>
          <w:lang w:eastAsia="fr-BE"/>
        </w:rPr>
        <w:t>lderbos, R</w:t>
      </w:r>
      <w:r>
        <w:rPr>
          <w:rFonts w:ascii="Times New Roman" w:hAnsi="Times New Roman"/>
          <w:lang w:eastAsia="fr-BE"/>
        </w:rPr>
        <w:t>.</w:t>
      </w:r>
      <w:r w:rsidRPr="007658EA">
        <w:rPr>
          <w:rFonts w:ascii="Times New Roman" w:hAnsi="Times New Roman"/>
          <w:lang w:eastAsia="fr-BE"/>
        </w:rPr>
        <w:t>, Carree,</w:t>
      </w:r>
      <w:r>
        <w:rPr>
          <w:rFonts w:ascii="Times New Roman" w:hAnsi="Times New Roman"/>
          <w:lang w:eastAsia="fr-BE"/>
        </w:rPr>
        <w:t xml:space="preserve"> M., </w:t>
      </w:r>
      <w:r w:rsidRPr="007658EA">
        <w:rPr>
          <w:rFonts w:ascii="Times New Roman" w:hAnsi="Times New Roman"/>
          <w:lang w:eastAsia="fr-BE"/>
        </w:rPr>
        <w:t>Lokshin</w:t>
      </w:r>
      <w:r>
        <w:rPr>
          <w:rFonts w:ascii="Times New Roman" w:hAnsi="Times New Roman"/>
          <w:lang w:eastAsia="fr-BE"/>
        </w:rPr>
        <w:t xml:space="preserve">, B., 2006. </w:t>
      </w:r>
      <w:r w:rsidRPr="007658EA">
        <w:rPr>
          <w:rFonts w:ascii="Times New Roman" w:hAnsi="Times New Roman"/>
          <w:lang w:eastAsia="fr-BE"/>
        </w:rPr>
        <w:t>Complementarity in R&amp;D cooperation strategies. Review of Industrial Organization 28</w:t>
      </w:r>
      <w:r>
        <w:rPr>
          <w:rFonts w:ascii="Times New Roman" w:hAnsi="Times New Roman"/>
          <w:lang w:eastAsia="fr-BE"/>
        </w:rPr>
        <w:t xml:space="preserve">, </w:t>
      </w:r>
      <w:r w:rsidRPr="007658EA">
        <w:rPr>
          <w:rFonts w:ascii="Times New Roman" w:hAnsi="Times New Roman"/>
          <w:lang w:eastAsia="fr-BE"/>
        </w:rPr>
        <w:t>401-426.</w:t>
      </w:r>
    </w:p>
    <w:p w14:paraId="12391D16" w14:textId="0A489BD2" w:rsidR="004C0A9B" w:rsidRPr="00A60FD5" w:rsidRDefault="004C0A9B" w:rsidP="00E258CC">
      <w:pPr>
        <w:spacing w:line="220" w:lineRule="exact"/>
        <w:rPr>
          <w:rFonts w:ascii="Times New Roman" w:hAnsi="Times New Roman"/>
          <w:lang w:eastAsia="fr-BE"/>
        </w:rPr>
      </w:pPr>
      <w:r w:rsidRPr="00A60FD5">
        <w:rPr>
          <w:rFonts w:ascii="Times New Roman" w:hAnsi="Times New Roman"/>
          <w:lang w:eastAsia="fr-BE"/>
        </w:rPr>
        <w:t xml:space="preserve">Bergen, M., Dutta, </w:t>
      </w:r>
      <w:r w:rsidR="008E2D97" w:rsidRPr="00A60FD5">
        <w:rPr>
          <w:rFonts w:ascii="Times New Roman" w:hAnsi="Times New Roman"/>
          <w:lang w:eastAsia="fr-BE"/>
        </w:rPr>
        <w:t xml:space="preserve">S., </w:t>
      </w:r>
      <w:r w:rsidRPr="00A60FD5">
        <w:rPr>
          <w:rFonts w:ascii="Times New Roman" w:hAnsi="Times New Roman"/>
          <w:lang w:eastAsia="fr-BE"/>
        </w:rPr>
        <w:t>Walker</w:t>
      </w:r>
      <w:r w:rsidR="008E2D97" w:rsidRPr="00A60FD5">
        <w:rPr>
          <w:rFonts w:ascii="Times New Roman" w:hAnsi="Times New Roman"/>
          <w:lang w:eastAsia="fr-BE"/>
        </w:rPr>
        <w:t>, O.C.,</w:t>
      </w:r>
      <w:r w:rsidRPr="00A60FD5">
        <w:rPr>
          <w:rFonts w:ascii="Times New Roman" w:hAnsi="Times New Roman"/>
          <w:lang w:eastAsia="fr-BE"/>
        </w:rPr>
        <w:t xml:space="preserve"> 1992. Agency relationships in marketing: A review of the implications and applications of agency and related theories. J</w:t>
      </w:r>
      <w:r w:rsidR="008E2D97" w:rsidRPr="00A60FD5">
        <w:rPr>
          <w:rFonts w:ascii="Times New Roman" w:hAnsi="Times New Roman"/>
          <w:lang w:eastAsia="fr-BE"/>
        </w:rPr>
        <w:t>ournal</w:t>
      </w:r>
      <w:r w:rsidRPr="00A60FD5">
        <w:rPr>
          <w:rFonts w:ascii="Times New Roman" w:hAnsi="Times New Roman"/>
          <w:lang w:eastAsia="fr-BE"/>
        </w:rPr>
        <w:t xml:space="preserve"> of Marketing</w:t>
      </w:r>
      <w:r w:rsidR="008E2D97" w:rsidRPr="00A60FD5">
        <w:rPr>
          <w:rFonts w:ascii="Times New Roman" w:hAnsi="Times New Roman"/>
          <w:lang w:eastAsia="fr-BE"/>
        </w:rPr>
        <w:t xml:space="preserve"> 56,</w:t>
      </w:r>
      <w:r w:rsidRPr="00A60FD5">
        <w:rPr>
          <w:rFonts w:ascii="Times New Roman" w:hAnsi="Times New Roman"/>
          <w:lang w:eastAsia="fr-BE"/>
        </w:rPr>
        <w:t xml:space="preserve"> 1-24.</w:t>
      </w:r>
    </w:p>
    <w:p w14:paraId="31FCEC77" w14:textId="5C21D596" w:rsidR="00754823" w:rsidRPr="00A60FD5" w:rsidRDefault="00754823" w:rsidP="00E258CC">
      <w:pPr>
        <w:spacing w:line="220" w:lineRule="exact"/>
        <w:rPr>
          <w:rFonts w:ascii="Times New Roman" w:hAnsi="Times New Roman"/>
          <w:lang w:eastAsia="fr-BE"/>
        </w:rPr>
      </w:pPr>
      <w:r w:rsidRPr="00A60FD5">
        <w:rPr>
          <w:rFonts w:ascii="Times New Roman" w:hAnsi="Times New Roman"/>
          <w:lang w:eastAsia="fr-BE"/>
        </w:rPr>
        <w:t>Bernstein, L.</w:t>
      </w:r>
      <w:r w:rsidR="001E3C61" w:rsidRPr="00A60FD5">
        <w:rPr>
          <w:rFonts w:ascii="Times New Roman" w:hAnsi="Times New Roman"/>
          <w:lang w:eastAsia="fr-BE"/>
        </w:rPr>
        <w:t>,</w:t>
      </w:r>
      <w:r w:rsidRPr="00A60FD5">
        <w:rPr>
          <w:rFonts w:ascii="Times New Roman" w:hAnsi="Times New Roman"/>
          <w:lang w:eastAsia="fr-BE"/>
        </w:rPr>
        <w:t xml:space="preserve"> 2001. Private </w:t>
      </w:r>
      <w:r w:rsidR="001E3C61" w:rsidRPr="00A60FD5">
        <w:rPr>
          <w:rFonts w:ascii="Times New Roman" w:hAnsi="Times New Roman"/>
          <w:lang w:eastAsia="fr-BE"/>
        </w:rPr>
        <w:t>c</w:t>
      </w:r>
      <w:r w:rsidRPr="00A60FD5">
        <w:rPr>
          <w:rFonts w:ascii="Times New Roman" w:hAnsi="Times New Roman"/>
          <w:lang w:eastAsia="fr-BE"/>
        </w:rPr>
        <w:t>ommercial</w:t>
      </w:r>
      <w:r w:rsidR="001E3C61" w:rsidRPr="00A60FD5">
        <w:rPr>
          <w:rFonts w:ascii="Times New Roman" w:hAnsi="Times New Roman"/>
          <w:lang w:eastAsia="fr-BE"/>
        </w:rPr>
        <w:t xml:space="preserve"> la</w:t>
      </w:r>
      <w:r w:rsidRPr="00A60FD5">
        <w:rPr>
          <w:rFonts w:ascii="Times New Roman" w:hAnsi="Times New Roman"/>
          <w:lang w:eastAsia="fr-BE"/>
        </w:rPr>
        <w:t xml:space="preserve">w in the </w:t>
      </w:r>
      <w:r w:rsidR="001E3C61" w:rsidRPr="00A60FD5">
        <w:rPr>
          <w:rFonts w:ascii="Times New Roman" w:hAnsi="Times New Roman"/>
          <w:lang w:eastAsia="fr-BE"/>
        </w:rPr>
        <w:t>c</w:t>
      </w:r>
      <w:r w:rsidRPr="00A60FD5">
        <w:rPr>
          <w:rFonts w:ascii="Times New Roman" w:hAnsi="Times New Roman"/>
          <w:lang w:eastAsia="fr-BE"/>
        </w:rPr>
        <w:t xml:space="preserve">otton </w:t>
      </w:r>
      <w:r w:rsidR="001E3C61" w:rsidRPr="00A60FD5">
        <w:rPr>
          <w:rFonts w:ascii="Times New Roman" w:hAnsi="Times New Roman"/>
          <w:lang w:eastAsia="fr-BE"/>
        </w:rPr>
        <w:t>i</w:t>
      </w:r>
      <w:r w:rsidRPr="00A60FD5">
        <w:rPr>
          <w:rFonts w:ascii="Times New Roman" w:hAnsi="Times New Roman"/>
          <w:lang w:eastAsia="fr-BE"/>
        </w:rPr>
        <w:t xml:space="preserve">ndustry: </w:t>
      </w:r>
      <w:r w:rsidR="001E3C61" w:rsidRPr="00A60FD5">
        <w:rPr>
          <w:rFonts w:ascii="Times New Roman" w:hAnsi="Times New Roman"/>
          <w:lang w:eastAsia="fr-BE"/>
        </w:rPr>
        <w:t>c</w:t>
      </w:r>
      <w:r w:rsidRPr="00A60FD5">
        <w:rPr>
          <w:rFonts w:ascii="Times New Roman" w:hAnsi="Times New Roman"/>
          <w:lang w:eastAsia="fr-BE"/>
        </w:rPr>
        <w:t xml:space="preserve">reating </w:t>
      </w:r>
      <w:r w:rsidR="001E3C61" w:rsidRPr="00A60FD5">
        <w:rPr>
          <w:rFonts w:ascii="Times New Roman" w:hAnsi="Times New Roman"/>
          <w:lang w:eastAsia="fr-BE"/>
        </w:rPr>
        <w:t>c</w:t>
      </w:r>
      <w:r w:rsidRPr="00A60FD5">
        <w:rPr>
          <w:rFonts w:ascii="Times New Roman" w:hAnsi="Times New Roman"/>
          <w:lang w:eastAsia="fr-BE"/>
        </w:rPr>
        <w:t xml:space="preserve">ooperation through </w:t>
      </w:r>
      <w:r w:rsidR="001E3C61" w:rsidRPr="00A60FD5">
        <w:rPr>
          <w:rFonts w:ascii="Times New Roman" w:hAnsi="Times New Roman"/>
          <w:lang w:eastAsia="fr-BE"/>
        </w:rPr>
        <w:t>n</w:t>
      </w:r>
      <w:r w:rsidRPr="00A60FD5">
        <w:rPr>
          <w:rFonts w:ascii="Times New Roman" w:hAnsi="Times New Roman"/>
          <w:lang w:eastAsia="fr-BE"/>
        </w:rPr>
        <w:t xml:space="preserve">orms, </w:t>
      </w:r>
      <w:r w:rsidR="001E3C61" w:rsidRPr="00A60FD5">
        <w:rPr>
          <w:rFonts w:ascii="Times New Roman" w:hAnsi="Times New Roman"/>
          <w:lang w:eastAsia="fr-BE"/>
        </w:rPr>
        <w:t>r</w:t>
      </w:r>
      <w:r w:rsidRPr="00A60FD5">
        <w:rPr>
          <w:rFonts w:ascii="Times New Roman" w:hAnsi="Times New Roman"/>
          <w:lang w:eastAsia="fr-BE"/>
        </w:rPr>
        <w:t xml:space="preserve">ules, and </w:t>
      </w:r>
      <w:r w:rsidR="001E3C61" w:rsidRPr="00A60FD5">
        <w:rPr>
          <w:rFonts w:ascii="Times New Roman" w:hAnsi="Times New Roman"/>
          <w:lang w:eastAsia="fr-BE"/>
        </w:rPr>
        <w:t>i</w:t>
      </w:r>
      <w:r w:rsidRPr="00A60FD5">
        <w:rPr>
          <w:rFonts w:ascii="Times New Roman" w:hAnsi="Times New Roman"/>
          <w:lang w:eastAsia="fr-BE"/>
        </w:rPr>
        <w:t xml:space="preserve">nstitutions. </w:t>
      </w:r>
      <w:r w:rsidRPr="00A60FD5">
        <w:rPr>
          <w:rFonts w:ascii="Times New Roman" w:hAnsi="Times New Roman"/>
          <w:iCs/>
          <w:lang w:eastAsia="fr-BE"/>
        </w:rPr>
        <w:t>Michigan Law Rev</w:t>
      </w:r>
      <w:r w:rsidR="001E3C61" w:rsidRPr="00A60FD5">
        <w:rPr>
          <w:rFonts w:ascii="Times New Roman" w:hAnsi="Times New Roman"/>
          <w:iCs/>
          <w:lang w:eastAsia="fr-BE"/>
        </w:rPr>
        <w:t>iew</w:t>
      </w:r>
      <w:r w:rsidRPr="00A60FD5">
        <w:rPr>
          <w:rFonts w:ascii="Times New Roman" w:hAnsi="Times New Roman"/>
          <w:lang w:eastAsia="fr-BE"/>
        </w:rPr>
        <w:t xml:space="preserve"> 99</w:t>
      </w:r>
      <w:r w:rsidR="001E3C61" w:rsidRPr="00A60FD5">
        <w:rPr>
          <w:rFonts w:ascii="Times New Roman" w:hAnsi="Times New Roman"/>
          <w:lang w:eastAsia="fr-BE"/>
        </w:rPr>
        <w:t>,</w:t>
      </w:r>
      <w:r w:rsidRPr="00A60FD5">
        <w:rPr>
          <w:rFonts w:ascii="Times New Roman" w:hAnsi="Times New Roman"/>
          <w:lang w:eastAsia="fr-BE"/>
        </w:rPr>
        <w:t xml:space="preserve"> 1724–1788.</w:t>
      </w:r>
    </w:p>
    <w:p w14:paraId="6BC84703" w14:textId="36D37975" w:rsidR="003A495E" w:rsidRPr="00A60FD5" w:rsidRDefault="003A495E" w:rsidP="00E258CC">
      <w:pPr>
        <w:spacing w:line="220" w:lineRule="exact"/>
        <w:rPr>
          <w:rFonts w:ascii="Times New Roman" w:hAnsi="Times New Roman"/>
          <w:lang w:eastAsia="fr-BE"/>
        </w:rPr>
      </w:pPr>
      <w:r w:rsidRPr="00A60FD5">
        <w:rPr>
          <w:rFonts w:ascii="Times New Roman" w:hAnsi="Times New Roman"/>
          <w:lang w:eastAsia="fr-BE"/>
        </w:rPr>
        <w:t xml:space="preserve">Berry, H., Guillén, </w:t>
      </w:r>
      <w:r w:rsidR="00601A6B" w:rsidRPr="00A60FD5">
        <w:rPr>
          <w:rFonts w:ascii="Times New Roman" w:hAnsi="Times New Roman"/>
          <w:lang w:eastAsia="fr-BE"/>
        </w:rPr>
        <w:t>M.F.</w:t>
      </w:r>
      <w:r w:rsidR="00601A6B">
        <w:rPr>
          <w:rFonts w:ascii="Times New Roman" w:hAnsi="Times New Roman"/>
          <w:lang w:eastAsia="fr-BE"/>
        </w:rPr>
        <w:t>,</w:t>
      </w:r>
      <w:r w:rsidR="00601A6B" w:rsidRPr="00A60FD5">
        <w:rPr>
          <w:rFonts w:ascii="Times New Roman" w:hAnsi="Times New Roman"/>
          <w:lang w:eastAsia="fr-BE"/>
        </w:rPr>
        <w:t xml:space="preserve"> </w:t>
      </w:r>
      <w:r w:rsidRPr="00A60FD5">
        <w:rPr>
          <w:rFonts w:ascii="Times New Roman" w:hAnsi="Times New Roman"/>
          <w:lang w:eastAsia="fr-BE"/>
        </w:rPr>
        <w:t>Zhou</w:t>
      </w:r>
      <w:r w:rsidR="00601A6B">
        <w:rPr>
          <w:rFonts w:ascii="Times New Roman" w:hAnsi="Times New Roman"/>
          <w:lang w:eastAsia="fr-BE"/>
        </w:rPr>
        <w:t xml:space="preserve">, </w:t>
      </w:r>
      <w:r w:rsidR="00601A6B" w:rsidRPr="00A60FD5">
        <w:rPr>
          <w:rFonts w:ascii="Times New Roman" w:hAnsi="Times New Roman"/>
          <w:lang w:eastAsia="fr-BE"/>
        </w:rPr>
        <w:t xml:space="preserve">N </w:t>
      </w:r>
      <w:r w:rsidR="00601A6B">
        <w:rPr>
          <w:rFonts w:ascii="Times New Roman" w:hAnsi="Times New Roman"/>
          <w:lang w:eastAsia="fr-BE"/>
        </w:rPr>
        <w:t>,</w:t>
      </w:r>
      <w:r w:rsidRPr="00A60FD5">
        <w:rPr>
          <w:rFonts w:ascii="Times New Roman" w:hAnsi="Times New Roman"/>
          <w:lang w:eastAsia="fr-BE"/>
        </w:rPr>
        <w:t xml:space="preserve"> 2010. An institutional approach to cross-national distance. J</w:t>
      </w:r>
      <w:r w:rsidR="00601A6B">
        <w:rPr>
          <w:rFonts w:ascii="Times New Roman" w:hAnsi="Times New Roman"/>
          <w:lang w:eastAsia="fr-BE"/>
        </w:rPr>
        <w:t>ournal</w:t>
      </w:r>
      <w:r w:rsidRPr="00A60FD5">
        <w:rPr>
          <w:rFonts w:ascii="Times New Roman" w:hAnsi="Times New Roman"/>
          <w:lang w:eastAsia="fr-BE"/>
        </w:rPr>
        <w:t xml:space="preserve"> of Intern</w:t>
      </w:r>
      <w:r w:rsidR="00601A6B">
        <w:rPr>
          <w:rFonts w:ascii="Times New Roman" w:hAnsi="Times New Roman"/>
          <w:lang w:eastAsia="fr-BE"/>
        </w:rPr>
        <w:t>ational</w:t>
      </w:r>
      <w:r w:rsidRPr="00A60FD5">
        <w:rPr>
          <w:rFonts w:ascii="Times New Roman" w:hAnsi="Times New Roman"/>
          <w:lang w:eastAsia="fr-BE"/>
        </w:rPr>
        <w:t xml:space="preserve"> Business Stud</w:t>
      </w:r>
      <w:r w:rsidR="00601A6B">
        <w:rPr>
          <w:rFonts w:ascii="Times New Roman" w:hAnsi="Times New Roman"/>
          <w:lang w:eastAsia="fr-BE"/>
        </w:rPr>
        <w:t>ies</w:t>
      </w:r>
      <w:r w:rsidRPr="00A60FD5">
        <w:rPr>
          <w:rFonts w:ascii="Times New Roman" w:hAnsi="Times New Roman"/>
          <w:lang w:eastAsia="fr-BE"/>
        </w:rPr>
        <w:t xml:space="preserve"> 41</w:t>
      </w:r>
      <w:r w:rsidR="00601A6B">
        <w:rPr>
          <w:rFonts w:ascii="Times New Roman" w:hAnsi="Times New Roman"/>
          <w:lang w:eastAsia="fr-BE"/>
        </w:rPr>
        <w:t>,</w:t>
      </w:r>
      <w:r w:rsidRPr="00A60FD5">
        <w:rPr>
          <w:rFonts w:ascii="Times New Roman" w:hAnsi="Times New Roman"/>
          <w:lang w:eastAsia="fr-BE"/>
        </w:rPr>
        <w:t xml:space="preserve"> 1460-1480.</w:t>
      </w:r>
    </w:p>
    <w:p w14:paraId="2A094B20" w14:textId="319DDD32" w:rsidR="00D77849" w:rsidRPr="00A60FD5" w:rsidRDefault="00D77849" w:rsidP="00E258CC">
      <w:pPr>
        <w:spacing w:line="220" w:lineRule="exact"/>
        <w:rPr>
          <w:rFonts w:ascii="Times New Roman" w:hAnsi="Times New Roman"/>
          <w:color w:val="000000"/>
        </w:rPr>
      </w:pPr>
      <w:r w:rsidRPr="00601A6B">
        <w:rPr>
          <w:rFonts w:ascii="Times New Roman" w:hAnsi="Times New Roman"/>
          <w:color w:val="000000"/>
          <w:lang w:val="fr-BE"/>
        </w:rPr>
        <w:t xml:space="preserve">Bessen, J., </w:t>
      </w:r>
      <w:r w:rsidR="00105011" w:rsidRPr="00601A6B">
        <w:rPr>
          <w:rFonts w:ascii="Times New Roman" w:hAnsi="Times New Roman"/>
          <w:color w:val="000000"/>
          <w:lang w:val="fr-BE"/>
        </w:rPr>
        <w:t>M</w:t>
      </w:r>
      <w:r w:rsidRPr="00601A6B">
        <w:rPr>
          <w:rFonts w:ascii="Times New Roman" w:hAnsi="Times New Roman"/>
          <w:color w:val="000000"/>
          <w:lang w:val="fr-BE"/>
        </w:rPr>
        <w:t>eurer</w:t>
      </w:r>
      <w:r w:rsidR="00601A6B" w:rsidRPr="00601A6B">
        <w:rPr>
          <w:rFonts w:ascii="Times New Roman" w:hAnsi="Times New Roman"/>
          <w:color w:val="000000"/>
          <w:lang w:val="fr-BE"/>
        </w:rPr>
        <w:t>, M.J.,</w:t>
      </w:r>
      <w:r w:rsidRPr="00601A6B">
        <w:rPr>
          <w:rFonts w:ascii="Times New Roman" w:hAnsi="Times New Roman"/>
          <w:color w:val="000000"/>
          <w:lang w:val="fr-BE"/>
        </w:rPr>
        <w:t xml:space="preserve"> 2005. </w:t>
      </w:r>
      <w:r w:rsidRPr="00A60FD5">
        <w:rPr>
          <w:rFonts w:ascii="Times New Roman" w:hAnsi="Times New Roman"/>
          <w:color w:val="000000"/>
        </w:rPr>
        <w:t>Lessons for patent policy from empirical research on patent litigation. Lewis &amp; Clark L</w:t>
      </w:r>
      <w:r w:rsidR="00601A6B">
        <w:rPr>
          <w:rFonts w:ascii="Times New Roman" w:hAnsi="Times New Roman"/>
          <w:color w:val="000000"/>
        </w:rPr>
        <w:t>aw</w:t>
      </w:r>
      <w:r w:rsidRPr="00A60FD5">
        <w:rPr>
          <w:rFonts w:ascii="Times New Roman" w:hAnsi="Times New Roman"/>
          <w:color w:val="000000"/>
        </w:rPr>
        <w:t xml:space="preserve"> Rev</w:t>
      </w:r>
      <w:r w:rsidR="00601A6B">
        <w:rPr>
          <w:rFonts w:ascii="Times New Roman" w:hAnsi="Times New Roman"/>
          <w:color w:val="000000"/>
        </w:rPr>
        <w:t>iew</w:t>
      </w:r>
      <w:r w:rsidRPr="00A60FD5">
        <w:rPr>
          <w:rFonts w:ascii="Times New Roman" w:hAnsi="Times New Roman"/>
          <w:color w:val="000000"/>
        </w:rPr>
        <w:t xml:space="preserve"> 9, 1</w:t>
      </w:r>
      <w:r w:rsidR="00601A6B">
        <w:rPr>
          <w:rFonts w:ascii="Times New Roman" w:hAnsi="Times New Roman"/>
          <w:color w:val="000000"/>
        </w:rPr>
        <w:t>-28</w:t>
      </w:r>
      <w:r w:rsidRPr="00A60FD5">
        <w:rPr>
          <w:rFonts w:ascii="Times New Roman" w:hAnsi="Times New Roman"/>
          <w:color w:val="000000"/>
        </w:rPr>
        <w:t>.</w:t>
      </w:r>
    </w:p>
    <w:p w14:paraId="2D8E4376" w14:textId="45991FF0" w:rsidR="00065D4C" w:rsidRPr="00A60FD5" w:rsidRDefault="00065D4C" w:rsidP="00E258CC">
      <w:pPr>
        <w:spacing w:line="220" w:lineRule="exact"/>
        <w:rPr>
          <w:rFonts w:ascii="Times New Roman" w:hAnsi="Times New Roman"/>
          <w:color w:val="000000"/>
        </w:rPr>
      </w:pPr>
      <w:r w:rsidRPr="00A60FD5">
        <w:rPr>
          <w:rFonts w:ascii="Times New Roman" w:hAnsi="Times New Roman"/>
          <w:color w:val="000000"/>
        </w:rPr>
        <w:t>Bessy, C., Brousseau, E., 1998. Technology licensing contracts features and diversity. International Review of Law and Economics 18, 451-489.</w:t>
      </w:r>
    </w:p>
    <w:p w14:paraId="5B160774" w14:textId="3BF4CB7F" w:rsidR="00754823" w:rsidRPr="00A60FD5" w:rsidRDefault="00754823" w:rsidP="00E258CC">
      <w:pPr>
        <w:spacing w:line="220" w:lineRule="exact"/>
        <w:rPr>
          <w:rFonts w:ascii="Times New Roman" w:hAnsi="Times New Roman"/>
          <w:color w:val="000000"/>
        </w:rPr>
      </w:pPr>
      <w:r w:rsidRPr="00A60FD5">
        <w:rPr>
          <w:rFonts w:ascii="Times New Roman" w:hAnsi="Times New Roman"/>
          <w:color w:val="000000"/>
        </w:rPr>
        <w:t>Bonn, R.L.</w:t>
      </w:r>
      <w:r w:rsidR="001E3C61" w:rsidRPr="00A60FD5">
        <w:rPr>
          <w:rFonts w:ascii="Times New Roman" w:hAnsi="Times New Roman"/>
          <w:color w:val="000000"/>
        </w:rPr>
        <w:t>,</w:t>
      </w:r>
      <w:r w:rsidRPr="00A60FD5">
        <w:rPr>
          <w:rFonts w:ascii="Times New Roman" w:hAnsi="Times New Roman"/>
          <w:color w:val="000000"/>
        </w:rPr>
        <w:t xml:space="preserve"> 1972. Arbitration: an alternative system for handling contract related disputes. Admin</w:t>
      </w:r>
      <w:r w:rsidR="001E3C61" w:rsidRPr="00A60FD5">
        <w:rPr>
          <w:rFonts w:ascii="Times New Roman" w:hAnsi="Times New Roman"/>
          <w:color w:val="000000"/>
        </w:rPr>
        <w:t>istrative</w:t>
      </w:r>
      <w:r w:rsidRPr="00A60FD5">
        <w:rPr>
          <w:rFonts w:ascii="Times New Roman" w:hAnsi="Times New Roman"/>
          <w:color w:val="000000"/>
        </w:rPr>
        <w:t xml:space="preserve"> Sci</w:t>
      </w:r>
      <w:r w:rsidR="001E3C61" w:rsidRPr="00A60FD5">
        <w:rPr>
          <w:rFonts w:ascii="Times New Roman" w:hAnsi="Times New Roman"/>
          <w:color w:val="000000"/>
        </w:rPr>
        <w:t>ence</w:t>
      </w:r>
      <w:r w:rsidRPr="00A60FD5">
        <w:rPr>
          <w:rFonts w:ascii="Times New Roman" w:hAnsi="Times New Roman"/>
          <w:color w:val="000000"/>
        </w:rPr>
        <w:t xml:space="preserve"> Quart</w:t>
      </w:r>
      <w:r w:rsidR="001E3C61" w:rsidRPr="00A60FD5">
        <w:rPr>
          <w:rFonts w:ascii="Times New Roman" w:hAnsi="Times New Roman"/>
          <w:color w:val="000000"/>
        </w:rPr>
        <w:t>erly</w:t>
      </w:r>
      <w:r w:rsidRPr="00A60FD5">
        <w:rPr>
          <w:rFonts w:ascii="Times New Roman" w:hAnsi="Times New Roman"/>
          <w:color w:val="000000"/>
        </w:rPr>
        <w:t xml:space="preserve"> 17</w:t>
      </w:r>
      <w:r w:rsidR="001E3C61" w:rsidRPr="00A60FD5">
        <w:rPr>
          <w:rFonts w:ascii="Times New Roman" w:hAnsi="Times New Roman"/>
          <w:color w:val="000000"/>
        </w:rPr>
        <w:t>,</w:t>
      </w:r>
      <w:r w:rsidRPr="00A60FD5">
        <w:rPr>
          <w:rFonts w:ascii="Times New Roman" w:hAnsi="Times New Roman"/>
          <w:color w:val="000000"/>
        </w:rPr>
        <w:t xml:space="preserve"> 254-264.</w:t>
      </w:r>
    </w:p>
    <w:p w14:paraId="7728DA02" w14:textId="18F6E8AE" w:rsidR="00754823" w:rsidRPr="00A60FD5" w:rsidRDefault="00754823" w:rsidP="00E258CC">
      <w:pPr>
        <w:spacing w:line="220" w:lineRule="exact"/>
        <w:rPr>
          <w:rFonts w:ascii="Times New Roman" w:hAnsi="Times New Roman"/>
          <w:color w:val="000000"/>
        </w:rPr>
      </w:pPr>
      <w:r w:rsidRPr="00A60FD5">
        <w:rPr>
          <w:rFonts w:ascii="Times New Roman" w:hAnsi="Times New Roman"/>
          <w:color w:val="000000"/>
        </w:rPr>
        <w:t xml:space="preserve">Brousseau, E., Coeurderoy, </w:t>
      </w:r>
      <w:r w:rsidR="00E03D86" w:rsidRPr="00A60FD5">
        <w:rPr>
          <w:rFonts w:ascii="Times New Roman" w:hAnsi="Times New Roman"/>
          <w:color w:val="000000"/>
        </w:rPr>
        <w:t xml:space="preserve">R., </w:t>
      </w:r>
      <w:r w:rsidRPr="00A60FD5">
        <w:rPr>
          <w:rFonts w:ascii="Times New Roman" w:hAnsi="Times New Roman"/>
          <w:color w:val="000000"/>
        </w:rPr>
        <w:t>Chasserant</w:t>
      </w:r>
      <w:r w:rsidR="00E03D86" w:rsidRPr="00A60FD5">
        <w:rPr>
          <w:rFonts w:ascii="Times New Roman" w:hAnsi="Times New Roman"/>
          <w:color w:val="000000"/>
        </w:rPr>
        <w:t>, C.,</w:t>
      </w:r>
      <w:r w:rsidRPr="00A60FD5">
        <w:rPr>
          <w:rFonts w:ascii="Times New Roman" w:hAnsi="Times New Roman"/>
          <w:color w:val="000000"/>
        </w:rPr>
        <w:t xml:space="preserve"> 2007. The governance of contracts: empirical evidence on technology licensing agreements. J</w:t>
      </w:r>
      <w:r w:rsidR="00E03D86" w:rsidRPr="00A60FD5">
        <w:rPr>
          <w:rFonts w:ascii="Times New Roman" w:hAnsi="Times New Roman"/>
          <w:color w:val="000000"/>
        </w:rPr>
        <w:t>ournal</w:t>
      </w:r>
      <w:r w:rsidRPr="00A60FD5">
        <w:rPr>
          <w:rFonts w:ascii="Times New Roman" w:hAnsi="Times New Roman"/>
          <w:color w:val="000000"/>
        </w:rPr>
        <w:t xml:space="preserve"> of Institutional and Theoretical Econom</w:t>
      </w:r>
      <w:r w:rsidR="00E03D86" w:rsidRPr="00A60FD5">
        <w:rPr>
          <w:rFonts w:ascii="Times New Roman" w:hAnsi="Times New Roman"/>
          <w:color w:val="000000"/>
        </w:rPr>
        <w:t>ics</w:t>
      </w:r>
      <w:r w:rsidRPr="00A60FD5">
        <w:rPr>
          <w:rFonts w:ascii="Times New Roman" w:hAnsi="Times New Roman"/>
          <w:color w:val="000000"/>
        </w:rPr>
        <w:t xml:space="preserve"> 163</w:t>
      </w:r>
      <w:r w:rsidR="00E03D86" w:rsidRPr="00A60FD5">
        <w:rPr>
          <w:rFonts w:ascii="Times New Roman" w:hAnsi="Times New Roman"/>
          <w:color w:val="000000"/>
        </w:rPr>
        <w:t xml:space="preserve">, </w:t>
      </w:r>
      <w:r w:rsidRPr="00A60FD5">
        <w:rPr>
          <w:rFonts w:ascii="Times New Roman" w:hAnsi="Times New Roman"/>
          <w:color w:val="000000"/>
        </w:rPr>
        <w:t xml:space="preserve">205-235. </w:t>
      </w:r>
    </w:p>
    <w:p w14:paraId="08D190E8" w14:textId="69211756" w:rsidR="00A6176D" w:rsidRPr="00A60FD5" w:rsidRDefault="00A6176D" w:rsidP="00E258CC">
      <w:pPr>
        <w:spacing w:line="220" w:lineRule="exact"/>
        <w:rPr>
          <w:rFonts w:ascii="Times New Roman" w:hAnsi="Times New Roman"/>
          <w:color w:val="000000"/>
        </w:rPr>
      </w:pPr>
      <w:r w:rsidRPr="00A60FD5">
        <w:rPr>
          <w:rFonts w:ascii="Times New Roman" w:hAnsi="Times New Roman"/>
          <w:color w:val="000000"/>
        </w:rPr>
        <w:t xml:space="preserve">Bruton, G.D., Filatotchev, I., Chahine, S., Wright, M., 2010. Governance, ownership structure, and performance of IPO firms: The impact of different types of private equity investors and institutional environments. Strategic </w:t>
      </w:r>
      <w:r w:rsidR="00BB73D5">
        <w:rPr>
          <w:rFonts w:ascii="Times New Roman" w:hAnsi="Times New Roman"/>
          <w:color w:val="000000"/>
        </w:rPr>
        <w:t>M</w:t>
      </w:r>
      <w:r w:rsidR="00BB73D5" w:rsidRPr="00A60FD5">
        <w:rPr>
          <w:rFonts w:ascii="Times New Roman" w:hAnsi="Times New Roman"/>
          <w:color w:val="000000"/>
        </w:rPr>
        <w:t xml:space="preserve">anagement </w:t>
      </w:r>
      <w:r w:rsidR="00BB73D5">
        <w:rPr>
          <w:rFonts w:ascii="Times New Roman" w:hAnsi="Times New Roman"/>
          <w:color w:val="000000"/>
        </w:rPr>
        <w:t>J</w:t>
      </w:r>
      <w:r w:rsidR="00BB73D5" w:rsidRPr="00A60FD5">
        <w:rPr>
          <w:rFonts w:ascii="Times New Roman" w:hAnsi="Times New Roman"/>
          <w:color w:val="000000"/>
        </w:rPr>
        <w:t xml:space="preserve">ournal </w:t>
      </w:r>
      <w:r w:rsidRPr="00A60FD5">
        <w:rPr>
          <w:rFonts w:ascii="Times New Roman" w:hAnsi="Times New Roman"/>
          <w:color w:val="000000"/>
        </w:rPr>
        <w:t>31, 491-509.</w:t>
      </w:r>
    </w:p>
    <w:p w14:paraId="7920E6A3" w14:textId="4329BECD" w:rsidR="002438DA" w:rsidRPr="00A60FD5" w:rsidRDefault="002438DA" w:rsidP="00E258CC">
      <w:pPr>
        <w:spacing w:line="220" w:lineRule="exact"/>
        <w:rPr>
          <w:rFonts w:ascii="Times New Roman" w:hAnsi="Times New Roman"/>
        </w:rPr>
      </w:pPr>
      <w:r w:rsidRPr="00A60FD5">
        <w:rPr>
          <w:rFonts w:ascii="Times New Roman" w:hAnsi="Times New Roman"/>
        </w:rPr>
        <w:t>Buchanan, J.</w:t>
      </w:r>
      <w:r w:rsidR="00BB73D5">
        <w:rPr>
          <w:rFonts w:ascii="Times New Roman" w:hAnsi="Times New Roman"/>
        </w:rPr>
        <w:t>,</w:t>
      </w:r>
      <w:r w:rsidRPr="00A60FD5">
        <w:rPr>
          <w:rFonts w:ascii="Times New Roman" w:hAnsi="Times New Roman"/>
        </w:rPr>
        <w:t xml:space="preserve"> 1975. A Contractarian Paradigm for Applying Economic Theory. American Econ</w:t>
      </w:r>
      <w:r w:rsidR="00BB73D5">
        <w:rPr>
          <w:rFonts w:ascii="Times New Roman" w:hAnsi="Times New Roman"/>
        </w:rPr>
        <w:t>omic</w:t>
      </w:r>
      <w:r w:rsidRPr="00A60FD5">
        <w:rPr>
          <w:rFonts w:ascii="Times New Roman" w:hAnsi="Times New Roman"/>
        </w:rPr>
        <w:t xml:space="preserve"> Rev</w:t>
      </w:r>
      <w:r w:rsidR="00BB73D5">
        <w:rPr>
          <w:rFonts w:ascii="Times New Roman" w:hAnsi="Times New Roman"/>
        </w:rPr>
        <w:t>iew</w:t>
      </w:r>
      <w:r w:rsidRPr="00A60FD5">
        <w:rPr>
          <w:rFonts w:ascii="Times New Roman" w:hAnsi="Times New Roman"/>
        </w:rPr>
        <w:t xml:space="preserve"> 65</w:t>
      </w:r>
      <w:r w:rsidR="00BB73D5">
        <w:rPr>
          <w:rFonts w:ascii="Times New Roman" w:hAnsi="Times New Roman"/>
        </w:rPr>
        <w:t>,</w:t>
      </w:r>
      <w:r w:rsidRPr="00A60FD5">
        <w:rPr>
          <w:rFonts w:ascii="Times New Roman" w:hAnsi="Times New Roman"/>
        </w:rPr>
        <w:t xml:space="preserve"> 225-30.</w:t>
      </w:r>
    </w:p>
    <w:p w14:paraId="45E2272D" w14:textId="5C37F8AA" w:rsidR="00754823" w:rsidRPr="00A60FD5" w:rsidRDefault="00754823" w:rsidP="00E258CC">
      <w:pPr>
        <w:spacing w:line="220" w:lineRule="exact"/>
        <w:rPr>
          <w:rFonts w:ascii="Times New Roman" w:hAnsi="Times New Roman"/>
        </w:rPr>
      </w:pPr>
      <w:r w:rsidRPr="00A60FD5">
        <w:rPr>
          <w:rFonts w:ascii="Times New Roman" w:hAnsi="Times New Roman"/>
        </w:rPr>
        <w:t xml:space="preserve">Carson, S.J., Madhok, </w:t>
      </w:r>
      <w:r w:rsidR="00265B14" w:rsidRPr="00A60FD5">
        <w:rPr>
          <w:rFonts w:ascii="Times New Roman" w:hAnsi="Times New Roman"/>
        </w:rPr>
        <w:t xml:space="preserve">A., </w:t>
      </w:r>
      <w:r w:rsidRPr="00A60FD5">
        <w:rPr>
          <w:rFonts w:ascii="Times New Roman" w:hAnsi="Times New Roman"/>
        </w:rPr>
        <w:t>Wu</w:t>
      </w:r>
      <w:r w:rsidR="00265B14" w:rsidRPr="00A60FD5">
        <w:rPr>
          <w:rFonts w:ascii="Times New Roman" w:hAnsi="Times New Roman"/>
        </w:rPr>
        <w:t>, T.,</w:t>
      </w:r>
      <w:r w:rsidRPr="00A60FD5">
        <w:rPr>
          <w:rFonts w:ascii="Times New Roman" w:hAnsi="Times New Roman"/>
        </w:rPr>
        <w:t xml:space="preserve"> 2006. Uncertainty, opportunism, and governance: the effects of volatility and ambiguity on formal and relational contracting. Acad</w:t>
      </w:r>
      <w:r w:rsidR="00265B14" w:rsidRPr="00A60FD5">
        <w:rPr>
          <w:rFonts w:ascii="Times New Roman" w:hAnsi="Times New Roman"/>
        </w:rPr>
        <w:t>emy</w:t>
      </w:r>
      <w:r w:rsidRPr="00A60FD5">
        <w:rPr>
          <w:rFonts w:ascii="Times New Roman" w:hAnsi="Times New Roman"/>
        </w:rPr>
        <w:t xml:space="preserve"> of Management J</w:t>
      </w:r>
      <w:r w:rsidR="00265B14" w:rsidRPr="00A60FD5">
        <w:rPr>
          <w:rFonts w:ascii="Times New Roman" w:hAnsi="Times New Roman"/>
        </w:rPr>
        <w:t>ournal</w:t>
      </w:r>
      <w:r w:rsidRPr="00A60FD5">
        <w:rPr>
          <w:rFonts w:ascii="Times New Roman" w:hAnsi="Times New Roman"/>
        </w:rPr>
        <w:t xml:space="preserve"> 49</w:t>
      </w:r>
      <w:r w:rsidR="00265B14" w:rsidRPr="00A60FD5">
        <w:rPr>
          <w:rFonts w:ascii="Times New Roman" w:hAnsi="Times New Roman"/>
        </w:rPr>
        <w:t>,</w:t>
      </w:r>
      <w:r w:rsidRPr="00A60FD5">
        <w:rPr>
          <w:rFonts w:ascii="Times New Roman" w:hAnsi="Times New Roman"/>
        </w:rPr>
        <w:t xml:space="preserve"> 1058-1077.</w:t>
      </w:r>
    </w:p>
    <w:p w14:paraId="1005CA15" w14:textId="33C3315D" w:rsidR="00754823" w:rsidRDefault="00754823" w:rsidP="00E258CC">
      <w:pPr>
        <w:spacing w:line="220" w:lineRule="exact"/>
        <w:rPr>
          <w:rFonts w:ascii="Times New Roman" w:hAnsi="Times New Roman"/>
        </w:rPr>
      </w:pPr>
      <w:r w:rsidRPr="00A60FD5">
        <w:rPr>
          <w:rFonts w:ascii="Times New Roman" w:hAnsi="Times New Roman"/>
        </w:rPr>
        <w:t>Carson, S.J.</w:t>
      </w:r>
      <w:r w:rsidR="00EF7528" w:rsidRPr="00A60FD5">
        <w:rPr>
          <w:rFonts w:ascii="Times New Roman" w:hAnsi="Times New Roman"/>
        </w:rPr>
        <w:t>,</w:t>
      </w:r>
      <w:r w:rsidRPr="00A60FD5">
        <w:rPr>
          <w:rFonts w:ascii="Times New Roman" w:hAnsi="Times New Roman"/>
        </w:rPr>
        <w:t xml:space="preserve"> 2007. When to give up control of outsourced new product development. J</w:t>
      </w:r>
      <w:r w:rsidR="00EF7528" w:rsidRPr="00A60FD5">
        <w:rPr>
          <w:rFonts w:ascii="Times New Roman" w:hAnsi="Times New Roman"/>
        </w:rPr>
        <w:t>ournal</w:t>
      </w:r>
      <w:r w:rsidRPr="00A60FD5">
        <w:rPr>
          <w:rFonts w:ascii="Times New Roman" w:hAnsi="Times New Roman"/>
        </w:rPr>
        <w:t xml:space="preserve"> of Marketing 71</w:t>
      </w:r>
      <w:r w:rsidR="00EF7528" w:rsidRPr="00A60FD5">
        <w:rPr>
          <w:rFonts w:ascii="Times New Roman" w:hAnsi="Times New Roman"/>
        </w:rPr>
        <w:t>,</w:t>
      </w:r>
      <w:r w:rsidRPr="00A60FD5">
        <w:rPr>
          <w:rFonts w:ascii="Times New Roman" w:hAnsi="Times New Roman"/>
        </w:rPr>
        <w:t xml:space="preserve"> 49-66.</w:t>
      </w:r>
    </w:p>
    <w:p w14:paraId="0384F5CC" w14:textId="1354741A" w:rsidR="007658EA" w:rsidRPr="007658EA" w:rsidRDefault="007658EA" w:rsidP="007658EA">
      <w:pPr>
        <w:spacing w:line="220" w:lineRule="exact"/>
        <w:rPr>
          <w:rFonts w:ascii="Times New Roman" w:hAnsi="Times New Roman"/>
        </w:rPr>
      </w:pPr>
      <w:r w:rsidRPr="007658EA">
        <w:rPr>
          <w:rFonts w:ascii="Times New Roman" w:hAnsi="Times New Roman"/>
        </w:rPr>
        <w:t>Cohen, W.</w:t>
      </w:r>
      <w:r>
        <w:rPr>
          <w:rFonts w:ascii="Times New Roman" w:hAnsi="Times New Roman"/>
        </w:rPr>
        <w:t xml:space="preserve">, </w:t>
      </w:r>
      <w:r w:rsidRPr="007658EA">
        <w:rPr>
          <w:rFonts w:ascii="Times New Roman" w:hAnsi="Times New Roman"/>
        </w:rPr>
        <w:t>Klepper,</w:t>
      </w:r>
      <w:r>
        <w:rPr>
          <w:rFonts w:ascii="Times New Roman" w:hAnsi="Times New Roman"/>
        </w:rPr>
        <w:t xml:space="preserve"> S.,</w:t>
      </w:r>
      <w:r w:rsidRPr="007658EA">
        <w:rPr>
          <w:rFonts w:ascii="Times New Roman" w:hAnsi="Times New Roman"/>
        </w:rPr>
        <w:t xml:space="preserve"> 1994</w:t>
      </w:r>
      <w:r>
        <w:rPr>
          <w:rFonts w:ascii="Times New Roman" w:hAnsi="Times New Roman"/>
        </w:rPr>
        <w:t>.</w:t>
      </w:r>
      <w:r w:rsidRPr="007658EA">
        <w:rPr>
          <w:rFonts w:ascii="Times New Roman" w:hAnsi="Times New Roman"/>
        </w:rPr>
        <w:t xml:space="preserve"> Firm</w:t>
      </w:r>
      <w:r>
        <w:rPr>
          <w:rFonts w:ascii="Times New Roman" w:hAnsi="Times New Roman"/>
        </w:rPr>
        <w:t xml:space="preserve"> s</w:t>
      </w:r>
      <w:r w:rsidRPr="007658EA">
        <w:rPr>
          <w:rFonts w:ascii="Times New Roman" w:hAnsi="Times New Roman"/>
        </w:rPr>
        <w:t>ize and the</w:t>
      </w:r>
      <w:r>
        <w:rPr>
          <w:rFonts w:ascii="Times New Roman" w:hAnsi="Times New Roman"/>
        </w:rPr>
        <w:t xml:space="preserve"> n</w:t>
      </w:r>
      <w:r w:rsidRPr="007658EA">
        <w:rPr>
          <w:rFonts w:ascii="Times New Roman" w:hAnsi="Times New Roman"/>
        </w:rPr>
        <w:t xml:space="preserve">ature of </w:t>
      </w:r>
      <w:r>
        <w:rPr>
          <w:rFonts w:ascii="Times New Roman" w:hAnsi="Times New Roman"/>
        </w:rPr>
        <w:t>i</w:t>
      </w:r>
      <w:r w:rsidRPr="007658EA">
        <w:rPr>
          <w:rFonts w:ascii="Times New Roman" w:hAnsi="Times New Roman"/>
        </w:rPr>
        <w:t xml:space="preserve">nnovation </w:t>
      </w:r>
      <w:r>
        <w:rPr>
          <w:rFonts w:ascii="Times New Roman" w:hAnsi="Times New Roman"/>
        </w:rPr>
        <w:t>w</w:t>
      </w:r>
      <w:r w:rsidRPr="007658EA">
        <w:rPr>
          <w:rFonts w:ascii="Times New Roman" w:hAnsi="Times New Roman"/>
        </w:rPr>
        <w:t xml:space="preserve">ithin </w:t>
      </w:r>
      <w:r>
        <w:rPr>
          <w:rFonts w:ascii="Times New Roman" w:hAnsi="Times New Roman"/>
        </w:rPr>
        <w:t>i</w:t>
      </w:r>
      <w:r w:rsidRPr="007658EA">
        <w:rPr>
          <w:rFonts w:ascii="Times New Roman" w:hAnsi="Times New Roman"/>
        </w:rPr>
        <w:t xml:space="preserve">ndustries: </w:t>
      </w:r>
      <w:r>
        <w:rPr>
          <w:rFonts w:ascii="Times New Roman" w:hAnsi="Times New Roman"/>
        </w:rPr>
        <w:t>t</w:t>
      </w:r>
      <w:r w:rsidRPr="007658EA">
        <w:rPr>
          <w:rFonts w:ascii="Times New Roman" w:hAnsi="Times New Roman"/>
        </w:rPr>
        <w:t xml:space="preserve">he </w:t>
      </w:r>
      <w:r>
        <w:rPr>
          <w:rFonts w:ascii="Times New Roman" w:hAnsi="Times New Roman"/>
        </w:rPr>
        <w:t>c</w:t>
      </w:r>
      <w:r w:rsidRPr="007658EA">
        <w:rPr>
          <w:rFonts w:ascii="Times New Roman" w:hAnsi="Times New Roman"/>
        </w:rPr>
        <w:t xml:space="preserve">ase </w:t>
      </w:r>
    </w:p>
    <w:p w14:paraId="082FF03B" w14:textId="2A5D34F7" w:rsidR="007658EA" w:rsidRPr="00A60FD5" w:rsidRDefault="007658EA" w:rsidP="007658EA">
      <w:pPr>
        <w:spacing w:line="220" w:lineRule="exact"/>
        <w:rPr>
          <w:rFonts w:ascii="Times New Roman" w:hAnsi="Times New Roman"/>
        </w:rPr>
      </w:pPr>
      <w:r w:rsidRPr="007658EA">
        <w:rPr>
          <w:rFonts w:ascii="Times New Roman" w:hAnsi="Times New Roman"/>
        </w:rPr>
        <w:t xml:space="preserve">of </w:t>
      </w:r>
      <w:r>
        <w:rPr>
          <w:rFonts w:ascii="Times New Roman" w:hAnsi="Times New Roman"/>
        </w:rPr>
        <w:t>p</w:t>
      </w:r>
      <w:r w:rsidRPr="007658EA">
        <w:rPr>
          <w:rFonts w:ascii="Times New Roman" w:hAnsi="Times New Roman"/>
        </w:rPr>
        <w:t xml:space="preserve">rocess and </w:t>
      </w:r>
      <w:r>
        <w:rPr>
          <w:rFonts w:ascii="Times New Roman" w:hAnsi="Times New Roman"/>
        </w:rPr>
        <w:t>p</w:t>
      </w:r>
      <w:r w:rsidRPr="007658EA">
        <w:rPr>
          <w:rFonts w:ascii="Times New Roman" w:hAnsi="Times New Roman"/>
        </w:rPr>
        <w:t>roduct R&amp;D</w:t>
      </w:r>
      <w:r>
        <w:rPr>
          <w:rFonts w:ascii="Times New Roman" w:hAnsi="Times New Roman"/>
        </w:rPr>
        <w:t xml:space="preserve">. </w:t>
      </w:r>
      <w:r w:rsidRPr="007658EA">
        <w:rPr>
          <w:rFonts w:ascii="Times New Roman" w:hAnsi="Times New Roman"/>
        </w:rPr>
        <w:t>Review of</w:t>
      </w:r>
      <w:r>
        <w:rPr>
          <w:rFonts w:ascii="Times New Roman" w:hAnsi="Times New Roman"/>
        </w:rPr>
        <w:t xml:space="preserve"> </w:t>
      </w:r>
      <w:r w:rsidRPr="007658EA">
        <w:rPr>
          <w:rFonts w:ascii="Times New Roman" w:hAnsi="Times New Roman"/>
        </w:rPr>
        <w:t xml:space="preserve">Economics and Statistics 78, </w:t>
      </w:r>
      <w:r>
        <w:rPr>
          <w:rFonts w:ascii="Times New Roman" w:hAnsi="Times New Roman"/>
        </w:rPr>
        <w:t>2</w:t>
      </w:r>
      <w:r w:rsidRPr="007658EA">
        <w:rPr>
          <w:rFonts w:ascii="Times New Roman" w:hAnsi="Times New Roman"/>
        </w:rPr>
        <w:t>32-243.</w:t>
      </w:r>
    </w:p>
    <w:p w14:paraId="2766EB45" w14:textId="46E4FE9D" w:rsidR="00EB08AC" w:rsidRPr="00A60FD5" w:rsidRDefault="00EB08AC" w:rsidP="00E258CC">
      <w:pPr>
        <w:spacing w:line="220" w:lineRule="exact"/>
        <w:rPr>
          <w:rFonts w:ascii="Times New Roman" w:hAnsi="Times New Roman"/>
        </w:rPr>
      </w:pPr>
      <w:r w:rsidRPr="00A60FD5">
        <w:rPr>
          <w:rFonts w:ascii="Times New Roman" w:hAnsi="Times New Roman"/>
        </w:rPr>
        <w:t>Cooter, R.D., Rubinfeld</w:t>
      </w:r>
      <w:r w:rsidR="00E03D86" w:rsidRPr="00A60FD5">
        <w:rPr>
          <w:rFonts w:ascii="Times New Roman" w:hAnsi="Times New Roman"/>
        </w:rPr>
        <w:t>, D.L.,</w:t>
      </w:r>
      <w:r w:rsidRPr="00A60FD5">
        <w:rPr>
          <w:rFonts w:ascii="Times New Roman" w:hAnsi="Times New Roman"/>
        </w:rPr>
        <w:t xml:space="preserve"> 1989. Economic analysis of legal disputes and their resolution. J</w:t>
      </w:r>
      <w:r w:rsidR="00E03D86" w:rsidRPr="00A60FD5">
        <w:rPr>
          <w:rFonts w:ascii="Times New Roman" w:hAnsi="Times New Roman"/>
        </w:rPr>
        <w:t>ournal</w:t>
      </w:r>
      <w:r w:rsidRPr="00A60FD5">
        <w:rPr>
          <w:rFonts w:ascii="Times New Roman" w:hAnsi="Times New Roman"/>
        </w:rPr>
        <w:t xml:space="preserve"> of Econom</w:t>
      </w:r>
      <w:r w:rsidR="00E03D86" w:rsidRPr="00A60FD5">
        <w:rPr>
          <w:rFonts w:ascii="Times New Roman" w:hAnsi="Times New Roman"/>
        </w:rPr>
        <w:t>ic</w:t>
      </w:r>
      <w:r w:rsidRPr="00A60FD5">
        <w:rPr>
          <w:rFonts w:ascii="Times New Roman" w:hAnsi="Times New Roman"/>
        </w:rPr>
        <w:t xml:space="preserve"> Lit</w:t>
      </w:r>
      <w:r w:rsidR="00E03D86" w:rsidRPr="00A60FD5">
        <w:rPr>
          <w:rFonts w:ascii="Times New Roman" w:hAnsi="Times New Roman"/>
        </w:rPr>
        <w:t>erature</w:t>
      </w:r>
      <w:r w:rsidRPr="00A60FD5">
        <w:rPr>
          <w:rFonts w:ascii="Times New Roman" w:hAnsi="Times New Roman"/>
        </w:rPr>
        <w:t xml:space="preserve"> 27</w:t>
      </w:r>
      <w:r w:rsidR="00E03D86" w:rsidRPr="00A60FD5">
        <w:rPr>
          <w:rFonts w:ascii="Times New Roman" w:hAnsi="Times New Roman"/>
        </w:rPr>
        <w:t>,</w:t>
      </w:r>
      <w:r w:rsidRPr="00A60FD5">
        <w:rPr>
          <w:rFonts w:ascii="Times New Roman" w:hAnsi="Times New Roman"/>
        </w:rPr>
        <w:t xml:space="preserve"> 1067-1097.</w:t>
      </w:r>
    </w:p>
    <w:p w14:paraId="4D68F3E9" w14:textId="1A8EDEAF" w:rsidR="00754823" w:rsidRPr="00A60FD5" w:rsidRDefault="00754823" w:rsidP="00E258CC">
      <w:pPr>
        <w:spacing w:line="220" w:lineRule="exact"/>
        <w:rPr>
          <w:rFonts w:ascii="Times New Roman" w:hAnsi="Times New Roman"/>
        </w:rPr>
      </w:pPr>
      <w:r w:rsidRPr="00A60FD5">
        <w:rPr>
          <w:rFonts w:ascii="Times New Roman" w:hAnsi="Times New Roman"/>
        </w:rPr>
        <w:t>Coulson</w:t>
      </w:r>
      <w:r w:rsidR="005447D4" w:rsidRPr="00A60FD5">
        <w:rPr>
          <w:rFonts w:ascii="Times New Roman" w:hAnsi="Times New Roman"/>
        </w:rPr>
        <w:t>,</w:t>
      </w:r>
      <w:r w:rsidRPr="00A60FD5">
        <w:rPr>
          <w:rFonts w:ascii="Times New Roman" w:hAnsi="Times New Roman"/>
        </w:rPr>
        <w:t xml:space="preserve"> R.</w:t>
      </w:r>
      <w:r w:rsidR="000F2017" w:rsidRPr="00A60FD5">
        <w:rPr>
          <w:rFonts w:ascii="Times New Roman" w:hAnsi="Times New Roman"/>
        </w:rPr>
        <w:t>,</w:t>
      </w:r>
      <w:r w:rsidRPr="00A60FD5">
        <w:rPr>
          <w:rFonts w:ascii="Times New Roman" w:hAnsi="Times New Roman"/>
        </w:rPr>
        <w:t xml:space="preserve"> 1965. Management arbitration in action. American Business Law J</w:t>
      </w:r>
      <w:r w:rsidR="000F2017" w:rsidRPr="00A60FD5">
        <w:rPr>
          <w:rFonts w:ascii="Times New Roman" w:hAnsi="Times New Roman"/>
        </w:rPr>
        <w:t>ournal</w:t>
      </w:r>
      <w:r w:rsidRPr="00A60FD5">
        <w:rPr>
          <w:rFonts w:ascii="Times New Roman" w:hAnsi="Times New Roman"/>
        </w:rPr>
        <w:t xml:space="preserve"> 3</w:t>
      </w:r>
      <w:r w:rsidR="000F2017" w:rsidRPr="00A60FD5">
        <w:rPr>
          <w:rFonts w:ascii="Times New Roman" w:hAnsi="Times New Roman"/>
        </w:rPr>
        <w:t>,</w:t>
      </w:r>
      <w:r w:rsidRPr="00A60FD5">
        <w:rPr>
          <w:rFonts w:ascii="Times New Roman" w:hAnsi="Times New Roman"/>
        </w:rPr>
        <w:t xml:space="preserve"> 31-36.</w:t>
      </w:r>
    </w:p>
    <w:p w14:paraId="6E665D94" w14:textId="7623EA0D" w:rsidR="001F0718" w:rsidRPr="00A60FD5" w:rsidRDefault="001F0718" w:rsidP="00E258CC">
      <w:pPr>
        <w:spacing w:line="220" w:lineRule="exact"/>
        <w:rPr>
          <w:rFonts w:ascii="Times New Roman" w:eastAsia="Times New Roman" w:hAnsi="Times New Roman"/>
        </w:rPr>
      </w:pPr>
      <w:r w:rsidRPr="00A60FD5">
        <w:rPr>
          <w:rFonts w:ascii="Times New Roman" w:eastAsia="Times New Roman" w:hAnsi="Times New Roman"/>
        </w:rPr>
        <w:t>Crocker, K.J., Reynolds</w:t>
      </w:r>
      <w:r w:rsidR="00A6176D" w:rsidRPr="00A60FD5">
        <w:rPr>
          <w:rFonts w:ascii="Times New Roman" w:eastAsia="Times New Roman" w:hAnsi="Times New Roman"/>
        </w:rPr>
        <w:t>, K.J.,</w:t>
      </w:r>
      <w:r w:rsidRPr="00A60FD5">
        <w:rPr>
          <w:rFonts w:ascii="Times New Roman" w:eastAsia="Times New Roman" w:hAnsi="Times New Roman"/>
        </w:rPr>
        <w:t xml:space="preserve"> 1993. The efficiency of incomplete contracts: an empirical analysis of air force engine procurement. The RAND J</w:t>
      </w:r>
      <w:r w:rsidR="00A6176D" w:rsidRPr="00A60FD5">
        <w:rPr>
          <w:rFonts w:ascii="Times New Roman" w:eastAsia="Times New Roman" w:hAnsi="Times New Roman"/>
        </w:rPr>
        <w:t>ournal</w:t>
      </w:r>
      <w:r w:rsidR="005447D4" w:rsidRPr="00A60FD5">
        <w:rPr>
          <w:rFonts w:ascii="Times New Roman" w:eastAsia="Times New Roman" w:hAnsi="Times New Roman"/>
        </w:rPr>
        <w:t xml:space="preserve"> </w:t>
      </w:r>
      <w:r w:rsidRPr="00A60FD5">
        <w:rPr>
          <w:rFonts w:ascii="Times New Roman" w:eastAsia="Times New Roman" w:hAnsi="Times New Roman"/>
        </w:rPr>
        <w:t>of Econom</w:t>
      </w:r>
      <w:r w:rsidR="00A6176D" w:rsidRPr="00A60FD5">
        <w:rPr>
          <w:rFonts w:ascii="Times New Roman" w:eastAsia="Times New Roman" w:hAnsi="Times New Roman"/>
        </w:rPr>
        <w:t>ics 24,</w:t>
      </w:r>
      <w:r w:rsidRPr="00A60FD5">
        <w:rPr>
          <w:rFonts w:ascii="Times New Roman" w:eastAsia="Times New Roman" w:hAnsi="Times New Roman"/>
        </w:rPr>
        <w:t xml:space="preserve"> 126-146.</w:t>
      </w:r>
    </w:p>
    <w:p w14:paraId="7FA5B64C" w14:textId="08AA83EF" w:rsidR="00E3113C" w:rsidRDefault="00E3113C" w:rsidP="00E258CC">
      <w:pPr>
        <w:spacing w:line="220" w:lineRule="exact"/>
        <w:rPr>
          <w:rFonts w:ascii="Times New Roman" w:eastAsia="Times New Roman" w:hAnsi="Times New Roman"/>
        </w:rPr>
      </w:pPr>
      <w:r w:rsidRPr="00A60FD5">
        <w:rPr>
          <w:rFonts w:ascii="Times New Roman" w:eastAsia="Times New Roman" w:hAnsi="Times New Roman"/>
        </w:rPr>
        <w:t>Cyert, R.M.</w:t>
      </w:r>
      <w:r w:rsidR="00A60FD5" w:rsidRPr="00A60FD5">
        <w:rPr>
          <w:rFonts w:ascii="Times New Roman" w:eastAsia="Times New Roman" w:hAnsi="Times New Roman"/>
        </w:rPr>
        <w:t>,</w:t>
      </w:r>
      <w:r w:rsidRPr="00A60FD5">
        <w:rPr>
          <w:rFonts w:ascii="Times New Roman" w:eastAsia="Times New Roman" w:hAnsi="Times New Roman"/>
        </w:rPr>
        <w:t xml:space="preserve"> March, J.G., 1963. A behavioral theory of the firm. Englewood Cliffs, NJ, 2, </w:t>
      </w:r>
      <w:r w:rsidR="00A60FD5" w:rsidRPr="00A60FD5">
        <w:rPr>
          <w:rFonts w:ascii="Times New Roman" w:eastAsia="Times New Roman" w:hAnsi="Times New Roman"/>
        </w:rPr>
        <w:t>1</w:t>
      </w:r>
      <w:r w:rsidRPr="00A60FD5">
        <w:rPr>
          <w:rFonts w:ascii="Times New Roman" w:eastAsia="Times New Roman" w:hAnsi="Times New Roman"/>
        </w:rPr>
        <w:t>69-187.</w:t>
      </w:r>
    </w:p>
    <w:p w14:paraId="16866E1E" w14:textId="78173579" w:rsidR="003038F0" w:rsidRPr="00A60FD5" w:rsidRDefault="003038F0" w:rsidP="003038F0">
      <w:pPr>
        <w:spacing w:line="220" w:lineRule="exact"/>
        <w:rPr>
          <w:rFonts w:ascii="Times New Roman" w:eastAsia="Times New Roman" w:hAnsi="Times New Roman"/>
        </w:rPr>
      </w:pPr>
      <w:r w:rsidRPr="003038F0">
        <w:rPr>
          <w:rFonts w:ascii="Times New Roman" w:eastAsia="Times New Roman" w:hAnsi="Times New Roman"/>
        </w:rPr>
        <w:t>Daft</w:t>
      </w:r>
      <w:r>
        <w:rPr>
          <w:rFonts w:ascii="Times New Roman" w:eastAsia="Times New Roman" w:hAnsi="Times New Roman"/>
        </w:rPr>
        <w:t>,</w:t>
      </w:r>
      <w:r w:rsidRPr="003038F0">
        <w:rPr>
          <w:rFonts w:ascii="Times New Roman" w:eastAsia="Times New Roman" w:hAnsi="Times New Roman"/>
        </w:rPr>
        <w:t xml:space="preserve"> R</w:t>
      </w:r>
      <w:r>
        <w:rPr>
          <w:rFonts w:ascii="Times New Roman" w:eastAsia="Times New Roman" w:hAnsi="Times New Roman"/>
        </w:rPr>
        <w:t>.</w:t>
      </w:r>
      <w:r w:rsidRPr="003038F0">
        <w:rPr>
          <w:rFonts w:ascii="Times New Roman" w:eastAsia="Times New Roman" w:hAnsi="Times New Roman"/>
        </w:rPr>
        <w:t>L. 1978. A dual-core model of organizational innovation.</w:t>
      </w:r>
      <w:r>
        <w:rPr>
          <w:rFonts w:ascii="Times New Roman" w:eastAsia="Times New Roman" w:hAnsi="Times New Roman"/>
        </w:rPr>
        <w:t xml:space="preserve"> </w:t>
      </w:r>
      <w:r w:rsidRPr="003038F0">
        <w:rPr>
          <w:rFonts w:ascii="Times New Roman" w:eastAsia="Times New Roman" w:hAnsi="Times New Roman"/>
        </w:rPr>
        <w:t>Academy of Management Journal 21</w:t>
      </w:r>
      <w:r>
        <w:rPr>
          <w:rFonts w:ascii="Times New Roman" w:eastAsia="Times New Roman" w:hAnsi="Times New Roman"/>
        </w:rPr>
        <w:t xml:space="preserve">, </w:t>
      </w:r>
      <w:r w:rsidRPr="003038F0">
        <w:rPr>
          <w:rFonts w:ascii="Times New Roman" w:eastAsia="Times New Roman" w:hAnsi="Times New Roman"/>
        </w:rPr>
        <w:t>193–210.</w:t>
      </w:r>
    </w:p>
    <w:p w14:paraId="71E3C492" w14:textId="3E12FC47" w:rsidR="00014EF9" w:rsidRPr="00014EF9" w:rsidRDefault="00014EF9" w:rsidP="00E258CC">
      <w:pPr>
        <w:spacing w:line="220" w:lineRule="exact"/>
        <w:rPr>
          <w:rFonts w:ascii="Times New Roman" w:eastAsia="Times New Roman" w:hAnsi="Times New Roman"/>
        </w:rPr>
      </w:pPr>
      <w:r w:rsidRPr="00014EF9">
        <w:rPr>
          <w:rFonts w:ascii="Times New Roman" w:eastAsia="Times New Roman" w:hAnsi="Times New Roman"/>
        </w:rPr>
        <w:lastRenderedPageBreak/>
        <w:t>Dasgupta, P.</w:t>
      </w:r>
      <w:r>
        <w:rPr>
          <w:rFonts w:ascii="Times New Roman" w:eastAsia="Times New Roman" w:hAnsi="Times New Roman"/>
        </w:rPr>
        <w:t>,</w:t>
      </w:r>
      <w:r w:rsidRPr="00014EF9">
        <w:rPr>
          <w:rFonts w:ascii="Times New Roman" w:eastAsia="Times New Roman" w:hAnsi="Times New Roman"/>
        </w:rPr>
        <w:t xml:space="preserve"> 2003. Securitization: </w:t>
      </w:r>
      <w:r>
        <w:rPr>
          <w:rFonts w:ascii="Times New Roman" w:eastAsia="Times New Roman" w:hAnsi="Times New Roman"/>
        </w:rPr>
        <w:t>c</w:t>
      </w:r>
      <w:r w:rsidRPr="00014EF9">
        <w:rPr>
          <w:rFonts w:ascii="Times New Roman" w:eastAsia="Times New Roman" w:hAnsi="Times New Roman"/>
        </w:rPr>
        <w:t xml:space="preserve">rossing </w:t>
      </w:r>
      <w:r>
        <w:rPr>
          <w:rFonts w:ascii="Times New Roman" w:eastAsia="Times New Roman" w:hAnsi="Times New Roman"/>
        </w:rPr>
        <w:t>b</w:t>
      </w:r>
      <w:r w:rsidRPr="00014EF9">
        <w:rPr>
          <w:rFonts w:ascii="Times New Roman" w:eastAsia="Times New Roman" w:hAnsi="Times New Roman"/>
        </w:rPr>
        <w:t xml:space="preserve">orders and </w:t>
      </w:r>
      <w:r>
        <w:rPr>
          <w:rFonts w:ascii="Times New Roman" w:eastAsia="Times New Roman" w:hAnsi="Times New Roman"/>
        </w:rPr>
        <w:t>h</w:t>
      </w:r>
      <w:r w:rsidRPr="00014EF9">
        <w:rPr>
          <w:rFonts w:ascii="Times New Roman" w:eastAsia="Times New Roman" w:hAnsi="Times New Roman"/>
        </w:rPr>
        <w:t xml:space="preserve">eading </w:t>
      </w:r>
      <w:r>
        <w:rPr>
          <w:rFonts w:ascii="Times New Roman" w:eastAsia="Times New Roman" w:hAnsi="Times New Roman"/>
        </w:rPr>
        <w:t>t</w:t>
      </w:r>
      <w:r w:rsidRPr="00014EF9">
        <w:rPr>
          <w:rFonts w:ascii="Times New Roman" w:eastAsia="Times New Roman" w:hAnsi="Times New Roman"/>
        </w:rPr>
        <w:t xml:space="preserve">owards </w:t>
      </w:r>
      <w:r>
        <w:rPr>
          <w:rFonts w:ascii="Times New Roman" w:eastAsia="Times New Roman" w:hAnsi="Times New Roman"/>
        </w:rPr>
        <w:t>g</w:t>
      </w:r>
      <w:r w:rsidRPr="00014EF9">
        <w:rPr>
          <w:rFonts w:ascii="Times New Roman" w:eastAsia="Times New Roman" w:hAnsi="Times New Roman"/>
        </w:rPr>
        <w:t>lobalization. Suffolk Transnational Law Review 27</w:t>
      </w:r>
      <w:r>
        <w:rPr>
          <w:rFonts w:ascii="Times New Roman" w:eastAsia="Times New Roman" w:hAnsi="Times New Roman"/>
        </w:rPr>
        <w:t xml:space="preserve">, </w:t>
      </w:r>
      <w:r w:rsidRPr="00014EF9">
        <w:rPr>
          <w:rFonts w:ascii="Times New Roman" w:eastAsia="Times New Roman" w:hAnsi="Times New Roman"/>
        </w:rPr>
        <w:t>243.</w:t>
      </w:r>
    </w:p>
    <w:p w14:paraId="1A68C89A" w14:textId="71E31A4A" w:rsidR="00BB73D5" w:rsidRPr="00BB73D5" w:rsidRDefault="00BB73D5" w:rsidP="00E258CC">
      <w:pPr>
        <w:spacing w:line="220" w:lineRule="exact"/>
        <w:rPr>
          <w:rFonts w:ascii="Times New Roman" w:eastAsia="Times New Roman" w:hAnsi="Times New Roman"/>
        </w:rPr>
      </w:pPr>
      <w:r w:rsidRPr="00BB73D5">
        <w:rPr>
          <w:rFonts w:ascii="Times New Roman" w:eastAsia="Times New Roman" w:hAnsi="Times New Roman"/>
          <w:lang w:val="nl-NL"/>
        </w:rPr>
        <w:t xml:space="preserve">Das, T.K, Teng, B.S., 1998. </w:t>
      </w:r>
      <w:r w:rsidRPr="00BB73D5">
        <w:rPr>
          <w:rFonts w:ascii="Times New Roman" w:eastAsia="Times New Roman" w:hAnsi="Times New Roman"/>
        </w:rPr>
        <w:t xml:space="preserve">Between trust and control: developing confidence in partner cooperation in alliances. </w:t>
      </w:r>
      <w:r>
        <w:rPr>
          <w:rFonts w:ascii="Times New Roman" w:eastAsia="Times New Roman" w:hAnsi="Times New Roman"/>
        </w:rPr>
        <w:t>Academy of Management Review 23, 491-512.</w:t>
      </w:r>
    </w:p>
    <w:p w14:paraId="218D8F29" w14:textId="1EE8A65A" w:rsidR="00754823" w:rsidRPr="00A60FD5" w:rsidRDefault="00754823" w:rsidP="00E258CC">
      <w:pPr>
        <w:spacing w:line="220" w:lineRule="exact"/>
        <w:rPr>
          <w:rFonts w:ascii="Times New Roman" w:eastAsia="Times New Roman" w:hAnsi="Times New Roman"/>
        </w:rPr>
      </w:pPr>
      <w:r w:rsidRPr="00BB73D5">
        <w:rPr>
          <w:rFonts w:ascii="Times New Roman" w:eastAsia="Times New Roman" w:hAnsi="Times New Roman"/>
        </w:rPr>
        <w:t>Das</w:t>
      </w:r>
      <w:r w:rsidR="00A6176D" w:rsidRPr="00BB73D5">
        <w:rPr>
          <w:rFonts w:ascii="Times New Roman" w:eastAsia="Times New Roman" w:hAnsi="Times New Roman"/>
        </w:rPr>
        <w:t>,</w:t>
      </w:r>
      <w:r w:rsidRPr="00BB73D5">
        <w:rPr>
          <w:rFonts w:ascii="Times New Roman" w:eastAsia="Times New Roman" w:hAnsi="Times New Roman"/>
        </w:rPr>
        <w:t xml:space="preserve"> T.K., Teng</w:t>
      </w:r>
      <w:r w:rsidR="00A6176D" w:rsidRPr="00BB73D5">
        <w:rPr>
          <w:rFonts w:ascii="Times New Roman" w:eastAsia="Times New Roman" w:hAnsi="Times New Roman"/>
        </w:rPr>
        <w:t>, B</w:t>
      </w:r>
      <w:r w:rsidR="00BB73D5" w:rsidRPr="00BB73D5">
        <w:rPr>
          <w:rFonts w:ascii="Times New Roman" w:eastAsia="Times New Roman" w:hAnsi="Times New Roman"/>
        </w:rPr>
        <w:t>.</w:t>
      </w:r>
      <w:r w:rsidR="00A6176D" w:rsidRPr="00BB73D5">
        <w:rPr>
          <w:rFonts w:ascii="Times New Roman" w:eastAsia="Times New Roman" w:hAnsi="Times New Roman"/>
        </w:rPr>
        <w:t>S.,</w:t>
      </w:r>
      <w:r w:rsidRPr="00BB73D5">
        <w:rPr>
          <w:rFonts w:ascii="Times New Roman" w:eastAsia="Times New Roman" w:hAnsi="Times New Roman"/>
        </w:rPr>
        <w:t xml:space="preserve"> 2000. </w:t>
      </w:r>
      <w:r w:rsidRPr="00A60FD5">
        <w:rPr>
          <w:rFonts w:ascii="Times New Roman" w:eastAsia="Times New Roman" w:hAnsi="Times New Roman"/>
        </w:rPr>
        <w:t>A resource-based theory of strategic alliances. J</w:t>
      </w:r>
      <w:r w:rsidR="00A6176D" w:rsidRPr="00A60FD5">
        <w:rPr>
          <w:rFonts w:ascii="Times New Roman" w:eastAsia="Times New Roman" w:hAnsi="Times New Roman"/>
        </w:rPr>
        <w:t>ournal</w:t>
      </w:r>
      <w:r w:rsidRPr="00A60FD5">
        <w:rPr>
          <w:rFonts w:ascii="Times New Roman" w:eastAsia="Times New Roman" w:hAnsi="Times New Roman"/>
        </w:rPr>
        <w:t xml:space="preserve"> of Management 26</w:t>
      </w:r>
      <w:r w:rsidR="00A6176D" w:rsidRPr="00A60FD5">
        <w:rPr>
          <w:rFonts w:ascii="Times New Roman" w:eastAsia="Times New Roman" w:hAnsi="Times New Roman"/>
        </w:rPr>
        <w:t>,</w:t>
      </w:r>
      <w:r w:rsidRPr="00A60FD5">
        <w:rPr>
          <w:rFonts w:ascii="Times New Roman" w:eastAsia="Times New Roman" w:hAnsi="Times New Roman"/>
        </w:rPr>
        <w:t xml:space="preserve"> 31-61.</w:t>
      </w:r>
    </w:p>
    <w:p w14:paraId="13C3F494" w14:textId="3C006F74" w:rsidR="00094040" w:rsidRPr="00BB73D5" w:rsidRDefault="00094040" w:rsidP="00E258CC">
      <w:pPr>
        <w:spacing w:line="220" w:lineRule="exact"/>
        <w:rPr>
          <w:rFonts w:ascii="Times New Roman" w:eastAsia="Times New Roman" w:hAnsi="Times New Roman"/>
        </w:rPr>
      </w:pPr>
      <w:r w:rsidRPr="00A60FD5">
        <w:rPr>
          <w:rFonts w:ascii="Times New Roman" w:eastAsia="Times New Roman" w:hAnsi="Times New Roman"/>
        </w:rPr>
        <w:t>Das, T.K., Teng</w:t>
      </w:r>
      <w:r w:rsidR="00265B14" w:rsidRPr="00A60FD5">
        <w:rPr>
          <w:rFonts w:ascii="Times New Roman" w:eastAsia="Times New Roman" w:hAnsi="Times New Roman"/>
        </w:rPr>
        <w:t xml:space="preserve">, B.S., </w:t>
      </w:r>
      <w:r w:rsidRPr="00A60FD5">
        <w:rPr>
          <w:rFonts w:ascii="Times New Roman" w:eastAsia="Times New Roman" w:hAnsi="Times New Roman"/>
        </w:rPr>
        <w:t xml:space="preserve">2001. A risk perception model of alliance structuring. </w:t>
      </w:r>
      <w:r w:rsidRPr="00BB73D5">
        <w:rPr>
          <w:rFonts w:ascii="Times New Roman" w:eastAsia="Times New Roman" w:hAnsi="Times New Roman"/>
        </w:rPr>
        <w:t>Journal of Intern</w:t>
      </w:r>
      <w:r w:rsidR="00265B14" w:rsidRPr="00BB73D5">
        <w:rPr>
          <w:rFonts w:ascii="Times New Roman" w:eastAsia="Times New Roman" w:hAnsi="Times New Roman"/>
        </w:rPr>
        <w:t>ational</w:t>
      </w:r>
      <w:r w:rsidRPr="00BB73D5">
        <w:rPr>
          <w:rFonts w:ascii="Times New Roman" w:eastAsia="Times New Roman" w:hAnsi="Times New Roman"/>
        </w:rPr>
        <w:t xml:space="preserve"> Management 7</w:t>
      </w:r>
      <w:r w:rsidR="00265B14" w:rsidRPr="00BB73D5">
        <w:rPr>
          <w:rFonts w:ascii="Times New Roman" w:eastAsia="Times New Roman" w:hAnsi="Times New Roman"/>
        </w:rPr>
        <w:t>,</w:t>
      </w:r>
      <w:r w:rsidRPr="00BB73D5">
        <w:rPr>
          <w:rFonts w:ascii="Times New Roman" w:eastAsia="Times New Roman" w:hAnsi="Times New Roman"/>
        </w:rPr>
        <w:t xml:space="preserve"> 1-29.</w:t>
      </w:r>
    </w:p>
    <w:p w14:paraId="41017A5F" w14:textId="60E07430" w:rsidR="00333D4E" w:rsidRPr="00A60FD5" w:rsidRDefault="00333D4E" w:rsidP="00E258CC">
      <w:pPr>
        <w:spacing w:line="220" w:lineRule="exact"/>
        <w:rPr>
          <w:rFonts w:ascii="Times New Roman" w:hAnsi="Times New Roman"/>
          <w:color w:val="000000"/>
        </w:rPr>
      </w:pPr>
      <w:r w:rsidRPr="00BB73D5">
        <w:rPr>
          <w:rFonts w:ascii="Times New Roman" w:hAnsi="Times New Roman"/>
          <w:color w:val="000000"/>
        </w:rPr>
        <w:t>De Dreu</w:t>
      </w:r>
      <w:r w:rsidR="00265B14" w:rsidRPr="00BB73D5">
        <w:rPr>
          <w:rFonts w:ascii="Times New Roman" w:hAnsi="Times New Roman"/>
          <w:color w:val="000000"/>
        </w:rPr>
        <w:t>,</w:t>
      </w:r>
      <w:r w:rsidRPr="00BB73D5">
        <w:rPr>
          <w:rFonts w:ascii="Times New Roman" w:hAnsi="Times New Roman"/>
          <w:color w:val="000000"/>
        </w:rPr>
        <w:t xml:space="preserve"> C.K.W., Nauta,</w:t>
      </w:r>
      <w:r w:rsidR="00265B14" w:rsidRPr="00BB73D5">
        <w:rPr>
          <w:rFonts w:ascii="Times New Roman" w:hAnsi="Times New Roman"/>
          <w:color w:val="000000"/>
        </w:rPr>
        <w:t xml:space="preserve"> A., </w:t>
      </w:r>
      <w:r w:rsidRPr="00BB73D5">
        <w:rPr>
          <w:rFonts w:ascii="Times New Roman" w:hAnsi="Times New Roman"/>
          <w:color w:val="000000"/>
        </w:rPr>
        <w:t>Van de Vliert</w:t>
      </w:r>
      <w:r w:rsidR="00265B14" w:rsidRPr="00BB73D5">
        <w:rPr>
          <w:rFonts w:ascii="Times New Roman" w:hAnsi="Times New Roman"/>
          <w:color w:val="000000"/>
        </w:rPr>
        <w:t>, V</w:t>
      </w:r>
      <w:r w:rsidR="00BB73D5" w:rsidRPr="00BB73D5">
        <w:rPr>
          <w:rFonts w:ascii="Times New Roman" w:hAnsi="Times New Roman"/>
          <w:color w:val="000000"/>
        </w:rPr>
        <w:t>.</w:t>
      </w:r>
      <w:r w:rsidR="00265B14" w:rsidRPr="00BB73D5">
        <w:rPr>
          <w:rFonts w:ascii="Times New Roman" w:hAnsi="Times New Roman"/>
          <w:color w:val="000000"/>
        </w:rPr>
        <w:t>D.,</w:t>
      </w:r>
      <w:r w:rsidRPr="00BB73D5">
        <w:rPr>
          <w:rFonts w:ascii="Times New Roman" w:hAnsi="Times New Roman"/>
          <w:color w:val="000000"/>
        </w:rPr>
        <w:t xml:space="preserve"> 2006. </w:t>
      </w:r>
      <w:r w:rsidR="00BB73D5" w:rsidRPr="00A60FD5">
        <w:rPr>
          <w:rFonts w:ascii="Times New Roman" w:hAnsi="Times New Roman"/>
          <w:color w:val="000000"/>
        </w:rPr>
        <w:t>Self-serving</w:t>
      </w:r>
      <w:r w:rsidRPr="00A60FD5">
        <w:rPr>
          <w:rFonts w:ascii="Times New Roman" w:hAnsi="Times New Roman"/>
          <w:color w:val="000000"/>
        </w:rPr>
        <w:t xml:space="preserve"> attributions of conﬂict behavior and escalation of the dispute. J</w:t>
      </w:r>
      <w:r w:rsidR="00265B14" w:rsidRPr="00A60FD5">
        <w:rPr>
          <w:rFonts w:ascii="Times New Roman" w:hAnsi="Times New Roman"/>
          <w:color w:val="000000"/>
        </w:rPr>
        <w:t>ournal</w:t>
      </w:r>
      <w:r w:rsidRPr="00A60FD5">
        <w:rPr>
          <w:rFonts w:ascii="Times New Roman" w:hAnsi="Times New Roman"/>
          <w:color w:val="000000"/>
        </w:rPr>
        <w:t xml:space="preserve"> of Applied Social Psychology 25</w:t>
      </w:r>
      <w:r w:rsidR="00265B14" w:rsidRPr="00A60FD5">
        <w:rPr>
          <w:rFonts w:ascii="Times New Roman" w:hAnsi="Times New Roman"/>
          <w:color w:val="000000"/>
        </w:rPr>
        <w:t>,</w:t>
      </w:r>
      <w:r w:rsidRPr="00A60FD5">
        <w:rPr>
          <w:rFonts w:ascii="Times New Roman" w:hAnsi="Times New Roman"/>
          <w:color w:val="000000"/>
        </w:rPr>
        <w:t xml:space="preserve"> 2049</w:t>
      </w:r>
      <w:r w:rsidR="00265B14" w:rsidRPr="00A60FD5">
        <w:rPr>
          <w:rFonts w:ascii="Times New Roman" w:hAnsi="Times New Roman"/>
          <w:color w:val="000000"/>
        </w:rPr>
        <w:t>-</w:t>
      </w:r>
      <w:r w:rsidRPr="00A60FD5">
        <w:rPr>
          <w:rFonts w:ascii="Times New Roman" w:hAnsi="Times New Roman"/>
          <w:color w:val="000000"/>
        </w:rPr>
        <w:t>2066.</w:t>
      </w:r>
    </w:p>
    <w:p w14:paraId="22E4EACD" w14:textId="637BF94E" w:rsidR="005A2062" w:rsidRPr="00A60FD5" w:rsidRDefault="005A2062" w:rsidP="00E258CC">
      <w:pPr>
        <w:spacing w:line="220" w:lineRule="exact"/>
        <w:rPr>
          <w:rFonts w:ascii="Times New Roman" w:hAnsi="Times New Roman"/>
          <w:color w:val="000000"/>
        </w:rPr>
      </w:pPr>
      <w:r w:rsidRPr="00A60FD5">
        <w:rPr>
          <w:rFonts w:ascii="Times New Roman" w:hAnsi="Times New Roman"/>
          <w:color w:val="000000"/>
        </w:rPr>
        <w:t>Dekker, H.C.</w:t>
      </w:r>
      <w:r w:rsidR="008E2D97" w:rsidRPr="00A60FD5">
        <w:rPr>
          <w:rFonts w:ascii="Times New Roman" w:hAnsi="Times New Roman"/>
          <w:color w:val="000000"/>
        </w:rPr>
        <w:t>,</w:t>
      </w:r>
      <w:r w:rsidRPr="00A60FD5">
        <w:rPr>
          <w:rFonts w:ascii="Times New Roman" w:hAnsi="Times New Roman"/>
          <w:color w:val="000000"/>
        </w:rPr>
        <w:t xml:space="preserve"> 2004. Control of inter-organizational relationships: evidence on appropriation concerns and coordination requirements. Accounting, Organizations and Society 29</w:t>
      </w:r>
      <w:r w:rsidR="008E2D97" w:rsidRPr="00A60FD5">
        <w:rPr>
          <w:rFonts w:ascii="Times New Roman" w:hAnsi="Times New Roman"/>
          <w:color w:val="000000"/>
        </w:rPr>
        <w:t>,</w:t>
      </w:r>
      <w:r w:rsidRPr="00A60FD5">
        <w:rPr>
          <w:rFonts w:ascii="Times New Roman" w:hAnsi="Times New Roman"/>
          <w:color w:val="000000"/>
        </w:rPr>
        <w:t xml:space="preserve"> 27-49.</w:t>
      </w:r>
    </w:p>
    <w:p w14:paraId="3DB695CA" w14:textId="39AA4A81" w:rsidR="00504397" w:rsidRPr="00A60FD5" w:rsidRDefault="00504397" w:rsidP="00E258CC">
      <w:pPr>
        <w:spacing w:line="220" w:lineRule="exact"/>
        <w:rPr>
          <w:rFonts w:ascii="Times New Roman" w:hAnsi="Times New Roman"/>
          <w:color w:val="000000"/>
        </w:rPr>
      </w:pPr>
      <w:r w:rsidRPr="00A60FD5">
        <w:rPr>
          <w:rFonts w:ascii="Times New Roman" w:hAnsi="Times New Roman"/>
          <w:color w:val="000000"/>
        </w:rPr>
        <w:t>Dess, G.G., Beard</w:t>
      </w:r>
      <w:r w:rsidR="00BB73D5">
        <w:rPr>
          <w:rFonts w:ascii="Times New Roman" w:hAnsi="Times New Roman"/>
          <w:color w:val="000000"/>
        </w:rPr>
        <w:t xml:space="preserve">, </w:t>
      </w:r>
      <w:r w:rsidR="00BB73D5" w:rsidRPr="00A60FD5">
        <w:rPr>
          <w:rFonts w:ascii="Times New Roman" w:hAnsi="Times New Roman"/>
          <w:color w:val="000000"/>
        </w:rPr>
        <w:t>D.W.</w:t>
      </w:r>
      <w:r w:rsidR="00BB73D5">
        <w:rPr>
          <w:rFonts w:ascii="Times New Roman" w:hAnsi="Times New Roman"/>
          <w:color w:val="000000"/>
        </w:rPr>
        <w:t xml:space="preserve">, </w:t>
      </w:r>
      <w:r w:rsidRPr="00A60FD5">
        <w:rPr>
          <w:rFonts w:ascii="Times New Roman" w:hAnsi="Times New Roman"/>
          <w:color w:val="000000"/>
        </w:rPr>
        <w:t>1984. Dimensions of organizational task environments. Admin</w:t>
      </w:r>
      <w:r w:rsidR="00BB73D5">
        <w:rPr>
          <w:rFonts w:ascii="Times New Roman" w:hAnsi="Times New Roman"/>
          <w:color w:val="000000"/>
        </w:rPr>
        <w:t>istrative</w:t>
      </w:r>
      <w:r w:rsidRPr="00A60FD5">
        <w:rPr>
          <w:rFonts w:ascii="Times New Roman" w:hAnsi="Times New Roman"/>
          <w:color w:val="000000"/>
        </w:rPr>
        <w:t xml:space="preserve"> Sci</w:t>
      </w:r>
      <w:r w:rsidR="00BB73D5">
        <w:rPr>
          <w:rFonts w:ascii="Times New Roman" w:hAnsi="Times New Roman"/>
          <w:color w:val="000000"/>
        </w:rPr>
        <w:t>ence</w:t>
      </w:r>
      <w:r w:rsidRPr="00A60FD5">
        <w:rPr>
          <w:rFonts w:ascii="Times New Roman" w:hAnsi="Times New Roman"/>
          <w:color w:val="000000"/>
        </w:rPr>
        <w:t xml:space="preserve"> Quart</w:t>
      </w:r>
      <w:r w:rsidR="00BB73D5">
        <w:rPr>
          <w:rFonts w:ascii="Times New Roman" w:hAnsi="Times New Roman"/>
          <w:color w:val="000000"/>
        </w:rPr>
        <w:t>erly 29,</w:t>
      </w:r>
      <w:r w:rsidRPr="00A60FD5">
        <w:rPr>
          <w:rFonts w:ascii="Times New Roman" w:hAnsi="Times New Roman"/>
          <w:color w:val="000000"/>
        </w:rPr>
        <w:t xml:space="preserve"> 52-73.</w:t>
      </w:r>
    </w:p>
    <w:p w14:paraId="4EB9EB37" w14:textId="632272FA" w:rsidR="00754823" w:rsidRDefault="00754823" w:rsidP="00E258CC">
      <w:pPr>
        <w:spacing w:line="220" w:lineRule="exact"/>
        <w:rPr>
          <w:rFonts w:ascii="Times New Roman" w:hAnsi="Times New Roman"/>
          <w:color w:val="000000"/>
        </w:rPr>
      </w:pPr>
      <w:r w:rsidRPr="00A60FD5">
        <w:rPr>
          <w:rFonts w:ascii="Times New Roman" w:hAnsi="Times New Roman"/>
          <w:color w:val="000000"/>
        </w:rPr>
        <w:t>Dillman, D.</w:t>
      </w:r>
      <w:r w:rsidR="00EF7528" w:rsidRPr="00A60FD5">
        <w:rPr>
          <w:rFonts w:ascii="Times New Roman" w:hAnsi="Times New Roman"/>
          <w:color w:val="000000"/>
        </w:rPr>
        <w:t>,</w:t>
      </w:r>
      <w:r w:rsidRPr="00A60FD5">
        <w:rPr>
          <w:rFonts w:ascii="Times New Roman" w:hAnsi="Times New Roman"/>
          <w:color w:val="000000"/>
        </w:rPr>
        <w:t xml:space="preserve"> 2007. Mail and internet surveys: the tailored design method 2007, update with new internet, visual, and mixed-method guide. 2</w:t>
      </w:r>
      <w:r w:rsidRPr="00A60FD5">
        <w:rPr>
          <w:rFonts w:ascii="Times New Roman" w:hAnsi="Times New Roman"/>
          <w:color w:val="000000"/>
          <w:vertAlign w:val="superscript"/>
        </w:rPr>
        <w:t>nd</w:t>
      </w:r>
      <w:r w:rsidRPr="00A60FD5">
        <w:rPr>
          <w:rFonts w:ascii="Times New Roman" w:hAnsi="Times New Roman"/>
          <w:color w:val="000000"/>
        </w:rPr>
        <w:t xml:space="preserve"> ed. Hoboken, N.J., John Wiley and Sons.</w:t>
      </w:r>
    </w:p>
    <w:p w14:paraId="642FE27F" w14:textId="2C45557C" w:rsidR="00014EF9" w:rsidRPr="00A60FD5" w:rsidRDefault="00014EF9" w:rsidP="00E258CC">
      <w:pPr>
        <w:spacing w:line="220" w:lineRule="exact"/>
        <w:rPr>
          <w:rFonts w:ascii="Times New Roman" w:hAnsi="Times New Roman"/>
          <w:color w:val="000000"/>
        </w:rPr>
      </w:pPr>
      <w:r w:rsidRPr="00014EF9">
        <w:rPr>
          <w:rFonts w:ascii="Times New Roman" w:hAnsi="Times New Roman"/>
          <w:color w:val="000000"/>
        </w:rPr>
        <w:t>DiMaggio, P.</w:t>
      </w:r>
      <w:r>
        <w:rPr>
          <w:rFonts w:ascii="Times New Roman" w:hAnsi="Times New Roman"/>
          <w:color w:val="000000"/>
        </w:rPr>
        <w:t>,</w:t>
      </w:r>
      <w:r w:rsidRPr="00014EF9">
        <w:rPr>
          <w:rFonts w:ascii="Times New Roman" w:hAnsi="Times New Roman"/>
          <w:color w:val="000000"/>
        </w:rPr>
        <w:t xml:space="preserve"> 1992. Nadel’s paradox revisited: Relational and cultural aspects of organizational structure. Networks and organizations: Structure, form, and action, 118-142.</w:t>
      </w:r>
    </w:p>
    <w:p w14:paraId="0941F86F" w14:textId="4F720D5C" w:rsidR="00A73A15" w:rsidRPr="00A60FD5" w:rsidRDefault="00A73A15" w:rsidP="00E258CC">
      <w:pPr>
        <w:spacing w:line="220" w:lineRule="exact"/>
        <w:rPr>
          <w:rFonts w:ascii="Times New Roman" w:hAnsi="Times New Roman"/>
          <w:color w:val="000000"/>
        </w:rPr>
      </w:pPr>
      <w:r w:rsidRPr="00A60FD5">
        <w:rPr>
          <w:rFonts w:ascii="Times New Roman" w:hAnsi="Times New Roman"/>
          <w:color w:val="000000"/>
        </w:rPr>
        <w:t>Dore, R., 1983. Goodwill and the spirit of market capitalism. British Journal of Sociology 34, 459-482.</w:t>
      </w:r>
    </w:p>
    <w:p w14:paraId="2D31BD1E" w14:textId="75C1DBA8" w:rsidR="005123BB" w:rsidRPr="00A60FD5" w:rsidRDefault="005123BB" w:rsidP="00E258CC">
      <w:pPr>
        <w:spacing w:line="220" w:lineRule="exact"/>
        <w:rPr>
          <w:rFonts w:ascii="Times New Roman" w:hAnsi="Times New Roman"/>
          <w:color w:val="000000"/>
        </w:rPr>
      </w:pPr>
      <w:r w:rsidRPr="00A60FD5">
        <w:rPr>
          <w:rFonts w:ascii="Times New Roman" w:hAnsi="Times New Roman"/>
          <w:color w:val="000000"/>
        </w:rPr>
        <w:t xml:space="preserve">Doz, Y.L., Olk, </w:t>
      </w:r>
      <w:r w:rsidR="00BB73D5" w:rsidRPr="00A60FD5">
        <w:rPr>
          <w:rFonts w:ascii="Times New Roman" w:hAnsi="Times New Roman"/>
          <w:color w:val="000000"/>
        </w:rPr>
        <w:t>P.M.</w:t>
      </w:r>
      <w:r w:rsidR="00BB73D5">
        <w:rPr>
          <w:rFonts w:ascii="Times New Roman" w:hAnsi="Times New Roman"/>
          <w:color w:val="000000"/>
        </w:rPr>
        <w:t>,</w:t>
      </w:r>
      <w:r w:rsidR="00BB73D5" w:rsidRPr="00A60FD5">
        <w:rPr>
          <w:rFonts w:ascii="Times New Roman" w:hAnsi="Times New Roman"/>
          <w:color w:val="000000"/>
        </w:rPr>
        <w:t xml:space="preserve"> </w:t>
      </w:r>
      <w:r w:rsidRPr="00A60FD5">
        <w:rPr>
          <w:rFonts w:ascii="Times New Roman" w:hAnsi="Times New Roman"/>
          <w:color w:val="000000"/>
        </w:rPr>
        <w:t>Ring</w:t>
      </w:r>
      <w:r w:rsidR="00BB73D5">
        <w:rPr>
          <w:rFonts w:ascii="Times New Roman" w:hAnsi="Times New Roman"/>
          <w:color w:val="000000"/>
        </w:rPr>
        <w:t xml:space="preserve">, </w:t>
      </w:r>
      <w:r w:rsidR="00BB73D5" w:rsidRPr="00A60FD5">
        <w:rPr>
          <w:rFonts w:ascii="Times New Roman" w:hAnsi="Times New Roman"/>
          <w:color w:val="000000"/>
        </w:rPr>
        <w:t>P.S.</w:t>
      </w:r>
      <w:r w:rsidR="00BB73D5">
        <w:rPr>
          <w:rFonts w:ascii="Times New Roman" w:hAnsi="Times New Roman"/>
          <w:color w:val="000000"/>
        </w:rPr>
        <w:t>,</w:t>
      </w:r>
      <w:r w:rsidRPr="00A60FD5">
        <w:rPr>
          <w:rFonts w:ascii="Times New Roman" w:hAnsi="Times New Roman"/>
          <w:color w:val="000000"/>
        </w:rPr>
        <w:t xml:space="preserve"> 2000. Formation processes of R&amp;D consortia: Which path to take? Where does it lead?. Strategic Management J</w:t>
      </w:r>
      <w:r w:rsidR="00BB73D5">
        <w:rPr>
          <w:rFonts w:ascii="Times New Roman" w:hAnsi="Times New Roman"/>
          <w:color w:val="000000"/>
        </w:rPr>
        <w:t>ournal 21,</w:t>
      </w:r>
      <w:r w:rsidRPr="00A60FD5">
        <w:rPr>
          <w:rFonts w:ascii="Times New Roman" w:hAnsi="Times New Roman"/>
          <w:color w:val="000000"/>
        </w:rPr>
        <w:t xml:space="preserve"> 239-266.</w:t>
      </w:r>
    </w:p>
    <w:p w14:paraId="13AE92A2" w14:textId="19291235" w:rsidR="00754823" w:rsidRPr="00A60FD5" w:rsidRDefault="00754823" w:rsidP="00E258CC">
      <w:pPr>
        <w:spacing w:line="220" w:lineRule="exact"/>
        <w:rPr>
          <w:rFonts w:ascii="Times New Roman" w:hAnsi="Times New Roman"/>
          <w:color w:val="000000"/>
        </w:rPr>
      </w:pPr>
      <w:r w:rsidRPr="00A60FD5">
        <w:rPr>
          <w:rFonts w:ascii="Times New Roman" w:hAnsi="Times New Roman"/>
          <w:color w:val="000000"/>
        </w:rPr>
        <w:t>Drahozal, C.R., Hylton</w:t>
      </w:r>
      <w:r w:rsidR="006A20C8" w:rsidRPr="00A60FD5">
        <w:rPr>
          <w:rFonts w:ascii="Times New Roman" w:hAnsi="Times New Roman"/>
          <w:color w:val="000000"/>
        </w:rPr>
        <w:t>, K.</w:t>
      </w:r>
      <w:r w:rsidR="00BB73D5">
        <w:rPr>
          <w:rFonts w:ascii="Times New Roman" w:hAnsi="Times New Roman"/>
          <w:color w:val="000000"/>
        </w:rPr>
        <w:t>,</w:t>
      </w:r>
      <w:r w:rsidRPr="00A60FD5">
        <w:rPr>
          <w:rFonts w:ascii="Times New Roman" w:hAnsi="Times New Roman"/>
          <w:color w:val="000000"/>
        </w:rPr>
        <w:t xml:space="preserve"> 2003. The economics of litigation and arbitration: an application to franchise contracts. J</w:t>
      </w:r>
      <w:r w:rsidR="006A20C8" w:rsidRPr="00A60FD5">
        <w:rPr>
          <w:rFonts w:ascii="Times New Roman" w:hAnsi="Times New Roman"/>
          <w:color w:val="000000"/>
        </w:rPr>
        <w:t>ournal of Legal Studies</w:t>
      </w:r>
      <w:r w:rsidR="00BB73D5">
        <w:rPr>
          <w:rFonts w:ascii="Times New Roman" w:hAnsi="Times New Roman"/>
          <w:color w:val="000000"/>
        </w:rPr>
        <w:t xml:space="preserve"> </w:t>
      </w:r>
      <w:r w:rsidRPr="00A60FD5">
        <w:rPr>
          <w:rFonts w:ascii="Times New Roman" w:hAnsi="Times New Roman"/>
          <w:color w:val="000000"/>
        </w:rPr>
        <w:t>32</w:t>
      </w:r>
      <w:r w:rsidR="006A20C8" w:rsidRPr="00A60FD5">
        <w:rPr>
          <w:rFonts w:ascii="Times New Roman" w:hAnsi="Times New Roman"/>
          <w:color w:val="000000"/>
        </w:rPr>
        <w:t>,</w:t>
      </w:r>
      <w:r w:rsidRPr="00A60FD5">
        <w:rPr>
          <w:rFonts w:ascii="Times New Roman" w:hAnsi="Times New Roman"/>
          <w:color w:val="000000"/>
        </w:rPr>
        <w:t xml:space="preserve"> 549</w:t>
      </w:r>
      <w:r w:rsidR="006A20C8" w:rsidRPr="00A60FD5">
        <w:rPr>
          <w:rFonts w:ascii="Times New Roman" w:hAnsi="Times New Roman"/>
          <w:color w:val="000000"/>
        </w:rPr>
        <w:t>-584</w:t>
      </w:r>
      <w:r w:rsidRPr="00A60FD5">
        <w:rPr>
          <w:rFonts w:ascii="Times New Roman" w:hAnsi="Times New Roman"/>
          <w:color w:val="000000"/>
        </w:rPr>
        <w:t>.</w:t>
      </w:r>
    </w:p>
    <w:p w14:paraId="2B3C1C28" w14:textId="067B0063" w:rsidR="00754823" w:rsidRPr="00A60FD5" w:rsidRDefault="00754823" w:rsidP="00E258CC">
      <w:pPr>
        <w:spacing w:line="220" w:lineRule="exact"/>
        <w:rPr>
          <w:rFonts w:ascii="Times New Roman" w:hAnsi="Times New Roman"/>
          <w:color w:val="000000"/>
        </w:rPr>
      </w:pPr>
      <w:r w:rsidRPr="00A60FD5">
        <w:rPr>
          <w:rFonts w:ascii="Times New Roman" w:hAnsi="Times New Roman"/>
          <w:color w:val="000000"/>
        </w:rPr>
        <w:t>Drahozal, C.R.</w:t>
      </w:r>
      <w:r w:rsidR="006A20C8" w:rsidRPr="00A60FD5">
        <w:rPr>
          <w:rFonts w:ascii="Times New Roman" w:hAnsi="Times New Roman"/>
          <w:color w:val="000000"/>
        </w:rPr>
        <w:t>,</w:t>
      </w:r>
      <w:r w:rsidRPr="00A60FD5">
        <w:rPr>
          <w:rFonts w:ascii="Times New Roman" w:hAnsi="Times New Roman"/>
          <w:color w:val="000000"/>
        </w:rPr>
        <w:t xml:space="preserve"> 2008. Arbitration costs and forum accessibility: empirical evidence. University of Michigan J</w:t>
      </w:r>
      <w:r w:rsidR="006A20C8" w:rsidRPr="00A60FD5">
        <w:rPr>
          <w:rFonts w:ascii="Times New Roman" w:hAnsi="Times New Roman"/>
          <w:color w:val="000000"/>
        </w:rPr>
        <w:t>ournal</w:t>
      </w:r>
      <w:r w:rsidRPr="00A60FD5">
        <w:rPr>
          <w:rFonts w:ascii="Times New Roman" w:hAnsi="Times New Roman"/>
          <w:color w:val="000000"/>
        </w:rPr>
        <w:t xml:space="preserve"> of Law Reform 41</w:t>
      </w:r>
      <w:r w:rsidR="006A20C8" w:rsidRPr="00A60FD5">
        <w:rPr>
          <w:rFonts w:ascii="Times New Roman" w:hAnsi="Times New Roman"/>
          <w:color w:val="000000"/>
        </w:rPr>
        <w:t>, 813-842.</w:t>
      </w:r>
    </w:p>
    <w:p w14:paraId="7149800E" w14:textId="4EE7A12F" w:rsidR="00754823" w:rsidRPr="00A60FD5" w:rsidRDefault="00754823" w:rsidP="00E258CC">
      <w:pPr>
        <w:spacing w:line="220" w:lineRule="exact"/>
        <w:rPr>
          <w:rFonts w:ascii="Times New Roman" w:hAnsi="Times New Roman"/>
          <w:lang w:eastAsia="fr-BE"/>
        </w:rPr>
      </w:pPr>
      <w:r w:rsidRPr="00A60FD5">
        <w:rPr>
          <w:rFonts w:ascii="Times New Roman" w:hAnsi="Times New Roman"/>
          <w:lang w:eastAsia="fr-BE"/>
        </w:rPr>
        <w:t>Drahozal, C.R., Ware</w:t>
      </w:r>
      <w:r w:rsidR="004051F5" w:rsidRPr="00A60FD5">
        <w:rPr>
          <w:rFonts w:ascii="Times New Roman" w:hAnsi="Times New Roman"/>
          <w:lang w:eastAsia="fr-BE"/>
        </w:rPr>
        <w:t xml:space="preserve">, S.J., </w:t>
      </w:r>
      <w:r w:rsidRPr="00A60FD5">
        <w:rPr>
          <w:rFonts w:ascii="Times New Roman" w:hAnsi="Times New Roman"/>
          <w:lang w:eastAsia="fr-BE"/>
        </w:rPr>
        <w:t>2010. Why do businesses use (or not use) arbitration clauses. Ohio St. J</w:t>
      </w:r>
      <w:r w:rsidR="004051F5" w:rsidRPr="00A60FD5">
        <w:rPr>
          <w:rFonts w:ascii="Times New Roman" w:hAnsi="Times New Roman"/>
          <w:lang w:eastAsia="fr-BE"/>
        </w:rPr>
        <w:t>ournal</w:t>
      </w:r>
      <w:r w:rsidRPr="00A60FD5">
        <w:rPr>
          <w:rFonts w:ascii="Times New Roman" w:hAnsi="Times New Roman"/>
          <w:lang w:eastAsia="fr-BE"/>
        </w:rPr>
        <w:t xml:space="preserve"> on Disp</w:t>
      </w:r>
      <w:r w:rsidR="004051F5" w:rsidRPr="00A60FD5">
        <w:rPr>
          <w:rFonts w:ascii="Times New Roman" w:hAnsi="Times New Roman"/>
          <w:lang w:eastAsia="fr-BE"/>
        </w:rPr>
        <w:t>ute</w:t>
      </w:r>
      <w:r w:rsidRPr="00A60FD5">
        <w:rPr>
          <w:rFonts w:ascii="Times New Roman" w:hAnsi="Times New Roman"/>
          <w:lang w:eastAsia="fr-BE"/>
        </w:rPr>
        <w:t xml:space="preserve"> Resol</w:t>
      </w:r>
      <w:r w:rsidR="004051F5" w:rsidRPr="00A60FD5">
        <w:rPr>
          <w:rFonts w:ascii="Times New Roman" w:hAnsi="Times New Roman"/>
          <w:lang w:eastAsia="fr-BE"/>
        </w:rPr>
        <w:t>ution</w:t>
      </w:r>
      <w:r w:rsidRPr="00A60FD5">
        <w:rPr>
          <w:rFonts w:ascii="Times New Roman" w:hAnsi="Times New Roman"/>
          <w:lang w:eastAsia="fr-BE"/>
        </w:rPr>
        <w:t xml:space="preserve"> 25</w:t>
      </w:r>
      <w:r w:rsidR="004051F5" w:rsidRPr="00A60FD5">
        <w:rPr>
          <w:rFonts w:ascii="Times New Roman" w:hAnsi="Times New Roman"/>
          <w:lang w:eastAsia="fr-BE"/>
        </w:rPr>
        <w:t>,</w:t>
      </w:r>
      <w:r w:rsidRPr="00A60FD5">
        <w:rPr>
          <w:rFonts w:ascii="Times New Roman" w:hAnsi="Times New Roman"/>
          <w:lang w:eastAsia="fr-BE"/>
        </w:rPr>
        <w:t xml:space="preserve"> 433</w:t>
      </w:r>
      <w:r w:rsidR="004051F5" w:rsidRPr="00A60FD5">
        <w:rPr>
          <w:rFonts w:ascii="Times New Roman" w:hAnsi="Times New Roman"/>
          <w:lang w:eastAsia="fr-BE"/>
        </w:rPr>
        <w:t>-476</w:t>
      </w:r>
      <w:r w:rsidRPr="00A60FD5">
        <w:rPr>
          <w:rFonts w:ascii="Times New Roman" w:hAnsi="Times New Roman"/>
          <w:lang w:eastAsia="fr-BE"/>
        </w:rPr>
        <w:t xml:space="preserve">.  </w:t>
      </w:r>
    </w:p>
    <w:p w14:paraId="39720523" w14:textId="316DBB02" w:rsidR="007C623E" w:rsidRPr="00A60FD5" w:rsidRDefault="007C623E" w:rsidP="00E258CC">
      <w:pPr>
        <w:spacing w:line="220" w:lineRule="exact"/>
        <w:rPr>
          <w:rFonts w:ascii="Times New Roman" w:hAnsi="Times New Roman"/>
          <w:lang w:eastAsia="fr-BE"/>
        </w:rPr>
      </w:pPr>
      <w:r w:rsidRPr="00A60FD5">
        <w:rPr>
          <w:rFonts w:ascii="Times New Roman" w:hAnsi="Times New Roman"/>
          <w:lang w:eastAsia="fr-BE"/>
        </w:rPr>
        <w:t>Dyer, J.H., Chu, W.J., 2003. The role of trustworthiness in reducing transaction costs and improving performance: empirical evidence from the United States, Japan, and Korea. Organization Science 14, 57-68.</w:t>
      </w:r>
    </w:p>
    <w:p w14:paraId="2B3E82C3" w14:textId="40F8C48D" w:rsidR="00754823" w:rsidRPr="00A60FD5" w:rsidRDefault="00754823" w:rsidP="00E258CC">
      <w:pPr>
        <w:spacing w:line="220" w:lineRule="exact"/>
        <w:rPr>
          <w:rFonts w:ascii="Times New Roman" w:hAnsi="Times New Roman"/>
          <w:lang w:eastAsia="fr-BE"/>
        </w:rPr>
      </w:pPr>
      <w:r w:rsidRPr="00A60FD5">
        <w:rPr>
          <w:rFonts w:ascii="Times New Roman" w:hAnsi="Times New Roman"/>
          <w:lang w:eastAsia="fr-BE"/>
        </w:rPr>
        <w:t>Eisenberg, T., Miller</w:t>
      </w:r>
      <w:r w:rsidR="00BB73D5">
        <w:rPr>
          <w:rFonts w:ascii="Times New Roman" w:hAnsi="Times New Roman"/>
          <w:lang w:eastAsia="fr-BE"/>
        </w:rPr>
        <w:t xml:space="preserve">, </w:t>
      </w:r>
      <w:r w:rsidR="00BB73D5" w:rsidRPr="00A60FD5">
        <w:rPr>
          <w:rFonts w:ascii="Times New Roman" w:hAnsi="Times New Roman"/>
          <w:lang w:eastAsia="fr-BE"/>
        </w:rPr>
        <w:t>G.P.</w:t>
      </w:r>
      <w:r w:rsidR="00BB73D5">
        <w:rPr>
          <w:rFonts w:ascii="Times New Roman" w:hAnsi="Times New Roman"/>
          <w:lang w:eastAsia="fr-BE"/>
        </w:rPr>
        <w:t>,</w:t>
      </w:r>
      <w:r w:rsidRPr="00A60FD5">
        <w:rPr>
          <w:rFonts w:ascii="Times New Roman" w:hAnsi="Times New Roman"/>
          <w:lang w:eastAsia="fr-BE"/>
        </w:rPr>
        <w:t xml:space="preserve"> 2007.</w:t>
      </w:r>
      <w:r w:rsidRPr="00A60FD5">
        <w:rPr>
          <w:rFonts w:ascii="Times New Roman" w:hAnsi="Times New Roman"/>
          <w:iCs/>
          <w:lang w:eastAsia="fr-BE"/>
        </w:rPr>
        <w:t xml:space="preserve"> The </w:t>
      </w:r>
      <w:r w:rsidR="009B05B6" w:rsidRPr="00A60FD5">
        <w:rPr>
          <w:rFonts w:ascii="Times New Roman" w:hAnsi="Times New Roman"/>
          <w:iCs/>
          <w:lang w:eastAsia="fr-BE"/>
        </w:rPr>
        <w:t>f</w:t>
      </w:r>
      <w:r w:rsidRPr="00A60FD5">
        <w:rPr>
          <w:rFonts w:ascii="Times New Roman" w:hAnsi="Times New Roman"/>
          <w:iCs/>
          <w:lang w:eastAsia="fr-BE"/>
        </w:rPr>
        <w:t xml:space="preserve">light from </w:t>
      </w:r>
      <w:r w:rsidR="009B05B6" w:rsidRPr="00A60FD5">
        <w:rPr>
          <w:rFonts w:ascii="Times New Roman" w:hAnsi="Times New Roman"/>
          <w:iCs/>
          <w:lang w:eastAsia="fr-BE"/>
        </w:rPr>
        <w:t>a</w:t>
      </w:r>
      <w:r w:rsidRPr="00A60FD5">
        <w:rPr>
          <w:rFonts w:ascii="Times New Roman" w:hAnsi="Times New Roman"/>
          <w:iCs/>
          <w:lang w:eastAsia="fr-BE"/>
        </w:rPr>
        <w:t xml:space="preserve">rbitration: </w:t>
      </w:r>
      <w:r w:rsidR="009B05B6" w:rsidRPr="00A60FD5">
        <w:rPr>
          <w:rFonts w:ascii="Times New Roman" w:hAnsi="Times New Roman"/>
          <w:iCs/>
          <w:lang w:eastAsia="fr-BE"/>
        </w:rPr>
        <w:t>a</w:t>
      </w:r>
      <w:r w:rsidRPr="00A60FD5">
        <w:rPr>
          <w:rFonts w:ascii="Times New Roman" w:hAnsi="Times New Roman"/>
          <w:iCs/>
          <w:lang w:eastAsia="fr-BE"/>
        </w:rPr>
        <w:t xml:space="preserve">n </w:t>
      </w:r>
      <w:r w:rsidR="009B05B6" w:rsidRPr="00A60FD5">
        <w:rPr>
          <w:rFonts w:ascii="Times New Roman" w:hAnsi="Times New Roman"/>
          <w:iCs/>
          <w:lang w:eastAsia="fr-BE"/>
        </w:rPr>
        <w:t>e</w:t>
      </w:r>
      <w:r w:rsidRPr="00A60FD5">
        <w:rPr>
          <w:rFonts w:ascii="Times New Roman" w:hAnsi="Times New Roman"/>
          <w:iCs/>
          <w:lang w:eastAsia="fr-BE"/>
        </w:rPr>
        <w:t xml:space="preserve">mpirical </w:t>
      </w:r>
      <w:r w:rsidR="009B05B6" w:rsidRPr="00A60FD5">
        <w:rPr>
          <w:rFonts w:ascii="Times New Roman" w:hAnsi="Times New Roman"/>
          <w:iCs/>
          <w:lang w:eastAsia="fr-BE"/>
        </w:rPr>
        <w:t>s</w:t>
      </w:r>
      <w:r w:rsidRPr="00A60FD5">
        <w:rPr>
          <w:rFonts w:ascii="Times New Roman" w:hAnsi="Times New Roman"/>
          <w:iCs/>
          <w:lang w:eastAsia="fr-BE"/>
        </w:rPr>
        <w:t xml:space="preserve">tudy of </w:t>
      </w:r>
      <w:r w:rsidR="009B05B6" w:rsidRPr="00A60FD5">
        <w:rPr>
          <w:rFonts w:ascii="Times New Roman" w:hAnsi="Times New Roman"/>
          <w:iCs/>
          <w:lang w:eastAsia="fr-BE"/>
        </w:rPr>
        <w:t>e</w:t>
      </w:r>
      <w:r w:rsidRPr="00A60FD5">
        <w:rPr>
          <w:rFonts w:ascii="Times New Roman" w:hAnsi="Times New Roman"/>
          <w:iCs/>
          <w:lang w:eastAsia="fr-BE"/>
        </w:rPr>
        <w:t xml:space="preserve">x </w:t>
      </w:r>
      <w:r w:rsidR="009B05B6" w:rsidRPr="00A60FD5">
        <w:rPr>
          <w:rFonts w:ascii="Times New Roman" w:hAnsi="Times New Roman"/>
          <w:iCs/>
          <w:lang w:eastAsia="fr-BE"/>
        </w:rPr>
        <w:t>a</w:t>
      </w:r>
      <w:r w:rsidRPr="00A60FD5">
        <w:rPr>
          <w:rFonts w:ascii="Times New Roman" w:hAnsi="Times New Roman"/>
          <w:iCs/>
          <w:lang w:eastAsia="fr-BE"/>
        </w:rPr>
        <w:t xml:space="preserve">nte </w:t>
      </w:r>
      <w:r w:rsidR="009B05B6" w:rsidRPr="00A60FD5">
        <w:rPr>
          <w:rFonts w:ascii="Times New Roman" w:hAnsi="Times New Roman"/>
          <w:iCs/>
          <w:lang w:eastAsia="fr-BE"/>
        </w:rPr>
        <w:t>a</w:t>
      </w:r>
      <w:r w:rsidRPr="00A60FD5">
        <w:rPr>
          <w:rFonts w:ascii="Times New Roman" w:hAnsi="Times New Roman"/>
          <w:iCs/>
          <w:lang w:eastAsia="fr-BE"/>
        </w:rPr>
        <w:t xml:space="preserve">rbitration </w:t>
      </w:r>
      <w:r w:rsidR="009B05B6" w:rsidRPr="00A60FD5">
        <w:rPr>
          <w:rFonts w:ascii="Times New Roman" w:hAnsi="Times New Roman"/>
          <w:iCs/>
          <w:lang w:eastAsia="fr-BE"/>
        </w:rPr>
        <w:t>c</w:t>
      </w:r>
      <w:r w:rsidRPr="00A60FD5">
        <w:rPr>
          <w:rFonts w:ascii="Times New Roman" w:hAnsi="Times New Roman"/>
          <w:iCs/>
          <w:lang w:eastAsia="fr-BE"/>
        </w:rPr>
        <w:t xml:space="preserve">lauses in the </w:t>
      </w:r>
      <w:r w:rsidR="009B05B6" w:rsidRPr="00A60FD5">
        <w:rPr>
          <w:rFonts w:ascii="Times New Roman" w:hAnsi="Times New Roman"/>
          <w:iCs/>
          <w:lang w:eastAsia="fr-BE"/>
        </w:rPr>
        <w:t>c</w:t>
      </w:r>
      <w:r w:rsidRPr="00A60FD5">
        <w:rPr>
          <w:rFonts w:ascii="Times New Roman" w:hAnsi="Times New Roman"/>
          <w:iCs/>
          <w:lang w:eastAsia="fr-BE"/>
        </w:rPr>
        <w:t xml:space="preserve">ontracts of </w:t>
      </w:r>
      <w:r w:rsidR="009B05B6" w:rsidRPr="00A60FD5">
        <w:rPr>
          <w:rFonts w:ascii="Times New Roman" w:hAnsi="Times New Roman"/>
          <w:iCs/>
          <w:lang w:eastAsia="fr-BE"/>
        </w:rPr>
        <w:t>p</w:t>
      </w:r>
      <w:r w:rsidRPr="00A60FD5">
        <w:rPr>
          <w:rFonts w:ascii="Times New Roman" w:hAnsi="Times New Roman"/>
          <w:iCs/>
          <w:lang w:eastAsia="fr-BE"/>
        </w:rPr>
        <w:t xml:space="preserve">ublicly </w:t>
      </w:r>
      <w:r w:rsidR="009B05B6" w:rsidRPr="00A60FD5">
        <w:rPr>
          <w:rFonts w:ascii="Times New Roman" w:hAnsi="Times New Roman"/>
          <w:iCs/>
          <w:lang w:eastAsia="fr-BE"/>
        </w:rPr>
        <w:t>h</w:t>
      </w:r>
      <w:r w:rsidRPr="00A60FD5">
        <w:rPr>
          <w:rFonts w:ascii="Times New Roman" w:hAnsi="Times New Roman"/>
          <w:iCs/>
          <w:lang w:eastAsia="fr-BE"/>
        </w:rPr>
        <w:t xml:space="preserve">eld </w:t>
      </w:r>
      <w:r w:rsidR="009B05B6" w:rsidRPr="00A60FD5">
        <w:rPr>
          <w:rFonts w:ascii="Times New Roman" w:hAnsi="Times New Roman"/>
          <w:iCs/>
          <w:lang w:eastAsia="fr-BE"/>
        </w:rPr>
        <w:t>c</w:t>
      </w:r>
      <w:r w:rsidRPr="00A60FD5">
        <w:rPr>
          <w:rFonts w:ascii="Times New Roman" w:hAnsi="Times New Roman"/>
          <w:iCs/>
          <w:lang w:eastAsia="fr-BE"/>
        </w:rPr>
        <w:t>ompanies</w:t>
      </w:r>
      <w:r w:rsidRPr="00A60FD5">
        <w:rPr>
          <w:rFonts w:ascii="Times New Roman" w:hAnsi="Times New Roman"/>
          <w:lang w:eastAsia="fr-BE"/>
        </w:rPr>
        <w:t>. DePaul Law Rev</w:t>
      </w:r>
      <w:r w:rsidR="009B05B6" w:rsidRPr="00A60FD5">
        <w:rPr>
          <w:rFonts w:ascii="Times New Roman" w:hAnsi="Times New Roman"/>
          <w:lang w:eastAsia="fr-BE"/>
        </w:rPr>
        <w:t>iew</w:t>
      </w:r>
      <w:r w:rsidRPr="00A60FD5">
        <w:rPr>
          <w:rFonts w:ascii="Times New Roman" w:hAnsi="Times New Roman"/>
          <w:lang w:eastAsia="fr-BE"/>
        </w:rPr>
        <w:t xml:space="preserve"> 56</w:t>
      </w:r>
      <w:r w:rsidR="009B05B6" w:rsidRPr="00A60FD5">
        <w:rPr>
          <w:rFonts w:ascii="Times New Roman" w:hAnsi="Times New Roman"/>
          <w:lang w:eastAsia="fr-BE"/>
        </w:rPr>
        <w:t>,</w:t>
      </w:r>
      <w:r w:rsidRPr="00A60FD5">
        <w:rPr>
          <w:rFonts w:ascii="Times New Roman" w:hAnsi="Times New Roman"/>
          <w:lang w:eastAsia="fr-BE"/>
        </w:rPr>
        <w:t xml:space="preserve"> 335-374.</w:t>
      </w:r>
    </w:p>
    <w:p w14:paraId="10324CFF" w14:textId="250112D2" w:rsidR="00521CD6" w:rsidRPr="00A60FD5" w:rsidRDefault="00521CD6" w:rsidP="00B64F96">
      <w:pPr>
        <w:spacing w:line="220" w:lineRule="exact"/>
        <w:rPr>
          <w:rFonts w:ascii="Times New Roman" w:hAnsi="Times New Roman"/>
          <w:color w:val="000000"/>
          <w:lang w:val="nl-NL"/>
        </w:rPr>
      </w:pPr>
      <w:r w:rsidRPr="00A60FD5">
        <w:rPr>
          <w:rFonts w:ascii="Times New Roman" w:hAnsi="Times New Roman"/>
          <w:color w:val="000000"/>
        </w:rPr>
        <w:t xml:space="preserve">Eisenberg, T., Miller, </w:t>
      </w:r>
      <w:r w:rsidR="00EF0C68" w:rsidRPr="00A60FD5">
        <w:rPr>
          <w:rFonts w:ascii="Times New Roman" w:hAnsi="Times New Roman"/>
          <w:color w:val="000000"/>
        </w:rPr>
        <w:t xml:space="preserve">G.P., </w:t>
      </w:r>
      <w:r w:rsidRPr="00A60FD5">
        <w:rPr>
          <w:rFonts w:ascii="Times New Roman" w:hAnsi="Times New Roman"/>
          <w:color w:val="000000"/>
        </w:rPr>
        <w:t>Sherwin</w:t>
      </w:r>
      <w:r w:rsidR="00EF0C68" w:rsidRPr="00A60FD5">
        <w:rPr>
          <w:rFonts w:ascii="Times New Roman" w:hAnsi="Times New Roman"/>
          <w:color w:val="000000"/>
        </w:rPr>
        <w:t>, E.,</w:t>
      </w:r>
      <w:r w:rsidRPr="00A60FD5">
        <w:rPr>
          <w:rFonts w:ascii="Times New Roman" w:hAnsi="Times New Roman"/>
          <w:color w:val="000000"/>
        </w:rPr>
        <w:t xml:space="preserve"> 2008. Mandatory arbitration for customers but not for peers: A study of arbitration clauses in consumer and non-consumer contracts. </w:t>
      </w:r>
      <w:r w:rsidRPr="00A60FD5">
        <w:rPr>
          <w:rFonts w:ascii="Times New Roman" w:hAnsi="Times New Roman"/>
          <w:color w:val="000000"/>
          <w:lang w:val="nl-NL"/>
        </w:rPr>
        <w:t>Judicature 92</w:t>
      </w:r>
      <w:r w:rsidR="00B64F96" w:rsidRPr="00A60FD5">
        <w:rPr>
          <w:rFonts w:ascii="Times New Roman" w:hAnsi="Times New Roman"/>
          <w:color w:val="000000"/>
          <w:lang w:val="nl-NL"/>
        </w:rPr>
        <w:t>,</w:t>
      </w:r>
      <w:r w:rsidRPr="00A60FD5">
        <w:rPr>
          <w:rFonts w:ascii="Times New Roman" w:hAnsi="Times New Roman"/>
          <w:color w:val="000000"/>
          <w:lang w:val="nl-NL"/>
        </w:rPr>
        <w:t xml:space="preserve"> 118</w:t>
      </w:r>
      <w:r w:rsidR="00B64F96" w:rsidRPr="00A60FD5">
        <w:rPr>
          <w:rFonts w:ascii="Times New Roman" w:hAnsi="Times New Roman"/>
          <w:color w:val="000000"/>
          <w:lang w:val="nl-NL"/>
        </w:rPr>
        <w:t>-123.</w:t>
      </w:r>
    </w:p>
    <w:p w14:paraId="2B6ED6B0" w14:textId="510DBD97" w:rsidR="00754823" w:rsidRPr="00A60FD5" w:rsidRDefault="00754823" w:rsidP="00E258CC">
      <w:pPr>
        <w:spacing w:line="220" w:lineRule="exact"/>
        <w:rPr>
          <w:rFonts w:ascii="Times New Roman" w:hAnsi="Times New Roman"/>
          <w:color w:val="000000"/>
        </w:rPr>
      </w:pPr>
      <w:r w:rsidRPr="00A60FD5">
        <w:rPr>
          <w:rFonts w:ascii="Times New Roman" w:hAnsi="Times New Roman"/>
          <w:color w:val="000000"/>
          <w:lang w:val="nl-NL"/>
        </w:rPr>
        <w:t>Faems, D., Janssens,</w:t>
      </w:r>
      <w:r w:rsidR="00EE2AEA" w:rsidRPr="00A60FD5">
        <w:rPr>
          <w:rFonts w:ascii="Times New Roman" w:hAnsi="Times New Roman"/>
          <w:color w:val="000000"/>
          <w:lang w:val="nl-NL"/>
        </w:rPr>
        <w:t xml:space="preserve"> M.,</w:t>
      </w:r>
      <w:r w:rsidRPr="00A60FD5">
        <w:rPr>
          <w:rFonts w:ascii="Times New Roman" w:hAnsi="Times New Roman"/>
          <w:color w:val="000000"/>
          <w:lang w:val="nl-NL"/>
        </w:rPr>
        <w:t xml:space="preserve"> Madhok, </w:t>
      </w:r>
      <w:r w:rsidR="00EE2AEA" w:rsidRPr="00A60FD5">
        <w:rPr>
          <w:rFonts w:ascii="Times New Roman" w:hAnsi="Times New Roman"/>
          <w:color w:val="000000"/>
          <w:lang w:val="nl-NL"/>
        </w:rPr>
        <w:t xml:space="preserve">A., </w:t>
      </w:r>
      <w:r w:rsidRPr="00A60FD5">
        <w:rPr>
          <w:rFonts w:ascii="Times New Roman" w:hAnsi="Times New Roman"/>
          <w:color w:val="000000"/>
          <w:lang w:val="nl-NL"/>
        </w:rPr>
        <w:t>Van Looy</w:t>
      </w:r>
      <w:r w:rsidR="00EE2AEA" w:rsidRPr="00A60FD5">
        <w:rPr>
          <w:rFonts w:ascii="Times New Roman" w:hAnsi="Times New Roman"/>
          <w:color w:val="000000"/>
          <w:lang w:val="nl-NL"/>
        </w:rPr>
        <w:t>, B.,</w:t>
      </w:r>
      <w:r w:rsidRPr="00A60FD5">
        <w:rPr>
          <w:rFonts w:ascii="Times New Roman" w:hAnsi="Times New Roman"/>
          <w:color w:val="000000"/>
          <w:lang w:val="nl-NL"/>
        </w:rPr>
        <w:t xml:space="preserve"> 2008. </w:t>
      </w:r>
      <w:r w:rsidRPr="00A60FD5">
        <w:rPr>
          <w:rFonts w:ascii="Times New Roman" w:hAnsi="Times New Roman"/>
          <w:color w:val="000000"/>
        </w:rPr>
        <w:t>Toward an integrative perspective on alliance governance: connecting contract design, trust dynamics, and contract application. Acad</w:t>
      </w:r>
      <w:r w:rsidR="00EE2AEA" w:rsidRPr="00A60FD5">
        <w:rPr>
          <w:rFonts w:ascii="Times New Roman" w:hAnsi="Times New Roman"/>
          <w:color w:val="000000"/>
        </w:rPr>
        <w:t>emy</w:t>
      </w:r>
      <w:r w:rsidRPr="00A60FD5">
        <w:rPr>
          <w:rFonts w:ascii="Times New Roman" w:hAnsi="Times New Roman"/>
          <w:color w:val="000000"/>
        </w:rPr>
        <w:t xml:space="preserve"> of Management J</w:t>
      </w:r>
      <w:r w:rsidR="00EE2AEA" w:rsidRPr="00A60FD5">
        <w:rPr>
          <w:rFonts w:ascii="Times New Roman" w:hAnsi="Times New Roman"/>
          <w:color w:val="000000"/>
        </w:rPr>
        <w:t>ournal</w:t>
      </w:r>
      <w:r w:rsidRPr="00A60FD5">
        <w:rPr>
          <w:rFonts w:ascii="Times New Roman" w:hAnsi="Times New Roman"/>
          <w:color w:val="000000"/>
        </w:rPr>
        <w:t xml:space="preserve"> 51</w:t>
      </w:r>
      <w:r w:rsidR="00EE2AEA" w:rsidRPr="00A60FD5">
        <w:rPr>
          <w:rFonts w:ascii="Times New Roman" w:hAnsi="Times New Roman"/>
          <w:color w:val="000000"/>
        </w:rPr>
        <w:t>,</w:t>
      </w:r>
      <w:r w:rsidRPr="00A60FD5">
        <w:rPr>
          <w:rFonts w:ascii="Times New Roman" w:hAnsi="Times New Roman"/>
          <w:color w:val="000000"/>
        </w:rPr>
        <w:t xml:space="preserve"> 1053-1078. </w:t>
      </w:r>
    </w:p>
    <w:p w14:paraId="5EF64C3A" w14:textId="172F2FE0" w:rsidR="00754823" w:rsidRPr="00A60FD5" w:rsidRDefault="00754823" w:rsidP="00E258CC">
      <w:pPr>
        <w:spacing w:line="220" w:lineRule="exact"/>
        <w:rPr>
          <w:rFonts w:ascii="Times New Roman" w:hAnsi="Times New Roman"/>
        </w:rPr>
      </w:pPr>
      <w:r w:rsidRPr="00A60FD5">
        <w:rPr>
          <w:rFonts w:ascii="Times New Roman" w:hAnsi="Times New Roman"/>
        </w:rPr>
        <w:t>Friedman, S.</w:t>
      </w:r>
      <w:r w:rsidR="00DE2B44" w:rsidRPr="00A60FD5">
        <w:rPr>
          <w:rFonts w:ascii="Times New Roman" w:hAnsi="Times New Roman"/>
        </w:rPr>
        <w:t>,</w:t>
      </w:r>
      <w:r w:rsidRPr="00A60FD5">
        <w:rPr>
          <w:rFonts w:ascii="Times New Roman" w:hAnsi="Times New Roman"/>
        </w:rPr>
        <w:t xml:space="preserve"> 1965. Arbitration provision: little darlings and little monsters. Fordham Law Rev</w:t>
      </w:r>
      <w:r w:rsidR="00DE2B44" w:rsidRPr="00A60FD5">
        <w:rPr>
          <w:rFonts w:ascii="Times New Roman" w:hAnsi="Times New Roman"/>
        </w:rPr>
        <w:t>iew</w:t>
      </w:r>
      <w:r w:rsidRPr="00A60FD5">
        <w:rPr>
          <w:rFonts w:ascii="Times New Roman" w:hAnsi="Times New Roman"/>
        </w:rPr>
        <w:t xml:space="preserve"> 79</w:t>
      </w:r>
      <w:r w:rsidR="00DE2B44" w:rsidRPr="00A60FD5">
        <w:rPr>
          <w:rFonts w:ascii="Times New Roman" w:hAnsi="Times New Roman"/>
        </w:rPr>
        <w:t>,</w:t>
      </w:r>
      <w:r w:rsidRPr="00A60FD5">
        <w:rPr>
          <w:rFonts w:ascii="Times New Roman" w:hAnsi="Times New Roman"/>
        </w:rPr>
        <w:t xml:space="preserve"> 2035-2067.    </w:t>
      </w:r>
    </w:p>
    <w:p w14:paraId="448E185C" w14:textId="0542F08C" w:rsidR="000A12CC" w:rsidRPr="00A60FD5" w:rsidRDefault="000A12CC" w:rsidP="00E258CC">
      <w:pPr>
        <w:spacing w:line="220" w:lineRule="exact"/>
        <w:rPr>
          <w:rFonts w:ascii="Times New Roman" w:hAnsi="Times New Roman"/>
        </w:rPr>
      </w:pPr>
      <w:r w:rsidRPr="00401C3B">
        <w:rPr>
          <w:rFonts w:ascii="Times New Roman" w:hAnsi="Times New Roman"/>
          <w:lang w:val="nl-NL"/>
        </w:rPr>
        <w:t>Garg, V.K., Walters,</w:t>
      </w:r>
      <w:r w:rsidR="00401C3B" w:rsidRPr="00401C3B">
        <w:rPr>
          <w:rFonts w:ascii="Times New Roman" w:hAnsi="Times New Roman"/>
          <w:lang w:val="nl-NL"/>
        </w:rPr>
        <w:t xml:space="preserve"> B.A.,</w:t>
      </w:r>
      <w:r w:rsidRPr="00401C3B">
        <w:rPr>
          <w:rFonts w:ascii="Times New Roman" w:hAnsi="Times New Roman"/>
          <w:lang w:val="nl-NL"/>
        </w:rPr>
        <w:t xml:space="preserve"> Priem</w:t>
      </w:r>
      <w:r w:rsidR="00401C3B" w:rsidRPr="00401C3B">
        <w:rPr>
          <w:rFonts w:ascii="Times New Roman" w:hAnsi="Times New Roman"/>
          <w:lang w:val="nl-NL"/>
        </w:rPr>
        <w:t>, R.L.</w:t>
      </w:r>
      <w:r w:rsidR="00401C3B">
        <w:rPr>
          <w:rFonts w:ascii="Times New Roman" w:hAnsi="Times New Roman"/>
          <w:lang w:val="nl-NL"/>
        </w:rPr>
        <w:t>,</w:t>
      </w:r>
      <w:r w:rsidRPr="00401C3B">
        <w:rPr>
          <w:rFonts w:ascii="Times New Roman" w:hAnsi="Times New Roman"/>
          <w:lang w:val="nl-NL"/>
        </w:rPr>
        <w:t xml:space="preserve"> 2003. </w:t>
      </w:r>
      <w:r w:rsidRPr="00A60FD5">
        <w:rPr>
          <w:rFonts w:ascii="Times New Roman" w:hAnsi="Times New Roman"/>
        </w:rPr>
        <w:t>Chief executive scanning emphases, environmental dynamism and manufacturing firm performance. Strategic Management J</w:t>
      </w:r>
      <w:r w:rsidR="00401C3B">
        <w:rPr>
          <w:rFonts w:ascii="Times New Roman" w:hAnsi="Times New Roman"/>
        </w:rPr>
        <w:t>ournal</w:t>
      </w:r>
      <w:r w:rsidRPr="00A60FD5">
        <w:rPr>
          <w:rFonts w:ascii="Times New Roman" w:hAnsi="Times New Roman"/>
        </w:rPr>
        <w:t xml:space="preserve"> 24</w:t>
      </w:r>
      <w:r w:rsidR="00401C3B">
        <w:rPr>
          <w:rFonts w:ascii="Times New Roman" w:hAnsi="Times New Roman"/>
        </w:rPr>
        <w:t>,</w:t>
      </w:r>
      <w:r w:rsidRPr="00A60FD5">
        <w:rPr>
          <w:rFonts w:ascii="Times New Roman" w:hAnsi="Times New Roman"/>
        </w:rPr>
        <w:t xml:space="preserve"> 725-744. </w:t>
      </w:r>
    </w:p>
    <w:p w14:paraId="68C84F7C" w14:textId="59913350" w:rsidR="0049089C" w:rsidRPr="00A60FD5" w:rsidRDefault="0049089C" w:rsidP="00E258CC">
      <w:pPr>
        <w:spacing w:line="220" w:lineRule="exact"/>
        <w:rPr>
          <w:rFonts w:ascii="Times New Roman" w:hAnsi="Times New Roman"/>
        </w:rPr>
      </w:pPr>
      <w:r w:rsidRPr="00A60FD5">
        <w:rPr>
          <w:rFonts w:ascii="Times New Roman" w:hAnsi="Times New Roman"/>
        </w:rPr>
        <w:t>Greene, W.</w:t>
      </w:r>
      <w:r w:rsidR="00A53F47" w:rsidRPr="00A60FD5">
        <w:rPr>
          <w:rFonts w:ascii="Times New Roman" w:hAnsi="Times New Roman"/>
        </w:rPr>
        <w:t>,</w:t>
      </w:r>
      <w:r w:rsidRPr="00A60FD5">
        <w:rPr>
          <w:rFonts w:ascii="Times New Roman" w:hAnsi="Times New Roman"/>
        </w:rPr>
        <w:t xml:space="preserve"> 2011. Limited dependent models: Censoring, truncation, and sample selection. Econometric Analysis. Prentice Hall, USA.</w:t>
      </w:r>
    </w:p>
    <w:p w14:paraId="4E8248F1" w14:textId="44484859" w:rsidR="00BA316D" w:rsidRPr="00A60FD5" w:rsidRDefault="00BA316D" w:rsidP="00E258CC">
      <w:pPr>
        <w:spacing w:line="220" w:lineRule="exact"/>
        <w:rPr>
          <w:rFonts w:ascii="Times New Roman" w:hAnsi="Times New Roman"/>
        </w:rPr>
      </w:pPr>
      <w:r w:rsidRPr="00A60FD5">
        <w:rPr>
          <w:rFonts w:ascii="Times New Roman" w:hAnsi="Times New Roman"/>
        </w:rPr>
        <w:lastRenderedPageBreak/>
        <w:t>Greif, A.</w:t>
      </w:r>
      <w:r w:rsidR="000F2017" w:rsidRPr="00A60FD5">
        <w:rPr>
          <w:rFonts w:ascii="Times New Roman" w:hAnsi="Times New Roman"/>
        </w:rPr>
        <w:t>,</w:t>
      </w:r>
      <w:r w:rsidRPr="00A60FD5">
        <w:rPr>
          <w:rFonts w:ascii="Times New Roman" w:hAnsi="Times New Roman"/>
        </w:rPr>
        <w:t xml:space="preserve"> 2005. Institutions: theory and history. Comparative and historical institutional analysis.</w:t>
      </w:r>
    </w:p>
    <w:p w14:paraId="0D527EA6" w14:textId="665FCB2B" w:rsidR="00754823" w:rsidRPr="00A60FD5" w:rsidRDefault="00754823" w:rsidP="00E258CC">
      <w:pPr>
        <w:spacing w:line="220" w:lineRule="exact"/>
        <w:rPr>
          <w:rFonts w:ascii="Times New Roman" w:hAnsi="Times New Roman"/>
        </w:rPr>
      </w:pPr>
      <w:r w:rsidRPr="00A60FD5">
        <w:rPr>
          <w:rFonts w:ascii="Times New Roman" w:hAnsi="Times New Roman"/>
        </w:rPr>
        <w:t>Grossman, S.J., Hart</w:t>
      </w:r>
      <w:r w:rsidR="00EE2AEA" w:rsidRPr="00A60FD5">
        <w:rPr>
          <w:rFonts w:ascii="Times New Roman" w:hAnsi="Times New Roman"/>
        </w:rPr>
        <w:t>, O.D.,</w:t>
      </w:r>
      <w:r w:rsidRPr="00A60FD5">
        <w:rPr>
          <w:rFonts w:ascii="Times New Roman" w:hAnsi="Times New Roman"/>
        </w:rPr>
        <w:t xml:space="preserve"> 1983. Implicit contracts under asymmetric information. The Quart</w:t>
      </w:r>
      <w:r w:rsidR="00EE2AEA" w:rsidRPr="00A60FD5">
        <w:rPr>
          <w:rFonts w:ascii="Times New Roman" w:hAnsi="Times New Roman"/>
        </w:rPr>
        <w:t>erly</w:t>
      </w:r>
      <w:r w:rsidRPr="00A60FD5">
        <w:rPr>
          <w:rFonts w:ascii="Times New Roman" w:hAnsi="Times New Roman"/>
        </w:rPr>
        <w:t xml:space="preserve"> J</w:t>
      </w:r>
      <w:r w:rsidR="00EE2AEA" w:rsidRPr="00A60FD5">
        <w:rPr>
          <w:rFonts w:ascii="Times New Roman" w:hAnsi="Times New Roman"/>
        </w:rPr>
        <w:t>ournal</w:t>
      </w:r>
      <w:r w:rsidRPr="00A60FD5">
        <w:rPr>
          <w:rFonts w:ascii="Times New Roman" w:hAnsi="Times New Roman"/>
        </w:rPr>
        <w:t xml:space="preserve"> of  Econom</w:t>
      </w:r>
      <w:r w:rsidR="00EE2AEA" w:rsidRPr="00A60FD5">
        <w:rPr>
          <w:rFonts w:ascii="Times New Roman" w:hAnsi="Times New Roman"/>
        </w:rPr>
        <w:t>ics</w:t>
      </w:r>
      <w:r w:rsidR="00401C3B">
        <w:rPr>
          <w:rFonts w:ascii="Times New Roman" w:hAnsi="Times New Roman"/>
        </w:rPr>
        <w:t xml:space="preserve"> </w:t>
      </w:r>
      <w:r w:rsidR="00EE2AEA" w:rsidRPr="00A60FD5">
        <w:rPr>
          <w:rFonts w:ascii="Times New Roman" w:hAnsi="Times New Roman"/>
        </w:rPr>
        <w:t>98,</w:t>
      </w:r>
      <w:r w:rsidRPr="00A60FD5">
        <w:rPr>
          <w:rFonts w:ascii="Times New Roman" w:hAnsi="Times New Roman"/>
        </w:rPr>
        <w:t xml:space="preserve"> 123-156.</w:t>
      </w:r>
    </w:p>
    <w:p w14:paraId="28BB2DD6" w14:textId="3C65470E" w:rsidR="00EE2AEA" w:rsidRPr="00A60FD5" w:rsidRDefault="00754823" w:rsidP="00E258CC">
      <w:pPr>
        <w:spacing w:line="220" w:lineRule="exact"/>
        <w:rPr>
          <w:rFonts w:ascii="Times New Roman" w:hAnsi="Times New Roman"/>
        </w:rPr>
      </w:pPr>
      <w:r w:rsidRPr="00A60FD5">
        <w:rPr>
          <w:rFonts w:ascii="Times New Roman" w:hAnsi="Times New Roman"/>
        </w:rPr>
        <w:t>Gulati, R.</w:t>
      </w:r>
      <w:r w:rsidR="00BD7F94" w:rsidRPr="00A60FD5">
        <w:rPr>
          <w:rFonts w:ascii="Times New Roman" w:hAnsi="Times New Roman"/>
        </w:rPr>
        <w:t>,</w:t>
      </w:r>
      <w:r w:rsidRPr="00A60FD5">
        <w:rPr>
          <w:rFonts w:ascii="Times New Roman" w:hAnsi="Times New Roman"/>
        </w:rPr>
        <w:t xml:space="preserve"> 1995. Social structure and alliance formation patterns: a longitudinal analysis. Admin</w:t>
      </w:r>
      <w:r w:rsidR="00EE2AEA" w:rsidRPr="00A60FD5">
        <w:rPr>
          <w:rFonts w:ascii="Times New Roman" w:hAnsi="Times New Roman"/>
        </w:rPr>
        <w:t>istrative</w:t>
      </w:r>
      <w:r w:rsidRPr="00A60FD5">
        <w:rPr>
          <w:rFonts w:ascii="Times New Roman" w:hAnsi="Times New Roman"/>
        </w:rPr>
        <w:t xml:space="preserve"> Sci</w:t>
      </w:r>
      <w:r w:rsidR="00EE2AEA" w:rsidRPr="00A60FD5">
        <w:rPr>
          <w:rFonts w:ascii="Times New Roman" w:hAnsi="Times New Roman"/>
        </w:rPr>
        <w:t>ence Quarterly 40, 619-652.</w:t>
      </w:r>
    </w:p>
    <w:p w14:paraId="120D2050" w14:textId="60D0C43A" w:rsidR="00754823" w:rsidRPr="00A60FD5" w:rsidRDefault="00754823" w:rsidP="00E258CC">
      <w:pPr>
        <w:spacing w:line="220" w:lineRule="exact"/>
        <w:rPr>
          <w:rFonts w:ascii="Times New Roman" w:hAnsi="Times New Roman"/>
        </w:rPr>
      </w:pPr>
      <w:r w:rsidRPr="00A60FD5">
        <w:rPr>
          <w:rFonts w:ascii="Times New Roman" w:hAnsi="Times New Roman"/>
        </w:rPr>
        <w:t>Gulati, R., Singh</w:t>
      </w:r>
      <w:r w:rsidR="004051F5" w:rsidRPr="00A60FD5">
        <w:rPr>
          <w:rFonts w:ascii="Times New Roman" w:hAnsi="Times New Roman"/>
        </w:rPr>
        <w:t>, H.,</w:t>
      </w:r>
      <w:r w:rsidRPr="00A60FD5">
        <w:rPr>
          <w:rFonts w:ascii="Times New Roman" w:hAnsi="Times New Roman"/>
        </w:rPr>
        <w:t xml:space="preserve"> 1998. The architecture of cooperation: managing coordination costs and appropriation concerns in strategic alliances. </w:t>
      </w:r>
      <w:r w:rsidRPr="00A60FD5">
        <w:rPr>
          <w:rFonts w:ascii="Times New Roman" w:hAnsi="Times New Roman"/>
          <w:color w:val="000000"/>
        </w:rPr>
        <w:t>Admin</w:t>
      </w:r>
      <w:r w:rsidR="004051F5" w:rsidRPr="00A60FD5">
        <w:rPr>
          <w:rFonts w:ascii="Times New Roman" w:hAnsi="Times New Roman"/>
          <w:color w:val="000000"/>
        </w:rPr>
        <w:t>istrative</w:t>
      </w:r>
      <w:r w:rsidRPr="00A60FD5">
        <w:rPr>
          <w:rFonts w:ascii="Times New Roman" w:hAnsi="Times New Roman"/>
          <w:color w:val="000000"/>
        </w:rPr>
        <w:t xml:space="preserve"> Sci</w:t>
      </w:r>
      <w:r w:rsidR="004051F5" w:rsidRPr="00A60FD5">
        <w:rPr>
          <w:rFonts w:ascii="Times New Roman" w:hAnsi="Times New Roman"/>
          <w:color w:val="000000"/>
        </w:rPr>
        <w:t>ence</w:t>
      </w:r>
      <w:r w:rsidRPr="00A60FD5">
        <w:rPr>
          <w:rFonts w:ascii="Times New Roman" w:hAnsi="Times New Roman"/>
          <w:color w:val="000000"/>
        </w:rPr>
        <w:t xml:space="preserve"> Quart</w:t>
      </w:r>
      <w:r w:rsidR="004051F5" w:rsidRPr="00A60FD5">
        <w:rPr>
          <w:rFonts w:ascii="Times New Roman" w:hAnsi="Times New Roman"/>
          <w:color w:val="000000"/>
        </w:rPr>
        <w:t xml:space="preserve">erly </w:t>
      </w:r>
      <w:r w:rsidRPr="00A60FD5">
        <w:rPr>
          <w:rFonts w:ascii="Times New Roman" w:hAnsi="Times New Roman"/>
          <w:color w:val="000000"/>
        </w:rPr>
        <w:t>43</w:t>
      </w:r>
      <w:r w:rsidR="004051F5" w:rsidRPr="00A60FD5">
        <w:rPr>
          <w:rFonts w:ascii="Times New Roman" w:hAnsi="Times New Roman"/>
          <w:color w:val="000000"/>
        </w:rPr>
        <w:t>,</w:t>
      </w:r>
      <w:r w:rsidRPr="00A60FD5">
        <w:rPr>
          <w:rFonts w:ascii="Times New Roman" w:hAnsi="Times New Roman"/>
          <w:color w:val="000000"/>
        </w:rPr>
        <w:t xml:space="preserve"> 781-814.</w:t>
      </w:r>
    </w:p>
    <w:p w14:paraId="1C9D4B12" w14:textId="583CD735" w:rsidR="00754823" w:rsidRPr="00A60FD5" w:rsidRDefault="00754823" w:rsidP="00E258CC">
      <w:pPr>
        <w:spacing w:line="220" w:lineRule="exact"/>
        <w:rPr>
          <w:rFonts w:ascii="Times New Roman" w:hAnsi="Times New Roman"/>
          <w:color w:val="000000"/>
        </w:rPr>
      </w:pPr>
      <w:r w:rsidRPr="00A60FD5">
        <w:rPr>
          <w:rFonts w:ascii="Times New Roman" w:hAnsi="Times New Roman"/>
          <w:color w:val="000000"/>
        </w:rPr>
        <w:t>Gulati, R., Lawrence</w:t>
      </w:r>
      <w:r w:rsidR="000F2017" w:rsidRPr="00A60FD5">
        <w:rPr>
          <w:rFonts w:ascii="Times New Roman" w:hAnsi="Times New Roman"/>
          <w:color w:val="000000"/>
        </w:rPr>
        <w:t>, P.R.</w:t>
      </w:r>
      <w:r w:rsidRPr="00A60FD5">
        <w:rPr>
          <w:rFonts w:ascii="Times New Roman" w:hAnsi="Times New Roman"/>
          <w:color w:val="000000"/>
        </w:rPr>
        <w:t>, Puranam</w:t>
      </w:r>
      <w:r w:rsidR="000F2017" w:rsidRPr="00A60FD5">
        <w:rPr>
          <w:rFonts w:ascii="Times New Roman" w:hAnsi="Times New Roman"/>
          <w:color w:val="000000"/>
        </w:rPr>
        <w:t>, P.,</w:t>
      </w:r>
      <w:r w:rsidRPr="00A60FD5">
        <w:rPr>
          <w:rFonts w:ascii="Times New Roman" w:hAnsi="Times New Roman"/>
          <w:color w:val="000000"/>
        </w:rPr>
        <w:t xml:space="preserve"> 2005. Adaptation in vertical relationships: beyond incentive conflict. Strategic Management J</w:t>
      </w:r>
      <w:r w:rsidR="000F2017" w:rsidRPr="00A60FD5">
        <w:rPr>
          <w:rFonts w:ascii="Times New Roman" w:hAnsi="Times New Roman"/>
          <w:color w:val="000000"/>
        </w:rPr>
        <w:t>ournal</w:t>
      </w:r>
      <w:r w:rsidRPr="00A60FD5">
        <w:rPr>
          <w:rFonts w:ascii="Times New Roman" w:hAnsi="Times New Roman"/>
          <w:color w:val="000000"/>
        </w:rPr>
        <w:t xml:space="preserve"> 26</w:t>
      </w:r>
      <w:r w:rsidR="000F2017" w:rsidRPr="00A60FD5">
        <w:rPr>
          <w:rFonts w:ascii="Times New Roman" w:hAnsi="Times New Roman"/>
          <w:color w:val="000000"/>
        </w:rPr>
        <w:t>,</w:t>
      </w:r>
      <w:r w:rsidRPr="00A60FD5">
        <w:rPr>
          <w:rFonts w:ascii="Times New Roman" w:hAnsi="Times New Roman"/>
          <w:color w:val="000000"/>
        </w:rPr>
        <w:t xml:space="preserve"> 415-440. </w:t>
      </w:r>
    </w:p>
    <w:p w14:paraId="48B07935" w14:textId="501F19E2" w:rsidR="00754823" w:rsidRPr="00A60FD5" w:rsidRDefault="00754823" w:rsidP="00E258CC">
      <w:pPr>
        <w:spacing w:line="220" w:lineRule="exact"/>
        <w:rPr>
          <w:rFonts w:ascii="Times New Roman" w:hAnsi="Times New Roman"/>
          <w:color w:val="000000"/>
        </w:rPr>
      </w:pPr>
      <w:r w:rsidRPr="00A60FD5">
        <w:rPr>
          <w:rFonts w:ascii="Times New Roman" w:hAnsi="Times New Roman"/>
          <w:color w:val="000000"/>
        </w:rPr>
        <w:t>Hadfield, G.K.</w:t>
      </w:r>
      <w:r w:rsidR="00EE2AEA" w:rsidRPr="00A60FD5">
        <w:rPr>
          <w:rFonts w:ascii="Times New Roman" w:hAnsi="Times New Roman"/>
          <w:color w:val="000000"/>
        </w:rPr>
        <w:t>,</w:t>
      </w:r>
      <w:r w:rsidRPr="00A60FD5">
        <w:rPr>
          <w:rFonts w:ascii="Times New Roman" w:hAnsi="Times New Roman"/>
          <w:color w:val="000000"/>
        </w:rPr>
        <w:t xml:space="preserve"> 1994. Judicial competence and the interpretation of incomplete contracts. J</w:t>
      </w:r>
      <w:r w:rsidR="00EE2AEA" w:rsidRPr="00A60FD5">
        <w:rPr>
          <w:rFonts w:ascii="Times New Roman" w:hAnsi="Times New Roman"/>
          <w:color w:val="000000"/>
        </w:rPr>
        <w:t>ournal</w:t>
      </w:r>
      <w:r w:rsidRPr="00A60FD5">
        <w:rPr>
          <w:rFonts w:ascii="Times New Roman" w:hAnsi="Times New Roman"/>
          <w:color w:val="000000"/>
        </w:rPr>
        <w:t xml:space="preserve"> of Legal Stud</w:t>
      </w:r>
      <w:r w:rsidR="00EE2AEA" w:rsidRPr="00A60FD5">
        <w:rPr>
          <w:rFonts w:ascii="Times New Roman" w:hAnsi="Times New Roman"/>
          <w:color w:val="000000"/>
        </w:rPr>
        <w:t>ies</w:t>
      </w:r>
      <w:r w:rsidRPr="00A60FD5">
        <w:rPr>
          <w:rFonts w:ascii="Times New Roman" w:hAnsi="Times New Roman"/>
          <w:color w:val="000000"/>
        </w:rPr>
        <w:t xml:space="preserve"> 23</w:t>
      </w:r>
      <w:r w:rsidR="00EE2AEA" w:rsidRPr="00A60FD5">
        <w:rPr>
          <w:rFonts w:ascii="Times New Roman" w:hAnsi="Times New Roman"/>
          <w:color w:val="000000"/>
        </w:rPr>
        <w:t>,</w:t>
      </w:r>
      <w:r w:rsidRPr="00A60FD5">
        <w:rPr>
          <w:rFonts w:ascii="Times New Roman" w:hAnsi="Times New Roman"/>
          <w:color w:val="000000"/>
        </w:rPr>
        <w:t xml:space="preserve"> 159-184.</w:t>
      </w:r>
    </w:p>
    <w:p w14:paraId="2D7CBAC4" w14:textId="3DC792D4" w:rsidR="00F96496" w:rsidRPr="00A60FD5" w:rsidRDefault="00F96496" w:rsidP="00E258CC">
      <w:pPr>
        <w:spacing w:line="220" w:lineRule="exact"/>
        <w:rPr>
          <w:rFonts w:ascii="Times New Roman" w:hAnsi="Times New Roman"/>
          <w:lang w:val="nl-NL"/>
        </w:rPr>
      </w:pPr>
      <w:r w:rsidRPr="00A60FD5">
        <w:rPr>
          <w:rFonts w:ascii="Times New Roman" w:hAnsi="Times New Roman"/>
        </w:rPr>
        <w:t>Hagedoorn, J.</w:t>
      </w:r>
      <w:r w:rsidR="00EF7528" w:rsidRPr="00A60FD5">
        <w:rPr>
          <w:rFonts w:ascii="Times New Roman" w:hAnsi="Times New Roman"/>
        </w:rPr>
        <w:t>,</w:t>
      </w:r>
      <w:r w:rsidRPr="00A60FD5">
        <w:rPr>
          <w:rFonts w:ascii="Times New Roman" w:hAnsi="Times New Roman"/>
        </w:rPr>
        <w:t xml:space="preserve"> 2002. Inter-firm R&amp;D partnerships: an overview of major trends and patterns since 1960. </w:t>
      </w:r>
      <w:r w:rsidRPr="00A60FD5">
        <w:rPr>
          <w:rFonts w:ascii="Times New Roman" w:hAnsi="Times New Roman"/>
          <w:lang w:val="nl-NL"/>
        </w:rPr>
        <w:t>Res</w:t>
      </w:r>
      <w:r w:rsidR="00EF7528" w:rsidRPr="00A60FD5">
        <w:rPr>
          <w:rFonts w:ascii="Times New Roman" w:hAnsi="Times New Roman"/>
          <w:lang w:val="nl-NL"/>
        </w:rPr>
        <w:t>earch</w:t>
      </w:r>
      <w:r w:rsidRPr="00A60FD5">
        <w:rPr>
          <w:rFonts w:ascii="Times New Roman" w:hAnsi="Times New Roman"/>
          <w:lang w:val="nl-NL"/>
        </w:rPr>
        <w:t xml:space="preserve"> Pol</w:t>
      </w:r>
      <w:r w:rsidR="00EF7528" w:rsidRPr="00A60FD5">
        <w:rPr>
          <w:rFonts w:ascii="Times New Roman" w:hAnsi="Times New Roman"/>
          <w:lang w:val="nl-NL"/>
        </w:rPr>
        <w:t>icy</w:t>
      </w:r>
      <w:r w:rsidRPr="00A60FD5">
        <w:rPr>
          <w:rFonts w:ascii="Times New Roman" w:hAnsi="Times New Roman"/>
          <w:lang w:val="nl-NL"/>
        </w:rPr>
        <w:t xml:space="preserve"> 31</w:t>
      </w:r>
      <w:r w:rsidR="00EF7528" w:rsidRPr="00A60FD5">
        <w:rPr>
          <w:rFonts w:ascii="Times New Roman" w:hAnsi="Times New Roman"/>
          <w:lang w:val="nl-NL"/>
        </w:rPr>
        <w:t>,</w:t>
      </w:r>
      <w:r w:rsidRPr="00A60FD5">
        <w:rPr>
          <w:rFonts w:ascii="Times New Roman" w:hAnsi="Times New Roman"/>
          <w:lang w:val="nl-NL"/>
        </w:rPr>
        <w:t xml:space="preserve"> 477-492.</w:t>
      </w:r>
    </w:p>
    <w:p w14:paraId="3526BF7F" w14:textId="46190E09" w:rsidR="00754823" w:rsidRPr="00A60FD5" w:rsidRDefault="00754823" w:rsidP="00E258CC">
      <w:pPr>
        <w:spacing w:line="220" w:lineRule="exact"/>
        <w:rPr>
          <w:rFonts w:ascii="Times New Roman" w:hAnsi="Times New Roman"/>
        </w:rPr>
      </w:pPr>
      <w:r w:rsidRPr="00A60FD5">
        <w:rPr>
          <w:rFonts w:ascii="Times New Roman" w:hAnsi="Times New Roman"/>
          <w:lang w:val="nl-NL"/>
        </w:rPr>
        <w:t xml:space="preserve">Hagedoorn, J., Lorenz-Orlean, </w:t>
      </w:r>
      <w:r w:rsidR="00BD7F94" w:rsidRPr="00A60FD5">
        <w:rPr>
          <w:rFonts w:ascii="Times New Roman" w:hAnsi="Times New Roman"/>
          <w:lang w:val="nl-NL"/>
        </w:rPr>
        <w:t xml:space="preserve">S., </w:t>
      </w:r>
      <w:r w:rsidRPr="00A60FD5">
        <w:rPr>
          <w:rFonts w:ascii="Times New Roman" w:hAnsi="Times New Roman"/>
          <w:lang w:val="nl-NL"/>
        </w:rPr>
        <w:t>Van Kranenburg</w:t>
      </w:r>
      <w:r w:rsidR="00BD7F94" w:rsidRPr="00A60FD5">
        <w:rPr>
          <w:rFonts w:ascii="Times New Roman" w:hAnsi="Times New Roman"/>
          <w:lang w:val="nl-NL"/>
        </w:rPr>
        <w:t>, H.,</w:t>
      </w:r>
      <w:r w:rsidRPr="00A60FD5">
        <w:rPr>
          <w:rFonts w:ascii="Times New Roman" w:hAnsi="Times New Roman"/>
          <w:lang w:val="nl-NL"/>
        </w:rPr>
        <w:t xml:space="preserve"> 2008. </w:t>
      </w:r>
      <w:r w:rsidRPr="00A60FD5">
        <w:rPr>
          <w:rFonts w:ascii="Times New Roman" w:hAnsi="Times New Roman"/>
        </w:rPr>
        <w:t>Inter-firm technology transfer: partnership-embedded licensing or standard licensing agreements?. Industrial and Corporate Change 18</w:t>
      </w:r>
      <w:r w:rsidR="00BD7F94" w:rsidRPr="00A60FD5">
        <w:rPr>
          <w:rFonts w:ascii="Times New Roman" w:hAnsi="Times New Roman"/>
        </w:rPr>
        <w:t>,</w:t>
      </w:r>
      <w:r w:rsidRPr="00A60FD5">
        <w:rPr>
          <w:rFonts w:ascii="Times New Roman" w:hAnsi="Times New Roman"/>
        </w:rPr>
        <w:t xml:space="preserve"> 529-550. </w:t>
      </w:r>
    </w:p>
    <w:p w14:paraId="2A8D2B6D" w14:textId="26015572" w:rsidR="00754823" w:rsidRPr="00A60FD5" w:rsidRDefault="00754823" w:rsidP="00E258CC">
      <w:pPr>
        <w:spacing w:line="220" w:lineRule="exact"/>
        <w:rPr>
          <w:rFonts w:ascii="Times New Roman" w:hAnsi="Times New Roman"/>
          <w:lang w:eastAsia="fr-BE"/>
        </w:rPr>
      </w:pPr>
      <w:r w:rsidRPr="00A60FD5">
        <w:rPr>
          <w:rFonts w:ascii="Times New Roman" w:hAnsi="Times New Roman"/>
        </w:rPr>
        <w:t>Hagedoorn, J., Hesen</w:t>
      </w:r>
      <w:r w:rsidR="009B05B6" w:rsidRPr="00A60FD5">
        <w:rPr>
          <w:rFonts w:ascii="Times New Roman" w:hAnsi="Times New Roman"/>
        </w:rPr>
        <w:t>, G.</w:t>
      </w:r>
      <w:r w:rsidR="002F6B23">
        <w:rPr>
          <w:rFonts w:ascii="Times New Roman" w:hAnsi="Times New Roman"/>
        </w:rPr>
        <w:t>,</w:t>
      </w:r>
      <w:r w:rsidR="009B05B6" w:rsidRPr="00A60FD5">
        <w:rPr>
          <w:rFonts w:ascii="Times New Roman" w:hAnsi="Times New Roman"/>
        </w:rPr>
        <w:t xml:space="preserve"> </w:t>
      </w:r>
      <w:r w:rsidRPr="00A60FD5">
        <w:rPr>
          <w:rFonts w:ascii="Times New Roman" w:hAnsi="Times New Roman"/>
        </w:rPr>
        <w:t>2009. Contractual complexity and the cognitive load of R&amp;D alliance contracts. J</w:t>
      </w:r>
      <w:r w:rsidR="009B05B6" w:rsidRPr="00A60FD5">
        <w:rPr>
          <w:rFonts w:ascii="Times New Roman" w:hAnsi="Times New Roman"/>
        </w:rPr>
        <w:t>ournal</w:t>
      </w:r>
      <w:r w:rsidRPr="00A60FD5">
        <w:rPr>
          <w:rFonts w:ascii="Times New Roman" w:hAnsi="Times New Roman"/>
        </w:rPr>
        <w:t xml:space="preserve"> of Empirical Legal Stud</w:t>
      </w:r>
      <w:r w:rsidR="009B05B6" w:rsidRPr="00A60FD5">
        <w:rPr>
          <w:rFonts w:ascii="Times New Roman" w:hAnsi="Times New Roman"/>
        </w:rPr>
        <w:t>ies</w:t>
      </w:r>
      <w:r w:rsidRPr="00A60FD5">
        <w:rPr>
          <w:rFonts w:ascii="Times New Roman" w:hAnsi="Times New Roman"/>
        </w:rPr>
        <w:t xml:space="preserve"> 6</w:t>
      </w:r>
      <w:r w:rsidR="009B05B6" w:rsidRPr="00A60FD5">
        <w:rPr>
          <w:rFonts w:ascii="Times New Roman" w:hAnsi="Times New Roman"/>
        </w:rPr>
        <w:t>,</w:t>
      </w:r>
      <w:r w:rsidRPr="00A60FD5">
        <w:rPr>
          <w:rFonts w:ascii="Times New Roman" w:hAnsi="Times New Roman"/>
        </w:rPr>
        <w:t xml:space="preserve"> 818-847. </w:t>
      </w:r>
    </w:p>
    <w:p w14:paraId="04C7C899" w14:textId="331870FD" w:rsidR="00754823" w:rsidRPr="00A60FD5" w:rsidRDefault="00754823" w:rsidP="00E258CC">
      <w:pPr>
        <w:spacing w:line="220" w:lineRule="exact"/>
        <w:rPr>
          <w:rFonts w:ascii="Times New Roman" w:hAnsi="Times New Roman"/>
        </w:rPr>
      </w:pPr>
      <w:r w:rsidRPr="00A60FD5">
        <w:rPr>
          <w:rFonts w:ascii="Times New Roman" w:hAnsi="Times New Roman"/>
        </w:rPr>
        <w:t>Hair, J.F.J., Black</w:t>
      </w:r>
      <w:r w:rsidR="004D5AA7" w:rsidRPr="00A60FD5">
        <w:rPr>
          <w:rFonts w:ascii="Times New Roman" w:hAnsi="Times New Roman"/>
        </w:rPr>
        <w:t>, W.C.</w:t>
      </w:r>
      <w:r w:rsidRPr="00A60FD5">
        <w:rPr>
          <w:rFonts w:ascii="Times New Roman" w:hAnsi="Times New Roman"/>
        </w:rPr>
        <w:t xml:space="preserve">, Babin, </w:t>
      </w:r>
      <w:r w:rsidR="004D5AA7" w:rsidRPr="00A60FD5">
        <w:rPr>
          <w:rFonts w:ascii="Times New Roman" w:hAnsi="Times New Roman"/>
        </w:rPr>
        <w:t xml:space="preserve">B.J., </w:t>
      </w:r>
      <w:r w:rsidRPr="00A60FD5">
        <w:rPr>
          <w:rFonts w:ascii="Times New Roman" w:hAnsi="Times New Roman"/>
        </w:rPr>
        <w:t xml:space="preserve">Anderson, </w:t>
      </w:r>
      <w:r w:rsidR="004D5AA7" w:rsidRPr="00A60FD5">
        <w:rPr>
          <w:rFonts w:ascii="Times New Roman" w:hAnsi="Times New Roman"/>
        </w:rPr>
        <w:t xml:space="preserve">R.E., </w:t>
      </w:r>
      <w:r w:rsidRPr="00A60FD5">
        <w:rPr>
          <w:rFonts w:ascii="Times New Roman" w:hAnsi="Times New Roman"/>
        </w:rPr>
        <w:t>Tatham</w:t>
      </w:r>
      <w:r w:rsidR="004D5AA7" w:rsidRPr="00A60FD5">
        <w:rPr>
          <w:rFonts w:ascii="Times New Roman" w:hAnsi="Times New Roman"/>
        </w:rPr>
        <w:t>, R.L.,</w:t>
      </w:r>
      <w:r w:rsidRPr="00A60FD5">
        <w:rPr>
          <w:rFonts w:ascii="Times New Roman" w:hAnsi="Times New Roman"/>
        </w:rPr>
        <w:t xml:space="preserve"> 2006. Multivariate Data Analysis. Prentice-Hall: Englewood Cliffs, NJ. </w:t>
      </w:r>
    </w:p>
    <w:p w14:paraId="298D6AA3" w14:textId="1F4CBA43" w:rsidR="00D71030" w:rsidRPr="00A60FD5" w:rsidRDefault="00D71030" w:rsidP="00E258CC">
      <w:pPr>
        <w:spacing w:line="220" w:lineRule="exact"/>
        <w:rPr>
          <w:rFonts w:ascii="Times New Roman" w:hAnsi="Times New Roman"/>
        </w:rPr>
      </w:pPr>
      <w:r w:rsidRPr="00A60FD5">
        <w:rPr>
          <w:rFonts w:ascii="Times New Roman" w:hAnsi="Times New Roman"/>
        </w:rPr>
        <w:t>Hamilton, B.H., Nickerson</w:t>
      </w:r>
      <w:r w:rsidR="006019C0" w:rsidRPr="00A60FD5">
        <w:rPr>
          <w:rFonts w:ascii="Times New Roman" w:hAnsi="Times New Roman"/>
        </w:rPr>
        <w:t>, J.A.,</w:t>
      </w:r>
      <w:r w:rsidRPr="00A60FD5">
        <w:rPr>
          <w:rFonts w:ascii="Times New Roman" w:hAnsi="Times New Roman"/>
        </w:rPr>
        <w:t xml:space="preserve"> 2003. Correcting for endogeneity in strategic management research. Strategic Organ</w:t>
      </w:r>
      <w:r w:rsidR="006019C0" w:rsidRPr="00A60FD5">
        <w:rPr>
          <w:rFonts w:ascii="Times New Roman" w:hAnsi="Times New Roman"/>
        </w:rPr>
        <w:t>ization</w:t>
      </w:r>
      <w:r w:rsidRPr="00A60FD5">
        <w:rPr>
          <w:rFonts w:ascii="Times New Roman" w:hAnsi="Times New Roman"/>
        </w:rPr>
        <w:t xml:space="preserve"> 1</w:t>
      </w:r>
      <w:r w:rsidR="006019C0" w:rsidRPr="00A60FD5">
        <w:rPr>
          <w:rFonts w:ascii="Times New Roman" w:hAnsi="Times New Roman"/>
        </w:rPr>
        <w:t>,</w:t>
      </w:r>
      <w:r w:rsidRPr="00A60FD5">
        <w:rPr>
          <w:rFonts w:ascii="Times New Roman" w:hAnsi="Times New Roman"/>
        </w:rPr>
        <w:t xml:space="preserve"> 51-78.</w:t>
      </w:r>
    </w:p>
    <w:p w14:paraId="20876BC7" w14:textId="24111B34" w:rsidR="002F6B23" w:rsidRDefault="002F6B23" w:rsidP="00E258CC">
      <w:pPr>
        <w:spacing w:line="220" w:lineRule="exact"/>
        <w:rPr>
          <w:rFonts w:ascii="Times New Roman" w:hAnsi="Times New Roman"/>
        </w:rPr>
      </w:pPr>
      <w:r w:rsidRPr="00A60FD5">
        <w:rPr>
          <w:rFonts w:ascii="Times New Roman" w:hAnsi="Times New Roman"/>
        </w:rPr>
        <w:t>Ha</w:t>
      </w:r>
      <w:r>
        <w:rPr>
          <w:rFonts w:ascii="Times New Roman" w:hAnsi="Times New Roman"/>
        </w:rPr>
        <w:t>r</w:t>
      </w:r>
      <w:r w:rsidRPr="00A60FD5">
        <w:rPr>
          <w:rFonts w:ascii="Times New Roman" w:hAnsi="Times New Roman"/>
        </w:rPr>
        <w:t>gadon, A., Sutton</w:t>
      </w:r>
      <w:r>
        <w:rPr>
          <w:rFonts w:ascii="Times New Roman" w:hAnsi="Times New Roman"/>
        </w:rPr>
        <w:t xml:space="preserve">, </w:t>
      </w:r>
      <w:r w:rsidRPr="00A60FD5">
        <w:rPr>
          <w:rFonts w:ascii="Times New Roman" w:hAnsi="Times New Roman"/>
        </w:rPr>
        <w:t>R.I.</w:t>
      </w:r>
      <w:r>
        <w:rPr>
          <w:rFonts w:ascii="Times New Roman" w:hAnsi="Times New Roman"/>
        </w:rPr>
        <w:t>,</w:t>
      </w:r>
      <w:r w:rsidRPr="00A60FD5">
        <w:rPr>
          <w:rFonts w:ascii="Times New Roman" w:hAnsi="Times New Roman"/>
        </w:rPr>
        <w:t xml:space="preserve"> 1997.. Technology brokering and innovation in a product development firm. Administrative Sci</w:t>
      </w:r>
      <w:r>
        <w:rPr>
          <w:rFonts w:ascii="Times New Roman" w:hAnsi="Times New Roman"/>
        </w:rPr>
        <w:t>ence</w:t>
      </w:r>
      <w:r w:rsidRPr="00A60FD5">
        <w:rPr>
          <w:rFonts w:ascii="Times New Roman" w:hAnsi="Times New Roman"/>
        </w:rPr>
        <w:t xml:space="preserve"> Quarterly 716-749.</w:t>
      </w:r>
    </w:p>
    <w:p w14:paraId="46274DA2" w14:textId="00B8C82A" w:rsidR="00C70070" w:rsidRDefault="00C70070" w:rsidP="00E258CC">
      <w:pPr>
        <w:spacing w:line="220" w:lineRule="exact"/>
        <w:rPr>
          <w:rFonts w:ascii="Times New Roman" w:hAnsi="Times New Roman"/>
        </w:rPr>
      </w:pPr>
      <w:r w:rsidRPr="00A60FD5">
        <w:rPr>
          <w:rFonts w:ascii="Times New Roman" w:hAnsi="Times New Roman"/>
        </w:rPr>
        <w:t>Harhoff, D., Reitzig</w:t>
      </w:r>
      <w:r w:rsidR="0067569F" w:rsidRPr="00A60FD5">
        <w:rPr>
          <w:rFonts w:ascii="Times New Roman" w:hAnsi="Times New Roman"/>
        </w:rPr>
        <w:t>, M.,</w:t>
      </w:r>
      <w:r w:rsidRPr="00A60FD5">
        <w:rPr>
          <w:rFonts w:ascii="Times New Roman" w:hAnsi="Times New Roman"/>
        </w:rPr>
        <w:t xml:space="preserve"> 2004. Determinants of opposition against EPO patent grants—the case of biotechnology and pharmaceuticals. International J</w:t>
      </w:r>
      <w:r w:rsidR="0067569F" w:rsidRPr="00A60FD5">
        <w:rPr>
          <w:rFonts w:ascii="Times New Roman" w:hAnsi="Times New Roman"/>
        </w:rPr>
        <w:t>ournal</w:t>
      </w:r>
      <w:r w:rsidRPr="00A60FD5">
        <w:rPr>
          <w:rFonts w:ascii="Times New Roman" w:hAnsi="Times New Roman"/>
        </w:rPr>
        <w:t xml:space="preserve"> of Industrial Organ</w:t>
      </w:r>
      <w:r w:rsidR="0067569F" w:rsidRPr="00A60FD5">
        <w:rPr>
          <w:rFonts w:ascii="Times New Roman" w:hAnsi="Times New Roman"/>
        </w:rPr>
        <w:t>ization</w:t>
      </w:r>
      <w:r w:rsidRPr="00A60FD5">
        <w:rPr>
          <w:rFonts w:ascii="Times New Roman" w:hAnsi="Times New Roman"/>
        </w:rPr>
        <w:t xml:space="preserve"> 22</w:t>
      </w:r>
      <w:r w:rsidR="0067569F" w:rsidRPr="00A60FD5">
        <w:rPr>
          <w:rFonts w:ascii="Times New Roman" w:hAnsi="Times New Roman"/>
        </w:rPr>
        <w:t>,</w:t>
      </w:r>
      <w:r w:rsidRPr="00A60FD5">
        <w:rPr>
          <w:rFonts w:ascii="Times New Roman" w:hAnsi="Times New Roman"/>
        </w:rPr>
        <w:t xml:space="preserve"> 443-480.</w:t>
      </w:r>
    </w:p>
    <w:p w14:paraId="3DCE2916" w14:textId="429FD82D" w:rsidR="007658EA" w:rsidRPr="00A60FD5" w:rsidRDefault="007658EA" w:rsidP="00E258CC">
      <w:pPr>
        <w:spacing w:line="220" w:lineRule="exact"/>
        <w:rPr>
          <w:rFonts w:ascii="Times New Roman" w:hAnsi="Times New Roman"/>
        </w:rPr>
      </w:pPr>
      <w:r w:rsidRPr="007658EA">
        <w:rPr>
          <w:rFonts w:ascii="Times New Roman" w:hAnsi="Times New Roman"/>
        </w:rPr>
        <w:t>Harrigan, K.R.</w:t>
      </w:r>
      <w:r>
        <w:rPr>
          <w:rFonts w:ascii="Times New Roman" w:hAnsi="Times New Roman"/>
        </w:rPr>
        <w:t xml:space="preserve">, </w:t>
      </w:r>
      <w:r w:rsidRPr="007658EA">
        <w:rPr>
          <w:rFonts w:ascii="Times New Roman" w:hAnsi="Times New Roman"/>
        </w:rPr>
        <w:t>1988. Joint ventures and competitive strategy. Strategic management journal 9, 141-158.</w:t>
      </w:r>
    </w:p>
    <w:p w14:paraId="43B97057" w14:textId="4BE3ACCD" w:rsidR="000512AE" w:rsidRPr="00A60FD5" w:rsidRDefault="000512AE" w:rsidP="00E258CC">
      <w:pPr>
        <w:spacing w:line="220" w:lineRule="exact"/>
        <w:rPr>
          <w:rFonts w:ascii="Times New Roman" w:hAnsi="Times New Roman"/>
        </w:rPr>
      </w:pPr>
      <w:r w:rsidRPr="00A60FD5">
        <w:rPr>
          <w:rFonts w:ascii="Times New Roman" w:hAnsi="Times New Roman"/>
        </w:rPr>
        <w:t>Heide, J.B.</w:t>
      </w:r>
      <w:r w:rsidR="00265B14" w:rsidRPr="00A60FD5">
        <w:rPr>
          <w:rFonts w:ascii="Times New Roman" w:hAnsi="Times New Roman"/>
        </w:rPr>
        <w:t>,</w:t>
      </w:r>
      <w:r w:rsidRPr="00A60FD5">
        <w:rPr>
          <w:rFonts w:ascii="Times New Roman" w:hAnsi="Times New Roman"/>
        </w:rPr>
        <w:t xml:space="preserve"> 1994. Interorganizational governance in marketing channels. J</w:t>
      </w:r>
      <w:r w:rsidR="00265B14" w:rsidRPr="00A60FD5">
        <w:rPr>
          <w:rFonts w:ascii="Times New Roman" w:hAnsi="Times New Roman"/>
        </w:rPr>
        <w:t>ournal</w:t>
      </w:r>
      <w:r w:rsidRPr="00A60FD5">
        <w:rPr>
          <w:rFonts w:ascii="Times New Roman" w:hAnsi="Times New Roman"/>
        </w:rPr>
        <w:t xml:space="preserve"> of Marketing</w:t>
      </w:r>
      <w:r w:rsidR="00265B14" w:rsidRPr="00A60FD5">
        <w:rPr>
          <w:rFonts w:ascii="Times New Roman" w:hAnsi="Times New Roman"/>
        </w:rPr>
        <w:t xml:space="preserve"> 58,</w:t>
      </w:r>
      <w:r w:rsidRPr="00A60FD5">
        <w:rPr>
          <w:rFonts w:ascii="Times New Roman" w:hAnsi="Times New Roman"/>
        </w:rPr>
        <w:t xml:space="preserve"> 71-85.</w:t>
      </w:r>
    </w:p>
    <w:p w14:paraId="0CC44029" w14:textId="51987692" w:rsidR="006019C0" w:rsidRPr="00A60FD5" w:rsidRDefault="006019C0" w:rsidP="00E258CC">
      <w:pPr>
        <w:spacing w:line="220" w:lineRule="exact"/>
        <w:rPr>
          <w:rFonts w:ascii="Times New Roman" w:hAnsi="Times New Roman"/>
        </w:rPr>
      </w:pPr>
      <w:r w:rsidRPr="00A60FD5">
        <w:rPr>
          <w:rFonts w:ascii="Times New Roman" w:hAnsi="Times New Roman"/>
        </w:rPr>
        <w:t>Hennart, J.F., 1988. A transaction costs theory of equity joint ventures. Strategic Management Journal 9, 361-374.</w:t>
      </w:r>
    </w:p>
    <w:p w14:paraId="251E715F" w14:textId="5F1327FE" w:rsidR="00F80309" w:rsidRPr="00A60FD5" w:rsidRDefault="00F80309" w:rsidP="00E258CC">
      <w:pPr>
        <w:spacing w:line="220" w:lineRule="exact"/>
        <w:rPr>
          <w:rFonts w:ascii="Times New Roman" w:hAnsi="Times New Roman"/>
        </w:rPr>
      </w:pPr>
      <w:r w:rsidRPr="00A60FD5">
        <w:rPr>
          <w:rFonts w:ascii="Times New Roman" w:hAnsi="Times New Roman"/>
        </w:rPr>
        <w:t>Hennart, J.F., 1991. The transaction costs theory of joint ventures – an empirical study of Japanese subsidiaries in the United-States. Management Science 37, 483-497.</w:t>
      </w:r>
    </w:p>
    <w:p w14:paraId="5FEC22BD" w14:textId="7D6F4555" w:rsidR="008D270F" w:rsidRPr="00A60FD5" w:rsidRDefault="008D270F" w:rsidP="00E258CC">
      <w:pPr>
        <w:spacing w:line="220" w:lineRule="exact"/>
        <w:rPr>
          <w:rFonts w:ascii="Times New Roman" w:hAnsi="Times New Roman"/>
        </w:rPr>
      </w:pPr>
      <w:r w:rsidRPr="00A60FD5">
        <w:rPr>
          <w:rFonts w:ascii="Times New Roman" w:hAnsi="Times New Roman"/>
        </w:rPr>
        <w:t>Hoetker, G.</w:t>
      </w:r>
      <w:r w:rsidR="002F6B23">
        <w:rPr>
          <w:rFonts w:ascii="Times New Roman" w:hAnsi="Times New Roman"/>
        </w:rPr>
        <w:t>,</w:t>
      </w:r>
      <w:r w:rsidRPr="00A60FD5">
        <w:rPr>
          <w:rFonts w:ascii="Times New Roman" w:hAnsi="Times New Roman"/>
        </w:rPr>
        <w:t xml:space="preserve"> 2007. The use of logit and probit models in strategic management research: Critical issues. Strategic Management J</w:t>
      </w:r>
      <w:r w:rsidR="002F6B23">
        <w:rPr>
          <w:rFonts w:ascii="Times New Roman" w:hAnsi="Times New Roman"/>
        </w:rPr>
        <w:t>ournal</w:t>
      </w:r>
      <w:r w:rsidRPr="00A60FD5">
        <w:rPr>
          <w:rFonts w:ascii="Times New Roman" w:hAnsi="Times New Roman"/>
        </w:rPr>
        <w:t xml:space="preserve"> 28</w:t>
      </w:r>
      <w:r w:rsidR="002F6B23">
        <w:rPr>
          <w:rFonts w:ascii="Times New Roman" w:hAnsi="Times New Roman"/>
        </w:rPr>
        <w:t xml:space="preserve">, </w:t>
      </w:r>
      <w:r w:rsidRPr="00A60FD5">
        <w:rPr>
          <w:rFonts w:ascii="Times New Roman" w:hAnsi="Times New Roman"/>
        </w:rPr>
        <w:t>331-343.</w:t>
      </w:r>
    </w:p>
    <w:p w14:paraId="1372879E" w14:textId="7436CF17" w:rsidR="00754823" w:rsidRPr="00A60FD5" w:rsidRDefault="00754823" w:rsidP="00E258CC">
      <w:pPr>
        <w:spacing w:line="220" w:lineRule="exact"/>
        <w:rPr>
          <w:rFonts w:ascii="Times New Roman" w:hAnsi="Times New Roman"/>
        </w:rPr>
      </w:pPr>
      <w:r w:rsidRPr="00A60FD5">
        <w:rPr>
          <w:rFonts w:ascii="Times New Roman" w:hAnsi="Times New Roman"/>
        </w:rPr>
        <w:t>Holmstr</w:t>
      </w:r>
      <w:r w:rsidR="00CC5D3D" w:rsidRPr="00A60FD5">
        <w:rPr>
          <w:rFonts w:ascii="Times New Roman" w:hAnsi="Times New Roman"/>
        </w:rPr>
        <w:t>ö</w:t>
      </w:r>
      <w:r w:rsidRPr="00A60FD5">
        <w:rPr>
          <w:rFonts w:ascii="Times New Roman" w:hAnsi="Times New Roman"/>
        </w:rPr>
        <w:t>m, B.</w:t>
      </w:r>
      <w:r w:rsidR="00265B14" w:rsidRPr="00A60FD5">
        <w:rPr>
          <w:rFonts w:ascii="Times New Roman" w:hAnsi="Times New Roman"/>
        </w:rPr>
        <w:t>,</w:t>
      </w:r>
      <w:r w:rsidRPr="00A60FD5">
        <w:rPr>
          <w:rFonts w:ascii="Times New Roman" w:hAnsi="Times New Roman"/>
        </w:rPr>
        <w:t xml:space="preserve"> 1979. Moral hazard and observability. The Bell J</w:t>
      </w:r>
      <w:r w:rsidR="00265B14" w:rsidRPr="00A60FD5">
        <w:rPr>
          <w:rFonts w:ascii="Times New Roman" w:hAnsi="Times New Roman"/>
        </w:rPr>
        <w:t>ournal</w:t>
      </w:r>
      <w:r w:rsidRPr="00A60FD5">
        <w:rPr>
          <w:rFonts w:ascii="Times New Roman" w:hAnsi="Times New Roman"/>
        </w:rPr>
        <w:t xml:space="preserve"> of  Econom</w:t>
      </w:r>
      <w:r w:rsidR="00265B14" w:rsidRPr="00A60FD5">
        <w:rPr>
          <w:rFonts w:ascii="Times New Roman" w:hAnsi="Times New Roman"/>
        </w:rPr>
        <w:t xml:space="preserve">cis 10, </w:t>
      </w:r>
      <w:r w:rsidRPr="00A60FD5">
        <w:rPr>
          <w:rFonts w:ascii="Times New Roman" w:hAnsi="Times New Roman"/>
        </w:rPr>
        <w:t xml:space="preserve">74-91. </w:t>
      </w:r>
    </w:p>
    <w:p w14:paraId="78A4DA85" w14:textId="37506F96" w:rsidR="00383CA2" w:rsidRDefault="00383CA2" w:rsidP="00E258CC">
      <w:pPr>
        <w:spacing w:line="220" w:lineRule="exact"/>
        <w:rPr>
          <w:rFonts w:ascii="Times New Roman" w:hAnsi="Times New Roman"/>
        </w:rPr>
      </w:pPr>
      <w:r w:rsidRPr="00A60FD5">
        <w:rPr>
          <w:rFonts w:ascii="Times New Roman" w:hAnsi="Times New Roman"/>
        </w:rPr>
        <w:t>Howells, J.</w:t>
      </w:r>
      <w:r w:rsidR="002F6B23">
        <w:rPr>
          <w:rFonts w:ascii="Times New Roman" w:hAnsi="Times New Roman"/>
        </w:rPr>
        <w:t>,</w:t>
      </w:r>
      <w:r w:rsidRPr="00A60FD5">
        <w:rPr>
          <w:rFonts w:ascii="Times New Roman" w:hAnsi="Times New Roman"/>
        </w:rPr>
        <w:t xml:space="preserve"> </w:t>
      </w:r>
      <w:r w:rsidR="002F6B23" w:rsidRPr="00A60FD5">
        <w:rPr>
          <w:rFonts w:ascii="Times New Roman" w:hAnsi="Times New Roman"/>
        </w:rPr>
        <w:t>20</w:t>
      </w:r>
      <w:r w:rsidR="002F6B23">
        <w:rPr>
          <w:rFonts w:ascii="Times New Roman" w:hAnsi="Times New Roman"/>
        </w:rPr>
        <w:t>06</w:t>
      </w:r>
      <w:r w:rsidRPr="00A60FD5">
        <w:rPr>
          <w:rFonts w:ascii="Times New Roman" w:hAnsi="Times New Roman"/>
        </w:rPr>
        <w:t>. Intermediation and the role of intermediaries in innovation. Res</w:t>
      </w:r>
      <w:r w:rsidR="002F6B23">
        <w:rPr>
          <w:rFonts w:ascii="Times New Roman" w:hAnsi="Times New Roman"/>
        </w:rPr>
        <w:t>earch</w:t>
      </w:r>
      <w:r w:rsidRPr="00A60FD5">
        <w:rPr>
          <w:rFonts w:ascii="Times New Roman" w:hAnsi="Times New Roman"/>
        </w:rPr>
        <w:t xml:space="preserve"> Pol</w:t>
      </w:r>
      <w:r w:rsidR="002F6B23">
        <w:rPr>
          <w:rFonts w:ascii="Times New Roman" w:hAnsi="Times New Roman"/>
        </w:rPr>
        <w:t>icy</w:t>
      </w:r>
      <w:r w:rsidRPr="00A60FD5">
        <w:rPr>
          <w:rFonts w:ascii="Times New Roman" w:hAnsi="Times New Roman"/>
        </w:rPr>
        <w:t xml:space="preserve"> 35</w:t>
      </w:r>
      <w:r w:rsidR="002F6B23">
        <w:rPr>
          <w:rFonts w:ascii="Times New Roman" w:hAnsi="Times New Roman"/>
        </w:rPr>
        <w:t>,</w:t>
      </w:r>
      <w:r w:rsidRPr="00A60FD5">
        <w:rPr>
          <w:rFonts w:ascii="Times New Roman" w:hAnsi="Times New Roman"/>
        </w:rPr>
        <w:t xml:space="preserve"> 715-728.</w:t>
      </w:r>
    </w:p>
    <w:p w14:paraId="4A6BC8E0" w14:textId="3B740170" w:rsidR="003038F0" w:rsidRPr="00A60FD5" w:rsidRDefault="003038F0" w:rsidP="00E258CC">
      <w:pPr>
        <w:spacing w:line="220" w:lineRule="exact"/>
        <w:rPr>
          <w:rFonts w:ascii="Times New Roman" w:hAnsi="Times New Roman"/>
        </w:rPr>
      </w:pPr>
      <w:r w:rsidRPr="003038F0">
        <w:rPr>
          <w:rFonts w:ascii="Times New Roman" w:hAnsi="Times New Roman"/>
        </w:rPr>
        <w:t>Huang, C.</w:t>
      </w:r>
      <w:r>
        <w:rPr>
          <w:rFonts w:ascii="Times New Roman" w:hAnsi="Times New Roman"/>
        </w:rPr>
        <w:t>,</w:t>
      </w:r>
      <w:r w:rsidRPr="003038F0">
        <w:rPr>
          <w:rFonts w:ascii="Times New Roman" w:hAnsi="Times New Roman"/>
        </w:rPr>
        <w:t xml:space="preserve"> Shields, T.G., 2000. Interpretation of interaction effects in logit and probit analyses: Reconsidering the relationship between registration laws, education, and voter turnout. American Politics Quarterly 28</w:t>
      </w:r>
      <w:r>
        <w:rPr>
          <w:rFonts w:ascii="Times New Roman" w:hAnsi="Times New Roman"/>
        </w:rPr>
        <w:t xml:space="preserve">, </w:t>
      </w:r>
      <w:r w:rsidRPr="003038F0">
        <w:rPr>
          <w:rFonts w:ascii="Times New Roman" w:hAnsi="Times New Roman"/>
        </w:rPr>
        <w:t>80-95.</w:t>
      </w:r>
    </w:p>
    <w:p w14:paraId="67C0D31E" w14:textId="331FFDEF" w:rsidR="00754823" w:rsidRPr="00A60FD5" w:rsidRDefault="00754823" w:rsidP="00E258CC">
      <w:pPr>
        <w:spacing w:line="220" w:lineRule="exact"/>
        <w:rPr>
          <w:rFonts w:ascii="Times New Roman" w:hAnsi="Times New Roman"/>
        </w:rPr>
      </w:pPr>
      <w:r w:rsidRPr="00A60FD5">
        <w:rPr>
          <w:rFonts w:ascii="Times New Roman" w:hAnsi="Times New Roman"/>
        </w:rPr>
        <w:t>Hylton, K.N.</w:t>
      </w:r>
      <w:r w:rsidR="002F6B23">
        <w:rPr>
          <w:rFonts w:ascii="Times New Roman" w:hAnsi="Times New Roman"/>
        </w:rPr>
        <w:t>,</w:t>
      </w:r>
      <w:r w:rsidRPr="00A60FD5">
        <w:rPr>
          <w:rFonts w:ascii="Times New Roman" w:hAnsi="Times New Roman"/>
        </w:rPr>
        <w:t xml:space="preserve"> 2005. Complementing and complementary rule systems: civil procedure and ADR. Notre Dame L</w:t>
      </w:r>
      <w:r w:rsidR="009B05B6" w:rsidRPr="00A60FD5">
        <w:rPr>
          <w:rFonts w:ascii="Times New Roman" w:hAnsi="Times New Roman"/>
        </w:rPr>
        <w:t>aw</w:t>
      </w:r>
      <w:r w:rsidRPr="00A60FD5">
        <w:rPr>
          <w:rFonts w:ascii="Times New Roman" w:hAnsi="Times New Roman"/>
        </w:rPr>
        <w:t xml:space="preserve"> Rev</w:t>
      </w:r>
      <w:r w:rsidR="009B05B6" w:rsidRPr="00A60FD5">
        <w:rPr>
          <w:rFonts w:ascii="Times New Roman" w:hAnsi="Times New Roman"/>
        </w:rPr>
        <w:t>iew</w:t>
      </w:r>
      <w:r w:rsidRPr="00A60FD5">
        <w:rPr>
          <w:rFonts w:ascii="Times New Roman" w:hAnsi="Times New Roman"/>
        </w:rPr>
        <w:t xml:space="preserve"> 80</w:t>
      </w:r>
      <w:r w:rsidR="009B05B6" w:rsidRPr="00A60FD5">
        <w:rPr>
          <w:rFonts w:ascii="Times New Roman" w:hAnsi="Times New Roman"/>
        </w:rPr>
        <w:t>,</w:t>
      </w:r>
      <w:r w:rsidRPr="00A60FD5">
        <w:rPr>
          <w:rFonts w:ascii="Times New Roman" w:hAnsi="Times New Roman"/>
        </w:rPr>
        <w:t xml:space="preserve"> 489</w:t>
      </w:r>
      <w:r w:rsidR="009B05B6" w:rsidRPr="00A60FD5">
        <w:rPr>
          <w:rFonts w:ascii="Times New Roman" w:hAnsi="Times New Roman"/>
        </w:rPr>
        <w:t>-500</w:t>
      </w:r>
      <w:r w:rsidRPr="00A60FD5">
        <w:rPr>
          <w:rFonts w:ascii="Times New Roman" w:hAnsi="Times New Roman"/>
        </w:rPr>
        <w:t xml:space="preserve">. </w:t>
      </w:r>
    </w:p>
    <w:p w14:paraId="7704DA3B" w14:textId="7D36527E" w:rsidR="00D37C68" w:rsidRPr="00A60FD5" w:rsidRDefault="00D37C68" w:rsidP="00303EED">
      <w:pPr>
        <w:spacing w:line="220" w:lineRule="exact"/>
        <w:rPr>
          <w:rFonts w:ascii="Times New Roman" w:hAnsi="Times New Roman"/>
        </w:rPr>
      </w:pPr>
      <w:r w:rsidRPr="00A60FD5">
        <w:rPr>
          <w:rFonts w:ascii="Times New Roman" w:hAnsi="Times New Roman"/>
        </w:rPr>
        <w:lastRenderedPageBreak/>
        <w:t>Ittner, C.D., Larcker,</w:t>
      </w:r>
      <w:r w:rsidR="00265B14" w:rsidRPr="00A60FD5">
        <w:rPr>
          <w:rFonts w:ascii="Times New Roman" w:hAnsi="Times New Roman"/>
        </w:rPr>
        <w:t xml:space="preserve"> D.F,</w:t>
      </w:r>
      <w:r w:rsidRPr="00A60FD5">
        <w:rPr>
          <w:rFonts w:ascii="Times New Roman" w:hAnsi="Times New Roman"/>
        </w:rPr>
        <w:t xml:space="preserve"> Nagar, </w:t>
      </w:r>
      <w:r w:rsidR="00265B14" w:rsidRPr="00A60FD5">
        <w:rPr>
          <w:rFonts w:ascii="Times New Roman" w:hAnsi="Times New Roman"/>
        </w:rPr>
        <w:t xml:space="preserve">V., </w:t>
      </w:r>
      <w:r w:rsidRPr="00A60FD5">
        <w:rPr>
          <w:rFonts w:ascii="Times New Roman" w:hAnsi="Times New Roman"/>
        </w:rPr>
        <w:t>Rajan</w:t>
      </w:r>
      <w:r w:rsidR="00265B14" w:rsidRPr="00A60FD5">
        <w:rPr>
          <w:rFonts w:ascii="Times New Roman" w:hAnsi="Times New Roman"/>
        </w:rPr>
        <w:t>, M.V.,</w:t>
      </w:r>
      <w:r w:rsidRPr="00A60FD5">
        <w:rPr>
          <w:rFonts w:ascii="Times New Roman" w:hAnsi="Times New Roman"/>
        </w:rPr>
        <w:t xml:space="preserve"> 1999. Supplier selection, monitoring practices, and firm performance. J</w:t>
      </w:r>
      <w:r w:rsidR="00265B14" w:rsidRPr="00A60FD5">
        <w:rPr>
          <w:rFonts w:ascii="Times New Roman" w:hAnsi="Times New Roman"/>
        </w:rPr>
        <w:t>ournal</w:t>
      </w:r>
      <w:r w:rsidRPr="00A60FD5">
        <w:rPr>
          <w:rFonts w:ascii="Times New Roman" w:hAnsi="Times New Roman"/>
        </w:rPr>
        <w:t xml:space="preserve"> of Accounting and Public Policy 18</w:t>
      </w:r>
      <w:r w:rsidR="00265B14" w:rsidRPr="00A60FD5">
        <w:rPr>
          <w:rFonts w:ascii="Times New Roman" w:hAnsi="Times New Roman"/>
        </w:rPr>
        <w:t>,</w:t>
      </w:r>
      <w:r w:rsidRPr="00A60FD5">
        <w:rPr>
          <w:rFonts w:ascii="Times New Roman" w:hAnsi="Times New Roman"/>
        </w:rPr>
        <w:t xml:space="preserve"> 253-281.</w:t>
      </w:r>
    </w:p>
    <w:p w14:paraId="17230179" w14:textId="52D5488C" w:rsidR="00303EED" w:rsidRPr="00A60FD5" w:rsidRDefault="00303EED" w:rsidP="00303EED">
      <w:pPr>
        <w:spacing w:line="220" w:lineRule="exact"/>
        <w:rPr>
          <w:rFonts w:ascii="Times New Roman" w:hAnsi="Times New Roman"/>
        </w:rPr>
      </w:pPr>
      <w:r w:rsidRPr="00A60FD5">
        <w:rPr>
          <w:rFonts w:ascii="Times New Roman" w:hAnsi="Times New Roman"/>
        </w:rPr>
        <w:t xml:space="preserve">Johnson, S., McMillan, </w:t>
      </w:r>
      <w:r w:rsidR="008E2D97" w:rsidRPr="00A60FD5">
        <w:rPr>
          <w:rFonts w:ascii="Times New Roman" w:hAnsi="Times New Roman"/>
        </w:rPr>
        <w:t xml:space="preserve">J., </w:t>
      </w:r>
      <w:r w:rsidRPr="00A60FD5">
        <w:rPr>
          <w:rFonts w:ascii="Times New Roman" w:hAnsi="Times New Roman"/>
        </w:rPr>
        <w:t>Woodruff</w:t>
      </w:r>
      <w:r w:rsidR="008E2D97" w:rsidRPr="00A60FD5">
        <w:rPr>
          <w:rFonts w:ascii="Times New Roman" w:hAnsi="Times New Roman"/>
        </w:rPr>
        <w:t>, C.,</w:t>
      </w:r>
      <w:r w:rsidRPr="00A60FD5">
        <w:rPr>
          <w:rFonts w:ascii="Times New Roman" w:hAnsi="Times New Roman"/>
        </w:rPr>
        <w:t xml:space="preserve"> 2002. Courts and relational contracts. J</w:t>
      </w:r>
      <w:r w:rsidR="008E2D97" w:rsidRPr="00A60FD5">
        <w:rPr>
          <w:rFonts w:ascii="Times New Roman" w:hAnsi="Times New Roman"/>
        </w:rPr>
        <w:t xml:space="preserve">ournal of </w:t>
      </w:r>
      <w:r w:rsidRPr="00A60FD5">
        <w:rPr>
          <w:rFonts w:ascii="Times New Roman" w:hAnsi="Times New Roman"/>
        </w:rPr>
        <w:t>Law</w:t>
      </w:r>
      <w:r w:rsidR="008E2D97" w:rsidRPr="00A60FD5">
        <w:rPr>
          <w:rFonts w:ascii="Times New Roman" w:hAnsi="Times New Roman"/>
        </w:rPr>
        <w:t>,</w:t>
      </w:r>
      <w:r w:rsidRPr="00A60FD5">
        <w:rPr>
          <w:rFonts w:ascii="Times New Roman" w:hAnsi="Times New Roman"/>
        </w:rPr>
        <w:t xml:space="preserve"> Econom</w:t>
      </w:r>
      <w:r w:rsidR="008E2D97" w:rsidRPr="00A60FD5">
        <w:rPr>
          <w:rFonts w:ascii="Times New Roman" w:hAnsi="Times New Roman"/>
        </w:rPr>
        <w:t xml:space="preserve">ics and </w:t>
      </w:r>
      <w:r w:rsidRPr="00A60FD5">
        <w:rPr>
          <w:rFonts w:ascii="Times New Roman" w:hAnsi="Times New Roman"/>
        </w:rPr>
        <w:t>Organ</w:t>
      </w:r>
      <w:r w:rsidR="008E2D97" w:rsidRPr="00A60FD5">
        <w:rPr>
          <w:rFonts w:ascii="Times New Roman" w:hAnsi="Times New Roman"/>
        </w:rPr>
        <w:t>ization</w:t>
      </w:r>
      <w:r w:rsidRPr="00A60FD5">
        <w:rPr>
          <w:rFonts w:ascii="Times New Roman" w:hAnsi="Times New Roman"/>
        </w:rPr>
        <w:t xml:space="preserve"> 18</w:t>
      </w:r>
      <w:r w:rsidR="008E2D97" w:rsidRPr="00A60FD5">
        <w:rPr>
          <w:rFonts w:ascii="Times New Roman" w:hAnsi="Times New Roman"/>
        </w:rPr>
        <w:t>,</w:t>
      </w:r>
      <w:r w:rsidRPr="00A60FD5">
        <w:rPr>
          <w:rFonts w:ascii="Times New Roman" w:hAnsi="Times New Roman"/>
        </w:rPr>
        <w:t xml:space="preserve"> 221-277.</w:t>
      </w:r>
    </w:p>
    <w:p w14:paraId="1740B26D" w14:textId="337BB138" w:rsidR="005A2062" w:rsidRPr="00A60FD5" w:rsidRDefault="005A2062" w:rsidP="00303EED">
      <w:pPr>
        <w:spacing w:line="220" w:lineRule="exact"/>
        <w:rPr>
          <w:rFonts w:ascii="Times New Roman" w:hAnsi="Times New Roman"/>
          <w:color w:val="000000"/>
        </w:rPr>
      </w:pPr>
      <w:r w:rsidRPr="00A60FD5">
        <w:rPr>
          <w:rFonts w:ascii="Times New Roman" w:hAnsi="Times New Roman"/>
          <w:color w:val="000000"/>
        </w:rPr>
        <w:t>Joskow, P.</w:t>
      </w:r>
      <w:r w:rsidR="000F2017" w:rsidRPr="00A60FD5">
        <w:rPr>
          <w:rFonts w:ascii="Times New Roman" w:hAnsi="Times New Roman"/>
          <w:color w:val="000000"/>
        </w:rPr>
        <w:t>,</w:t>
      </w:r>
      <w:r w:rsidRPr="00A60FD5">
        <w:rPr>
          <w:rFonts w:ascii="Times New Roman" w:hAnsi="Times New Roman"/>
          <w:color w:val="000000"/>
        </w:rPr>
        <w:t xml:space="preserve"> 1977. Commercial impossibility, the uranium market, and the Westinghouse case. J</w:t>
      </w:r>
      <w:r w:rsidR="000F2017" w:rsidRPr="00A60FD5">
        <w:rPr>
          <w:rFonts w:ascii="Times New Roman" w:hAnsi="Times New Roman"/>
          <w:color w:val="000000"/>
        </w:rPr>
        <w:t>ournal</w:t>
      </w:r>
      <w:r w:rsidRPr="00A60FD5">
        <w:rPr>
          <w:rFonts w:ascii="Times New Roman" w:hAnsi="Times New Roman"/>
          <w:color w:val="000000"/>
        </w:rPr>
        <w:t xml:space="preserve"> of Legal Stud</w:t>
      </w:r>
      <w:r w:rsidR="000F2017" w:rsidRPr="00A60FD5">
        <w:rPr>
          <w:rFonts w:ascii="Times New Roman" w:hAnsi="Times New Roman"/>
          <w:color w:val="000000"/>
        </w:rPr>
        <w:t>ies</w:t>
      </w:r>
      <w:r w:rsidRPr="00A60FD5">
        <w:rPr>
          <w:rFonts w:ascii="Times New Roman" w:hAnsi="Times New Roman"/>
          <w:color w:val="000000"/>
        </w:rPr>
        <w:t xml:space="preserve"> 6</w:t>
      </w:r>
      <w:r w:rsidR="000F2017" w:rsidRPr="00A60FD5">
        <w:rPr>
          <w:rFonts w:ascii="Times New Roman" w:hAnsi="Times New Roman"/>
          <w:color w:val="000000"/>
        </w:rPr>
        <w:t>,</w:t>
      </w:r>
      <w:r w:rsidRPr="00A60FD5">
        <w:rPr>
          <w:rFonts w:ascii="Times New Roman" w:hAnsi="Times New Roman"/>
          <w:color w:val="000000"/>
        </w:rPr>
        <w:t xml:space="preserve"> 119-176.</w:t>
      </w:r>
    </w:p>
    <w:p w14:paraId="2AF0B4B9" w14:textId="74743031" w:rsidR="00E00EE3" w:rsidRDefault="00E00EE3" w:rsidP="00C17DEE">
      <w:pPr>
        <w:spacing w:line="220" w:lineRule="exact"/>
        <w:rPr>
          <w:rFonts w:ascii="Times New Roman" w:hAnsi="Times New Roman"/>
        </w:rPr>
      </w:pPr>
      <w:r w:rsidRPr="00A60FD5">
        <w:rPr>
          <w:rFonts w:ascii="Times New Roman" w:hAnsi="Times New Roman"/>
        </w:rPr>
        <w:t xml:space="preserve">Kale, P., Dyer, </w:t>
      </w:r>
      <w:r w:rsidR="00A60FD5" w:rsidRPr="00A60FD5">
        <w:rPr>
          <w:rFonts w:ascii="Times New Roman" w:hAnsi="Times New Roman"/>
        </w:rPr>
        <w:t xml:space="preserve">J.H., </w:t>
      </w:r>
      <w:r w:rsidRPr="00A60FD5">
        <w:rPr>
          <w:rFonts w:ascii="Times New Roman" w:hAnsi="Times New Roman"/>
        </w:rPr>
        <w:t>Singh</w:t>
      </w:r>
      <w:r w:rsidR="00A60FD5" w:rsidRPr="00A60FD5">
        <w:rPr>
          <w:rFonts w:ascii="Times New Roman" w:hAnsi="Times New Roman"/>
        </w:rPr>
        <w:t>, H.,</w:t>
      </w:r>
      <w:r w:rsidRPr="00A60FD5">
        <w:rPr>
          <w:rFonts w:ascii="Times New Roman" w:hAnsi="Times New Roman"/>
        </w:rPr>
        <w:t xml:space="preserve"> 2002. Alliance capability, stock market response, and long</w:t>
      </w:r>
      <w:r w:rsidRPr="00A60FD5">
        <w:rPr>
          <w:rFonts w:ascii="Cambria Math" w:hAnsi="Cambria Math" w:cs="Cambria Math"/>
        </w:rPr>
        <w:t>‐</w:t>
      </w:r>
      <w:r w:rsidRPr="00A60FD5">
        <w:rPr>
          <w:rFonts w:ascii="Times New Roman" w:hAnsi="Times New Roman"/>
        </w:rPr>
        <w:t>term alliance success: the role of the alliance function. Strategic Management J</w:t>
      </w:r>
      <w:r w:rsidR="00A60FD5" w:rsidRPr="00A60FD5">
        <w:rPr>
          <w:rFonts w:ascii="Times New Roman" w:hAnsi="Times New Roman"/>
        </w:rPr>
        <w:t>ournal</w:t>
      </w:r>
      <w:r w:rsidRPr="00A60FD5">
        <w:rPr>
          <w:rFonts w:ascii="Times New Roman" w:hAnsi="Times New Roman"/>
        </w:rPr>
        <w:t xml:space="preserve"> 23</w:t>
      </w:r>
      <w:r w:rsidR="00A60FD5" w:rsidRPr="00A60FD5">
        <w:rPr>
          <w:rFonts w:ascii="Times New Roman" w:hAnsi="Times New Roman"/>
        </w:rPr>
        <w:t>,</w:t>
      </w:r>
      <w:r w:rsidRPr="00A60FD5">
        <w:rPr>
          <w:rFonts w:ascii="Times New Roman" w:hAnsi="Times New Roman"/>
        </w:rPr>
        <w:t xml:space="preserve"> 747-767.</w:t>
      </w:r>
    </w:p>
    <w:p w14:paraId="38040999" w14:textId="06188C71" w:rsidR="00836FCB" w:rsidRPr="00A60FD5" w:rsidRDefault="00836FCB" w:rsidP="00C17DEE">
      <w:pPr>
        <w:spacing w:line="220" w:lineRule="exact"/>
        <w:rPr>
          <w:rFonts w:ascii="Times New Roman" w:hAnsi="Times New Roman"/>
        </w:rPr>
      </w:pPr>
      <w:r w:rsidRPr="00836FCB">
        <w:rPr>
          <w:rFonts w:ascii="Times New Roman" w:hAnsi="Times New Roman"/>
        </w:rPr>
        <w:t>Kim, Y., Vonortas, N.S.</w:t>
      </w:r>
      <w:r>
        <w:rPr>
          <w:rFonts w:ascii="Times New Roman" w:hAnsi="Times New Roman"/>
        </w:rPr>
        <w:t>,</w:t>
      </w:r>
      <w:r w:rsidRPr="00836FCB">
        <w:rPr>
          <w:rFonts w:ascii="Times New Roman" w:hAnsi="Times New Roman"/>
        </w:rPr>
        <w:t xml:space="preserve"> 2006. Determinants of technology licensing: the case of licensors. Managerial and Decision Economics 27, 235-249.</w:t>
      </w:r>
    </w:p>
    <w:p w14:paraId="2ED17CE2" w14:textId="0B68E081" w:rsidR="00754823" w:rsidRPr="00A60FD5" w:rsidRDefault="00754823" w:rsidP="00E258CC">
      <w:pPr>
        <w:spacing w:line="220" w:lineRule="exact"/>
        <w:rPr>
          <w:rFonts w:ascii="Times New Roman" w:hAnsi="Times New Roman"/>
        </w:rPr>
      </w:pPr>
      <w:r w:rsidRPr="00A60FD5">
        <w:rPr>
          <w:rFonts w:ascii="Times New Roman" w:hAnsi="Times New Roman"/>
        </w:rPr>
        <w:t xml:space="preserve">Klein, B., Crawford, </w:t>
      </w:r>
      <w:r w:rsidR="008E2D97" w:rsidRPr="00A60FD5">
        <w:rPr>
          <w:rFonts w:ascii="Times New Roman" w:hAnsi="Times New Roman"/>
        </w:rPr>
        <w:t xml:space="preserve">R.G., </w:t>
      </w:r>
      <w:r w:rsidRPr="00A60FD5">
        <w:rPr>
          <w:rFonts w:ascii="Times New Roman" w:hAnsi="Times New Roman"/>
        </w:rPr>
        <w:t>Alchian</w:t>
      </w:r>
      <w:r w:rsidR="008E2D97" w:rsidRPr="00A60FD5">
        <w:rPr>
          <w:rFonts w:ascii="Times New Roman" w:hAnsi="Times New Roman"/>
        </w:rPr>
        <w:t>, A.A.,</w:t>
      </w:r>
      <w:r w:rsidRPr="00A60FD5">
        <w:rPr>
          <w:rFonts w:ascii="Times New Roman" w:hAnsi="Times New Roman"/>
        </w:rPr>
        <w:t xml:space="preserve"> 1978. Vertical integration, appropriable rents, and the competitive contracting process. J</w:t>
      </w:r>
      <w:r w:rsidR="008E2D97" w:rsidRPr="00A60FD5">
        <w:rPr>
          <w:rFonts w:ascii="Times New Roman" w:hAnsi="Times New Roman"/>
        </w:rPr>
        <w:t>ournal of</w:t>
      </w:r>
      <w:r w:rsidRPr="00A60FD5">
        <w:rPr>
          <w:rFonts w:ascii="Times New Roman" w:hAnsi="Times New Roman"/>
        </w:rPr>
        <w:t>Law and Econom</w:t>
      </w:r>
      <w:r w:rsidR="008E2D97" w:rsidRPr="00A60FD5">
        <w:rPr>
          <w:rFonts w:ascii="Times New Roman" w:hAnsi="Times New Roman"/>
        </w:rPr>
        <w:t>ics</w:t>
      </w:r>
      <w:r w:rsidRPr="00A60FD5">
        <w:rPr>
          <w:rFonts w:ascii="Times New Roman" w:hAnsi="Times New Roman"/>
        </w:rPr>
        <w:t xml:space="preserve"> 21</w:t>
      </w:r>
      <w:r w:rsidR="008E2D97" w:rsidRPr="00A60FD5">
        <w:rPr>
          <w:rFonts w:ascii="Times New Roman" w:hAnsi="Times New Roman"/>
        </w:rPr>
        <w:t>,</w:t>
      </w:r>
      <w:r w:rsidRPr="00A60FD5">
        <w:rPr>
          <w:rFonts w:ascii="Times New Roman" w:hAnsi="Times New Roman"/>
        </w:rPr>
        <w:t xml:space="preserve"> 297-326.</w:t>
      </w:r>
    </w:p>
    <w:p w14:paraId="35B0BCAC" w14:textId="51797CF2" w:rsidR="00754823" w:rsidRPr="00A60FD5" w:rsidRDefault="00754823" w:rsidP="00E258CC">
      <w:pPr>
        <w:spacing w:line="220" w:lineRule="exact"/>
        <w:rPr>
          <w:rFonts w:ascii="Times New Roman" w:hAnsi="Times New Roman"/>
          <w:lang w:eastAsia="fr-BE"/>
        </w:rPr>
      </w:pPr>
      <w:r w:rsidRPr="00A60FD5">
        <w:rPr>
          <w:rFonts w:ascii="Times New Roman" w:hAnsi="Times New Roman"/>
          <w:lang w:eastAsia="fr-BE"/>
        </w:rPr>
        <w:t>Klein, B.</w:t>
      </w:r>
      <w:r w:rsidR="00A60FD5" w:rsidRPr="00A60FD5">
        <w:rPr>
          <w:rFonts w:ascii="Times New Roman" w:hAnsi="Times New Roman"/>
          <w:lang w:eastAsia="fr-BE"/>
        </w:rPr>
        <w:t>,</w:t>
      </w:r>
      <w:r w:rsidRPr="00A60FD5">
        <w:rPr>
          <w:rFonts w:ascii="Times New Roman" w:hAnsi="Times New Roman"/>
          <w:lang w:eastAsia="fr-BE"/>
        </w:rPr>
        <w:t xml:space="preserve"> 1996. Why hold-ups occur: the self-enforcing range of contractual relationships Econom</w:t>
      </w:r>
      <w:r w:rsidR="00A60FD5" w:rsidRPr="00A60FD5">
        <w:rPr>
          <w:rFonts w:ascii="Times New Roman" w:hAnsi="Times New Roman"/>
          <w:lang w:eastAsia="fr-BE"/>
        </w:rPr>
        <w:t>ic</w:t>
      </w:r>
      <w:r w:rsidRPr="00A60FD5">
        <w:rPr>
          <w:rFonts w:ascii="Times New Roman" w:hAnsi="Times New Roman"/>
          <w:lang w:eastAsia="fr-BE"/>
        </w:rPr>
        <w:t xml:space="preserve"> Inquiry 36</w:t>
      </w:r>
      <w:r w:rsidR="00A60FD5" w:rsidRPr="00A60FD5">
        <w:rPr>
          <w:rFonts w:ascii="Times New Roman" w:hAnsi="Times New Roman"/>
          <w:lang w:eastAsia="fr-BE"/>
        </w:rPr>
        <w:t>,</w:t>
      </w:r>
      <w:r w:rsidRPr="00A60FD5">
        <w:rPr>
          <w:rFonts w:ascii="Times New Roman" w:hAnsi="Times New Roman"/>
          <w:lang w:eastAsia="fr-BE"/>
        </w:rPr>
        <w:t xml:space="preserve"> 444-463. </w:t>
      </w:r>
    </w:p>
    <w:p w14:paraId="510DFBE6" w14:textId="0EF5051C" w:rsidR="00473F61" w:rsidRPr="00A60FD5" w:rsidRDefault="00473F61" w:rsidP="00E258CC">
      <w:pPr>
        <w:spacing w:line="220" w:lineRule="exact"/>
        <w:rPr>
          <w:rFonts w:ascii="Times New Roman" w:eastAsia="Times New Roman" w:hAnsi="Times New Roman"/>
        </w:rPr>
      </w:pPr>
      <w:r w:rsidRPr="00A60FD5">
        <w:rPr>
          <w:rFonts w:ascii="Times New Roman" w:eastAsia="Times New Roman" w:hAnsi="Times New Roman"/>
        </w:rPr>
        <w:t>Kogut, B.</w:t>
      </w:r>
      <w:r w:rsidR="002F6B23">
        <w:rPr>
          <w:rFonts w:ascii="Times New Roman" w:eastAsia="Times New Roman" w:hAnsi="Times New Roman"/>
        </w:rPr>
        <w:t>,</w:t>
      </w:r>
      <w:r w:rsidRPr="00A60FD5">
        <w:rPr>
          <w:rFonts w:ascii="Times New Roman" w:eastAsia="Times New Roman" w:hAnsi="Times New Roman"/>
        </w:rPr>
        <w:t xml:space="preserve"> 1988. Joint ventures: Theoretical and empirical perspectives. Strategic Management J</w:t>
      </w:r>
      <w:r w:rsidR="0067569F" w:rsidRPr="00A60FD5">
        <w:rPr>
          <w:rFonts w:ascii="Times New Roman" w:eastAsia="Times New Roman" w:hAnsi="Times New Roman"/>
        </w:rPr>
        <w:t>ournal</w:t>
      </w:r>
      <w:r w:rsidRPr="00A60FD5">
        <w:rPr>
          <w:rFonts w:ascii="Times New Roman" w:eastAsia="Times New Roman" w:hAnsi="Times New Roman"/>
        </w:rPr>
        <w:t xml:space="preserve"> 9</w:t>
      </w:r>
      <w:r w:rsidR="0067569F" w:rsidRPr="00A60FD5">
        <w:rPr>
          <w:rFonts w:ascii="Times New Roman" w:eastAsia="Times New Roman" w:hAnsi="Times New Roman"/>
        </w:rPr>
        <w:t>,</w:t>
      </w:r>
      <w:r w:rsidRPr="00A60FD5">
        <w:rPr>
          <w:rFonts w:ascii="Times New Roman" w:eastAsia="Times New Roman" w:hAnsi="Times New Roman"/>
        </w:rPr>
        <w:t xml:space="preserve"> 319-332.</w:t>
      </w:r>
    </w:p>
    <w:p w14:paraId="635CC0B0" w14:textId="131AAAFE" w:rsidR="00473F61" w:rsidRPr="00A60FD5" w:rsidRDefault="00473F61" w:rsidP="00E258CC">
      <w:pPr>
        <w:spacing w:line="220" w:lineRule="exact"/>
        <w:rPr>
          <w:rFonts w:ascii="Times New Roman" w:eastAsia="Times New Roman" w:hAnsi="Times New Roman"/>
        </w:rPr>
      </w:pPr>
      <w:r w:rsidRPr="00A60FD5">
        <w:rPr>
          <w:rFonts w:ascii="Times New Roman" w:eastAsia="Times New Roman" w:hAnsi="Times New Roman"/>
        </w:rPr>
        <w:t>Kogut, B., Zander</w:t>
      </w:r>
      <w:r w:rsidR="0067569F" w:rsidRPr="00A60FD5">
        <w:rPr>
          <w:rFonts w:ascii="Times New Roman" w:eastAsia="Times New Roman" w:hAnsi="Times New Roman"/>
        </w:rPr>
        <w:t xml:space="preserve"> </w:t>
      </w:r>
      <w:r w:rsidR="00AE16AB">
        <w:rPr>
          <w:rFonts w:ascii="Times New Roman" w:eastAsia="Times New Roman" w:hAnsi="Times New Roman"/>
        </w:rPr>
        <w:t xml:space="preserve">, </w:t>
      </w:r>
      <w:r w:rsidR="0067569F" w:rsidRPr="00A60FD5">
        <w:rPr>
          <w:rFonts w:ascii="Times New Roman" w:eastAsia="Times New Roman" w:hAnsi="Times New Roman"/>
        </w:rPr>
        <w:t>U.,</w:t>
      </w:r>
      <w:r w:rsidRPr="00A60FD5">
        <w:rPr>
          <w:rFonts w:ascii="Times New Roman" w:eastAsia="Times New Roman" w:hAnsi="Times New Roman"/>
        </w:rPr>
        <w:t xml:space="preserve"> 1992. Knowledge of the firm, combinative capabilities, and the replication of technology. Organ</w:t>
      </w:r>
      <w:r w:rsidR="0067569F" w:rsidRPr="00A60FD5">
        <w:rPr>
          <w:rFonts w:ascii="Times New Roman" w:eastAsia="Times New Roman" w:hAnsi="Times New Roman"/>
        </w:rPr>
        <w:t>ization</w:t>
      </w:r>
      <w:r w:rsidRPr="00A60FD5">
        <w:rPr>
          <w:rFonts w:ascii="Times New Roman" w:eastAsia="Times New Roman" w:hAnsi="Times New Roman"/>
        </w:rPr>
        <w:t xml:space="preserve"> Sci</w:t>
      </w:r>
      <w:r w:rsidR="0067569F" w:rsidRPr="00A60FD5">
        <w:rPr>
          <w:rFonts w:ascii="Times New Roman" w:eastAsia="Times New Roman" w:hAnsi="Times New Roman"/>
        </w:rPr>
        <w:t>ence</w:t>
      </w:r>
      <w:r w:rsidRPr="00A60FD5">
        <w:rPr>
          <w:rFonts w:ascii="Times New Roman" w:eastAsia="Times New Roman" w:hAnsi="Times New Roman"/>
        </w:rPr>
        <w:t xml:space="preserve"> 3</w:t>
      </w:r>
      <w:r w:rsidR="0067569F" w:rsidRPr="00A60FD5">
        <w:rPr>
          <w:rFonts w:ascii="Times New Roman" w:eastAsia="Times New Roman" w:hAnsi="Times New Roman"/>
        </w:rPr>
        <w:t>,</w:t>
      </w:r>
      <w:r w:rsidRPr="00A60FD5">
        <w:rPr>
          <w:rFonts w:ascii="Times New Roman" w:eastAsia="Times New Roman" w:hAnsi="Times New Roman"/>
        </w:rPr>
        <w:t xml:space="preserve"> 383-397.</w:t>
      </w:r>
    </w:p>
    <w:p w14:paraId="3DE60D8B" w14:textId="05085AA0" w:rsidR="005123BB" w:rsidRPr="00A60FD5" w:rsidRDefault="005123BB" w:rsidP="005123BB">
      <w:pPr>
        <w:spacing w:line="220" w:lineRule="exact"/>
        <w:rPr>
          <w:rFonts w:ascii="Times New Roman" w:eastAsia="Times New Roman" w:hAnsi="Times New Roman"/>
        </w:rPr>
      </w:pPr>
      <w:r w:rsidRPr="00A60FD5">
        <w:rPr>
          <w:rFonts w:ascii="Times New Roman" w:eastAsia="Times New Roman" w:hAnsi="Times New Roman"/>
        </w:rPr>
        <w:t xml:space="preserve">Kumar, N., Stern, </w:t>
      </w:r>
      <w:r w:rsidR="00065D4C" w:rsidRPr="00A60FD5">
        <w:rPr>
          <w:rFonts w:ascii="Times New Roman" w:eastAsia="Times New Roman" w:hAnsi="Times New Roman"/>
        </w:rPr>
        <w:t xml:space="preserve">L.W., </w:t>
      </w:r>
      <w:r w:rsidRPr="00A60FD5">
        <w:rPr>
          <w:rFonts w:ascii="Times New Roman" w:eastAsia="Times New Roman" w:hAnsi="Times New Roman"/>
        </w:rPr>
        <w:t>Anderson</w:t>
      </w:r>
      <w:r w:rsidR="00065D4C" w:rsidRPr="00A60FD5">
        <w:rPr>
          <w:rFonts w:ascii="Times New Roman" w:eastAsia="Times New Roman" w:hAnsi="Times New Roman"/>
        </w:rPr>
        <w:t>, J.C.,</w:t>
      </w:r>
      <w:r w:rsidRPr="00A60FD5">
        <w:rPr>
          <w:rFonts w:ascii="Times New Roman" w:eastAsia="Times New Roman" w:hAnsi="Times New Roman"/>
        </w:rPr>
        <w:t xml:space="preserve"> 1993. Conducting interorganizational research using key informants. Acad</w:t>
      </w:r>
      <w:r w:rsidR="00065D4C" w:rsidRPr="00A60FD5">
        <w:rPr>
          <w:rFonts w:ascii="Times New Roman" w:eastAsia="Times New Roman" w:hAnsi="Times New Roman"/>
        </w:rPr>
        <w:t>emy</w:t>
      </w:r>
      <w:r w:rsidRPr="00A60FD5">
        <w:rPr>
          <w:rFonts w:ascii="Times New Roman" w:eastAsia="Times New Roman" w:hAnsi="Times New Roman"/>
        </w:rPr>
        <w:t xml:space="preserve"> of Management J</w:t>
      </w:r>
      <w:r w:rsidR="00065D4C" w:rsidRPr="00A60FD5">
        <w:rPr>
          <w:rFonts w:ascii="Times New Roman" w:eastAsia="Times New Roman" w:hAnsi="Times New Roman"/>
        </w:rPr>
        <w:t>ournal</w:t>
      </w:r>
      <w:r w:rsidRPr="00A60FD5">
        <w:rPr>
          <w:rFonts w:ascii="Times New Roman" w:eastAsia="Times New Roman" w:hAnsi="Times New Roman"/>
        </w:rPr>
        <w:t xml:space="preserve"> 36</w:t>
      </w:r>
      <w:r w:rsidR="00065D4C" w:rsidRPr="00A60FD5">
        <w:rPr>
          <w:rFonts w:ascii="Times New Roman" w:eastAsia="Times New Roman" w:hAnsi="Times New Roman"/>
        </w:rPr>
        <w:t>,</w:t>
      </w:r>
      <w:r w:rsidRPr="00A60FD5">
        <w:rPr>
          <w:rFonts w:ascii="Times New Roman" w:eastAsia="Times New Roman" w:hAnsi="Times New Roman"/>
        </w:rPr>
        <w:t xml:space="preserve"> 1633-1651.</w:t>
      </w:r>
    </w:p>
    <w:p w14:paraId="3401A3B0" w14:textId="5C1B298C" w:rsidR="005123BB" w:rsidRPr="00A60FD5" w:rsidRDefault="005123BB" w:rsidP="00E258CC">
      <w:pPr>
        <w:spacing w:line="220" w:lineRule="exact"/>
        <w:rPr>
          <w:rFonts w:ascii="Times New Roman" w:eastAsia="Times New Roman" w:hAnsi="Times New Roman"/>
        </w:rPr>
      </w:pPr>
      <w:r w:rsidRPr="00A60FD5">
        <w:rPr>
          <w:rFonts w:ascii="Times New Roman" w:eastAsia="Times New Roman" w:hAnsi="Times New Roman"/>
        </w:rPr>
        <w:t>Kumar, S., Seth</w:t>
      </w:r>
      <w:r w:rsidR="002F6B23">
        <w:rPr>
          <w:rFonts w:ascii="Times New Roman" w:eastAsia="Times New Roman" w:hAnsi="Times New Roman"/>
        </w:rPr>
        <w:t xml:space="preserve">, </w:t>
      </w:r>
      <w:r w:rsidR="002F6B23" w:rsidRPr="00A60FD5">
        <w:rPr>
          <w:rFonts w:ascii="Times New Roman" w:eastAsia="Times New Roman" w:hAnsi="Times New Roman"/>
        </w:rPr>
        <w:t>A.</w:t>
      </w:r>
      <w:r w:rsidR="002F6B23">
        <w:rPr>
          <w:rFonts w:ascii="Times New Roman" w:eastAsia="Times New Roman" w:hAnsi="Times New Roman"/>
        </w:rPr>
        <w:t>,</w:t>
      </w:r>
      <w:r w:rsidRPr="00A60FD5">
        <w:rPr>
          <w:rFonts w:ascii="Times New Roman" w:eastAsia="Times New Roman" w:hAnsi="Times New Roman"/>
        </w:rPr>
        <w:t xml:space="preserve"> 1998. The design of coordination and control mechanisms for managing joint venture-parent relationships. Strategic Management J</w:t>
      </w:r>
      <w:r w:rsidR="002F6B23">
        <w:rPr>
          <w:rFonts w:ascii="Times New Roman" w:eastAsia="Times New Roman" w:hAnsi="Times New Roman"/>
        </w:rPr>
        <w:t>ournal 19,</w:t>
      </w:r>
      <w:r w:rsidRPr="00A60FD5">
        <w:rPr>
          <w:rFonts w:ascii="Times New Roman" w:eastAsia="Times New Roman" w:hAnsi="Times New Roman"/>
        </w:rPr>
        <w:t xml:space="preserve"> 579-599.</w:t>
      </w:r>
    </w:p>
    <w:p w14:paraId="65D0C698" w14:textId="1B68E5C6" w:rsidR="002F6B23" w:rsidRDefault="002F6B23" w:rsidP="00E258CC">
      <w:pPr>
        <w:spacing w:line="220" w:lineRule="exact"/>
        <w:rPr>
          <w:rFonts w:ascii="Times New Roman" w:hAnsi="Times New Roman"/>
        </w:rPr>
      </w:pPr>
      <w:r w:rsidRPr="00A60FD5">
        <w:rPr>
          <w:rFonts w:ascii="Times New Roman" w:hAnsi="Times New Roman"/>
        </w:rPr>
        <w:t>Lanjouw, J.O., Schankerman, M., 2001. Characteristics of patent litigation: a window on competition. RAND Journal of Economics 114, 129-151.</w:t>
      </w:r>
    </w:p>
    <w:p w14:paraId="3C490247" w14:textId="69F3CF3D" w:rsidR="00E3113C" w:rsidRPr="00A60FD5" w:rsidRDefault="00E3113C" w:rsidP="00E258CC">
      <w:pPr>
        <w:spacing w:line="220" w:lineRule="exact"/>
        <w:rPr>
          <w:rFonts w:ascii="Times New Roman" w:hAnsi="Times New Roman"/>
        </w:rPr>
      </w:pPr>
      <w:r w:rsidRPr="00A60FD5">
        <w:rPr>
          <w:rFonts w:ascii="Times New Roman" w:hAnsi="Times New Roman"/>
        </w:rPr>
        <w:t>Lazzarini, S.G., Claro, D.P., Mesquit</w:t>
      </w:r>
      <w:r w:rsidR="002F6B23">
        <w:rPr>
          <w:rFonts w:ascii="Times New Roman" w:hAnsi="Times New Roman"/>
        </w:rPr>
        <w:t>a</w:t>
      </w:r>
      <w:r w:rsidRPr="00A60FD5">
        <w:rPr>
          <w:rFonts w:ascii="Times New Roman" w:hAnsi="Times New Roman"/>
        </w:rPr>
        <w:t>, L.F., 2008. Buyer-supplier and supplier-supplier alliances: do they reinforce or undermine one another? Journal of Management Studies 45, 561-584.</w:t>
      </w:r>
    </w:p>
    <w:p w14:paraId="3EA22BCC" w14:textId="52F416EA" w:rsidR="00754823" w:rsidRPr="00A60FD5" w:rsidRDefault="00754823" w:rsidP="00E258CC">
      <w:pPr>
        <w:spacing w:line="220" w:lineRule="exact"/>
        <w:rPr>
          <w:rFonts w:ascii="Times New Roman" w:hAnsi="Times New Roman"/>
        </w:rPr>
      </w:pPr>
      <w:r w:rsidRPr="00A60FD5">
        <w:rPr>
          <w:rFonts w:ascii="Times New Roman" w:hAnsi="Times New Roman"/>
        </w:rPr>
        <w:t>Leeson, P.T.</w:t>
      </w:r>
      <w:r w:rsidR="006A20C8" w:rsidRPr="00A60FD5">
        <w:rPr>
          <w:rFonts w:ascii="Times New Roman" w:hAnsi="Times New Roman"/>
        </w:rPr>
        <w:t>,</w:t>
      </w:r>
      <w:r w:rsidRPr="00A60FD5">
        <w:rPr>
          <w:rFonts w:ascii="Times New Roman" w:hAnsi="Times New Roman"/>
        </w:rPr>
        <w:t xml:space="preserve"> 2008. How important is State enforcement for trade? American Law </w:t>
      </w:r>
      <w:r w:rsidR="006A20C8" w:rsidRPr="00A60FD5">
        <w:rPr>
          <w:rFonts w:ascii="Times New Roman" w:hAnsi="Times New Roman"/>
        </w:rPr>
        <w:t xml:space="preserve">&amp; </w:t>
      </w:r>
      <w:r w:rsidRPr="00A60FD5">
        <w:rPr>
          <w:rFonts w:ascii="Times New Roman" w:hAnsi="Times New Roman"/>
        </w:rPr>
        <w:t>Econom</w:t>
      </w:r>
      <w:r w:rsidR="006A20C8" w:rsidRPr="00A60FD5">
        <w:rPr>
          <w:rFonts w:ascii="Times New Roman" w:hAnsi="Times New Roman"/>
        </w:rPr>
        <w:t>ic</w:t>
      </w:r>
      <w:r w:rsidRPr="00A60FD5">
        <w:rPr>
          <w:rFonts w:ascii="Times New Roman" w:hAnsi="Times New Roman"/>
        </w:rPr>
        <w:t xml:space="preserve"> Rev</w:t>
      </w:r>
      <w:r w:rsidR="006A20C8" w:rsidRPr="00A60FD5">
        <w:rPr>
          <w:rFonts w:ascii="Times New Roman" w:hAnsi="Times New Roman"/>
        </w:rPr>
        <w:t>iew</w:t>
      </w:r>
      <w:r w:rsidRPr="00A60FD5">
        <w:rPr>
          <w:rFonts w:ascii="Times New Roman" w:hAnsi="Times New Roman"/>
        </w:rPr>
        <w:t xml:space="preserve"> 10</w:t>
      </w:r>
      <w:r w:rsidR="006A20C8" w:rsidRPr="00A60FD5">
        <w:rPr>
          <w:rFonts w:ascii="Times New Roman" w:hAnsi="Times New Roman"/>
        </w:rPr>
        <w:t>,</w:t>
      </w:r>
      <w:r w:rsidRPr="00A60FD5">
        <w:rPr>
          <w:rFonts w:ascii="Times New Roman" w:hAnsi="Times New Roman"/>
        </w:rPr>
        <w:t xml:space="preserve"> 61-89. </w:t>
      </w:r>
    </w:p>
    <w:p w14:paraId="137C21E0" w14:textId="70EB6AD1" w:rsidR="00473F61" w:rsidRPr="00A60FD5" w:rsidRDefault="00473F61" w:rsidP="00E258CC">
      <w:pPr>
        <w:spacing w:line="220" w:lineRule="exact"/>
        <w:rPr>
          <w:rFonts w:ascii="Times New Roman" w:hAnsi="Times New Roman"/>
        </w:rPr>
      </w:pPr>
      <w:r w:rsidRPr="00A60FD5">
        <w:rPr>
          <w:rFonts w:ascii="Times New Roman" w:hAnsi="Times New Roman"/>
        </w:rPr>
        <w:t>Lerner, J., Merges</w:t>
      </w:r>
      <w:r w:rsidR="00A6176D" w:rsidRPr="00A60FD5">
        <w:rPr>
          <w:rFonts w:ascii="Times New Roman" w:hAnsi="Times New Roman"/>
        </w:rPr>
        <w:t>, R.P.,</w:t>
      </w:r>
      <w:r w:rsidRPr="00A60FD5">
        <w:rPr>
          <w:rFonts w:ascii="Times New Roman" w:hAnsi="Times New Roman"/>
        </w:rPr>
        <w:t xml:space="preserve"> 1998. The control of technology alliances: An empirical analysis of the biotechnology industry. J</w:t>
      </w:r>
      <w:r w:rsidR="00A6176D" w:rsidRPr="00A60FD5">
        <w:rPr>
          <w:rFonts w:ascii="Times New Roman" w:hAnsi="Times New Roman"/>
        </w:rPr>
        <w:t>ournal</w:t>
      </w:r>
      <w:r w:rsidRPr="00A60FD5">
        <w:rPr>
          <w:rFonts w:ascii="Times New Roman" w:hAnsi="Times New Roman"/>
        </w:rPr>
        <w:t xml:space="preserve"> of Industrial Econom</w:t>
      </w:r>
      <w:r w:rsidR="00A6176D" w:rsidRPr="00A60FD5">
        <w:rPr>
          <w:rFonts w:ascii="Times New Roman" w:hAnsi="Times New Roman"/>
        </w:rPr>
        <w:t>ics</w:t>
      </w:r>
      <w:r w:rsidRPr="00A60FD5">
        <w:rPr>
          <w:rFonts w:ascii="Times New Roman" w:hAnsi="Times New Roman"/>
        </w:rPr>
        <w:t xml:space="preserve"> 46</w:t>
      </w:r>
      <w:r w:rsidR="00A6176D" w:rsidRPr="00A60FD5">
        <w:rPr>
          <w:rFonts w:ascii="Times New Roman" w:hAnsi="Times New Roman"/>
        </w:rPr>
        <w:t>,</w:t>
      </w:r>
      <w:r w:rsidRPr="00A60FD5">
        <w:rPr>
          <w:rFonts w:ascii="Times New Roman" w:hAnsi="Times New Roman"/>
        </w:rPr>
        <w:t xml:space="preserve"> 125-156.</w:t>
      </w:r>
    </w:p>
    <w:p w14:paraId="62E6F1DA" w14:textId="0D9E8A2A" w:rsidR="00105011" w:rsidRDefault="00105011" w:rsidP="00E258CC">
      <w:pPr>
        <w:spacing w:line="220" w:lineRule="exact"/>
        <w:rPr>
          <w:rFonts w:ascii="Times New Roman" w:hAnsi="Times New Roman"/>
        </w:rPr>
      </w:pPr>
      <w:r w:rsidRPr="00A60FD5">
        <w:rPr>
          <w:rFonts w:ascii="Times New Roman" w:hAnsi="Times New Roman"/>
        </w:rPr>
        <w:t xml:space="preserve">Levin, R.C., Klevorick, </w:t>
      </w:r>
      <w:r w:rsidR="002F6B23" w:rsidRPr="00A60FD5">
        <w:rPr>
          <w:rFonts w:ascii="Times New Roman" w:hAnsi="Times New Roman"/>
        </w:rPr>
        <w:t>A.K.</w:t>
      </w:r>
      <w:r w:rsidR="002F6B23">
        <w:rPr>
          <w:rFonts w:ascii="Times New Roman" w:hAnsi="Times New Roman"/>
        </w:rPr>
        <w:t>,</w:t>
      </w:r>
      <w:r w:rsidR="002F6B23" w:rsidRPr="00A60FD5">
        <w:rPr>
          <w:rFonts w:ascii="Times New Roman" w:hAnsi="Times New Roman"/>
        </w:rPr>
        <w:t xml:space="preserve"> </w:t>
      </w:r>
      <w:r w:rsidRPr="00A60FD5">
        <w:rPr>
          <w:rFonts w:ascii="Times New Roman" w:hAnsi="Times New Roman"/>
        </w:rPr>
        <w:t xml:space="preserve">Nelson, </w:t>
      </w:r>
      <w:r w:rsidR="002F6B23" w:rsidRPr="00A60FD5">
        <w:rPr>
          <w:rFonts w:ascii="Times New Roman" w:hAnsi="Times New Roman"/>
        </w:rPr>
        <w:t>R.R.</w:t>
      </w:r>
      <w:r w:rsidR="002F6B23">
        <w:rPr>
          <w:rFonts w:ascii="Times New Roman" w:hAnsi="Times New Roman"/>
        </w:rPr>
        <w:t xml:space="preserve">, </w:t>
      </w:r>
      <w:r w:rsidRPr="00A60FD5">
        <w:rPr>
          <w:rFonts w:ascii="Times New Roman" w:hAnsi="Times New Roman"/>
        </w:rPr>
        <w:t xml:space="preserve">Winter, </w:t>
      </w:r>
      <w:r w:rsidR="002F6B23" w:rsidRPr="00A60FD5">
        <w:rPr>
          <w:rFonts w:ascii="Times New Roman" w:hAnsi="Times New Roman"/>
        </w:rPr>
        <w:t>S.G.</w:t>
      </w:r>
      <w:r w:rsidR="002F6B23">
        <w:rPr>
          <w:rFonts w:ascii="Times New Roman" w:hAnsi="Times New Roman"/>
        </w:rPr>
        <w:t>,</w:t>
      </w:r>
      <w:r w:rsidR="002F6B23" w:rsidRPr="00A60FD5">
        <w:rPr>
          <w:rFonts w:ascii="Times New Roman" w:hAnsi="Times New Roman"/>
        </w:rPr>
        <w:t xml:space="preserve"> </w:t>
      </w:r>
      <w:r w:rsidRPr="00A60FD5">
        <w:rPr>
          <w:rFonts w:ascii="Times New Roman" w:hAnsi="Times New Roman"/>
        </w:rPr>
        <w:t>Gilbert,</w:t>
      </w:r>
      <w:r w:rsidR="002F6B23" w:rsidRPr="002F6B23">
        <w:rPr>
          <w:rFonts w:ascii="Times New Roman" w:hAnsi="Times New Roman"/>
        </w:rPr>
        <w:t xml:space="preserve"> </w:t>
      </w:r>
      <w:r w:rsidR="002F6B23" w:rsidRPr="00A60FD5">
        <w:rPr>
          <w:rFonts w:ascii="Times New Roman" w:hAnsi="Times New Roman"/>
        </w:rPr>
        <w:t>R.</w:t>
      </w:r>
      <w:r w:rsidR="002F6B23">
        <w:rPr>
          <w:rFonts w:ascii="Times New Roman" w:hAnsi="Times New Roman"/>
        </w:rPr>
        <w:t xml:space="preserve">, </w:t>
      </w:r>
      <w:r w:rsidRPr="00A60FD5">
        <w:rPr>
          <w:rFonts w:ascii="Times New Roman" w:hAnsi="Times New Roman"/>
        </w:rPr>
        <w:t>Griliches</w:t>
      </w:r>
      <w:r w:rsidR="002F6B23">
        <w:rPr>
          <w:rFonts w:ascii="Times New Roman" w:hAnsi="Times New Roman"/>
        </w:rPr>
        <w:t>,</w:t>
      </w:r>
      <w:r w:rsidR="002F6B23" w:rsidRPr="00A60FD5">
        <w:rPr>
          <w:rFonts w:ascii="Times New Roman" w:hAnsi="Times New Roman"/>
        </w:rPr>
        <w:t xml:space="preserve">  Z.</w:t>
      </w:r>
      <w:r w:rsidR="002F6B23">
        <w:rPr>
          <w:rFonts w:ascii="Times New Roman" w:hAnsi="Times New Roman"/>
        </w:rPr>
        <w:t>,</w:t>
      </w:r>
      <w:r w:rsidRPr="00A60FD5">
        <w:rPr>
          <w:rFonts w:ascii="Times New Roman" w:hAnsi="Times New Roman"/>
        </w:rPr>
        <w:t xml:space="preserve"> 1987. Appropriating the returns from industrial research and development. Brookings papers on economic activity</w:t>
      </w:r>
      <w:r w:rsidR="002F6B23">
        <w:rPr>
          <w:rFonts w:ascii="Times New Roman" w:hAnsi="Times New Roman"/>
        </w:rPr>
        <w:t xml:space="preserve"> </w:t>
      </w:r>
      <w:r w:rsidRPr="00A60FD5">
        <w:rPr>
          <w:rFonts w:ascii="Times New Roman" w:hAnsi="Times New Roman"/>
        </w:rPr>
        <w:t>3</w:t>
      </w:r>
      <w:r w:rsidR="002F6B23">
        <w:rPr>
          <w:rFonts w:ascii="Times New Roman" w:hAnsi="Times New Roman"/>
        </w:rPr>
        <w:t>,</w:t>
      </w:r>
      <w:r w:rsidRPr="00A60FD5">
        <w:rPr>
          <w:rFonts w:ascii="Times New Roman" w:hAnsi="Times New Roman"/>
        </w:rPr>
        <w:t xml:space="preserve"> 783-831.</w:t>
      </w:r>
    </w:p>
    <w:p w14:paraId="3801251D" w14:textId="67533466" w:rsidR="00014EF9" w:rsidRPr="00A60FD5" w:rsidRDefault="00014EF9" w:rsidP="00E258CC">
      <w:pPr>
        <w:spacing w:line="220" w:lineRule="exact"/>
        <w:rPr>
          <w:rFonts w:ascii="Times New Roman" w:hAnsi="Times New Roman"/>
        </w:rPr>
      </w:pPr>
      <w:r w:rsidRPr="00014EF9">
        <w:rPr>
          <w:rFonts w:ascii="Times New Roman" w:hAnsi="Times New Roman"/>
        </w:rPr>
        <w:t>Lew, J.D.M.</w:t>
      </w:r>
      <w:r>
        <w:rPr>
          <w:rFonts w:ascii="Times New Roman" w:hAnsi="Times New Roman"/>
        </w:rPr>
        <w:t>,</w:t>
      </w:r>
      <w:r w:rsidRPr="00014EF9">
        <w:rPr>
          <w:rFonts w:ascii="Times New Roman" w:hAnsi="Times New Roman"/>
        </w:rPr>
        <w:t xml:space="preserve"> 2009. Does national court involvement undermine the international arbitration process? American University International Law Review 24</w:t>
      </w:r>
      <w:r>
        <w:rPr>
          <w:rFonts w:ascii="Times New Roman" w:hAnsi="Times New Roman"/>
        </w:rPr>
        <w:t>,</w:t>
      </w:r>
      <w:r w:rsidRPr="00014EF9">
        <w:rPr>
          <w:rFonts w:ascii="Times New Roman" w:hAnsi="Times New Roman"/>
        </w:rPr>
        <w:t xml:space="preserve"> 490.</w:t>
      </w:r>
    </w:p>
    <w:p w14:paraId="2288673A" w14:textId="77E2E44D" w:rsidR="00705DC5" w:rsidRPr="00A60FD5" w:rsidRDefault="00C47175" w:rsidP="00E258CC">
      <w:pPr>
        <w:spacing w:line="220" w:lineRule="exact"/>
        <w:rPr>
          <w:rFonts w:ascii="Times New Roman" w:hAnsi="Times New Roman"/>
        </w:rPr>
      </w:pPr>
      <w:r w:rsidRPr="00A60FD5">
        <w:rPr>
          <w:rFonts w:ascii="Times New Roman" w:hAnsi="Times New Roman"/>
        </w:rPr>
        <w:t>Lin, X., Germain</w:t>
      </w:r>
      <w:r w:rsidR="00E03D86" w:rsidRPr="00A60FD5">
        <w:rPr>
          <w:rFonts w:ascii="Times New Roman" w:hAnsi="Times New Roman"/>
        </w:rPr>
        <w:t>, R.,</w:t>
      </w:r>
      <w:r w:rsidRPr="00A60FD5">
        <w:rPr>
          <w:rFonts w:ascii="Times New Roman" w:hAnsi="Times New Roman"/>
        </w:rPr>
        <w:t xml:space="preserve"> 1998. Sustaining satisfactory joint venture relationships: The role of conflict resolution strategy. J</w:t>
      </w:r>
      <w:r w:rsidR="00E03D86" w:rsidRPr="00A60FD5">
        <w:rPr>
          <w:rFonts w:ascii="Times New Roman" w:hAnsi="Times New Roman"/>
        </w:rPr>
        <w:t>ournal</w:t>
      </w:r>
      <w:r w:rsidRPr="00A60FD5">
        <w:rPr>
          <w:rFonts w:ascii="Times New Roman" w:hAnsi="Times New Roman"/>
        </w:rPr>
        <w:t xml:space="preserve"> of Intern</w:t>
      </w:r>
      <w:r w:rsidR="00E03D86" w:rsidRPr="00A60FD5">
        <w:rPr>
          <w:rFonts w:ascii="Times New Roman" w:hAnsi="Times New Roman"/>
        </w:rPr>
        <w:t>ational</w:t>
      </w:r>
      <w:r w:rsidRPr="00A60FD5">
        <w:rPr>
          <w:rFonts w:ascii="Times New Roman" w:hAnsi="Times New Roman"/>
        </w:rPr>
        <w:t xml:space="preserve"> Business Stud</w:t>
      </w:r>
      <w:r w:rsidR="00E03D86" w:rsidRPr="00A60FD5">
        <w:rPr>
          <w:rFonts w:ascii="Times New Roman" w:hAnsi="Times New Roman"/>
        </w:rPr>
        <w:t>ies 29,</w:t>
      </w:r>
      <w:r w:rsidRPr="00A60FD5">
        <w:rPr>
          <w:rFonts w:ascii="Times New Roman" w:hAnsi="Times New Roman"/>
        </w:rPr>
        <w:t xml:space="preserve"> 179-196.</w:t>
      </w:r>
    </w:p>
    <w:p w14:paraId="6C4FE14B" w14:textId="66D37089" w:rsidR="00705DC5" w:rsidRPr="00A60FD5" w:rsidRDefault="00705DC5" w:rsidP="00E258CC">
      <w:pPr>
        <w:spacing w:line="220" w:lineRule="exact"/>
        <w:rPr>
          <w:rFonts w:ascii="Times New Roman" w:hAnsi="Times New Roman"/>
        </w:rPr>
      </w:pPr>
      <w:r w:rsidRPr="00A60FD5">
        <w:rPr>
          <w:rFonts w:ascii="Times New Roman" w:hAnsi="Times New Roman"/>
        </w:rPr>
        <w:t>Lin, X., Wang</w:t>
      </w:r>
      <w:r w:rsidR="00E03D86" w:rsidRPr="00A60FD5">
        <w:rPr>
          <w:rFonts w:ascii="Times New Roman" w:hAnsi="Times New Roman"/>
        </w:rPr>
        <w:t>, C.C.,</w:t>
      </w:r>
      <w:r w:rsidRPr="00A60FD5">
        <w:rPr>
          <w:rFonts w:ascii="Times New Roman" w:hAnsi="Times New Roman"/>
        </w:rPr>
        <w:t xml:space="preserve"> 2002. Relational contexts of conflict resolution strategies in international joint ventures: An intra-Asian case. J</w:t>
      </w:r>
      <w:r w:rsidR="00E03D86" w:rsidRPr="00A60FD5">
        <w:rPr>
          <w:rFonts w:ascii="Times New Roman" w:hAnsi="Times New Roman"/>
        </w:rPr>
        <w:t>ournal</w:t>
      </w:r>
      <w:r w:rsidRPr="00A60FD5">
        <w:rPr>
          <w:rFonts w:ascii="Times New Roman" w:hAnsi="Times New Roman"/>
        </w:rPr>
        <w:t xml:space="preserve"> of Relationship Marketing 1</w:t>
      </w:r>
      <w:r w:rsidR="00E03D86" w:rsidRPr="00A60FD5">
        <w:rPr>
          <w:rFonts w:ascii="Times New Roman" w:hAnsi="Times New Roman"/>
        </w:rPr>
        <w:t>,</w:t>
      </w:r>
      <w:r w:rsidRPr="00A60FD5">
        <w:rPr>
          <w:rFonts w:ascii="Times New Roman" w:hAnsi="Times New Roman"/>
        </w:rPr>
        <w:t xml:space="preserve"> 23-38.</w:t>
      </w:r>
    </w:p>
    <w:p w14:paraId="6E7719A2" w14:textId="5123B66B" w:rsidR="00754823" w:rsidRPr="00A60FD5" w:rsidRDefault="00754823" w:rsidP="00E258CC">
      <w:pPr>
        <w:spacing w:line="220" w:lineRule="exact"/>
        <w:rPr>
          <w:rFonts w:ascii="Times New Roman" w:hAnsi="Times New Roman"/>
        </w:rPr>
      </w:pPr>
      <w:r w:rsidRPr="00A60FD5">
        <w:rPr>
          <w:rFonts w:ascii="Times New Roman" w:hAnsi="Times New Roman"/>
        </w:rPr>
        <w:t>Llewellyn, K.N.</w:t>
      </w:r>
      <w:r w:rsidR="000F2017" w:rsidRPr="00A60FD5">
        <w:rPr>
          <w:rFonts w:ascii="Times New Roman" w:hAnsi="Times New Roman"/>
        </w:rPr>
        <w:t>,</w:t>
      </w:r>
      <w:r w:rsidRPr="00A60FD5">
        <w:rPr>
          <w:rFonts w:ascii="Times New Roman" w:hAnsi="Times New Roman"/>
        </w:rPr>
        <w:t xml:space="preserve"> 1931. What price contract? An essay in perspective. The Yale Law J</w:t>
      </w:r>
      <w:r w:rsidR="000F2017" w:rsidRPr="00A60FD5">
        <w:rPr>
          <w:rFonts w:ascii="Times New Roman" w:hAnsi="Times New Roman"/>
        </w:rPr>
        <w:t>ournal</w:t>
      </w:r>
      <w:r w:rsidRPr="00A60FD5">
        <w:rPr>
          <w:rFonts w:ascii="Times New Roman" w:hAnsi="Times New Roman"/>
        </w:rPr>
        <w:t xml:space="preserve"> 40</w:t>
      </w:r>
      <w:r w:rsidR="000F2017" w:rsidRPr="00A60FD5">
        <w:rPr>
          <w:rFonts w:ascii="Times New Roman" w:hAnsi="Times New Roman"/>
        </w:rPr>
        <w:t>,</w:t>
      </w:r>
      <w:r w:rsidRPr="00A60FD5">
        <w:rPr>
          <w:rFonts w:ascii="Times New Roman" w:hAnsi="Times New Roman"/>
        </w:rPr>
        <w:t xml:space="preserve"> 704-751. </w:t>
      </w:r>
    </w:p>
    <w:p w14:paraId="141C63DD" w14:textId="20D4CA4F" w:rsidR="00836FCB" w:rsidRDefault="00836FCB" w:rsidP="00AE16AB">
      <w:pPr>
        <w:spacing w:line="220" w:lineRule="exact"/>
        <w:rPr>
          <w:rFonts w:ascii="Times New Roman" w:hAnsi="Times New Roman"/>
        </w:rPr>
      </w:pPr>
      <w:r>
        <w:rPr>
          <w:rFonts w:ascii="Times New Roman" w:hAnsi="Times New Roman"/>
        </w:rPr>
        <w:t xml:space="preserve">Lokshin, B., Hagedoorn, J., Letterie, W., 2011. The bumpy road of technology partnership: understanding causes and consequences of partnership mal-functioning. Research Policy 40, 297-308. </w:t>
      </w:r>
    </w:p>
    <w:p w14:paraId="2DD92517" w14:textId="77777777" w:rsidR="00AE16AB" w:rsidRPr="00A60FD5" w:rsidRDefault="00AE16AB" w:rsidP="00AE16AB">
      <w:pPr>
        <w:spacing w:line="220" w:lineRule="exact"/>
        <w:rPr>
          <w:rFonts w:ascii="Times New Roman" w:hAnsi="Times New Roman"/>
        </w:rPr>
      </w:pPr>
      <w:r w:rsidRPr="00836FCB">
        <w:rPr>
          <w:rFonts w:ascii="Times New Roman" w:hAnsi="Times New Roman"/>
        </w:rPr>
        <w:lastRenderedPageBreak/>
        <w:t xml:space="preserve">Lui, S.S., Ngo, H.Y., 2004. </w:t>
      </w:r>
      <w:r w:rsidRPr="00A60FD5">
        <w:rPr>
          <w:rFonts w:ascii="Times New Roman" w:hAnsi="Times New Roman"/>
        </w:rPr>
        <w:t>The role of trust and contractual safeguards on cooperation in non-equity alliances. Journal of Management 30, 471-485.</w:t>
      </w:r>
    </w:p>
    <w:p w14:paraId="4B4BCB53" w14:textId="7C2FDAF8" w:rsidR="00C47175" w:rsidRPr="00A60FD5" w:rsidRDefault="00C47175" w:rsidP="00E258CC">
      <w:pPr>
        <w:spacing w:line="220" w:lineRule="exact"/>
        <w:rPr>
          <w:rFonts w:ascii="Times New Roman" w:hAnsi="Times New Roman"/>
          <w:color w:val="000000"/>
        </w:rPr>
      </w:pPr>
      <w:r w:rsidRPr="00A60FD5">
        <w:rPr>
          <w:rFonts w:ascii="Times New Roman" w:hAnsi="Times New Roman"/>
          <w:color w:val="000000"/>
        </w:rPr>
        <w:t>Lumineau, F., Malhotra</w:t>
      </w:r>
      <w:r w:rsidR="00EF0C68" w:rsidRPr="00A60FD5">
        <w:rPr>
          <w:rFonts w:ascii="Times New Roman" w:hAnsi="Times New Roman"/>
          <w:color w:val="000000"/>
        </w:rPr>
        <w:t>, D.,</w:t>
      </w:r>
      <w:r w:rsidRPr="00A60FD5">
        <w:rPr>
          <w:rFonts w:ascii="Times New Roman" w:hAnsi="Times New Roman"/>
          <w:color w:val="000000"/>
        </w:rPr>
        <w:t xml:space="preserve"> 2011. Shadow of the contract: How contract structure shapes interfirm dispute resolution. Strategic Management J</w:t>
      </w:r>
      <w:r w:rsidR="00EF0C68" w:rsidRPr="00A60FD5">
        <w:rPr>
          <w:rFonts w:ascii="Times New Roman" w:hAnsi="Times New Roman"/>
          <w:color w:val="000000"/>
        </w:rPr>
        <w:t>ournal</w:t>
      </w:r>
      <w:r w:rsidRPr="00A60FD5">
        <w:rPr>
          <w:rFonts w:ascii="Times New Roman" w:hAnsi="Times New Roman"/>
          <w:color w:val="000000"/>
        </w:rPr>
        <w:t xml:space="preserve"> 32</w:t>
      </w:r>
      <w:r w:rsidR="00EF0C68" w:rsidRPr="00A60FD5">
        <w:rPr>
          <w:rFonts w:ascii="Times New Roman" w:hAnsi="Times New Roman"/>
          <w:color w:val="000000"/>
        </w:rPr>
        <w:t>,</w:t>
      </w:r>
      <w:r w:rsidRPr="00A60FD5">
        <w:rPr>
          <w:rFonts w:ascii="Times New Roman" w:hAnsi="Times New Roman"/>
          <w:color w:val="000000"/>
        </w:rPr>
        <w:t xml:space="preserve"> 532-555.</w:t>
      </w:r>
    </w:p>
    <w:p w14:paraId="36A7A977" w14:textId="6C5AAAA6" w:rsidR="00D83359" w:rsidRPr="00A60FD5" w:rsidRDefault="00D83359" w:rsidP="00E258CC">
      <w:pPr>
        <w:spacing w:line="220" w:lineRule="exact"/>
        <w:rPr>
          <w:rFonts w:ascii="Times New Roman" w:hAnsi="Times New Roman"/>
          <w:color w:val="000000"/>
        </w:rPr>
      </w:pPr>
      <w:r w:rsidRPr="00A60FD5">
        <w:rPr>
          <w:rFonts w:ascii="Times New Roman" w:hAnsi="Times New Roman"/>
          <w:color w:val="000000"/>
          <w:lang w:val="en-GB"/>
        </w:rPr>
        <w:t>Lumineau, F., Henderson</w:t>
      </w:r>
      <w:r w:rsidR="00A53F47" w:rsidRPr="00A60FD5">
        <w:rPr>
          <w:rFonts w:ascii="Times New Roman" w:hAnsi="Times New Roman"/>
          <w:color w:val="000000"/>
          <w:lang w:val="en-GB"/>
        </w:rPr>
        <w:t>, J.E.,</w:t>
      </w:r>
      <w:r w:rsidRPr="00A60FD5">
        <w:rPr>
          <w:rFonts w:ascii="Times New Roman" w:hAnsi="Times New Roman"/>
          <w:color w:val="000000"/>
          <w:lang w:val="en-GB"/>
        </w:rPr>
        <w:t xml:space="preserve"> 2012. </w:t>
      </w:r>
      <w:r w:rsidRPr="00A60FD5">
        <w:rPr>
          <w:rFonts w:ascii="Times New Roman" w:hAnsi="Times New Roman"/>
          <w:color w:val="000000"/>
        </w:rPr>
        <w:t>The influence of relational experience and contractual governance on the negotiation strategy in buyer–supplier disputes. J</w:t>
      </w:r>
      <w:r w:rsidR="00A53F47" w:rsidRPr="00A60FD5">
        <w:rPr>
          <w:rFonts w:ascii="Times New Roman" w:hAnsi="Times New Roman"/>
          <w:color w:val="000000"/>
        </w:rPr>
        <w:t>ournal</w:t>
      </w:r>
      <w:r w:rsidRPr="00A60FD5">
        <w:rPr>
          <w:rFonts w:ascii="Times New Roman" w:hAnsi="Times New Roman"/>
          <w:color w:val="000000"/>
        </w:rPr>
        <w:t xml:space="preserve"> of Operations Management 30</w:t>
      </w:r>
      <w:r w:rsidR="00A53F47" w:rsidRPr="00A60FD5">
        <w:rPr>
          <w:rFonts w:ascii="Times New Roman" w:hAnsi="Times New Roman"/>
          <w:color w:val="000000"/>
        </w:rPr>
        <w:t>,</w:t>
      </w:r>
      <w:r w:rsidRPr="00A60FD5">
        <w:rPr>
          <w:rFonts w:ascii="Times New Roman" w:hAnsi="Times New Roman"/>
          <w:color w:val="000000"/>
        </w:rPr>
        <w:t xml:space="preserve"> 382-395.</w:t>
      </w:r>
    </w:p>
    <w:p w14:paraId="4C979F63" w14:textId="52B0AA5B" w:rsidR="00754823" w:rsidRPr="00A60FD5" w:rsidRDefault="00754823" w:rsidP="00E258CC">
      <w:pPr>
        <w:spacing w:line="220" w:lineRule="exact"/>
        <w:rPr>
          <w:rFonts w:ascii="Times New Roman" w:hAnsi="Times New Roman"/>
          <w:color w:val="000000"/>
        </w:rPr>
      </w:pPr>
      <w:r w:rsidRPr="00A60FD5">
        <w:rPr>
          <w:rFonts w:ascii="Times New Roman" w:hAnsi="Times New Roman"/>
          <w:color w:val="000000"/>
          <w:lang w:val="fr-BE"/>
        </w:rPr>
        <w:t>Lumineau, F., Oxley.</w:t>
      </w:r>
      <w:r w:rsidR="00DE2B44" w:rsidRPr="00A60FD5">
        <w:rPr>
          <w:rFonts w:ascii="Times New Roman" w:hAnsi="Times New Roman"/>
          <w:color w:val="000000"/>
          <w:lang w:val="fr-BE"/>
        </w:rPr>
        <w:t xml:space="preserve">, J.E., </w:t>
      </w:r>
      <w:r w:rsidRPr="00A60FD5">
        <w:rPr>
          <w:rFonts w:ascii="Times New Roman" w:hAnsi="Times New Roman"/>
          <w:color w:val="000000"/>
          <w:lang w:val="fr-BE"/>
        </w:rPr>
        <w:t xml:space="preserve">2012. </w:t>
      </w:r>
      <w:r w:rsidRPr="00A60FD5">
        <w:rPr>
          <w:rFonts w:ascii="Times New Roman" w:hAnsi="Times New Roman"/>
          <w:color w:val="000000"/>
        </w:rPr>
        <w:t>Let’s work it out: litigation and private dispute resolution in vertical exchange relationships. Organ</w:t>
      </w:r>
      <w:r w:rsidR="00DE2B44" w:rsidRPr="00A60FD5">
        <w:rPr>
          <w:rFonts w:ascii="Times New Roman" w:hAnsi="Times New Roman"/>
          <w:color w:val="000000"/>
        </w:rPr>
        <w:t>ization</w:t>
      </w:r>
      <w:r w:rsidRPr="00A60FD5">
        <w:rPr>
          <w:rFonts w:ascii="Times New Roman" w:hAnsi="Times New Roman"/>
          <w:color w:val="000000"/>
        </w:rPr>
        <w:t xml:space="preserve"> Sci</w:t>
      </w:r>
      <w:r w:rsidR="00DE2B44" w:rsidRPr="00A60FD5">
        <w:rPr>
          <w:rFonts w:ascii="Times New Roman" w:hAnsi="Times New Roman"/>
          <w:color w:val="000000"/>
        </w:rPr>
        <w:t>ence</w:t>
      </w:r>
      <w:r w:rsidRPr="00A60FD5">
        <w:rPr>
          <w:rFonts w:ascii="Times New Roman" w:hAnsi="Times New Roman"/>
          <w:color w:val="000000"/>
        </w:rPr>
        <w:t xml:space="preserve"> 23</w:t>
      </w:r>
      <w:r w:rsidR="00DE2B44" w:rsidRPr="00A60FD5">
        <w:rPr>
          <w:rFonts w:ascii="Times New Roman" w:hAnsi="Times New Roman"/>
          <w:color w:val="000000"/>
        </w:rPr>
        <w:t>,</w:t>
      </w:r>
      <w:r w:rsidRPr="00A60FD5">
        <w:rPr>
          <w:rFonts w:ascii="Times New Roman" w:hAnsi="Times New Roman"/>
          <w:color w:val="000000"/>
        </w:rPr>
        <w:t xml:space="preserve"> 820-834. . </w:t>
      </w:r>
    </w:p>
    <w:p w14:paraId="6ABA0648" w14:textId="3DEC16E7" w:rsidR="00E3113C" w:rsidRPr="00A60FD5" w:rsidRDefault="00E3113C" w:rsidP="00E258CC">
      <w:pPr>
        <w:spacing w:line="220" w:lineRule="exact"/>
        <w:rPr>
          <w:rFonts w:ascii="Times New Roman" w:hAnsi="Times New Roman"/>
        </w:rPr>
      </w:pPr>
      <w:r w:rsidRPr="00A60FD5">
        <w:rPr>
          <w:rFonts w:ascii="Times New Roman" w:hAnsi="Times New Roman"/>
        </w:rPr>
        <w:t>Luo, Y., 2001. Determinants of entry in an emerging economy: A multilevel approach. Journal of Management Studies 38, 443-472.</w:t>
      </w:r>
    </w:p>
    <w:p w14:paraId="6FCA71D4" w14:textId="22C7B8DE" w:rsidR="00754823" w:rsidRPr="00A60FD5" w:rsidRDefault="00754823" w:rsidP="00E258CC">
      <w:pPr>
        <w:spacing w:line="220" w:lineRule="exact"/>
        <w:rPr>
          <w:rFonts w:ascii="Times New Roman" w:hAnsi="Times New Roman"/>
        </w:rPr>
      </w:pPr>
      <w:r w:rsidRPr="00A60FD5">
        <w:rPr>
          <w:rFonts w:ascii="Times New Roman" w:hAnsi="Times New Roman"/>
        </w:rPr>
        <w:t>Luo, Y.</w:t>
      </w:r>
      <w:r w:rsidR="00E9636D" w:rsidRPr="00A60FD5">
        <w:rPr>
          <w:rFonts w:ascii="Times New Roman" w:hAnsi="Times New Roman"/>
        </w:rPr>
        <w:t>,</w:t>
      </w:r>
      <w:r w:rsidRPr="00A60FD5">
        <w:rPr>
          <w:rFonts w:ascii="Times New Roman" w:hAnsi="Times New Roman"/>
        </w:rPr>
        <w:t xml:space="preserve"> 2005. How important are shared perceptions of procedural justice in cooperative alliances? Acad</w:t>
      </w:r>
      <w:r w:rsidR="00E9636D" w:rsidRPr="00A60FD5">
        <w:rPr>
          <w:rFonts w:ascii="Times New Roman" w:hAnsi="Times New Roman"/>
        </w:rPr>
        <w:t>emy</w:t>
      </w:r>
      <w:r w:rsidRPr="00A60FD5">
        <w:rPr>
          <w:rFonts w:ascii="Times New Roman" w:hAnsi="Times New Roman"/>
        </w:rPr>
        <w:t xml:space="preserve"> of Management J</w:t>
      </w:r>
      <w:r w:rsidR="00E9636D" w:rsidRPr="00A60FD5">
        <w:rPr>
          <w:rFonts w:ascii="Times New Roman" w:hAnsi="Times New Roman"/>
        </w:rPr>
        <w:t>ournal</w:t>
      </w:r>
      <w:r w:rsidRPr="00A60FD5">
        <w:rPr>
          <w:rFonts w:ascii="Times New Roman" w:hAnsi="Times New Roman"/>
        </w:rPr>
        <w:t xml:space="preserve"> 48</w:t>
      </w:r>
      <w:r w:rsidR="00E9636D" w:rsidRPr="00A60FD5">
        <w:rPr>
          <w:rFonts w:ascii="Times New Roman" w:hAnsi="Times New Roman"/>
        </w:rPr>
        <w:t>,</w:t>
      </w:r>
      <w:r w:rsidRPr="00A60FD5">
        <w:rPr>
          <w:rFonts w:ascii="Times New Roman" w:hAnsi="Times New Roman"/>
        </w:rPr>
        <w:t xml:space="preserve"> 695-709. </w:t>
      </w:r>
    </w:p>
    <w:p w14:paraId="5892F173" w14:textId="59C8AFF0" w:rsidR="00BA316D" w:rsidRPr="00A60FD5" w:rsidRDefault="00BA316D" w:rsidP="00E258CC">
      <w:pPr>
        <w:spacing w:line="220" w:lineRule="exact"/>
        <w:rPr>
          <w:rFonts w:ascii="Times New Roman" w:hAnsi="Times New Roman"/>
          <w:lang w:eastAsia="fr-BE"/>
        </w:rPr>
      </w:pPr>
      <w:r w:rsidRPr="00A60FD5">
        <w:rPr>
          <w:rFonts w:ascii="Times New Roman" w:hAnsi="Times New Roman"/>
          <w:lang w:eastAsia="fr-BE"/>
        </w:rPr>
        <w:t>Macneil, I.R.</w:t>
      </w:r>
      <w:r w:rsidR="000F2017" w:rsidRPr="00A60FD5">
        <w:rPr>
          <w:rFonts w:ascii="Times New Roman" w:hAnsi="Times New Roman"/>
          <w:lang w:eastAsia="fr-BE"/>
        </w:rPr>
        <w:t>,</w:t>
      </w:r>
      <w:r w:rsidRPr="00A60FD5">
        <w:rPr>
          <w:rFonts w:ascii="Times New Roman" w:hAnsi="Times New Roman"/>
          <w:lang w:eastAsia="fr-BE"/>
        </w:rPr>
        <w:t xml:space="preserve"> 1962. </w:t>
      </w:r>
      <w:r w:rsidR="008E2D97" w:rsidRPr="00A60FD5">
        <w:rPr>
          <w:rFonts w:ascii="Times New Roman" w:hAnsi="Times New Roman"/>
          <w:lang w:eastAsia="fr-BE"/>
        </w:rPr>
        <w:t>Power of contract and agreed remedies. Cornell Law Review 47, 495-528</w:t>
      </w:r>
      <w:r w:rsidRPr="00A60FD5">
        <w:rPr>
          <w:rFonts w:ascii="Times New Roman" w:hAnsi="Times New Roman"/>
          <w:lang w:eastAsia="fr-BE"/>
        </w:rPr>
        <w:t>.</w:t>
      </w:r>
    </w:p>
    <w:p w14:paraId="26A9661D" w14:textId="03127B2F" w:rsidR="00754823" w:rsidRPr="00A60FD5" w:rsidRDefault="00754823" w:rsidP="00E258CC">
      <w:pPr>
        <w:spacing w:line="220" w:lineRule="exact"/>
        <w:rPr>
          <w:rFonts w:ascii="Times New Roman" w:hAnsi="Times New Roman"/>
          <w:lang w:eastAsia="fr-BE"/>
        </w:rPr>
      </w:pPr>
      <w:r w:rsidRPr="00A60FD5">
        <w:rPr>
          <w:rFonts w:ascii="Times New Roman" w:hAnsi="Times New Roman"/>
          <w:lang w:eastAsia="fr-BE"/>
        </w:rPr>
        <w:t>Macneil, I.R.</w:t>
      </w:r>
      <w:r w:rsidR="000F2017" w:rsidRPr="00A60FD5">
        <w:rPr>
          <w:rFonts w:ascii="Times New Roman" w:hAnsi="Times New Roman"/>
          <w:lang w:eastAsia="fr-BE"/>
        </w:rPr>
        <w:t>,</w:t>
      </w:r>
      <w:r w:rsidRPr="00A60FD5">
        <w:rPr>
          <w:rFonts w:ascii="Times New Roman" w:hAnsi="Times New Roman"/>
          <w:lang w:eastAsia="fr-BE"/>
        </w:rPr>
        <w:t xml:space="preserve"> 1974. The many futures of contracts. Southern California Law Rev</w:t>
      </w:r>
      <w:r w:rsidR="000F2017" w:rsidRPr="00A60FD5">
        <w:rPr>
          <w:rFonts w:ascii="Times New Roman" w:hAnsi="Times New Roman"/>
          <w:lang w:eastAsia="fr-BE"/>
        </w:rPr>
        <w:t>iew</w:t>
      </w:r>
      <w:r w:rsidRPr="00A60FD5">
        <w:rPr>
          <w:rFonts w:ascii="Times New Roman" w:hAnsi="Times New Roman"/>
          <w:lang w:eastAsia="fr-BE"/>
        </w:rPr>
        <w:t xml:space="preserve"> 47</w:t>
      </w:r>
      <w:r w:rsidR="000F2017" w:rsidRPr="00A60FD5">
        <w:rPr>
          <w:rFonts w:ascii="Times New Roman" w:hAnsi="Times New Roman"/>
          <w:lang w:eastAsia="fr-BE"/>
        </w:rPr>
        <w:t>,</w:t>
      </w:r>
      <w:r w:rsidRPr="00A60FD5">
        <w:rPr>
          <w:rFonts w:ascii="Times New Roman" w:hAnsi="Times New Roman"/>
          <w:lang w:eastAsia="fr-BE"/>
        </w:rPr>
        <w:t xml:space="preserve"> 691-816.</w:t>
      </w:r>
    </w:p>
    <w:p w14:paraId="4BBF36DC" w14:textId="32551197" w:rsidR="00754823" w:rsidRPr="00A60FD5" w:rsidRDefault="00754823" w:rsidP="00E258CC">
      <w:pPr>
        <w:spacing w:line="220" w:lineRule="exact"/>
        <w:rPr>
          <w:rFonts w:ascii="Times New Roman" w:hAnsi="Times New Roman"/>
          <w:lang w:eastAsia="fr-BE"/>
        </w:rPr>
      </w:pPr>
      <w:r w:rsidRPr="00A60FD5">
        <w:rPr>
          <w:rFonts w:ascii="Times New Roman" w:hAnsi="Times New Roman"/>
          <w:lang w:eastAsia="fr-BE"/>
        </w:rPr>
        <w:t>Macneil, I.R.</w:t>
      </w:r>
      <w:r w:rsidR="000F2017" w:rsidRPr="00A60FD5">
        <w:rPr>
          <w:rFonts w:ascii="Times New Roman" w:hAnsi="Times New Roman"/>
          <w:lang w:eastAsia="fr-BE"/>
        </w:rPr>
        <w:t>,</w:t>
      </w:r>
      <w:r w:rsidRPr="00A60FD5">
        <w:rPr>
          <w:rFonts w:ascii="Times New Roman" w:hAnsi="Times New Roman"/>
          <w:lang w:eastAsia="fr-BE"/>
        </w:rPr>
        <w:t xml:space="preserve"> 1978. Contracts: adjustments of long-term economic relations under classical, neoclassical, and relational contract law. Northwestern University Law Rev</w:t>
      </w:r>
      <w:r w:rsidR="000F2017" w:rsidRPr="00A60FD5">
        <w:rPr>
          <w:rFonts w:ascii="Times New Roman" w:hAnsi="Times New Roman"/>
          <w:lang w:eastAsia="fr-BE"/>
        </w:rPr>
        <w:t>iew</w:t>
      </w:r>
      <w:r w:rsidRPr="00A60FD5">
        <w:rPr>
          <w:rFonts w:ascii="Times New Roman" w:hAnsi="Times New Roman"/>
          <w:lang w:eastAsia="fr-BE"/>
        </w:rPr>
        <w:t xml:space="preserve"> 72</w:t>
      </w:r>
      <w:r w:rsidR="000F2017" w:rsidRPr="00A60FD5">
        <w:rPr>
          <w:rFonts w:ascii="Times New Roman" w:hAnsi="Times New Roman"/>
          <w:lang w:eastAsia="fr-BE"/>
        </w:rPr>
        <w:t>,</w:t>
      </w:r>
      <w:r w:rsidRPr="00A60FD5">
        <w:rPr>
          <w:rFonts w:ascii="Times New Roman" w:hAnsi="Times New Roman"/>
          <w:lang w:eastAsia="fr-BE"/>
        </w:rPr>
        <w:t xml:space="preserve"> 854-906. </w:t>
      </w:r>
    </w:p>
    <w:p w14:paraId="01A864FA" w14:textId="6FFDB321" w:rsidR="00754823" w:rsidRPr="00A60FD5" w:rsidRDefault="00754823" w:rsidP="00E258CC">
      <w:pPr>
        <w:spacing w:line="220" w:lineRule="exact"/>
        <w:rPr>
          <w:rFonts w:ascii="Times New Roman" w:hAnsi="Times New Roman"/>
          <w:lang w:eastAsia="fr-BE"/>
        </w:rPr>
      </w:pPr>
      <w:r w:rsidRPr="00A60FD5">
        <w:rPr>
          <w:rFonts w:ascii="Times New Roman" w:hAnsi="Times New Roman"/>
          <w:lang w:eastAsia="fr-BE"/>
        </w:rPr>
        <w:t>Malhotra, D., Lumineau</w:t>
      </w:r>
      <w:r w:rsidR="00E9636D" w:rsidRPr="00A60FD5">
        <w:rPr>
          <w:rFonts w:ascii="Times New Roman" w:hAnsi="Times New Roman"/>
          <w:lang w:eastAsia="fr-BE"/>
        </w:rPr>
        <w:t>, F.,</w:t>
      </w:r>
      <w:r w:rsidRPr="00A60FD5">
        <w:rPr>
          <w:rFonts w:ascii="Times New Roman" w:hAnsi="Times New Roman"/>
          <w:lang w:eastAsia="fr-BE"/>
        </w:rPr>
        <w:t xml:space="preserve"> 2011. Trust and collaboration in the aftermath of conflict: the effects of contract structure. Acad</w:t>
      </w:r>
      <w:r w:rsidR="00E9636D" w:rsidRPr="00A60FD5">
        <w:rPr>
          <w:rFonts w:ascii="Times New Roman" w:hAnsi="Times New Roman"/>
          <w:lang w:eastAsia="fr-BE"/>
        </w:rPr>
        <w:t>emy</w:t>
      </w:r>
      <w:r w:rsidRPr="00A60FD5">
        <w:rPr>
          <w:rFonts w:ascii="Times New Roman" w:hAnsi="Times New Roman"/>
          <w:lang w:eastAsia="fr-BE"/>
        </w:rPr>
        <w:t xml:space="preserve"> of Management J</w:t>
      </w:r>
      <w:r w:rsidR="00E9636D" w:rsidRPr="00A60FD5">
        <w:rPr>
          <w:rFonts w:ascii="Times New Roman" w:hAnsi="Times New Roman"/>
          <w:lang w:eastAsia="fr-BE"/>
        </w:rPr>
        <w:t>ournal</w:t>
      </w:r>
      <w:r w:rsidRPr="00A60FD5">
        <w:rPr>
          <w:rFonts w:ascii="Times New Roman" w:hAnsi="Times New Roman"/>
          <w:lang w:eastAsia="fr-BE"/>
        </w:rPr>
        <w:t xml:space="preserve"> 54</w:t>
      </w:r>
      <w:r w:rsidR="00E9636D" w:rsidRPr="00A60FD5">
        <w:rPr>
          <w:rFonts w:ascii="Times New Roman" w:hAnsi="Times New Roman"/>
          <w:lang w:eastAsia="fr-BE"/>
        </w:rPr>
        <w:t>,</w:t>
      </w:r>
      <w:r w:rsidRPr="00A60FD5">
        <w:rPr>
          <w:rFonts w:ascii="Times New Roman" w:hAnsi="Times New Roman"/>
          <w:lang w:eastAsia="fr-BE"/>
        </w:rPr>
        <w:t xml:space="preserve"> 981-998.</w:t>
      </w:r>
    </w:p>
    <w:p w14:paraId="34367023" w14:textId="4C7F532F" w:rsidR="00754823" w:rsidRPr="00A60FD5" w:rsidRDefault="00754823" w:rsidP="00E258CC">
      <w:pPr>
        <w:spacing w:line="220" w:lineRule="exact"/>
        <w:rPr>
          <w:rFonts w:ascii="Times New Roman" w:hAnsi="Times New Roman"/>
          <w:lang w:eastAsia="fr-BE"/>
        </w:rPr>
      </w:pPr>
      <w:r w:rsidRPr="00A60FD5">
        <w:rPr>
          <w:rFonts w:ascii="Times New Roman" w:hAnsi="Times New Roman"/>
          <w:lang w:eastAsia="fr-BE"/>
        </w:rPr>
        <w:t>Martin, X., Salomon</w:t>
      </w:r>
      <w:r w:rsidR="00BD7F94" w:rsidRPr="00A60FD5">
        <w:rPr>
          <w:rFonts w:ascii="Times New Roman" w:hAnsi="Times New Roman"/>
          <w:lang w:eastAsia="fr-BE"/>
        </w:rPr>
        <w:t>, R.,</w:t>
      </w:r>
      <w:r w:rsidRPr="00A60FD5">
        <w:rPr>
          <w:rFonts w:ascii="Times New Roman" w:hAnsi="Times New Roman"/>
          <w:lang w:eastAsia="fr-BE"/>
        </w:rPr>
        <w:t xml:space="preserve"> 2003. Tacitness, learing, and international expansion: a study of foreign direct investment in a knowledge-intensive industry. Organ</w:t>
      </w:r>
      <w:r w:rsidR="00BD7F94" w:rsidRPr="00A60FD5">
        <w:rPr>
          <w:rFonts w:ascii="Times New Roman" w:hAnsi="Times New Roman"/>
          <w:lang w:eastAsia="fr-BE"/>
        </w:rPr>
        <w:t>ization</w:t>
      </w:r>
      <w:r w:rsidRPr="00A60FD5">
        <w:rPr>
          <w:rFonts w:ascii="Times New Roman" w:hAnsi="Times New Roman"/>
          <w:lang w:eastAsia="fr-BE"/>
        </w:rPr>
        <w:t xml:space="preserve"> Sci</w:t>
      </w:r>
      <w:r w:rsidR="00BD7F94" w:rsidRPr="00A60FD5">
        <w:rPr>
          <w:rFonts w:ascii="Times New Roman" w:hAnsi="Times New Roman"/>
          <w:lang w:eastAsia="fr-BE"/>
        </w:rPr>
        <w:t>ence</w:t>
      </w:r>
      <w:r w:rsidRPr="00A60FD5">
        <w:rPr>
          <w:rFonts w:ascii="Times New Roman" w:hAnsi="Times New Roman"/>
          <w:lang w:eastAsia="fr-BE"/>
        </w:rPr>
        <w:t xml:space="preserve"> 14</w:t>
      </w:r>
      <w:r w:rsidR="00BD7F94" w:rsidRPr="00A60FD5">
        <w:rPr>
          <w:rFonts w:ascii="Times New Roman" w:hAnsi="Times New Roman"/>
          <w:lang w:eastAsia="fr-BE"/>
        </w:rPr>
        <w:t>,</w:t>
      </w:r>
      <w:r w:rsidRPr="00A60FD5">
        <w:rPr>
          <w:rFonts w:ascii="Times New Roman" w:hAnsi="Times New Roman"/>
          <w:lang w:eastAsia="fr-BE"/>
        </w:rPr>
        <w:t xml:space="preserve"> 297-311.</w:t>
      </w:r>
    </w:p>
    <w:p w14:paraId="65698E6E" w14:textId="246C4423" w:rsidR="00A51D1B" w:rsidRPr="00A60FD5" w:rsidRDefault="00A51D1B" w:rsidP="00E258CC">
      <w:pPr>
        <w:spacing w:line="220" w:lineRule="exact"/>
        <w:rPr>
          <w:rFonts w:ascii="Times New Roman" w:hAnsi="Times New Roman"/>
          <w:color w:val="000000"/>
        </w:rPr>
      </w:pPr>
      <w:r w:rsidRPr="00A60FD5">
        <w:rPr>
          <w:rFonts w:ascii="Times New Roman" w:hAnsi="Times New Roman"/>
          <w:color w:val="000000"/>
        </w:rPr>
        <w:t>Mayer, K.J., Nickerson</w:t>
      </w:r>
      <w:r w:rsidR="004D5AA7" w:rsidRPr="00A60FD5">
        <w:rPr>
          <w:rFonts w:ascii="Times New Roman" w:hAnsi="Times New Roman"/>
          <w:color w:val="000000"/>
        </w:rPr>
        <w:t>, J.A.,</w:t>
      </w:r>
      <w:r w:rsidRPr="00A60FD5">
        <w:rPr>
          <w:rFonts w:ascii="Times New Roman" w:hAnsi="Times New Roman"/>
          <w:color w:val="000000"/>
        </w:rPr>
        <w:t xml:space="preserve"> 2005. Antecedents and performance implications of contracting for knowledge workers: Evidence from information t</w:t>
      </w:r>
      <w:r w:rsidR="0061376A" w:rsidRPr="00A60FD5">
        <w:rPr>
          <w:rFonts w:ascii="Times New Roman" w:hAnsi="Times New Roman"/>
          <w:color w:val="000000"/>
        </w:rPr>
        <w:t>echnology services. Organ</w:t>
      </w:r>
      <w:r w:rsidR="004D5AA7" w:rsidRPr="00A60FD5">
        <w:rPr>
          <w:rFonts w:ascii="Times New Roman" w:hAnsi="Times New Roman"/>
          <w:color w:val="000000"/>
        </w:rPr>
        <w:t>ization</w:t>
      </w:r>
      <w:r w:rsidRPr="00A60FD5">
        <w:rPr>
          <w:rFonts w:ascii="Times New Roman" w:hAnsi="Times New Roman"/>
          <w:color w:val="000000"/>
        </w:rPr>
        <w:t xml:space="preserve"> Sci</w:t>
      </w:r>
      <w:r w:rsidR="004D5AA7" w:rsidRPr="00A60FD5">
        <w:rPr>
          <w:rFonts w:ascii="Times New Roman" w:hAnsi="Times New Roman"/>
          <w:color w:val="000000"/>
        </w:rPr>
        <w:t>ence</w:t>
      </w:r>
      <w:r w:rsidRPr="00A60FD5">
        <w:rPr>
          <w:rFonts w:ascii="Times New Roman" w:hAnsi="Times New Roman"/>
          <w:color w:val="000000"/>
        </w:rPr>
        <w:t xml:space="preserve"> 16</w:t>
      </w:r>
      <w:r w:rsidR="004D5AA7" w:rsidRPr="00A60FD5">
        <w:rPr>
          <w:rFonts w:ascii="Times New Roman" w:hAnsi="Times New Roman"/>
          <w:color w:val="000000"/>
        </w:rPr>
        <w:t>,</w:t>
      </w:r>
      <w:r w:rsidRPr="00A60FD5">
        <w:rPr>
          <w:rFonts w:ascii="Times New Roman" w:hAnsi="Times New Roman"/>
          <w:color w:val="000000"/>
        </w:rPr>
        <w:t xml:space="preserve"> 225-242.</w:t>
      </w:r>
    </w:p>
    <w:p w14:paraId="1D3EB7B8" w14:textId="714E32D1" w:rsidR="00754823" w:rsidRPr="00A60FD5" w:rsidRDefault="00754823" w:rsidP="00E258CC">
      <w:pPr>
        <w:spacing w:line="220" w:lineRule="exact"/>
        <w:rPr>
          <w:rFonts w:ascii="Times New Roman" w:hAnsi="Times New Roman"/>
          <w:color w:val="000000"/>
        </w:rPr>
      </w:pPr>
      <w:r w:rsidRPr="00A60FD5">
        <w:rPr>
          <w:rFonts w:ascii="Times New Roman" w:hAnsi="Times New Roman"/>
          <w:color w:val="000000"/>
          <w:lang w:val="nl-NL"/>
        </w:rPr>
        <w:t xml:space="preserve">Mellewigt, T., Madhok, </w:t>
      </w:r>
      <w:r w:rsidR="00BD7F94" w:rsidRPr="00A60FD5">
        <w:rPr>
          <w:rFonts w:ascii="Times New Roman" w:hAnsi="Times New Roman"/>
          <w:color w:val="000000"/>
          <w:lang w:val="nl-NL"/>
        </w:rPr>
        <w:t xml:space="preserve">A., </w:t>
      </w:r>
      <w:r w:rsidRPr="00A60FD5">
        <w:rPr>
          <w:rFonts w:ascii="Times New Roman" w:hAnsi="Times New Roman"/>
          <w:color w:val="000000"/>
          <w:lang w:val="nl-NL"/>
        </w:rPr>
        <w:t>Weibel</w:t>
      </w:r>
      <w:r w:rsidR="00BD7F94" w:rsidRPr="00A60FD5">
        <w:rPr>
          <w:rFonts w:ascii="Times New Roman" w:hAnsi="Times New Roman"/>
          <w:color w:val="000000"/>
          <w:lang w:val="nl-NL"/>
        </w:rPr>
        <w:t xml:space="preserve">, A., </w:t>
      </w:r>
      <w:r w:rsidRPr="00A60FD5">
        <w:rPr>
          <w:rFonts w:ascii="Times New Roman" w:hAnsi="Times New Roman"/>
          <w:color w:val="000000"/>
          <w:lang w:val="nl-NL"/>
        </w:rPr>
        <w:t xml:space="preserve"> 2007. </w:t>
      </w:r>
      <w:r w:rsidRPr="00A60FD5">
        <w:rPr>
          <w:rFonts w:ascii="Times New Roman" w:hAnsi="Times New Roman"/>
          <w:color w:val="000000"/>
        </w:rPr>
        <w:t>Trust and formal contracts in interorganizational relationships – substitutes and complements. Managerial and Decision Econom</w:t>
      </w:r>
      <w:r w:rsidR="00BD7F94" w:rsidRPr="00A60FD5">
        <w:rPr>
          <w:rFonts w:ascii="Times New Roman" w:hAnsi="Times New Roman"/>
          <w:color w:val="000000"/>
        </w:rPr>
        <w:t>ics</w:t>
      </w:r>
      <w:r w:rsidRPr="00A60FD5">
        <w:rPr>
          <w:rFonts w:ascii="Times New Roman" w:hAnsi="Times New Roman"/>
          <w:color w:val="000000"/>
        </w:rPr>
        <w:t xml:space="preserve"> 28</w:t>
      </w:r>
      <w:r w:rsidR="00BD7F94" w:rsidRPr="00A60FD5">
        <w:rPr>
          <w:rFonts w:ascii="Times New Roman" w:hAnsi="Times New Roman"/>
          <w:color w:val="000000"/>
        </w:rPr>
        <w:t xml:space="preserve">, </w:t>
      </w:r>
      <w:r w:rsidRPr="00A60FD5">
        <w:rPr>
          <w:rFonts w:ascii="Times New Roman" w:hAnsi="Times New Roman"/>
          <w:color w:val="000000"/>
        </w:rPr>
        <w:t>833-847.</w:t>
      </w:r>
    </w:p>
    <w:p w14:paraId="40F58743" w14:textId="3176E0CA" w:rsidR="00754823" w:rsidRPr="00A60FD5" w:rsidRDefault="00754823" w:rsidP="00E258CC">
      <w:pPr>
        <w:spacing w:line="220" w:lineRule="exact"/>
        <w:rPr>
          <w:rFonts w:ascii="Times New Roman" w:hAnsi="Times New Roman"/>
          <w:color w:val="000000"/>
        </w:rPr>
      </w:pPr>
      <w:r w:rsidRPr="00A60FD5">
        <w:rPr>
          <w:rFonts w:ascii="Times New Roman" w:hAnsi="Times New Roman"/>
          <w:color w:val="000000"/>
        </w:rPr>
        <w:t>Mesquita, L.F., Brush</w:t>
      </w:r>
      <w:r w:rsidR="00BD7F94" w:rsidRPr="00A60FD5">
        <w:rPr>
          <w:rFonts w:ascii="Times New Roman" w:hAnsi="Times New Roman"/>
          <w:color w:val="000000"/>
        </w:rPr>
        <w:t>, T.H.,</w:t>
      </w:r>
      <w:r w:rsidR="002F6B23">
        <w:rPr>
          <w:rFonts w:ascii="Times New Roman" w:hAnsi="Times New Roman"/>
          <w:color w:val="000000"/>
        </w:rPr>
        <w:t xml:space="preserve"> </w:t>
      </w:r>
      <w:r w:rsidRPr="00A60FD5">
        <w:rPr>
          <w:rFonts w:ascii="Times New Roman" w:hAnsi="Times New Roman"/>
          <w:color w:val="000000"/>
        </w:rPr>
        <w:t>2008. Untangling safeguard and production coordination effects in long-term buyer-supplier relationships. Acad</w:t>
      </w:r>
      <w:r w:rsidR="00BD7F94" w:rsidRPr="00A60FD5">
        <w:rPr>
          <w:rFonts w:ascii="Times New Roman" w:hAnsi="Times New Roman"/>
          <w:color w:val="000000"/>
        </w:rPr>
        <w:t>emy</w:t>
      </w:r>
      <w:r w:rsidRPr="00A60FD5">
        <w:rPr>
          <w:rFonts w:ascii="Times New Roman" w:hAnsi="Times New Roman"/>
          <w:color w:val="000000"/>
        </w:rPr>
        <w:t xml:space="preserve"> of Management J</w:t>
      </w:r>
      <w:r w:rsidR="00BD7F94" w:rsidRPr="00A60FD5">
        <w:rPr>
          <w:rFonts w:ascii="Times New Roman" w:hAnsi="Times New Roman"/>
          <w:color w:val="000000"/>
        </w:rPr>
        <w:t>ournal</w:t>
      </w:r>
      <w:r w:rsidRPr="00A60FD5">
        <w:rPr>
          <w:rFonts w:ascii="Times New Roman" w:hAnsi="Times New Roman"/>
          <w:color w:val="000000"/>
        </w:rPr>
        <w:t xml:space="preserve"> 51</w:t>
      </w:r>
      <w:r w:rsidR="00BD7F94" w:rsidRPr="00A60FD5">
        <w:rPr>
          <w:rFonts w:ascii="Times New Roman" w:hAnsi="Times New Roman"/>
          <w:color w:val="000000"/>
        </w:rPr>
        <w:t>,</w:t>
      </w:r>
      <w:r w:rsidRPr="00A60FD5">
        <w:rPr>
          <w:rFonts w:ascii="Times New Roman" w:hAnsi="Times New Roman"/>
          <w:color w:val="000000"/>
        </w:rPr>
        <w:t xml:space="preserve"> 785-807. </w:t>
      </w:r>
    </w:p>
    <w:p w14:paraId="465DFC1D" w14:textId="3BCB004D" w:rsidR="00C614F3" w:rsidRPr="00A60FD5" w:rsidRDefault="001E3C61" w:rsidP="00A60FD5">
      <w:pPr>
        <w:rPr>
          <w:rFonts w:ascii="Times New Roman" w:hAnsi="Times New Roman"/>
          <w:color w:val="000000"/>
        </w:rPr>
      </w:pPr>
      <w:r w:rsidRPr="00A60FD5">
        <w:rPr>
          <w:rFonts w:ascii="Times New Roman" w:eastAsia="Times New Roman" w:hAnsi="Times New Roman" w:cs="Times New Roman"/>
        </w:rPr>
        <w:t xml:space="preserve">Mills, J., 1996. Alternative dispute resolution in international intellectual property disputes. </w:t>
      </w:r>
      <w:r w:rsidRPr="00A60FD5">
        <w:rPr>
          <w:rFonts w:ascii="Times New Roman" w:eastAsia="Times New Roman" w:hAnsi="Times New Roman" w:cs="Times New Roman"/>
          <w:iCs/>
        </w:rPr>
        <w:t xml:space="preserve">Ohio State Journal on Dispute Resolution </w:t>
      </w:r>
      <w:r w:rsidRPr="00A60FD5">
        <w:rPr>
          <w:rFonts w:ascii="Times New Roman" w:eastAsia="Times New Roman" w:hAnsi="Times New Roman" w:cs="Times New Roman"/>
        </w:rPr>
        <w:t xml:space="preserve">11, 227-240. </w:t>
      </w:r>
    </w:p>
    <w:p w14:paraId="18C404B9" w14:textId="0DB2998B" w:rsidR="00754823" w:rsidRPr="00A60FD5" w:rsidRDefault="00754823" w:rsidP="00E258CC">
      <w:pPr>
        <w:spacing w:line="220" w:lineRule="exact"/>
        <w:rPr>
          <w:rFonts w:ascii="Times New Roman" w:hAnsi="Times New Roman"/>
          <w:color w:val="000000"/>
        </w:rPr>
      </w:pPr>
      <w:r w:rsidRPr="00A60FD5">
        <w:rPr>
          <w:rFonts w:ascii="Times New Roman" w:hAnsi="Times New Roman"/>
          <w:color w:val="000000"/>
        </w:rPr>
        <w:t>Mohr, J., Spekman</w:t>
      </w:r>
      <w:r w:rsidR="00EE2AEA" w:rsidRPr="00A60FD5">
        <w:rPr>
          <w:rFonts w:ascii="Times New Roman" w:hAnsi="Times New Roman"/>
          <w:color w:val="000000"/>
        </w:rPr>
        <w:t>, R.,</w:t>
      </w:r>
      <w:r w:rsidRPr="00A60FD5">
        <w:rPr>
          <w:rFonts w:ascii="Times New Roman" w:hAnsi="Times New Roman"/>
          <w:color w:val="000000"/>
        </w:rPr>
        <w:t xml:space="preserve"> 1994. Characteristics of partnership success: partnership attributes, communication behavior, and conflict resolution techniques. Strategic Management J</w:t>
      </w:r>
      <w:r w:rsidR="00EE2AEA" w:rsidRPr="00A60FD5">
        <w:rPr>
          <w:rFonts w:ascii="Times New Roman" w:hAnsi="Times New Roman"/>
          <w:color w:val="000000"/>
        </w:rPr>
        <w:t>ournal</w:t>
      </w:r>
      <w:r w:rsidRPr="00A60FD5">
        <w:rPr>
          <w:rFonts w:ascii="Times New Roman" w:hAnsi="Times New Roman"/>
          <w:color w:val="000000"/>
        </w:rPr>
        <w:t xml:space="preserve"> 15</w:t>
      </w:r>
      <w:r w:rsidR="00EE2AEA" w:rsidRPr="00A60FD5">
        <w:rPr>
          <w:rFonts w:ascii="Times New Roman" w:hAnsi="Times New Roman"/>
          <w:color w:val="000000"/>
        </w:rPr>
        <w:t>,</w:t>
      </w:r>
      <w:r w:rsidRPr="00A60FD5">
        <w:rPr>
          <w:rFonts w:ascii="Times New Roman" w:hAnsi="Times New Roman"/>
          <w:color w:val="000000"/>
        </w:rPr>
        <w:t xml:space="preserve"> 135-152.</w:t>
      </w:r>
    </w:p>
    <w:p w14:paraId="37D53322" w14:textId="2A86294E" w:rsidR="00391F04" w:rsidRPr="00A60FD5" w:rsidRDefault="00391F04" w:rsidP="00E258CC">
      <w:pPr>
        <w:spacing w:line="220" w:lineRule="exact"/>
        <w:rPr>
          <w:rFonts w:ascii="Times New Roman" w:hAnsi="Times New Roman"/>
        </w:rPr>
      </w:pPr>
      <w:r w:rsidRPr="00A60FD5">
        <w:rPr>
          <w:rFonts w:ascii="Times New Roman" w:hAnsi="Times New Roman"/>
          <w:lang w:val="nl-NL"/>
        </w:rPr>
        <w:t>Mooi, E.A., Ghosh</w:t>
      </w:r>
      <w:r w:rsidR="00EE2AEA" w:rsidRPr="00A60FD5">
        <w:rPr>
          <w:rFonts w:ascii="Times New Roman" w:hAnsi="Times New Roman"/>
          <w:lang w:val="nl-NL"/>
        </w:rPr>
        <w:t xml:space="preserve">, M., </w:t>
      </w:r>
      <w:r w:rsidRPr="00A60FD5">
        <w:rPr>
          <w:rFonts w:ascii="Times New Roman" w:hAnsi="Times New Roman"/>
          <w:lang w:val="nl-NL"/>
        </w:rPr>
        <w:t xml:space="preserve">2010. </w:t>
      </w:r>
      <w:r w:rsidRPr="00A60FD5">
        <w:rPr>
          <w:rFonts w:ascii="Times New Roman" w:hAnsi="Times New Roman"/>
        </w:rPr>
        <w:t>Contract specificity and its performance implications. J</w:t>
      </w:r>
      <w:r w:rsidR="00EE2AEA" w:rsidRPr="00A60FD5">
        <w:rPr>
          <w:rFonts w:ascii="Times New Roman" w:hAnsi="Times New Roman"/>
        </w:rPr>
        <w:t>ournal</w:t>
      </w:r>
      <w:r w:rsidRPr="00A60FD5">
        <w:rPr>
          <w:rFonts w:ascii="Times New Roman" w:hAnsi="Times New Roman"/>
        </w:rPr>
        <w:t xml:space="preserve"> of Marketing 74</w:t>
      </w:r>
      <w:r w:rsidR="00EE2AEA" w:rsidRPr="00A60FD5">
        <w:rPr>
          <w:rFonts w:ascii="Times New Roman" w:hAnsi="Times New Roman"/>
        </w:rPr>
        <w:t>,</w:t>
      </w:r>
      <w:r w:rsidRPr="00A60FD5">
        <w:rPr>
          <w:rFonts w:ascii="Times New Roman" w:hAnsi="Times New Roman"/>
        </w:rPr>
        <w:t xml:space="preserve"> 105-120.</w:t>
      </w:r>
    </w:p>
    <w:p w14:paraId="2D664E4C" w14:textId="17F69B08" w:rsidR="00392445" w:rsidRDefault="00392445" w:rsidP="00E258CC">
      <w:pPr>
        <w:spacing w:line="220" w:lineRule="exact"/>
        <w:rPr>
          <w:rFonts w:ascii="Times New Roman" w:hAnsi="Times New Roman"/>
        </w:rPr>
      </w:pPr>
      <w:r w:rsidRPr="00A60FD5">
        <w:rPr>
          <w:rFonts w:ascii="Times New Roman" w:hAnsi="Times New Roman"/>
        </w:rPr>
        <w:t>Muthusamy, S.K., White</w:t>
      </w:r>
      <w:r w:rsidR="002F6B23">
        <w:rPr>
          <w:rFonts w:ascii="Times New Roman" w:hAnsi="Times New Roman"/>
        </w:rPr>
        <w:t xml:space="preserve">, </w:t>
      </w:r>
      <w:r w:rsidR="002F6B23" w:rsidRPr="00A60FD5">
        <w:rPr>
          <w:rFonts w:ascii="Times New Roman" w:hAnsi="Times New Roman"/>
        </w:rPr>
        <w:t>M.A</w:t>
      </w:r>
      <w:r w:rsidR="002F6B23">
        <w:rPr>
          <w:rFonts w:ascii="Times New Roman" w:hAnsi="Times New Roman"/>
        </w:rPr>
        <w:t>,</w:t>
      </w:r>
      <w:r w:rsidRPr="00A60FD5">
        <w:rPr>
          <w:rFonts w:ascii="Times New Roman" w:hAnsi="Times New Roman"/>
        </w:rPr>
        <w:t xml:space="preserve"> 2005. Learning and knowledge transfer in strategic alliances: a social exchange view. Organization Studies 26</w:t>
      </w:r>
      <w:r w:rsidR="002F6B23">
        <w:rPr>
          <w:rFonts w:ascii="Times New Roman" w:hAnsi="Times New Roman"/>
        </w:rPr>
        <w:t>,</w:t>
      </w:r>
      <w:r w:rsidRPr="00A60FD5">
        <w:rPr>
          <w:rFonts w:ascii="Times New Roman" w:hAnsi="Times New Roman"/>
        </w:rPr>
        <w:t xml:space="preserve"> 415-441.</w:t>
      </w:r>
    </w:p>
    <w:p w14:paraId="7B919922" w14:textId="64E3B6E7" w:rsidR="00FE2EB3" w:rsidRPr="00A60FD5" w:rsidRDefault="00FE2EB3" w:rsidP="00FE2EB3">
      <w:pPr>
        <w:spacing w:line="220" w:lineRule="exact"/>
        <w:rPr>
          <w:rFonts w:ascii="Times New Roman" w:hAnsi="Times New Roman"/>
        </w:rPr>
      </w:pPr>
      <w:r w:rsidRPr="00FE2EB3">
        <w:rPr>
          <w:rFonts w:ascii="Times New Roman" w:hAnsi="Times New Roman"/>
        </w:rPr>
        <w:t>Mytelka, L.K.</w:t>
      </w:r>
      <w:r>
        <w:rPr>
          <w:rFonts w:ascii="Times New Roman" w:hAnsi="Times New Roman"/>
        </w:rPr>
        <w:t xml:space="preserve">, </w:t>
      </w:r>
      <w:r w:rsidRPr="00FE2EB3">
        <w:rPr>
          <w:rFonts w:ascii="Times New Roman" w:hAnsi="Times New Roman"/>
        </w:rPr>
        <w:t>1991</w:t>
      </w:r>
      <w:r>
        <w:rPr>
          <w:rFonts w:ascii="Times New Roman" w:hAnsi="Times New Roman"/>
        </w:rPr>
        <w:t xml:space="preserve">. </w:t>
      </w:r>
      <w:r w:rsidRPr="00FE2EB3">
        <w:rPr>
          <w:rFonts w:ascii="Times New Roman" w:hAnsi="Times New Roman"/>
        </w:rPr>
        <w:t xml:space="preserve">Strategic </w:t>
      </w:r>
      <w:r>
        <w:rPr>
          <w:rFonts w:ascii="Times New Roman" w:hAnsi="Times New Roman"/>
        </w:rPr>
        <w:t>p</w:t>
      </w:r>
      <w:r w:rsidRPr="00FE2EB3">
        <w:rPr>
          <w:rFonts w:ascii="Times New Roman" w:hAnsi="Times New Roman"/>
        </w:rPr>
        <w:t>artnerships</w:t>
      </w:r>
      <w:r>
        <w:rPr>
          <w:rFonts w:ascii="Times New Roman" w:hAnsi="Times New Roman"/>
        </w:rPr>
        <w:t xml:space="preserve"> </w:t>
      </w:r>
      <w:r w:rsidRPr="00FE2EB3">
        <w:rPr>
          <w:rFonts w:ascii="Times New Roman" w:hAnsi="Times New Roman"/>
        </w:rPr>
        <w:t>and</w:t>
      </w:r>
      <w:r>
        <w:rPr>
          <w:rFonts w:ascii="Times New Roman" w:hAnsi="Times New Roman"/>
        </w:rPr>
        <w:t xml:space="preserve"> </w:t>
      </w:r>
      <w:r w:rsidRPr="00FE2EB3">
        <w:rPr>
          <w:rFonts w:ascii="Times New Roman" w:hAnsi="Times New Roman"/>
        </w:rPr>
        <w:t>the</w:t>
      </w:r>
      <w:r>
        <w:rPr>
          <w:rFonts w:ascii="Times New Roman" w:hAnsi="Times New Roman"/>
        </w:rPr>
        <w:t xml:space="preserve"> w</w:t>
      </w:r>
      <w:r w:rsidRPr="00FE2EB3">
        <w:rPr>
          <w:rFonts w:ascii="Times New Roman" w:hAnsi="Times New Roman"/>
        </w:rPr>
        <w:t>orld</w:t>
      </w:r>
      <w:r>
        <w:rPr>
          <w:rFonts w:ascii="Times New Roman" w:hAnsi="Times New Roman"/>
        </w:rPr>
        <w:t xml:space="preserve"> e</w:t>
      </w:r>
      <w:r w:rsidRPr="00FE2EB3">
        <w:rPr>
          <w:rFonts w:ascii="Times New Roman" w:hAnsi="Times New Roman"/>
        </w:rPr>
        <w:t>conomy</w:t>
      </w:r>
      <w:r>
        <w:rPr>
          <w:rFonts w:ascii="Times New Roman" w:hAnsi="Times New Roman"/>
        </w:rPr>
        <w:t>.</w:t>
      </w:r>
      <w:r w:rsidRPr="00FE2EB3">
        <w:rPr>
          <w:rFonts w:ascii="Times New Roman" w:hAnsi="Times New Roman"/>
        </w:rPr>
        <w:t xml:space="preserve"> Pinter: London.</w:t>
      </w:r>
    </w:p>
    <w:p w14:paraId="45882524" w14:textId="4640729D" w:rsidR="00C614F3" w:rsidRPr="00A60FD5" w:rsidRDefault="00C614F3" w:rsidP="00E258CC">
      <w:pPr>
        <w:spacing w:line="220" w:lineRule="exact"/>
        <w:rPr>
          <w:rFonts w:ascii="Times New Roman" w:hAnsi="Times New Roman"/>
        </w:rPr>
      </w:pPr>
      <w:r w:rsidRPr="00A60FD5">
        <w:rPr>
          <w:rFonts w:ascii="Times New Roman" w:hAnsi="Times New Roman"/>
        </w:rPr>
        <w:t>Nelson, R.R., Winter</w:t>
      </w:r>
      <w:r w:rsidR="00C61B9E" w:rsidRPr="00A60FD5">
        <w:rPr>
          <w:rFonts w:ascii="Times New Roman" w:hAnsi="Times New Roman"/>
        </w:rPr>
        <w:t>, S.G.,</w:t>
      </w:r>
      <w:r w:rsidRPr="00A60FD5">
        <w:rPr>
          <w:rFonts w:ascii="Times New Roman" w:hAnsi="Times New Roman"/>
        </w:rPr>
        <w:t xml:space="preserve"> 1982. The Schumpeterian tradeoff revisited. </w:t>
      </w:r>
      <w:r w:rsidR="00C61B9E" w:rsidRPr="00A60FD5">
        <w:rPr>
          <w:rFonts w:ascii="Times New Roman" w:hAnsi="Times New Roman"/>
        </w:rPr>
        <w:t>American Economic Review</w:t>
      </w:r>
      <w:r w:rsidRPr="00A60FD5">
        <w:rPr>
          <w:rFonts w:ascii="Times New Roman" w:hAnsi="Times New Roman"/>
        </w:rPr>
        <w:t xml:space="preserve"> 72</w:t>
      </w:r>
      <w:r w:rsidR="00C61B9E" w:rsidRPr="00A60FD5">
        <w:rPr>
          <w:rFonts w:ascii="Times New Roman" w:hAnsi="Times New Roman"/>
        </w:rPr>
        <w:t>,</w:t>
      </w:r>
      <w:r w:rsidRPr="00A60FD5">
        <w:rPr>
          <w:rFonts w:ascii="Times New Roman" w:hAnsi="Times New Roman"/>
        </w:rPr>
        <w:t xml:space="preserve"> 114-132. </w:t>
      </w:r>
    </w:p>
    <w:p w14:paraId="64E5A946" w14:textId="0E4B8508" w:rsidR="00742AA3" w:rsidRDefault="00742AA3" w:rsidP="00E258CC">
      <w:pPr>
        <w:spacing w:line="220" w:lineRule="exact"/>
        <w:rPr>
          <w:rFonts w:ascii="Times New Roman" w:hAnsi="Times New Roman"/>
        </w:rPr>
      </w:pPr>
      <w:r w:rsidRPr="00A60FD5">
        <w:rPr>
          <w:rFonts w:ascii="Times New Roman" w:hAnsi="Times New Roman"/>
        </w:rPr>
        <w:t>Nooteboom, B.</w:t>
      </w:r>
      <w:r w:rsidR="00E03D86" w:rsidRPr="00A60FD5">
        <w:rPr>
          <w:rFonts w:ascii="Times New Roman" w:hAnsi="Times New Roman"/>
        </w:rPr>
        <w:t>,</w:t>
      </w:r>
      <w:r w:rsidRPr="00A60FD5">
        <w:rPr>
          <w:rFonts w:ascii="Times New Roman" w:hAnsi="Times New Roman"/>
        </w:rPr>
        <w:t xml:space="preserve"> 1999. Innovation and inter-firm linkages: new implications for policy. Res</w:t>
      </w:r>
      <w:r w:rsidR="00E03D86" w:rsidRPr="00A60FD5">
        <w:rPr>
          <w:rFonts w:ascii="Times New Roman" w:hAnsi="Times New Roman"/>
        </w:rPr>
        <w:t>earch</w:t>
      </w:r>
      <w:r w:rsidRPr="00A60FD5">
        <w:rPr>
          <w:rFonts w:ascii="Times New Roman" w:hAnsi="Times New Roman"/>
        </w:rPr>
        <w:t xml:space="preserve"> Pol</w:t>
      </w:r>
      <w:r w:rsidR="00E03D86" w:rsidRPr="00A60FD5">
        <w:rPr>
          <w:rFonts w:ascii="Times New Roman" w:hAnsi="Times New Roman"/>
        </w:rPr>
        <w:t>icy</w:t>
      </w:r>
      <w:r w:rsidRPr="00A60FD5">
        <w:rPr>
          <w:rFonts w:ascii="Times New Roman" w:hAnsi="Times New Roman"/>
        </w:rPr>
        <w:t xml:space="preserve"> 28</w:t>
      </w:r>
      <w:r w:rsidR="00E03D86" w:rsidRPr="00A60FD5">
        <w:rPr>
          <w:rFonts w:ascii="Times New Roman" w:hAnsi="Times New Roman"/>
        </w:rPr>
        <w:t>,</w:t>
      </w:r>
      <w:r w:rsidRPr="00A60FD5">
        <w:rPr>
          <w:rFonts w:ascii="Times New Roman" w:hAnsi="Times New Roman"/>
        </w:rPr>
        <w:t xml:space="preserve"> 793-805. </w:t>
      </w:r>
    </w:p>
    <w:p w14:paraId="2F7DDD48" w14:textId="0EBA3B85" w:rsidR="00836FCB" w:rsidRPr="00A60FD5" w:rsidRDefault="00836FCB" w:rsidP="00E258CC">
      <w:pPr>
        <w:spacing w:line="220" w:lineRule="exact"/>
        <w:rPr>
          <w:rFonts w:ascii="Times New Roman" w:hAnsi="Times New Roman"/>
        </w:rPr>
      </w:pPr>
      <w:r>
        <w:rPr>
          <w:rFonts w:ascii="Times New Roman" w:hAnsi="Times New Roman"/>
        </w:rPr>
        <w:lastRenderedPageBreak/>
        <w:t xml:space="preserve">Osborn, R., Baughn, C., 1990. Forms of inter-organizational governance for multinational alliances. Academy of Management Journal 33, 503-519. </w:t>
      </w:r>
    </w:p>
    <w:p w14:paraId="2474B6FE" w14:textId="27998388" w:rsidR="00CC5D3D" w:rsidRPr="00A60FD5" w:rsidRDefault="00CC5D3D" w:rsidP="00E258CC">
      <w:pPr>
        <w:spacing w:line="220" w:lineRule="exact"/>
        <w:rPr>
          <w:rFonts w:ascii="Times New Roman" w:hAnsi="Times New Roman"/>
        </w:rPr>
      </w:pPr>
      <w:r w:rsidRPr="00A60FD5">
        <w:rPr>
          <w:rFonts w:ascii="Times New Roman" w:hAnsi="Times New Roman"/>
        </w:rPr>
        <w:t>Ouchi, W.G.</w:t>
      </w:r>
      <w:r w:rsidR="00265B14" w:rsidRPr="00A60FD5">
        <w:rPr>
          <w:rFonts w:ascii="Times New Roman" w:hAnsi="Times New Roman"/>
        </w:rPr>
        <w:t>,</w:t>
      </w:r>
      <w:r w:rsidRPr="00A60FD5">
        <w:rPr>
          <w:rFonts w:ascii="Times New Roman" w:hAnsi="Times New Roman"/>
        </w:rPr>
        <w:t xml:space="preserve"> 1979. A conceptual framework for the design of organizational control mechanisms. In Readings in Accounting for Management Control (p. 63-82). Springer US.</w:t>
      </w:r>
    </w:p>
    <w:p w14:paraId="27C0EC1C" w14:textId="469DF212" w:rsidR="00754823" w:rsidRPr="00A60FD5" w:rsidRDefault="00754823" w:rsidP="00E258CC">
      <w:pPr>
        <w:spacing w:line="220" w:lineRule="exact"/>
        <w:rPr>
          <w:rFonts w:ascii="Times New Roman" w:hAnsi="Times New Roman"/>
        </w:rPr>
      </w:pPr>
      <w:r w:rsidRPr="00A60FD5">
        <w:rPr>
          <w:rFonts w:ascii="Times New Roman" w:hAnsi="Times New Roman"/>
        </w:rPr>
        <w:t>Oxley, J.E.</w:t>
      </w:r>
      <w:r w:rsidR="00C61B9E" w:rsidRPr="00A60FD5">
        <w:rPr>
          <w:rFonts w:ascii="Times New Roman" w:hAnsi="Times New Roman"/>
        </w:rPr>
        <w:t>,</w:t>
      </w:r>
      <w:r w:rsidRPr="00A60FD5">
        <w:rPr>
          <w:rFonts w:ascii="Times New Roman" w:hAnsi="Times New Roman"/>
        </w:rPr>
        <w:t xml:space="preserve"> 1997. Appropriability hazards and governance in strategic alliances: a Transaction Cost Approach. J</w:t>
      </w:r>
      <w:r w:rsidR="00C61B9E" w:rsidRPr="00A60FD5">
        <w:rPr>
          <w:rFonts w:ascii="Times New Roman" w:hAnsi="Times New Roman"/>
        </w:rPr>
        <w:t xml:space="preserve">ournal of Law, Economics and Organization 13, </w:t>
      </w:r>
      <w:r w:rsidRPr="00A60FD5">
        <w:rPr>
          <w:rFonts w:ascii="Times New Roman" w:hAnsi="Times New Roman"/>
        </w:rPr>
        <w:t xml:space="preserve">387-409.     </w:t>
      </w:r>
    </w:p>
    <w:p w14:paraId="2F2EA4F2" w14:textId="0E030DD9" w:rsidR="00754823" w:rsidRPr="00A60FD5" w:rsidRDefault="00754823" w:rsidP="00E258CC">
      <w:pPr>
        <w:spacing w:line="220" w:lineRule="exact"/>
        <w:rPr>
          <w:rFonts w:ascii="Times New Roman" w:hAnsi="Times New Roman"/>
        </w:rPr>
      </w:pPr>
      <w:r w:rsidRPr="00A60FD5">
        <w:rPr>
          <w:rFonts w:ascii="Times New Roman" w:hAnsi="Times New Roman"/>
        </w:rPr>
        <w:t>Oxley, J.E.</w:t>
      </w:r>
      <w:r w:rsidR="006019C0" w:rsidRPr="00A60FD5">
        <w:rPr>
          <w:rFonts w:ascii="Times New Roman" w:hAnsi="Times New Roman"/>
        </w:rPr>
        <w:t>,</w:t>
      </w:r>
      <w:r w:rsidRPr="00A60FD5">
        <w:rPr>
          <w:rFonts w:ascii="Times New Roman" w:hAnsi="Times New Roman"/>
        </w:rPr>
        <w:t xml:space="preserve"> 1999. Institutional environment and the mechanisms of governance : the impact of intellectual property protection on the structure of inter-firm alliances. J</w:t>
      </w:r>
      <w:r w:rsidR="006019C0" w:rsidRPr="00A60FD5">
        <w:rPr>
          <w:rFonts w:ascii="Times New Roman" w:hAnsi="Times New Roman"/>
        </w:rPr>
        <w:t>ournal</w:t>
      </w:r>
      <w:r w:rsidRPr="00A60FD5">
        <w:rPr>
          <w:rFonts w:ascii="Times New Roman" w:hAnsi="Times New Roman"/>
        </w:rPr>
        <w:t xml:space="preserve"> of Econom</w:t>
      </w:r>
      <w:r w:rsidR="006019C0" w:rsidRPr="00A60FD5">
        <w:rPr>
          <w:rFonts w:ascii="Times New Roman" w:hAnsi="Times New Roman"/>
        </w:rPr>
        <w:t>ic</w:t>
      </w:r>
      <w:r w:rsidRPr="00A60FD5">
        <w:rPr>
          <w:rFonts w:ascii="Times New Roman" w:hAnsi="Times New Roman"/>
        </w:rPr>
        <w:t xml:space="preserve"> Behavior and Organ</w:t>
      </w:r>
      <w:r w:rsidR="006019C0" w:rsidRPr="00A60FD5">
        <w:rPr>
          <w:rFonts w:ascii="Times New Roman" w:hAnsi="Times New Roman"/>
        </w:rPr>
        <w:t>ization</w:t>
      </w:r>
      <w:r w:rsidRPr="00A60FD5">
        <w:rPr>
          <w:rFonts w:ascii="Times New Roman" w:hAnsi="Times New Roman"/>
        </w:rPr>
        <w:t xml:space="preserve"> 38</w:t>
      </w:r>
      <w:r w:rsidR="006019C0" w:rsidRPr="00A60FD5">
        <w:rPr>
          <w:rFonts w:ascii="Times New Roman" w:hAnsi="Times New Roman"/>
        </w:rPr>
        <w:t>,</w:t>
      </w:r>
      <w:r w:rsidRPr="00A60FD5">
        <w:rPr>
          <w:rFonts w:ascii="Times New Roman" w:hAnsi="Times New Roman"/>
        </w:rPr>
        <w:t xml:space="preserve"> 283-309.</w:t>
      </w:r>
    </w:p>
    <w:p w14:paraId="2BC162A7" w14:textId="6369D5F7" w:rsidR="008F6AEF" w:rsidRDefault="008F6AEF" w:rsidP="00E258CC">
      <w:pPr>
        <w:spacing w:line="220" w:lineRule="exact"/>
        <w:rPr>
          <w:rFonts w:ascii="Times New Roman" w:hAnsi="Times New Roman"/>
        </w:rPr>
      </w:pPr>
      <w:r w:rsidRPr="00A60FD5">
        <w:rPr>
          <w:rFonts w:ascii="Times New Roman" w:hAnsi="Times New Roman"/>
        </w:rPr>
        <w:t>Oxley, J.E., Sampson</w:t>
      </w:r>
      <w:r w:rsidR="006019C0" w:rsidRPr="00A60FD5">
        <w:rPr>
          <w:rFonts w:ascii="Times New Roman" w:hAnsi="Times New Roman"/>
        </w:rPr>
        <w:t>, R.C.,</w:t>
      </w:r>
      <w:r w:rsidRPr="00A60FD5">
        <w:rPr>
          <w:rFonts w:ascii="Times New Roman" w:hAnsi="Times New Roman"/>
        </w:rPr>
        <w:t xml:space="preserve"> 2004. The scope and governance of international R&amp;D alliances. Strat</w:t>
      </w:r>
      <w:r w:rsidR="006019C0" w:rsidRPr="00A60FD5">
        <w:rPr>
          <w:rFonts w:ascii="Times New Roman" w:hAnsi="Times New Roman"/>
        </w:rPr>
        <w:t>egic</w:t>
      </w:r>
      <w:r w:rsidRPr="00A60FD5">
        <w:rPr>
          <w:rFonts w:ascii="Times New Roman" w:hAnsi="Times New Roman"/>
        </w:rPr>
        <w:t xml:space="preserve"> Management J</w:t>
      </w:r>
      <w:r w:rsidR="006019C0" w:rsidRPr="00A60FD5">
        <w:rPr>
          <w:rFonts w:ascii="Times New Roman" w:hAnsi="Times New Roman"/>
        </w:rPr>
        <w:t>ournal</w:t>
      </w:r>
      <w:r w:rsidRPr="00A60FD5">
        <w:rPr>
          <w:rFonts w:ascii="Times New Roman" w:hAnsi="Times New Roman"/>
        </w:rPr>
        <w:t xml:space="preserve"> 25</w:t>
      </w:r>
      <w:r w:rsidR="006019C0" w:rsidRPr="00A60FD5">
        <w:rPr>
          <w:rFonts w:ascii="Times New Roman" w:hAnsi="Times New Roman"/>
        </w:rPr>
        <w:t xml:space="preserve">, </w:t>
      </w:r>
      <w:r w:rsidRPr="00A60FD5">
        <w:rPr>
          <w:rFonts w:ascii="Times New Roman" w:hAnsi="Times New Roman"/>
        </w:rPr>
        <w:t>723-749.</w:t>
      </w:r>
    </w:p>
    <w:p w14:paraId="5BE567A6" w14:textId="17F2CAF7" w:rsidR="00836FCB" w:rsidRPr="00A60FD5" w:rsidRDefault="00836FCB" w:rsidP="00E258CC">
      <w:pPr>
        <w:spacing w:line="220" w:lineRule="exact"/>
        <w:rPr>
          <w:rFonts w:ascii="Times New Roman" w:hAnsi="Times New Roman"/>
        </w:rPr>
      </w:pPr>
      <w:r>
        <w:rPr>
          <w:rFonts w:ascii="Times New Roman" w:hAnsi="Times New Roman"/>
        </w:rPr>
        <w:t xml:space="preserve">Park, S-H, Ungson, G., 2001. Inter-firm rivalry and managerial complexity: a conceptual framework of alliance failure. Organization Science 12, 37-53. </w:t>
      </w:r>
    </w:p>
    <w:p w14:paraId="16B2735F" w14:textId="56708031" w:rsidR="0049089C" w:rsidRPr="00A60FD5" w:rsidRDefault="0049089C" w:rsidP="00E258CC">
      <w:pPr>
        <w:spacing w:line="220" w:lineRule="exact"/>
        <w:rPr>
          <w:rFonts w:ascii="Times New Roman" w:hAnsi="Times New Roman"/>
        </w:rPr>
      </w:pPr>
      <w:r w:rsidRPr="00A60FD5">
        <w:rPr>
          <w:rFonts w:ascii="Times New Roman" w:hAnsi="Times New Roman"/>
        </w:rPr>
        <w:t>Park, W.W.</w:t>
      </w:r>
      <w:r w:rsidR="00704689">
        <w:rPr>
          <w:rFonts w:ascii="Times New Roman" w:hAnsi="Times New Roman"/>
        </w:rPr>
        <w:t>,</w:t>
      </w:r>
      <w:r w:rsidRPr="00A60FD5">
        <w:rPr>
          <w:rFonts w:ascii="Times New Roman" w:hAnsi="Times New Roman"/>
        </w:rPr>
        <w:t xml:space="preserve"> 1998. Bridging the Gap in Forum Selection: Harmonizing Arbitration and Court Selection. Transnational Law &amp; Contemporary Problems 8</w:t>
      </w:r>
      <w:r w:rsidR="00704689">
        <w:rPr>
          <w:rFonts w:ascii="Times New Roman" w:hAnsi="Times New Roman"/>
        </w:rPr>
        <w:t>,</w:t>
      </w:r>
      <w:r w:rsidRPr="00A60FD5">
        <w:rPr>
          <w:rFonts w:ascii="Times New Roman" w:hAnsi="Times New Roman"/>
        </w:rPr>
        <w:t xml:space="preserve"> 19.</w:t>
      </w:r>
    </w:p>
    <w:p w14:paraId="1BBD3967" w14:textId="026F2A49" w:rsidR="00754823" w:rsidRPr="00A60FD5" w:rsidRDefault="00754823" w:rsidP="00E258CC">
      <w:pPr>
        <w:spacing w:line="220" w:lineRule="exact"/>
        <w:rPr>
          <w:rFonts w:ascii="Times New Roman" w:hAnsi="Times New Roman"/>
          <w:lang w:eastAsia="fr-BE"/>
        </w:rPr>
      </w:pPr>
      <w:r w:rsidRPr="00A60FD5">
        <w:rPr>
          <w:rFonts w:ascii="Times New Roman" w:hAnsi="Times New Roman"/>
        </w:rPr>
        <w:t>Park</w:t>
      </w:r>
      <w:r w:rsidR="00A81F92" w:rsidRPr="00A60FD5">
        <w:rPr>
          <w:rFonts w:ascii="Times New Roman" w:hAnsi="Times New Roman"/>
        </w:rPr>
        <w:t>,</w:t>
      </w:r>
      <w:r w:rsidRPr="00A60FD5">
        <w:rPr>
          <w:rFonts w:ascii="Times New Roman" w:hAnsi="Times New Roman"/>
        </w:rPr>
        <w:t xml:space="preserve"> W.G.</w:t>
      </w:r>
      <w:r w:rsidR="00A81F92" w:rsidRPr="00A60FD5">
        <w:rPr>
          <w:rFonts w:ascii="Times New Roman" w:hAnsi="Times New Roman"/>
        </w:rPr>
        <w:t>,</w:t>
      </w:r>
      <w:r w:rsidRPr="00A60FD5">
        <w:rPr>
          <w:rFonts w:ascii="Times New Roman" w:hAnsi="Times New Roman"/>
        </w:rPr>
        <w:t xml:space="preserve"> 2008. International patent protection: 1960-2005. Res</w:t>
      </w:r>
      <w:r w:rsidR="00A81F92" w:rsidRPr="00A60FD5">
        <w:rPr>
          <w:rFonts w:ascii="Times New Roman" w:hAnsi="Times New Roman"/>
        </w:rPr>
        <w:t>earch</w:t>
      </w:r>
      <w:r w:rsidRPr="00A60FD5">
        <w:rPr>
          <w:rFonts w:ascii="Times New Roman" w:hAnsi="Times New Roman"/>
        </w:rPr>
        <w:t xml:space="preserve"> Pol</w:t>
      </w:r>
      <w:r w:rsidR="00A81F92" w:rsidRPr="00A60FD5">
        <w:rPr>
          <w:rFonts w:ascii="Times New Roman" w:hAnsi="Times New Roman"/>
        </w:rPr>
        <w:t>icy</w:t>
      </w:r>
      <w:r w:rsidRPr="00A60FD5">
        <w:rPr>
          <w:rFonts w:ascii="Times New Roman" w:hAnsi="Times New Roman"/>
        </w:rPr>
        <w:t xml:space="preserve"> </w:t>
      </w:r>
      <w:r w:rsidRPr="00A60FD5">
        <w:rPr>
          <w:rFonts w:ascii="Times New Roman" w:hAnsi="Times New Roman"/>
          <w:lang w:eastAsia="fr-BE"/>
        </w:rPr>
        <w:t>37</w:t>
      </w:r>
      <w:r w:rsidR="00A81F92" w:rsidRPr="00A60FD5">
        <w:rPr>
          <w:rFonts w:ascii="Times New Roman" w:hAnsi="Times New Roman"/>
          <w:lang w:eastAsia="fr-BE"/>
        </w:rPr>
        <w:t>,</w:t>
      </w:r>
      <w:r w:rsidRPr="00A60FD5">
        <w:rPr>
          <w:rFonts w:ascii="Times New Roman" w:hAnsi="Times New Roman"/>
          <w:lang w:eastAsia="fr-BE"/>
        </w:rPr>
        <w:t xml:space="preserve"> 761-766.</w:t>
      </w:r>
    </w:p>
    <w:p w14:paraId="23D51576" w14:textId="50AAA82E" w:rsidR="00754823" w:rsidRPr="00A60FD5" w:rsidRDefault="00754823" w:rsidP="00E258CC">
      <w:pPr>
        <w:spacing w:line="220" w:lineRule="exact"/>
        <w:rPr>
          <w:rFonts w:ascii="Times New Roman" w:hAnsi="Times New Roman"/>
          <w:lang w:eastAsia="fr-BE"/>
        </w:rPr>
      </w:pPr>
      <w:r w:rsidRPr="00A60FD5">
        <w:rPr>
          <w:rFonts w:ascii="Times New Roman" w:hAnsi="Times New Roman"/>
          <w:lang w:eastAsia="fr-BE"/>
        </w:rPr>
        <w:t>Parkhe, A.</w:t>
      </w:r>
      <w:r w:rsidR="00265B14" w:rsidRPr="00A60FD5">
        <w:rPr>
          <w:rFonts w:ascii="Times New Roman" w:hAnsi="Times New Roman"/>
          <w:lang w:eastAsia="fr-BE"/>
        </w:rPr>
        <w:t>,</w:t>
      </w:r>
      <w:r w:rsidRPr="00A60FD5">
        <w:rPr>
          <w:rFonts w:ascii="Times New Roman" w:hAnsi="Times New Roman"/>
          <w:lang w:eastAsia="fr-BE"/>
        </w:rPr>
        <w:t xml:space="preserve"> 1993. Strategic alliance structuring: a game theoretic and transaction cost examination of interfirm cooperation. Acad</w:t>
      </w:r>
      <w:r w:rsidR="00265B14" w:rsidRPr="00A60FD5">
        <w:rPr>
          <w:rFonts w:ascii="Times New Roman" w:hAnsi="Times New Roman"/>
          <w:lang w:eastAsia="fr-BE"/>
        </w:rPr>
        <w:t>emy</w:t>
      </w:r>
      <w:r w:rsidRPr="00A60FD5">
        <w:rPr>
          <w:rFonts w:ascii="Times New Roman" w:hAnsi="Times New Roman"/>
          <w:lang w:eastAsia="fr-BE"/>
        </w:rPr>
        <w:t xml:space="preserve"> of Management J</w:t>
      </w:r>
      <w:r w:rsidR="00265B14" w:rsidRPr="00A60FD5">
        <w:rPr>
          <w:rFonts w:ascii="Times New Roman" w:hAnsi="Times New Roman"/>
          <w:lang w:eastAsia="fr-BE"/>
        </w:rPr>
        <w:t>ournal</w:t>
      </w:r>
      <w:r w:rsidRPr="00A60FD5">
        <w:rPr>
          <w:rFonts w:ascii="Times New Roman" w:hAnsi="Times New Roman"/>
          <w:lang w:eastAsia="fr-BE"/>
        </w:rPr>
        <w:t xml:space="preserve"> 36</w:t>
      </w:r>
      <w:r w:rsidR="00265B14" w:rsidRPr="00A60FD5">
        <w:rPr>
          <w:rFonts w:ascii="Times New Roman" w:hAnsi="Times New Roman"/>
          <w:lang w:eastAsia="fr-BE"/>
        </w:rPr>
        <w:t>,</w:t>
      </w:r>
      <w:r w:rsidRPr="00A60FD5">
        <w:rPr>
          <w:rFonts w:ascii="Times New Roman" w:hAnsi="Times New Roman"/>
          <w:lang w:eastAsia="fr-BE"/>
        </w:rPr>
        <w:t xml:space="preserve"> 794-829. </w:t>
      </w:r>
    </w:p>
    <w:p w14:paraId="1586B841" w14:textId="7E47FDBA" w:rsidR="00754823" w:rsidRPr="00A60FD5" w:rsidRDefault="00754823" w:rsidP="00E258CC">
      <w:pPr>
        <w:spacing w:line="220" w:lineRule="exact"/>
        <w:rPr>
          <w:rFonts w:ascii="Times New Roman" w:hAnsi="Times New Roman"/>
          <w:lang w:eastAsia="fr-BE"/>
        </w:rPr>
      </w:pPr>
      <w:r w:rsidRPr="00A60FD5">
        <w:rPr>
          <w:rFonts w:ascii="Times New Roman" w:hAnsi="Times New Roman"/>
          <w:lang w:eastAsia="fr-BE"/>
        </w:rPr>
        <w:t>Perlman, L., Nelson</w:t>
      </w:r>
      <w:r w:rsidR="00EE2AEA" w:rsidRPr="00A60FD5">
        <w:rPr>
          <w:rFonts w:ascii="Times New Roman" w:hAnsi="Times New Roman"/>
          <w:lang w:eastAsia="fr-BE"/>
        </w:rPr>
        <w:t>, S.C.,</w:t>
      </w:r>
      <w:r w:rsidRPr="00A60FD5">
        <w:rPr>
          <w:rFonts w:ascii="Times New Roman" w:hAnsi="Times New Roman"/>
          <w:lang w:eastAsia="fr-BE"/>
        </w:rPr>
        <w:t xml:space="preserve"> 1983. New approaches to the resolution of international commercial disputes. The Intern</w:t>
      </w:r>
      <w:r w:rsidR="00EE2AEA" w:rsidRPr="00A60FD5">
        <w:rPr>
          <w:rFonts w:ascii="Times New Roman" w:hAnsi="Times New Roman"/>
          <w:lang w:eastAsia="fr-BE"/>
        </w:rPr>
        <w:t>ational</w:t>
      </w:r>
      <w:r w:rsidRPr="00A60FD5">
        <w:rPr>
          <w:rFonts w:ascii="Times New Roman" w:hAnsi="Times New Roman"/>
          <w:lang w:eastAsia="fr-BE"/>
        </w:rPr>
        <w:t xml:space="preserve"> Lawyer</w:t>
      </w:r>
      <w:r w:rsidR="00EE2AEA" w:rsidRPr="00A60FD5">
        <w:rPr>
          <w:rFonts w:ascii="Times New Roman" w:hAnsi="Times New Roman"/>
          <w:lang w:eastAsia="fr-BE"/>
        </w:rPr>
        <w:t>,</w:t>
      </w:r>
      <w:r w:rsidRPr="00A60FD5">
        <w:rPr>
          <w:rFonts w:ascii="Times New Roman" w:hAnsi="Times New Roman"/>
          <w:lang w:eastAsia="fr-BE"/>
        </w:rPr>
        <w:t xml:space="preserve"> 215-255.</w:t>
      </w:r>
    </w:p>
    <w:p w14:paraId="4E01DD73" w14:textId="49CE0E37" w:rsidR="00521CD6" w:rsidRPr="00A60FD5" w:rsidRDefault="00521CD6" w:rsidP="00303EED">
      <w:pPr>
        <w:spacing w:line="220" w:lineRule="exact"/>
        <w:rPr>
          <w:rFonts w:ascii="Times New Roman" w:hAnsi="Times New Roman"/>
          <w:lang w:eastAsia="fr-BE"/>
        </w:rPr>
      </w:pPr>
      <w:r w:rsidRPr="00A60FD5">
        <w:rPr>
          <w:rFonts w:ascii="Times New Roman" w:hAnsi="Times New Roman"/>
          <w:lang w:eastAsia="fr-BE"/>
        </w:rPr>
        <w:t>Pinkham, B.C., Peng</w:t>
      </w:r>
      <w:r w:rsidR="00E03D86" w:rsidRPr="00A60FD5">
        <w:rPr>
          <w:rFonts w:ascii="Times New Roman" w:hAnsi="Times New Roman"/>
          <w:lang w:eastAsia="fr-BE"/>
        </w:rPr>
        <w:t>, M.W.,</w:t>
      </w:r>
      <w:r w:rsidRPr="00A60FD5">
        <w:rPr>
          <w:rFonts w:ascii="Times New Roman" w:hAnsi="Times New Roman"/>
          <w:lang w:eastAsia="fr-BE"/>
        </w:rPr>
        <w:t xml:space="preserve"> 2017. Overcoming institutional voids via arbitration. J</w:t>
      </w:r>
      <w:r w:rsidR="00E03D86" w:rsidRPr="00A60FD5">
        <w:rPr>
          <w:rFonts w:ascii="Times New Roman" w:hAnsi="Times New Roman"/>
          <w:lang w:eastAsia="fr-BE"/>
        </w:rPr>
        <w:t>ournal</w:t>
      </w:r>
      <w:r w:rsidRPr="00A60FD5">
        <w:rPr>
          <w:rFonts w:ascii="Times New Roman" w:hAnsi="Times New Roman"/>
          <w:lang w:eastAsia="fr-BE"/>
        </w:rPr>
        <w:t xml:space="preserve"> of Intern</w:t>
      </w:r>
      <w:r w:rsidR="00E03D86" w:rsidRPr="00A60FD5">
        <w:rPr>
          <w:rFonts w:ascii="Times New Roman" w:hAnsi="Times New Roman"/>
          <w:lang w:eastAsia="fr-BE"/>
        </w:rPr>
        <w:t>ational</w:t>
      </w:r>
      <w:r w:rsidRPr="00A60FD5">
        <w:rPr>
          <w:rFonts w:ascii="Times New Roman" w:hAnsi="Times New Roman"/>
          <w:lang w:eastAsia="fr-BE"/>
        </w:rPr>
        <w:t xml:space="preserve"> Business Stud</w:t>
      </w:r>
      <w:r w:rsidR="00E03D86" w:rsidRPr="00A60FD5">
        <w:rPr>
          <w:rFonts w:ascii="Times New Roman" w:hAnsi="Times New Roman"/>
          <w:lang w:eastAsia="fr-BE"/>
        </w:rPr>
        <w:t>ies</w:t>
      </w:r>
      <w:r w:rsidRPr="00A60FD5">
        <w:rPr>
          <w:rFonts w:ascii="Times New Roman" w:hAnsi="Times New Roman"/>
          <w:lang w:eastAsia="fr-BE"/>
        </w:rPr>
        <w:t xml:space="preserve"> 48</w:t>
      </w:r>
      <w:r w:rsidR="00E03D86" w:rsidRPr="00A60FD5">
        <w:rPr>
          <w:rFonts w:ascii="Times New Roman" w:hAnsi="Times New Roman"/>
          <w:lang w:eastAsia="fr-BE"/>
        </w:rPr>
        <w:t>,</w:t>
      </w:r>
      <w:r w:rsidRPr="00A60FD5">
        <w:rPr>
          <w:rFonts w:ascii="Times New Roman" w:hAnsi="Times New Roman"/>
          <w:lang w:eastAsia="fr-BE"/>
        </w:rPr>
        <w:t xml:space="preserve"> 344-359.</w:t>
      </w:r>
    </w:p>
    <w:p w14:paraId="09D7A8ED" w14:textId="75C7A32B" w:rsidR="00C614F3" w:rsidRPr="00A60FD5" w:rsidRDefault="00C614F3" w:rsidP="00303EED">
      <w:pPr>
        <w:spacing w:line="220" w:lineRule="exact"/>
        <w:rPr>
          <w:rFonts w:ascii="Times New Roman" w:hAnsi="Times New Roman"/>
          <w:lang w:eastAsia="fr-BE"/>
        </w:rPr>
      </w:pPr>
      <w:r w:rsidRPr="00A60FD5">
        <w:rPr>
          <w:rFonts w:ascii="Times New Roman" w:hAnsi="Times New Roman"/>
          <w:lang w:eastAsia="fr-BE"/>
        </w:rPr>
        <w:t>Pisano, G.P.</w:t>
      </w:r>
      <w:r w:rsidR="00CB4F09" w:rsidRPr="00A60FD5">
        <w:rPr>
          <w:rFonts w:ascii="Times New Roman" w:hAnsi="Times New Roman"/>
          <w:lang w:eastAsia="fr-BE"/>
        </w:rPr>
        <w:t>,</w:t>
      </w:r>
      <w:r w:rsidRPr="00A60FD5">
        <w:rPr>
          <w:rFonts w:ascii="Times New Roman" w:hAnsi="Times New Roman"/>
          <w:lang w:eastAsia="fr-BE"/>
        </w:rPr>
        <w:t xml:space="preserve"> 1989. Using equity participation to support exchange: Evidence from the biotechnology industry. </w:t>
      </w:r>
      <w:r w:rsidRPr="00A60FD5">
        <w:rPr>
          <w:rFonts w:ascii="Times New Roman" w:hAnsi="Times New Roman"/>
        </w:rPr>
        <w:t>J</w:t>
      </w:r>
      <w:r w:rsidR="00CB4F09" w:rsidRPr="00A60FD5">
        <w:rPr>
          <w:rFonts w:ascii="Times New Roman" w:hAnsi="Times New Roman"/>
        </w:rPr>
        <w:t>ournal of Law, Economics and Organization</w:t>
      </w:r>
      <w:r w:rsidRPr="00A60FD5" w:rsidDel="00C614F3">
        <w:rPr>
          <w:rFonts w:ascii="Times New Roman" w:hAnsi="Times New Roman"/>
          <w:lang w:eastAsia="fr-BE"/>
        </w:rPr>
        <w:t xml:space="preserve"> </w:t>
      </w:r>
      <w:r w:rsidRPr="00A60FD5">
        <w:rPr>
          <w:rFonts w:ascii="Times New Roman" w:hAnsi="Times New Roman"/>
          <w:lang w:eastAsia="fr-BE"/>
        </w:rPr>
        <w:t>5</w:t>
      </w:r>
      <w:r w:rsidR="00CB4F09" w:rsidRPr="00A60FD5">
        <w:rPr>
          <w:rFonts w:ascii="Times New Roman" w:hAnsi="Times New Roman"/>
          <w:lang w:eastAsia="fr-BE"/>
        </w:rPr>
        <w:t xml:space="preserve">, </w:t>
      </w:r>
      <w:r w:rsidRPr="00A60FD5">
        <w:rPr>
          <w:rFonts w:ascii="Times New Roman" w:hAnsi="Times New Roman"/>
          <w:lang w:eastAsia="fr-BE"/>
        </w:rPr>
        <w:t>109-126.</w:t>
      </w:r>
    </w:p>
    <w:p w14:paraId="172F7DA5" w14:textId="3B68A398" w:rsidR="00303EED" w:rsidRPr="00A60FD5" w:rsidRDefault="00303EED" w:rsidP="00303EED">
      <w:pPr>
        <w:spacing w:line="220" w:lineRule="exact"/>
        <w:rPr>
          <w:rFonts w:ascii="Times New Roman" w:hAnsi="Times New Roman"/>
          <w:lang w:eastAsia="fr-BE"/>
        </w:rPr>
      </w:pPr>
      <w:r w:rsidRPr="00A60FD5">
        <w:rPr>
          <w:rFonts w:ascii="Times New Roman" w:hAnsi="Times New Roman"/>
          <w:lang w:eastAsia="fr-BE"/>
        </w:rPr>
        <w:t>Podsakoff, P.M., Organ</w:t>
      </w:r>
      <w:r w:rsidR="00A81F92" w:rsidRPr="00A60FD5">
        <w:rPr>
          <w:rFonts w:ascii="Times New Roman" w:hAnsi="Times New Roman"/>
          <w:lang w:eastAsia="fr-BE"/>
        </w:rPr>
        <w:t>, D.W.,</w:t>
      </w:r>
      <w:r w:rsidRPr="00A60FD5">
        <w:rPr>
          <w:rFonts w:ascii="Times New Roman" w:hAnsi="Times New Roman"/>
          <w:lang w:eastAsia="fr-BE"/>
        </w:rPr>
        <w:t xml:space="preserve"> 1986. Self-reports in organizational research: problems and prospects. J</w:t>
      </w:r>
      <w:r w:rsidR="00A81F92" w:rsidRPr="00A60FD5">
        <w:rPr>
          <w:rFonts w:ascii="Times New Roman" w:hAnsi="Times New Roman"/>
          <w:lang w:eastAsia="fr-BE"/>
        </w:rPr>
        <w:t>ournal</w:t>
      </w:r>
      <w:r w:rsidRPr="00A60FD5">
        <w:rPr>
          <w:rFonts w:ascii="Times New Roman" w:hAnsi="Times New Roman"/>
          <w:lang w:eastAsia="fr-BE"/>
        </w:rPr>
        <w:t xml:space="preserve"> of Management 12</w:t>
      </w:r>
      <w:r w:rsidR="00A81F92" w:rsidRPr="00A60FD5">
        <w:rPr>
          <w:rFonts w:ascii="Times New Roman" w:hAnsi="Times New Roman"/>
          <w:lang w:eastAsia="fr-BE"/>
        </w:rPr>
        <w:t>,</w:t>
      </w:r>
      <w:r w:rsidRPr="00A60FD5">
        <w:rPr>
          <w:rFonts w:ascii="Times New Roman" w:hAnsi="Times New Roman"/>
          <w:lang w:eastAsia="fr-BE"/>
        </w:rPr>
        <w:t xml:space="preserve"> 531-544.  </w:t>
      </w:r>
    </w:p>
    <w:p w14:paraId="6F6FFCED" w14:textId="67BF4AB6" w:rsidR="00754823" w:rsidRPr="00A60FD5" w:rsidRDefault="00754823" w:rsidP="00E258CC">
      <w:pPr>
        <w:spacing w:line="220" w:lineRule="exact"/>
        <w:rPr>
          <w:rFonts w:ascii="Times New Roman" w:hAnsi="Times New Roman"/>
          <w:lang w:eastAsia="fr-BE"/>
        </w:rPr>
      </w:pPr>
      <w:r w:rsidRPr="00A60FD5">
        <w:rPr>
          <w:rFonts w:ascii="Times New Roman" w:hAnsi="Times New Roman"/>
          <w:lang w:val="nl-NL" w:eastAsia="fr-BE"/>
        </w:rPr>
        <w:t xml:space="preserve">Podsakoff, P.M., MacKenzie, </w:t>
      </w:r>
      <w:r w:rsidR="00A81F92" w:rsidRPr="00A60FD5">
        <w:rPr>
          <w:rFonts w:ascii="Times New Roman" w:hAnsi="Times New Roman"/>
          <w:lang w:val="nl-NL" w:eastAsia="fr-BE"/>
        </w:rPr>
        <w:t xml:space="preserve">S.B., </w:t>
      </w:r>
      <w:r w:rsidRPr="00A60FD5">
        <w:rPr>
          <w:rFonts w:ascii="Times New Roman" w:hAnsi="Times New Roman"/>
          <w:lang w:val="nl-NL" w:eastAsia="fr-BE"/>
        </w:rPr>
        <w:t xml:space="preserve">Lee, </w:t>
      </w:r>
      <w:r w:rsidR="00A81F92" w:rsidRPr="00A60FD5">
        <w:rPr>
          <w:rFonts w:ascii="Times New Roman" w:hAnsi="Times New Roman"/>
          <w:lang w:val="nl-NL" w:eastAsia="fr-BE"/>
        </w:rPr>
        <w:t xml:space="preserve">J.-Y., </w:t>
      </w:r>
      <w:r w:rsidRPr="00A60FD5">
        <w:rPr>
          <w:rFonts w:ascii="Times New Roman" w:hAnsi="Times New Roman"/>
          <w:lang w:val="nl-NL" w:eastAsia="fr-BE"/>
        </w:rPr>
        <w:t xml:space="preserve">Podsakoff, </w:t>
      </w:r>
      <w:r w:rsidR="00A81F92" w:rsidRPr="00A60FD5">
        <w:rPr>
          <w:rFonts w:ascii="Times New Roman" w:hAnsi="Times New Roman"/>
          <w:lang w:val="nl-NL" w:eastAsia="fr-BE"/>
        </w:rPr>
        <w:t>N.P.,</w:t>
      </w:r>
      <w:r w:rsidRPr="00A60FD5">
        <w:rPr>
          <w:rFonts w:ascii="Times New Roman" w:hAnsi="Times New Roman"/>
          <w:lang w:val="nl-NL" w:eastAsia="fr-BE"/>
        </w:rPr>
        <w:t xml:space="preserve"> 2003. </w:t>
      </w:r>
      <w:r w:rsidRPr="00A60FD5">
        <w:rPr>
          <w:rFonts w:ascii="Times New Roman" w:hAnsi="Times New Roman"/>
          <w:lang w:eastAsia="fr-BE"/>
        </w:rPr>
        <w:t>Common method biases in behavioral research: a critical review of the literature and recommended remedies. J</w:t>
      </w:r>
      <w:r w:rsidR="00A81F92" w:rsidRPr="00A60FD5">
        <w:rPr>
          <w:rFonts w:ascii="Times New Roman" w:hAnsi="Times New Roman"/>
          <w:lang w:eastAsia="fr-BE"/>
        </w:rPr>
        <w:t>ournal</w:t>
      </w:r>
      <w:r w:rsidRPr="00A60FD5">
        <w:rPr>
          <w:rFonts w:ascii="Times New Roman" w:hAnsi="Times New Roman"/>
          <w:lang w:eastAsia="fr-BE"/>
        </w:rPr>
        <w:t xml:space="preserve"> of Applied Psych</w:t>
      </w:r>
      <w:r w:rsidR="00A81F92" w:rsidRPr="00A60FD5">
        <w:rPr>
          <w:rFonts w:ascii="Times New Roman" w:hAnsi="Times New Roman"/>
          <w:lang w:eastAsia="fr-BE"/>
        </w:rPr>
        <w:t>ology</w:t>
      </w:r>
      <w:r w:rsidRPr="00A60FD5">
        <w:rPr>
          <w:rFonts w:ascii="Times New Roman" w:hAnsi="Times New Roman"/>
          <w:lang w:eastAsia="fr-BE"/>
        </w:rPr>
        <w:t xml:space="preserve"> 88</w:t>
      </w:r>
      <w:r w:rsidR="00A81F92" w:rsidRPr="00A60FD5">
        <w:rPr>
          <w:rFonts w:ascii="Times New Roman" w:hAnsi="Times New Roman"/>
          <w:lang w:eastAsia="fr-BE"/>
        </w:rPr>
        <w:t xml:space="preserve">, </w:t>
      </w:r>
      <w:r w:rsidRPr="00A60FD5">
        <w:rPr>
          <w:rFonts w:ascii="Times New Roman" w:hAnsi="Times New Roman"/>
          <w:lang w:eastAsia="fr-BE"/>
        </w:rPr>
        <w:t xml:space="preserve">879-803.  </w:t>
      </w:r>
    </w:p>
    <w:p w14:paraId="7FF5CAEC" w14:textId="30A21151" w:rsidR="0061376A" w:rsidRPr="00A60FD5" w:rsidRDefault="0061376A" w:rsidP="00E258CC">
      <w:pPr>
        <w:spacing w:line="220" w:lineRule="exact"/>
        <w:rPr>
          <w:rFonts w:ascii="Times New Roman" w:hAnsi="Times New Roman"/>
          <w:lang w:eastAsia="fr-BE"/>
        </w:rPr>
      </w:pPr>
      <w:r w:rsidRPr="00A60FD5">
        <w:rPr>
          <w:rFonts w:ascii="Times New Roman" w:hAnsi="Times New Roman"/>
          <w:lang w:eastAsia="fr-BE"/>
        </w:rPr>
        <w:t>Polanyi, M.</w:t>
      </w:r>
      <w:r w:rsidR="004D5AA7" w:rsidRPr="00A60FD5">
        <w:rPr>
          <w:rFonts w:ascii="Times New Roman" w:hAnsi="Times New Roman"/>
          <w:lang w:eastAsia="fr-BE"/>
        </w:rPr>
        <w:t>,</w:t>
      </w:r>
      <w:r w:rsidRPr="00A60FD5">
        <w:rPr>
          <w:rFonts w:ascii="Times New Roman" w:hAnsi="Times New Roman"/>
          <w:lang w:eastAsia="fr-BE"/>
        </w:rPr>
        <w:t xml:space="preserve"> 1962. Tacit knowing: Its bearing on some problems of philosophy. Reviews of Modern Physics 34</w:t>
      </w:r>
      <w:r w:rsidR="004D5AA7" w:rsidRPr="00A60FD5">
        <w:rPr>
          <w:rFonts w:ascii="Times New Roman" w:hAnsi="Times New Roman"/>
          <w:lang w:eastAsia="fr-BE"/>
        </w:rPr>
        <w:t>,</w:t>
      </w:r>
      <w:r w:rsidRPr="00A60FD5">
        <w:rPr>
          <w:rFonts w:ascii="Times New Roman" w:hAnsi="Times New Roman"/>
          <w:lang w:eastAsia="fr-BE"/>
        </w:rPr>
        <w:t xml:space="preserve"> 601.</w:t>
      </w:r>
    </w:p>
    <w:p w14:paraId="522D4FD0" w14:textId="17E9E6F5" w:rsidR="005E61DF" w:rsidRPr="00A60FD5" w:rsidRDefault="005E61DF" w:rsidP="00E258CC">
      <w:pPr>
        <w:spacing w:line="220" w:lineRule="exact"/>
        <w:rPr>
          <w:rFonts w:ascii="Times New Roman" w:hAnsi="Times New Roman"/>
          <w:lang w:val="fr-BE" w:eastAsia="fr-BE"/>
        </w:rPr>
      </w:pPr>
      <w:r w:rsidRPr="00A60FD5">
        <w:rPr>
          <w:rFonts w:ascii="Times New Roman" w:hAnsi="Times New Roman"/>
          <w:lang w:eastAsia="fr-BE"/>
        </w:rPr>
        <w:t xml:space="preserve">Poppo, L., Zenger, </w:t>
      </w:r>
      <w:r w:rsidR="00A73A15" w:rsidRPr="00A60FD5">
        <w:rPr>
          <w:rFonts w:ascii="Times New Roman" w:hAnsi="Times New Roman"/>
          <w:lang w:eastAsia="fr-BE"/>
        </w:rPr>
        <w:t xml:space="preserve">T., </w:t>
      </w:r>
      <w:r w:rsidRPr="00A60FD5">
        <w:rPr>
          <w:rFonts w:ascii="Times New Roman" w:hAnsi="Times New Roman"/>
          <w:lang w:eastAsia="fr-BE"/>
        </w:rPr>
        <w:t xml:space="preserve">2002. Do formal contracts and relational governance function as substitutes or complements?. </w:t>
      </w:r>
      <w:r w:rsidRPr="00A60FD5">
        <w:rPr>
          <w:rFonts w:ascii="Times New Roman" w:hAnsi="Times New Roman"/>
          <w:lang w:val="fr-BE" w:eastAsia="fr-BE"/>
        </w:rPr>
        <w:t>Strategic Management J</w:t>
      </w:r>
      <w:r w:rsidR="00A73A15" w:rsidRPr="00A60FD5">
        <w:rPr>
          <w:rFonts w:ascii="Times New Roman" w:hAnsi="Times New Roman"/>
          <w:lang w:val="fr-BE" w:eastAsia="fr-BE"/>
        </w:rPr>
        <w:t>ournal</w:t>
      </w:r>
      <w:r w:rsidRPr="00A60FD5">
        <w:rPr>
          <w:rFonts w:ascii="Times New Roman" w:hAnsi="Times New Roman"/>
          <w:lang w:val="fr-BE" w:eastAsia="fr-BE"/>
        </w:rPr>
        <w:t xml:space="preserve"> 23</w:t>
      </w:r>
      <w:r w:rsidR="00A73A15" w:rsidRPr="00A60FD5">
        <w:rPr>
          <w:rFonts w:ascii="Times New Roman" w:hAnsi="Times New Roman"/>
          <w:lang w:val="fr-BE" w:eastAsia="fr-BE"/>
        </w:rPr>
        <w:t>,</w:t>
      </w:r>
      <w:r w:rsidRPr="00A60FD5">
        <w:rPr>
          <w:rFonts w:ascii="Times New Roman" w:hAnsi="Times New Roman"/>
          <w:lang w:val="fr-BE" w:eastAsia="fr-BE"/>
        </w:rPr>
        <w:t xml:space="preserve"> 707-725.</w:t>
      </w:r>
    </w:p>
    <w:p w14:paraId="7E65F151" w14:textId="7A8BF9FF" w:rsidR="00F30C56" w:rsidRPr="00A60FD5" w:rsidRDefault="00F30C56" w:rsidP="00E258CC">
      <w:pPr>
        <w:spacing w:line="220" w:lineRule="exact"/>
        <w:rPr>
          <w:rFonts w:ascii="Times New Roman" w:hAnsi="Times New Roman"/>
          <w:lang w:eastAsia="fr-BE"/>
        </w:rPr>
      </w:pPr>
      <w:r w:rsidRPr="00A60FD5">
        <w:rPr>
          <w:rFonts w:ascii="Times New Roman" w:hAnsi="Times New Roman"/>
          <w:lang w:val="fr-BE" w:eastAsia="fr-BE"/>
        </w:rPr>
        <w:t xml:space="preserve">Poppo, L., Zhou, </w:t>
      </w:r>
      <w:r w:rsidR="00704689" w:rsidRPr="00A60FD5">
        <w:rPr>
          <w:rFonts w:ascii="Times New Roman" w:hAnsi="Times New Roman"/>
          <w:lang w:val="fr-BE" w:eastAsia="fr-BE"/>
        </w:rPr>
        <w:t>K. Z.</w:t>
      </w:r>
      <w:r w:rsidR="00704689">
        <w:rPr>
          <w:rFonts w:ascii="Times New Roman" w:hAnsi="Times New Roman"/>
          <w:lang w:val="fr-BE" w:eastAsia="fr-BE"/>
        </w:rPr>
        <w:t>,</w:t>
      </w:r>
      <w:r w:rsidR="00704689" w:rsidRPr="00A60FD5">
        <w:rPr>
          <w:rFonts w:ascii="Times New Roman" w:hAnsi="Times New Roman"/>
          <w:lang w:val="fr-BE" w:eastAsia="fr-BE"/>
        </w:rPr>
        <w:t xml:space="preserve"> </w:t>
      </w:r>
      <w:r w:rsidRPr="00A60FD5">
        <w:rPr>
          <w:rFonts w:ascii="Times New Roman" w:hAnsi="Times New Roman"/>
          <w:lang w:val="fr-BE" w:eastAsia="fr-BE"/>
        </w:rPr>
        <w:t>Ryu, S.</w:t>
      </w:r>
      <w:r w:rsidR="00704689">
        <w:rPr>
          <w:rFonts w:ascii="Times New Roman" w:hAnsi="Times New Roman"/>
          <w:lang w:val="fr-BE" w:eastAsia="fr-BE"/>
        </w:rPr>
        <w:t>,</w:t>
      </w:r>
      <w:r w:rsidRPr="00A60FD5">
        <w:rPr>
          <w:rFonts w:ascii="Times New Roman" w:hAnsi="Times New Roman"/>
          <w:lang w:val="fr-BE" w:eastAsia="fr-BE"/>
        </w:rPr>
        <w:t xml:space="preserve"> 2008. </w:t>
      </w:r>
      <w:r w:rsidRPr="00A60FD5">
        <w:rPr>
          <w:rFonts w:ascii="Times New Roman" w:hAnsi="Times New Roman"/>
          <w:lang w:eastAsia="fr-BE"/>
        </w:rPr>
        <w:t>Alternative origins to inter</w:t>
      </w:r>
      <w:r w:rsidR="00704689">
        <w:rPr>
          <w:rFonts w:ascii="Times New Roman" w:hAnsi="Times New Roman"/>
          <w:lang w:eastAsia="fr-BE"/>
        </w:rPr>
        <w:t>-</w:t>
      </w:r>
      <w:r w:rsidRPr="00A60FD5">
        <w:rPr>
          <w:rFonts w:ascii="Times New Roman" w:hAnsi="Times New Roman"/>
          <w:lang w:eastAsia="fr-BE"/>
        </w:rPr>
        <w:t>organizational trust: An interdependence perspective on the shadow of the past and the shadow of the future. Organ</w:t>
      </w:r>
      <w:r w:rsidR="00704689">
        <w:rPr>
          <w:rFonts w:ascii="Times New Roman" w:hAnsi="Times New Roman"/>
          <w:lang w:eastAsia="fr-BE"/>
        </w:rPr>
        <w:t>ization</w:t>
      </w:r>
      <w:r w:rsidRPr="00A60FD5">
        <w:rPr>
          <w:rFonts w:ascii="Times New Roman" w:hAnsi="Times New Roman"/>
          <w:lang w:eastAsia="fr-BE"/>
        </w:rPr>
        <w:t xml:space="preserve"> Sci</w:t>
      </w:r>
      <w:r w:rsidR="00704689">
        <w:rPr>
          <w:rFonts w:ascii="Times New Roman" w:hAnsi="Times New Roman"/>
          <w:lang w:eastAsia="fr-BE"/>
        </w:rPr>
        <w:t>ence</w:t>
      </w:r>
      <w:r w:rsidRPr="00A60FD5">
        <w:rPr>
          <w:rFonts w:ascii="Times New Roman" w:hAnsi="Times New Roman"/>
          <w:lang w:eastAsia="fr-BE"/>
        </w:rPr>
        <w:t xml:space="preserve"> 19</w:t>
      </w:r>
      <w:r w:rsidR="00704689">
        <w:rPr>
          <w:rFonts w:ascii="Times New Roman" w:hAnsi="Times New Roman"/>
          <w:lang w:eastAsia="fr-BE"/>
        </w:rPr>
        <w:t>,</w:t>
      </w:r>
      <w:r w:rsidRPr="00A60FD5">
        <w:rPr>
          <w:rFonts w:ascii="Times New Roman" w:hAnsi="Times New Roman"/>
          <w:lang w:eastAsia="fr-BE"/>
        </w:rPr>
        <w:t xml:space="preserve"> 39-55.</w:t>
      </w:r>
    </w:p>
    <w:p w14:paraId="5FBC4188" w14:textId="1498345C" w:rsidR="00C720BE" w:rsidRPr="00A60FD5" w:rsidRDefault="00C720BE" w:rsidP="00E258CC">
      <w:pPr>
        <w:spacing w:line="220" w:lineRule="exact"/>
        <w:rPr>
          <w:rFonts w:ascii="Times New Roman" w:hAnsi="Times New Roman"/>
          <w:lang w:eastAsia="fr-BE"/>
        </w:rPr>
      </w:pPr>
      <w:r w:rsidRPr="00A60FD5">
        <w:rPr>
          <w:rFonts w:ascii="Times New Roman" w:hAnsi="Times New Roman"/>
          <w:lang w:eastAsia="fr-BE"/>
        </w:rPr>
        <w:t>Provan, K.G., Skinner</w:t>
      </w:r>
      <w:r w:rsidR="005F71D1" w:rsidRPr="00A60FD5">
        <w:rPr>
          <w:rFonts w:ascii="Times New Roman" w:hAnsi="Times New Roman"/>
          <w:lang w:eastAsia="fr-BE"/>
        </w:rPr>
        <w:t>, S.J.,</w:t>
      </w:r>
      <w:r w:rsidRPr="00A60FD5">
        <w:rPr>
          <w:rFonts w:ascii="Times New Roman" w:hAnsi="Times New Roman"/>
          <w:lang w:eastAsia="fr-BE"/>
        </w:rPr>
        <w:t xml:space="preserve"> 1989. Interorganizational dependence and control as predictors of opportunism in dealer-supplier relations. Acad</w:t>
      </w:r>
      <w:r w:rsidR="005F71D1" w:rsidRPr="00A60FD5">
        <w:rPr>
          <w:rFonts w:ascii="Times New Roman" w:hAnsi="Times New Roman"/>
          <w:lang w:eastAsia="fr-BE"/>
        </w:rPr>
        <w:t>emy</w:t>
      </w:r>
      <w:r w:rsidRPr="00A60FD5">
        <w:rPr>
          <w:rFonts w:ascii="Times New Roman" w:hAnsi="Times New Roman"/>
          <w:lang w:eastAsia="fr-BE"/>
        </w:rPr>
        <w:t xml:space="preserve"> of Management J</w:t>
      </w:r>
      <w:r w:rsidR="005F71D1" w:rsidRPr="00A60FD5">
        <w:rPr>
          <w:rFonts w:ascii="Times New Roman" w:hAnsi="Times New Roman"/>
          <w:lang w:eastAsia="fr-BE"/>
        </w:rPr>
        <w:t>ournal</w:t>
      </w:r>
      <w:r w:rsidRPr="00A60FD5">
        <w:rPr>
          <w:rFonts w:ascii="Times New Roman" w:hAnsi="Times New Roman"/>
          <w:lang w:eastAsia="fr-BE"/>
        </w:rPr>
        <w:t xml:space="preserve"> 32</w:t>
      </w:r>
      <w:r w:rsidR="005F71D1" w:rsidRPr="00A60FD5">
        <w:rPr>
          <w:rFonts w:ascii="Times New Roman" w:hAnsi="Times New Roman"/>
          <w:lang w:eastAsia="fr-BE"/>
        </w:rPr>
        <w:t>,</w:t>
      </w:r>
      <w:r w:rsidRPr="00A60FD5">
        <w:rPr>
          <w:rFonts w:ascii="Times New Roman" w:hAnsi="Times New Roman"/>
          <w:lang w:eastAsia="fr-BE"/>
        </w:rPr>
        <w:t xml:space="preserve"> 202-212.</w:t>
      </w:r>
    </w:p>
    <w:p w14:paraId="753FF7BB" w14:textId="1414085C" w:rsidR="00754823" w:rsidRPr="00A60FD5" w:rsidRDefault="00754823" w:rsidP="00E258CC">
      <w:pPr>
        <w:spacing w:line="220" w:lineRule="exact"/>
        <w:rPr>
          <w:rFonts w:ascii="Times New Roman" w:hAnsi="Times New Roman"/>
          <w:lang w:eastAsia="fr-BE"/>
        </w:rPr>
      </w:pPr>
      <w:r w:rsidRPr="00A60FD5">
        <w:rPr>
          <w:rFonts w:ascii="Times New Roman" w:hAnsi="Times New Roman"/>
          <w:lang w:eastAsia="fr-BE"/>
        </w:rPr>
        <w:t>Ravasi, D., Zattoni</w:t>
      </w:r>
      <w:r w:rsidR="00704689">
        <w:rPr>
          <w:rFonts w:ascii="Times New Roman" w:hAnsi="Times New Roman"/>
          <w:lang w:eastAsia="fr-BE"/>
        </w:rPr>
        <w:t xml:space="preserve">, </w:t>
      </w:r>
      <w:r w:rsidR="00704689" w:rsidRPr="00A60FD5">
        <w:rPr>
          <w:rFonts w:ascii="Times New Roman" w:hAnsi="Times New Roman"/>
          <w:lang w:eastAsia="fr-BE"/>
        </w:rPr>
        <w:t>A.</w:t>
      </w:r>
      <w:r w:rsidR="00704689">
        <w:rPr>
          <w:rFonts w:ascii="Times New Roman" w:hAnsi="Times New Roman"/>
          <w:lang w:eastAsia="fr-BE"/>
        </w:rPr>
        <w:t>,</w:t>
      </w:r>
      <w:r w:rsidRPr="00A60FD5">
        <w:rPr>
          <w:rFonts w:ascii="Times New Roman" w:hAnsi="Times New Roman"/>
          <w:lang w:eastAsia="fr-BE"/>
        </w:rPr>
        <w:t xml:space="preserve"> 2006. Exploring the political side of board involvement in strategy: a study of mixed-ownership institutions. J</w:t>
      </w:r>
      <w:r w:rsidR="00704689">
        <w:rPr>
          <w:rFonts w:ascii="Times New Roman" w:hAnsi="Times New Roman"/>
          <w:lang w:eastAsia="fr-BE"/>
        </w:rPr>
        <w:t>ournal</w:t>
      </w:r>
      <w:r w:rsidRPr="00A60FD5">
        <w:rPr>
          <w:rFonts w:ascii="Times New Roman" w:hAnsi="Times New Roman"/>
          <w:lang w:eastAsia="fr-BE"/>
        </w:rPr>
        <w:t xml:space="preserve"> of Marketing Stud</w:t>
      </w:r>
      <w:r w:rsidR="00704689">
        <w:rPr>
          <w:rFonts w:ascii="Times New Roman" w:hAnsi="Times New Roman"/>
          <w:lang w:eastAsia="fr-BE"/>
        </w:rPr>
        <w:t>ies</w:t>
      </w:r>
      <w:r w:rsidRPr="00A60FD5">
        <w:rPr>
          <w:rFonts w:ascii="Times New Roman" w:hAnsi="Times New Roman"/>
          <w:lang w:eastAsia="fr-BE"/>
        </w:rPr>
        <w:t xml:space="preserve"> 43</w:t>
      </w:r>
      <w:r w:rsidR="00704689">
        <w:rPr>
          <w:rFonts w:ascii="Times New Roman" w:hAnsi="Times New Roman"/>
          <w:lang w:eastAsia="fr-BE"/>
        </w:rPr>
        <w:t>,</w:t>
      </w:r>
      <w:r w:rsidRPr="00A60FD5">
        <w:rPr>
          <w:rFonts w:ascii="Times New Roman" w:hAnsi="Times New Roman"/>
          <w:lang w:eastAsia="fr-BE"/>
        </w:rPr>
        <w:t xml:space="preserve"> 1671-1702.</w:t>
      </w:r>
    </w:p>
    <w:p w14:paraId="1A5DCA72" w14:textId="4E943EFD" w:rsidR="00473F61" w:rsidRPr="00A60FD5" w:rsidRDefault="00473F61" w:rsidP="00E258CC">
      <w:pPr>
        <w:spacing w:line="220" w:lineRule="exact"/>
        <w:rPr>
          <w:rFonts w:ascii="Times New Roman" w:hAnsi="Times New Roman"/>
          <w:color w:val="000000"/>
        </w:rPr>
      </w:pPr>
      <w:r w:rsidRPr="00A60FD5">
        <w:rPr>
          <w:rFonts w:ascii="Times New Roman" w:hAnsi="Times New Roman"/>
          <w:color w:val="000000"/>
        </w:rPr>
        <w:t xml:space="preserve">Reuer, J.J., Zollo, </w:t>
      </w:r>
      <w:r w:rsidR="0067569F" w:rsidRPr="00A60FD5">
        <w:rPr>
          <w:rFonts w:ascii="Times New Roman" w:hAnsi="Times New Roman"/>
          <w:color w:val="000000"/>
        </w:rPr>
        <w:t xml:space="preserve">M., </w:t>
      </w:r>
      <w:r w:rsidRPr="00A60FD5">
        <w:rPr>
          <w:rFonts w:ascii="Times New Roman" w:hAnsi="Times New Roman"/>
          <w:color w:val="000000"/>
        </w:rPr>
        <w:t>Singh</w:t>
      </w:r>
      <w:r w:rsidR="0067569F" w:rsidRPr="00A60FD5">
        <w:rPr>
          <w:rFonts w:ascii="Times New Roman" w:hAnsi="Times New Roman"/>
          <w:color w:val="000000"/>
        </w:rPr>
        <w:t>, H.,</w:t>
      </w:r>
      <w:r w:rsidRPr="00A60FD5">
        <w:rPr>
          <w:rFonts w:ascii="Times New Roman" w:hAnsi="Times New Roman"/>
          <w:color w:val="000000"/>
        </w:rPr>
        <w:t xml:space="preserve"> 2002. Post</w:t>
      </w:r>
      <w:r w:rsidRPr="00A60FD5">
        <w:rPr>
          <w:rFonts w:ascii="SimSun" w:eastAsia="SimSun" w:hAnsi="SimSun" w:cs="SimSun" w:hint="eastAsia"/>
          <w:color w:val="000000"/>
        </w:rPr>
        <w:t>‐</w:t>
      </w:r>
      <w:r w:rsidRPr="00A60FD5">
        <w:rPr>
          <w:rFonts w:ascii="Times New Roman" w:hAnsi="Times New Roman"/>
          <w:color w:val="000000"/>
        </w:rPr>
        <w:t>formation dynamics in strategic alliances. Strategic Management J</w:t>
      </w:r>
      <w:r w:rsidR="0067569F" w:rsidRPr="00A60FD5">
        <w:rPr>
          <w:rFonts w:ascii="Times New Roman" w:hAnsi="Times New Roman"/>
          <w:color w:val="000000"/>
        </w:rPr>
        <w:t>ournal</w:t>
      </w:r>
      <w:r w:rsidRPr="00A60FD5">
        <w:rPr>
          <w:rFonts w:ascii="Times New Roman" w:hAnsi="Times New Roman"/>
          <w:color w:val="000000"/>
        </w:rPr>
        <w:t xml:space="preserve"> 23</w:t>
      </w:r>
      <w:r w:rsidR="0067569F" w:rsidRPr="00A60FD5">
        <w:rPr>
          <w:rFonts w:ascii="Times New Roman" w:hAnsi="Times New Roman"/>
          <w:color w:val="000000"/>
        </w:rPr>
        <w:t>,</w:t>
      </w:r>
      <w:r w:rsidRPr="00A60FD5">
        <w:rPr>
          <w:rFonts w:ascii="Times New Roman" w:hAnsi="Times New Roman"/>
          <w:color w:val="000000"/>
        </w:rPr>
        <w:t xml:space="preserve"> 135-151.</w:t>
      </w:r>
    </w:p>
    <w:p w14:paraId="064E57F9" w14:textId="66BE3248" w:rsidR="00754823" w:rsidRPr="00A60FD5" w:rsidRDefault="00754823" w:rsidP="00E258CC">
      <w:pPr>
        <w:spacing w:line="220" w:lineRule="exact"/>
        <w:rPr>
          <w:rFonts w:ascii="Times New Roman" w:hAnsi="Times New Roman"/>
          <w:color w:val="000000"/>
        </w:rPr>
      </w:pPr>
      <w:r w:rsidRPr="00A60FD5">
        <w:rPr>
          <w:rFonts w:ascii="Times New Roman" w:hAnsi="Times New Roman"/>
          <w:color w:val="000000"/>
          <w:lang w:val="fr-BE"/>
        </w:rPr>
        <w:t>Reuer, J.J., Ariño</w:t>
      </w:r>
      <w:r w:rsidR="00BD7F94" w:rsidRPr="00A60FD5">
        <w:rPr>
          <w:rFonts w:ascii="Times New Roman" w:hAnsi="Times New Roman"/>
          <w:color w:val="000000"/>
          <w:lang w:val="fr-BE"/>
        </w:rPr>
        <w:t>, A.,</w:t>
      </w:r>
      <w:r w:rsidRPr="00A60FD5">
        <w:rPr>
          <w:rFonts w:ascii="Times New Roman" w:hAnsi="Times New Roman"/>
          <w:color w:val="000000"/>
          <w:lang w:val="fr-BE"/>
        </w:rPr>
        <w:t xml:space="preserve"> 2007. </w:t>
      </w:r>
      <w:r w:rsidRPr="00A60FD5">
        <w:rPr>
          <w:rFonts w:ascii="Times New Roman" w:hAnsi="Times New Roman"/>
          <w:color w:val="000000"/>
        </w:rPr>
        <w:t>Strategic alliance contracts: dimensions and determinants of contractual complexity. Strategic Management J</w:t>
      </w:r>
      <w:r w:rsidR="00BD7F94" w:rsidRPr="00A60FD5">
        <w:rPr>
          <w:rFonts w:ascii="Times New Roman" w:hAnsi="Times New Roman"/>
          <w:color w:val="000000"/>
        </w:rPr>
        <w:t>ournal</w:t>
      </w:r>
      <w:r w:rsidRPr="00A60FD5">
        <w:rPr>
          <w:rFonts w:ascii="Times New Roman" w:hAnsi="Times New Roman"/>
          <w:color w:val="000000"/>
        </w:rPr>
        <w:t xml:space="preserve"> 28</w:t>
      </w:r>
      <w:r w:rsidR="00BD7F94" w:rsidRPr="00A60FD5">
        <w:rPr>
          <w:rFonts w:ascii="Times New Roman" w:hAnsi="Times New Roman"/>
          <w:color w:val="000000"/>
        </w:rPr>
        <w:t>,</w:t>
      </w:r>
      <w:r w:rsidRPr="00A60FD5">
        <w:rPr>
          <w:rFonts w:ascii="Times New Roman" w:hAnsi="Times New Roman"/>
          <w:color w:val="000000"/>
        </w:rPr>
        <w:t xml:space="preserve"> 313-330. </w:t>
      </w:r>
    </w:p>
    <w:p w14:paraId="24328155" w14:textId="42CBDA17" w:rsidR="00754823" w:rsidRPr="00A60FD5" w:rsidRDefault="00754823" w:rsidP="00E258CC">
      <w:pPr>
        <w:spacing w:line="220" w:lineRule="exact"/>
        <w:rPr>
          <w:rFonts w:ascii="Times New Roman" w:hAnsi="Times New Roman"/>
          <w:color w:val="000000"/>
        </w:rPr>
      </w:pPr>
      <w:r w:rsidRPr="00A60FD5">
        <w:rPr>
          <w:rFonts w:ascii="Times New Roman" w:hAnsi="Times New Roman"/>
          <w:color w:val="000000"/>
        </w:rPr>
        <w:lastRenderedPageBreak/>
        <w:t>Robertson, T. S., Gatignon</w:t>
      </w:r>
      <w:r w:rsidR="00704689">
        <w:rPr>
          <w:rFonts w:ascii="Times New Roman" w:hAnsi="Times New Roman"/>
          <w:color w:val="000000"/>
        </w:rPr>
        <w:t xml:space="preserve">, </w:t>
      </w:r>
      <w:r w:rsidR="00704689" w:rsidRPr="00A60FD5">
        <w:rPr>
          <w:rFonts w:ascii="Times New Roman" w:hAnsi="Times New Roman"/>
          <w:color w:val="000000"/>
        </w:rPr>
        <w:t>H.</w:t>
      </w:r>
      <w:r w:rsidR="00704689">
        <w:rPr>
          <w:rFonts w:ascii="Times New Roman" w:hAnsi="Times New Roman"/>
          <w:color w:val="000000"/>
        </w:rPr>
        <w:t>,</w:t>
      </w:r>
      <w:r w:rsidRPr="00A60FD5">
        <w:rPr>
          <w:rFonts w:ascii="Times New Roman" w:hAnsi="Times New Roman"/>
          <w:color w:val="000000"/>
        </w:rPr>
        <w:t xml:space="preserve"> 1998. Technology Development Mode: a transaction cost conceptualization. Strategic Management J</w:t>
      </w:r>
      <w:r w:rsidR="00704689">
        <w:rPr>
          <w:rFonts w:ascii="Times New Roman" w:hAnsi="Times New Roman"/>
          <w:color w:val="000000"/>
        </w:rPr>
        <w:t>ournal</w:t>
      </w:r>
      <w:r w:rsidRPr="00A60FD5">
        <w:rPr>
          <w:rFonts w:ascii="Times New Roman" w:hAnsi="Times New Roman"/>
          <w:color w:val="000000"/>
        </w:rPr>
        <w:t xml:space="preserve"> 19</w:t>
      </w:r>
      <w:r w:rsidR="00704689">
        <w:rPr>
          <w:rFonts w:ascii="Times New Roman" w:hAnsi="Times New Roman"/>
          <w:color w:val="000000"/>
        </w:rPr>
        <w:t>,</w:t>
      </w:r>
      <w:r w:rsidRPr="00A60FD5">
        <w:rPr>
          <w:rFonts w:ascii="Times New Roman" w:hAnsi="Times New Roman"/>
          <w:color w:val="000000"/>
        </w:rPr>
        <w:t xml:space="preserve"> 515-531. </w:t>
      </w:r>
    </w:p>
    <w:p w14:paraId="1A440AC7" w14:textId="5AC16FB8" w:rsidR="00303EED" w:rsidRPr="00A60FD5" w:rsidRDefault="00303EED" w:rsidP="00303EED">
      <w:pPr>
        <w:spacing w:line="220" w:lineRule="exact"/>
        <w:rPr>
          <w:rFonts w:ascii="Times New Roman" w:hAnsi="Times New Roman"/>
          <w:color w:val="000000"/>
        </w:rPr>
      </w:pPr>
      <w:r w:rsidRPr="00A60FD5">
        <w:rPr>
          <w:rFonts w:ascii="Times New Roman" w:hAnsi="Times New Roman"/>
          <w:color w:val="000000"/>
        </w:rPr>
        <w:t>Roodman, D.</w:t>
      </w:r>
      <w:r w:rsidR="006019C0" w:rsidRPr="00A60FD5">
        <w:rPr>
          <w:rFonts w:ascii="Times New Roman" w:hAnsi="Times New Roman"/>
          <w:color w:val="000000"/>
        </w:rPr>
        <w:t>,</w:t>
      </w:r>
      <w:r w:rsidRPr="00A60FD5">
        <w:rPr>
          <w:rFonts w:ascii="Times New Roman" w:hAnsi="Times New Roman"/>
          <w:color w:val="000000"/>
        </w:rPr>
        <w:t xml:space="preserve"> 2011. Fitting fully observed recursive mixed-process models with cmp. The Stata J</w:t>
      </w:r>
      <w:r w:rsidR="006019C0" w:rsidRPr="00A60FD5">
        <w:rPr>
          <w:rFonts w:ascii="Times New Roman" w:hAnsi="Times New Roman"/>
          <w:color w:val="000000"/>
        </w:rPr>
        <w:t>ournal</w:t>
      </w:r>
      <w:r w:rsidRPr="00A60FD5">
        <w:rPr>
          <w:rFonts w:ascii="Times New Roman" w:hAnsi="Times New Roman"/>
          <w:color w:val="000000"/>
        </w:rPr>
        <w:t xml:space="preserve"> 11</w:t>
      </w:r>
      <w:r w:rsidR="006019C0" w:rsidRPr="00A60FD5">
        <w:rPr>
          <w:rFonts w:ascii="Times New Roman" w:hAnsi="Times New Roman"/>
          <w:color w:val="000000"/>
        </w:rPr>
        <w:t>,</w:t>
      </w:r>
      <w:r w:rsidRPr="00A60FD5">
        <w:rPr>
          <w:rFonts w:ascii="Times New Roman" w:hAnsi="Times New Roman"/>
          <w:color w:val="000000"/>
        </w:rPr>
        <w:t xml:space="preserve"> 159-206.</w:t>
      </w:r>
    </w:p>
    <w:p w14:paraId="3F177E25" w14:textId="0F1DA1DF" w:rsidR="00E649E3" w:rsidRPr="00A60FD5" w:rsidRDefault="00E649E3" w:rsidP="00E258CC">
      <w:pPr>
        <w:spacing w:line="220" w:lineRule="exact"/>
        <w:rPr>
          <w:rFonts w:ascii="Times New Roman" w:hAnsi="Times New Roman"/>
          <w:color w:val="000000"/>
        </w:rPr>
      </w:pPr>
      <w:r w:rsidRPr="00A60FD5">
        <w:rPr>
          <w:rFonts w:ascii="Times New Roman" w:hAnsi="Times New Roman"/>
          <w:color w:val="000000"/>
        </w:rPr>
        <w:t xml:space="preserve">Rosenkopf, L., Metiu, </w:t>
      </w:r>
      <w:r w:rsidR="0067569F" w:rsidRPr="00A60FD5">
        <w:rPr>
          <w:rFonts w:ascii="Times New Roman" w:hAnsi="Times New Roman"/>
          <w:color w:val="000000"/>
        </w:rPr>
        <w:t xml:space="preserve">A., </w:t>
      </w:r>
      <w:r w:rsidRPr="00A60FD5">
        <w:rPr>
          <w:rFonts w:ascii="Times New Roman" w:hAnsi="Times New Roman"/>
          <w:color w:val="000000"/>
        </w:rPr>
        <w:t>George</w:t>
      </w:r>
      <w:r w:rsidR="0067569F" w:rsidRPr="00A60FD5">
        <w:rPr>
          <w:rFonts w:ascii="Times New Roman" w:hAnsi="Times New Roman"/>
          <w:color w:val="000000"/>
        </w:rPr>
        <w:t>, V.P.,</w:t>
      </w:r>
      <w:r w:rsidRPr="00A60FD5">
        <w:rPr>
          <w:rFonts w:ascii="Times New Roman" w:hAnsi="Times New Roman"/>
          <w:color w:val="000000"/>
        </w:rPr>
        <w:t xml:space="preserve"> 2001. From the bottom up? Technical committee activity and alliance formation. </w:t>
      </w:r>
      <w:r w:rsidRPr="00A60FD5">
        <w:rPr>
          <w:rFonts w:ascii="Times New Roman" w:hAnsi="Times New Roman"/>
        </w:rPr>
        <w:t>Adm</w:t>
      </w:r>
      <w:r w:rsidR="0067569F" w:rsidRPr="00A60FD5">
        <w:rPr>
          <w:rFonts w:ascii="Times New Roman" w:hAnsi="Times New Roman"/>
        </w:rPr>
        <w:t>inistrative</w:t>
      </w:r>
      <w:r w:rsidRPr="00A60FD5">
        <w:rPr>
          <w:rFonts w:ascii="Times New Roman" w:hAnsi="Times New Roman"/>
        </w:rPr>
        <w:t xml:space="preserve"> Sci</w:t>
      </w:r>
      <w:r w:rsidR="0067569F" w:rsidRPr="00A60FD5">
        <w:rPr>
          <w:rFonts w:ascii="Times New Roman" w:hAnsi="Times New Roman"/>
        </w:rPr>
        <w:t>ence</w:t>
      </w:r>
      <w:r w:rsidRPr="00A60FD5">
        <w:rPr>
          <w:rFonts w:ascii="Times New Roman" w:hAnsi="Times New Roman"/>
        </w:rPr>
        <w:t xml:space="preserve"> Quart</w:t>
      </w:r>
      <w:r w:rsidR="0067569F" w:rsidRPr="00A60FD5">
        <w:rPr>
          <w:rFonts w:ascii="Times New Roman" w:hAnsi="Times New Roman"/>
        </w:rPr>
        <w:t>erly</w:t>
      </w:r>
      <w:r w:rsidRPr="00A60FD5">
        <w:rPr>
          <w:rFonts w:ascii="Times New Roman" w:hAnsi="Times New Roman"/>
          <w:color w:val="000000"/>
        </w:rPr>
        <w:t xml:space="preserve"> 46</w:t>
      </w:r>
      <w:r w:rsidR="0067569F" w:rsidRPr="00A60FD5">
        <w:rPr>
          <w:rFonts w:ascii="Times New Roman" w:hAnsi="Times New Roman"/>
          <w:color w:val="000000"/>
        </w:rPr>
        <w:t xml:space="preserve">, </w:t>
      </w:r>
      <w:r w:rsidRPr="00A60FD5">
        <w:rPr>
          <w:rFonts w:ascii="Times New Roman" w:hAnsi="Times New Roman"/>
          <w:color w:val="000000"/>
        </w:rPr>
        <w:t>748-772.</w:t>
      </w:r>
    </w:p>
    <w:p w14:paraId="1BB7F782" w14:textId="1E0400E3" w:rsidR="00415DB7" w:rsidRDefault="00415DB7" w:rsidP="00E258CC">
      <w:pPr>
        <w:spacing w:line="220" w:lineRule="exact"/>
        <w:rPr>
          <w:rFonts w:ascii="Times New Roman" w:hAnsi="Times New Roman"/>
          <w:color w:val="000000"/>
        </w:rPr>
      </w:pPr>
      <w:r w:rsidRPr="00A60FD5">
        <w:rPr>
          <w:rFonts w:ascii="Times New Roman" w:hAnsi="Times New Roman"/>
          <w:color w:val="000000"/>
        </w:rPr>
        <w:t>Ross, W.H., Conlon</w:t>
      </w:r>
      <w:r w:rsidR="00704689">
        <w:rPr>
          <w:rFonts w:ascii="Times New Roman" w:hAnsi="Times New Roman"/>
          <w:color w:val="000000"/>
        </w:rPr>
        <w:t xml:space="preserve">, </w:t>
      </w:r>
      <w:r w:rsidR="00704689" w:rsidRPr="00A60FD5">
        <w:rPr>
          <w:rFonts w:ascii="Times New Roman" w:hAnsi="Times New Roman"/>
          <w:color w:val="000000"/>
        </w:rPr>
        <w:t>D.E.</w:t>
      </w:r>
      <w:r w:rsidR="00704689">
        <w:rPr>
          <w:rFonts w:ascii="Times New Roman" w:hAnsi="Times New Roman"/>
          <w:color w:val="000000"/>
        </w:rPr>
        <w:t>,</w:t>
      </w:r>
      <w:r w:rsidRPr="00A60FD5">
        <w:rPr>
          <w:rFonts w:ascii="Times New Roman" w:hAnsi="Times New Roman"/>
          <w:color w:val="000000"/>
        </w:rPr>
        <w:t xml:space="preserve"> 2000. Hybrid forms of third-party dispute resolution: Theoretical implications of combining mediation and arbitration. Acad</w:t>
      </w:r>
      <w:r w:rsidR="00704689">
        <w:rPr>
          <w:rFonts w:ascii="Times New Roman" w:hAnsi="Times New Roman"/>
          <w:color w:val="000000"/>
        </w:rPr>
        <w:t>emy</w:t>
      </w:r>
      <w:r w:rsidRPr="00A60FD5">
        <w:rPr>
          <w:rFonts w:ascii="Times New Roman" w:hAnsi="Times New Roman"/>
          <w:color w:val="000000"/>
        </w:rPr>
        <w:t xml:space="preserve"> of Management Review 25</w:t>
      </w:r>
      <w:r w:rsidR="00704689">
        <w:rPr>
          <w:rFonts w:ascii="Times New Roman" w:hAnsi="Times New Roman"/>
          <w:color w:val="000000"/>
        </w:rPr>
        <w:t>,</w:t>
      </w:r>
      <w:r w:rsidRPr="00A60FD5">
        <w:rPr>
          <w:rFonts w:ascii="Times New Roman" w:hAnsi="Times New Roman"/>
          <w:color w:val="000000"/>
        </w:rPr>
        <w:t xml:space="preserve"> 416-427.</w:t>
      </w:r>
    </w:p>
    <w:p w14:paraId="638A760C" w14:textId="4F88401B" w:rsidR="00014EF9" w:rsidRPr="00A60FD5" w:rsidRDefault="00014EF9" w:rsidP="00E258CC">
      <w:pPr>
        <w:spacing w:line="220" w:lineRule="exact"/>
        <w:rPr>
          <w:rFonts w:ascii="Times New Roman" w:hAnsi="Times New Roman"/>
          <w:color w:val="000000"/>
        </w:rPr>
      </w:pPr>
      <w:r w:rsidRPr="00014EF9">
        <w:rPr>
          <w:rFonts w:ascii="Times New Roman" w:hAnsi="Times New Roman"/>
          <w:color w:val="000000"/>
        </w:rPr>
        <w:t>Roth, M.L.</w:t>
      </w:r>
      <w:r>
        <w:rPr>
          <w:rFonts w:ascii="Times New Roman" w:hAnsi="Times New Roman"/>
          <w:color w:val="000000"/>
        </w:rPr>
        <w:t>,</w:t>
      </w:r>
      <w:r w:rsidRPr="00014EF9">
        <w:rPr>
          <w:rFonts w:ascii="Times New Roman" w:hAnsi="Times New Roman"/>
          <w:color w:val="000000"/>
        </w:rPr>
        <w:t xml:space="preserve"> 2006. Recognition by Circumvention: enforcing foreign arbitral awards as judgments under the parallel entitlements approach. Cornell Law Review 92</w:t>
      </w:r>
      <w:r>
        <w:rPr>
          <w:rFonts w:ascii="Times New Roman" w:hAnsi="Times New Roman"/>
          <w:color w:val="000000"/>
        </w:rPr>
        <w:t>,</w:t>
      </w:r>
      <w:r w:rsidRPr="00014EF9">
        <w:rPr>
          <w:rFonts w:ascii="Times New Roman" w:hAnsi="Times New Roman"/>
          <w:color w:val="000000"/>
        </w:rPr>
        <w:t xml:space="preserve"> 573.</w:t>
      </w:r>
    </w:p>
    <w:p w14:paraId="1363E098" w14:textId="4D81ECDB" w:rsidR="005F71D1" w:rsidRPr="00A60FD5" w:rsidRDefault="00754823" w:rsidP="00E258CC">
      <w:pPr>
        <w:spacing w:line="220" w:lineRule="exact"/>
        <w:rPr>
          <w:rFonts w:ascii="Times New Roman" w:hAnsi="Times New Roman"/>
          <w:color w:val="000000"/>
        </w:rPr>
      </w:pPr>
      <w:r w:rsidRPr="00A60FD5">
        <w:rPr>
          <w:rFonts w:ascii="Times New Roman" w:hAnsi="Times New Roman"/>
          <w:color w:val="000000"/>
        </w:rPr>
        <w:t>Sampson, R.C.</w:t>
      </w:r>
      <w:r w:rsidR="00704689">
        <w:rPr>
          <w:rFonts w:ascii="Times New Roman" w:hAnsi="Times New Roman"/>
          <w:color w:val="000000"/>
        </w:rPr>
        <w:t>,</w:t>
      </w:r>
      <w:r w:rsidRPr="00A60FD5">
        <w:rPr>
          <w:rFonts w:ascii="Times New Roman" w:hAnsi="Times New Roman"/>
          <w:color w:val="000000"/>
        </w:rPr>
        <w:t xml:space="preserve"> 2003. The role of lawyers in strategic alliances. Case Western Law Rev. 53 909-927. </w:t>
      </w:r>
    </w:p>
    <w:p w14:paraId="222F76C9" w14:textId="1BDACB29" w:rsidR="00754823" w:rsidRPr="00A60FD5" w:rsidRDefault="005F71D1" w:rsidP="00E258CC">
      <w:pPr>
        <w:spacing w:line="220" w:lineRule="exact"/>
        <w:rPr>
          <w:rFonts w:ascii="Times New Roman" w:hAnsi="Times New Roman"/>
          <w:color w:val="000000"/>
        </w:rPr>
      </w:pPr>
      <w:r w:rsidRPr="00A60FD5">
        <w:rPr>
          <w:rFonts w:ascii="Times New Roman" w:hAnsi="Times New Roman"/>
          <w:color w:val="000000"/>
        </w:rPr>
        <w:t>Schrader, S., 1991. Informal technology transfer between firms: Cooperation through information trading. Research policy 20, 153-170.</w:t>
      </w:r>
      <w:r w:rsidR="00754823" w:rsidRPr="00A60FD5">
        <w:rPr>
          <w:rFonts w:ascii="Times New Roman" w:hAnsi="Times New Roman"/>
          <w:color w:val="000000"/>
        </w:rPr>
        <w:t xml:space="preserve"> </w:t>
      </w:r>
    </w:p>
    <w:p w14:paraId="7CECF4B7" w14:textId="016CC95C" w:rsidR="00754823" w:rsidRPr="00A60FD5" w:rsidRDefault="00754823" w:rsidP="00E258CC">
      <w:pPr>
        <w:spacing w:line="220" w:lineRule="exact"/>
        <w:rPr>
          <w:rFonts w:ascii="Times New Roman" w:hAnsi="Times New Roman"/>
          <w:lang w:eastAsia="fr-BE"/>
        </w:rPr>
      </w:pPr>
      <w:r w:rsidRPr="00A60FD5">
        <w:rPr>
          <w:rFonts w:ascii="Times New Roman" w:hAnsi="Times New Roman"/>
          <w:color w:val="000000"/>
        </w:rPr>
        <w:t>Schumacker, R.E., Beyerlein</w:t>
      </w:r>
      <w:r w:rsidR="004D5AA7" w:rsidRPr="00A60FD5">
        <w:rPr>
          <w:rFonts w:ascii="Times New Roman" w:hAnsi="Times New Roman"/>
          <w:color w:val="000000"/>
        </w:rPr>
        <w:t>, S.T.,</w:t>
      </w:r>
      <w:r w:rsidRPr="00A60FD5">
        <w:rPr>
          <w:rFonts w:ascii="Times New Roman" w:hAnsi="Times New Roman"/>
          <w:color w:val="000000"/>
        </w:rPr>
        <w:t xml:space="preserve"> 2000. Confirmatory factor analysis with different correlation types and estimation methods. Structural Equation Modeling 7</w:t>
      </w:r>
      <w:r w:rsidR="004D5AA7" w:rsidRPr="00A60FD5">
        <w:rPr>
          <w:rFonts w:ascii="Times New Roman" w:hAnsi="Times New Roman"/>
          <w:color w:val="000000"/>
        </w:rPr>
        <w:t>,</w:t>
      </w:r>
      <w:r w:rsidRPr="00A60FD5">
        <w:rPr>
          <w:rFonts w:ascii="Times New Roman" w:hAnsi="Times New Roman"/>
          <w:color w:val="000000"/>
        </w:rPr>
        <w:t xml:space="preserve"> 629-636.</w:t>
      </w:r>
    </w:p>
    <w:p w14:paraId="2974FE41" w14:textId="463EC84D" w:rsidR="00754823" w:rsidRPr="00A60FD5" w:rsidRDefault="00754823" w:rsidP="00E258CC">
      <w:pPr>
        <w:spacing w:line="220" w:lineRule="exact"/>
        <w:rPr>
          <w:rFonts w:ascii="Times New Roman" w:hAnsi="Times New Roman"/>
          <w:lang w:eastAsia="fr-BE"/>
        </w:rPr>
      </w:pPr>
      <w:r w:rsidRPr="00A60FD5">
        <w:rPr>
          <w:rFonts w:ascii="Times New Roman" w:hAnsi="Times New Roman"/>
          <w:lang w:eastAsia="fr-BE"/>
        </w:rPr>
        <w:t>Shavell, S.</w:t>
      </w:r>
      <w:r w:rsidR="00704689">
        <w:rPr>
          <w:rFonts w:ascii="Times New Roman" w:hAnsi="Times New Roman"/>
          <w:lang w:eastAsia="fr-BE"/>
        </w:rPr>
        <w:t>,</w:t>
      </w:r>
      <w:r w:rsidRPr="00A60FD5">
        <w:rPr>
          <w:rFonts w:ascii="Times New Roman" w:hAnsi="Times New Roman"/>
          <w:lang w:eastAsia="fr-BE"/>
        </w:rPr>
        <w:t xml:space="preserve"> 1995. Alternative dispute resolution: an economic analysis. The J</w:t>
      </w:r>
      <w:r w:rsidR="00704689">
        <w:rPr>
          <w:rFonts w:ascii="Times New Roman" w:hAnsi="Times New Roman"/>
          <w:lang w:eastAsia="fr-BE"/>
        </w:rPr>
        <w:t>ournal</w:t>
      </w:r>
      <w:r w:rsidRPr="00A60FD5">
        <w:rPr>
          <w:rFonts w:ascii="Times New Roman" w:hAnsi="Times New Roman"/>
          <w:lang w:eastAsia="fr-BE"/>
        </w:rPr>
        <w:t xml:space="preserve"> of Legal Stud</w:t>
      </w:r>
      <w:r w:rsidR="00704689">
        <w:rPr>
          <w:rFonts w:ascii="Times New Roman" w:hAnsi="Times New Roman"/>
          <w:lang w:eastAsia="fr-BE"/>
        </w:rPr>
        <w:t>ies</w:t>
      </w:r>
      <w:r w:rsidRPr="00A60FD5">
        <w:rPr>
          <w:rFonts w:ascii="Times New Roman" w:hAnsi="Times New Roman"/>
          <w:lang w:eastAsia="fr-BE"/>
        </w:rPr>
        <w:t xml:space="preserve"> 24</w:t>
      </w:r>
      <w:r w:rsidR="00704689">
        <w:rPr>
          <w:rFonts w:ascii="Times New Roman" w:hAnsi="Times New Roman"/>
          <w:lang w:eastAsia="fr-BE"/>
        </w:rPr>
        <w:t>, 1-28</w:t>
      </w:r>
      <w:r w:rsidRPr="00A60FD5">
        <w:rPr>
          <w:rFonts w:ascii="Times New Roman" w:hAnsi="Times New Roman"/>
          <w:lang w:eastAsia="fr-BE"/>
        </w:rPr>
        <w:t>.</w:t>
      </w:r>
    </w:p>
    <w:p w14:paraId="6AC3210B" w14:textId="788152E4" w:rsidR="00540470" w:rsidRPr="00A60FD5" w:rsidRDefault="00540470" w:rsidP="00E258CC">
      <w:pPr>
        <w:spacing w:line="220" w:lineRule="exact"/>
        <w:rPr>
          <w:rFonts w:ascii="Times New Roman" w:hAnsi="Times New Roman"/>
          <w:lang w:eastAsia="fr-BE"/>
        </w:rPr>
      </w:pPr>
      <w:r w:rsidRPr="00A60FD5">
        <w:rPr>
          <w:rFonts w:ascii="Times New Roman" w:hAnsi="Times New Roman"/>
          <w:lang w:eastAsia="fr-BE"/>
        </w:rPr>
        <w:t>Simeth, M., Lhuillery</w:t>
      </w:r>
      <w:r w:rsidR="006019C0" w:rsidRPr="00A60FD5">
        <w:rPr>
          <w:rFonts w:ascii="Times New Roman" w:hAnsi="Times New Roman"/>
          <w:lang w:eastAsia="fr-BE"/>
        </w:rPr>
        <w:t>, S..</w:t>
      </w:r>
      <w:r w:rsidRPr="00A60FD5">
        <w:rPr>
          <w:rFonts w:ascii="Times New Roman" w:hAnsi="Times New Roman"/>
          <w:lang w:eastAsia="fr-BE"/>
        </w:rPr>
        <w:t xml:space="preserve"> 2015. How do firms develop capabilities for scientific disclosure?. Res</w:t>
      </w:r>
      <w:r w:rsidR="006019C0" w:rsidRPr="00A60FD5">
        <w:rPr>
          <w:rFonts w:ascii="Times New Roman" w:hAnsi="Times New Roman"/>
          <w:lang w:eastAsia="fr-BE"/>
        </w:rPr>
        <w:t>earch</w:t>
      </w:r>
      <w:r w:rsidRPr="00A60FD5">
        <w:rPr>
          <w:rFonts w:ascii="Times New Roman" w:hAnsi="Times New Roman"/>
          <w:lang w:eastAsia="fr-BE"/>
        </w:rPr>
        <w:t xml:space="preserve"> Pol</w:t>
      </w:r>
      <w:r w:rsidR="006019C0" w:rsidRPr="00A60FD5">
        <w:rPr>
          <w:rFonts w:ascii="Times New Roman" w:hAnsi="Times New Roman"/>
          <w:lang w:eastAsia="fr-BE"/>
        </w:rPr>
        <w:t>icy</w:t>
      </w:r>
      <w:r w:rsidRPr="00A60FD5">
        <w:rPr>
          <w:rFonts w:ascii="Times New Roman" w:hAnsi="Times New Roman"/>
          <w:lang w:eastAsia="fr-BE"/>
        </w:rPr>
        <w:t xml:space="preserve"> 44</w:t>
      </w:r>
      <w:r w:rsidR="006019C0" w:rsidRPr="00A60FD5">
        <w:rPr>
          <w:rFonts w:ascii="Times New Roman" w:hAnsi="Times New Roman"/>
          <w:lang w:eastAsia="fr-BE"/>
        </w:rPr>
        <w:t>,</w:t>
      </w:r>
      <w:r w:rsidRPr="00A60FD5">
        <w:rPr>
          <w:rFonts w:ascii="Times New Roman" w:hAnsi="Times New Roman"/>
          <w:lang w:eastAsia="fr-BE"/>
        </w:rPr>
        <w:t xml:space="preserve"> 1283-1295.</w:t>
      </w:r>
    </w:p>
    <w:p w14:paraId="35F9F80B" w14:textId="3F24D6FC" w:rsidR="00754823" w:rsidRPr="00A60FD5" w:rsidRDefault="00754823" w:rsidP="00E258CC">
      <w:pPr>
        <w:spacing w:line="220" w:lineRule="exact"/>
        <w:rPr>
          <w:rFonts w:ascii="Times New Roman" w:hAnsi="Times New Roman"/>
          <w:lang w:eastAsia="fr-BE"/>
        </w:rPr>
      </w:pPr>
      <w:r w:rsidRPr="00A60FD5">
        <w:rPr>
          <w:rFonts w:ascii="Times New Roman" w:hAnsi="Times New Roman"/>
          <w:lang w:eastAsia="fr-BE"/>
        </w:rPr>
        <w:t>Simon, H., March</w:t>
      </w:r>
      <w:r w:rsidR="00EE2AEA" w:rsidRPr="00A60FD5">
        <w:rPr>
          <w:rFonts w:ascii="Times New Roman" w:hAnsi="Times New Roman"/>
          <w:lang w:eastAsia="fr-BE"/>
        </w:rPr>
        <w:t>, J.G.,</w:t>
      </w:r>
      <w:r w:rsidRPr="00A60FD5">
        <w:rPr>
          <w:rFonts w:ascii="Times New Roman" w:hAnsi="Times New Roman"/>
          <w:lang w:eastAsia="fr-BE"/>
        </w:rPr>
        <w:t xml:space="preserve"> 1958. Organizations. </w:t>
      </w:r>
    </w:p>
    <w:p w14:paraId="6BBB6050" w14:textId="6D35B379" w:rsidR="00D83359" w:rsidRPr="00A60FD5" w:rsidRDefault="00D83359" w:rsidP="00E258CC">
      <w:pPr>
        <w:spacing w:line="220" w:lineRule="exact"/>
        <w:rPr>
          <w:rFonts w:ascii="Times New Roman" w:hAnsi="Times New Roman"/>
          <w:lang w:eastAsia="fr-BE"/>
        </w:rPr>
      </w:pPr>
      <w:r w:rsidRPr="00A60FD5">
        <w:rPr>
          <w:rFonts w:ascii="Times New Roman" w:hAnsi="Times New Roman"/>
          <w:lang w:eastAsia="fr-BE"/>
        </w:rPr>
        <w:t>Simonin, B.L.</w:t>
      </w:r>
      <w:r w:rsidR="006019C0" w:rsidRPr="00A60FD5">
        <w:rPr>
          <w:rFonts w:ascii="Times New Roman" w:hAnsi="Times New Roman"/>
          <w:lang w:eastAsia="fr-BE"/>
        </w:rPr>
        <w:t>,</w:t>
      </w:r>
      <w:r w:rsidRPr="00A60FD5">
        <w:rPr>
          <w:rFonts w:ascii="Times New Roman" w:hAnsi="Times New Roman"/>
          <w:lang w:eastAsia="fr-BE"/>
        </w:rPr>
        <w:t xml:space="preserve"> 1999. Ambiguity and the process of knowledge transfer in strategic alliances. Strat</w:t>
      </w:r>
      <w:r w:rsidR="006019C0" w:rsidRPr="00A60FD5">
        <w:rPr>
          <w:rFonts w:ascii="Times New Roman" w:hAnsi="Times New Roman"/>
          <w:lang w:eastAsia="fr-BE"/>
        </w:rPr>
        <w:t>egic</w:t>
      </w:r>
      <w:r w:rsidRPr="00A60FD5">
        <w:rPr>
          <w:rFonts w:ascii="Times New Roman" w:hAnsi="Times New Roman"/>
          <w:lang w:eastAsia="fr-BE"/>
        </w:rPr>
        <w:t xml:space="preserve"> Management J</w:t>
      </w:r>
      <w:r w:rsidR="006019C0" w:rsidRPr="00A60FD5">
        <w:rPr>
          <w:rFonts w:ascii="Times New Roman" w:hAnsi="Times New Roman"/>
          <w:lang w:eastAsia="fr-BE"/>
        </w:rPr>
        <w:t>ournal</w:t>
      </w:r>
      <w:r w:rsidRPr="00A60FD5">
        <w:rPr>
          <w:rFonts w:ascii="Times New Roman" w:hAnsi="Times New Roman"/>
          <w:lang w:eastAsia="fr-BE"/>
        </w:rPr>
        <w:t xml:space="preserve"> 595-623.</w:t>
      </w:r>
    </w:p>
    <w:p w14:paraId="0CBAB201" w14:textId="0800243D" w:rsidR="00754823" w:rsidRPr="00A60FD5" w:rsidRDefault="00754823" w:rsidP="00E258CC">
      <w:pPr>
        <w:spacing w:line="220" w:lineRule="exact"/>
        <w:rPr>
          <w:rFonts w:ascii="Times New Roman" w:hAnsi="Times New Roman"/>
          <w:lang w:eastAsia="fr-BE"/>
        </w:rPr>
      </w:pPr>
      <w:r w:rsidRPr="00A60FD5">
        <w:rPr>
          <w:rFonts w:ascii="Times New Roman" w:hAnsi="Times New Roman"/>
          <w:lang w:eastAsia="fr-BE"/>
        </w:rPr>
        <w:t>Simonin, B.L.</w:t>
      </w:r>
      <w:r w:rsidR="005F71D1" w:rsidRPr="00A60FD5">
        <w:rPr>
          <w:rFonts w:ascii="Times New Roman" w:hAnsi="Times New Roman"/>
          <w:lang w:eastAsia="fr-BE"/>
        </w:rPr>
        <w:t>,</w:t>
      </w:r>
      <w:r w:rsidRPr="00A60FD5">
        <w:rPr>
          <w:rFonts w:ascii="Times New Roman" w:hAnsi="Times New Roman"/>
          <w:lang w:eastAsia="fr-BE"/>
        </w:rPr>
        <w:t xml:space="preserve"> 2004. An empirical investigation of the process of knowledge transfer in international strategic alliances. J</w:t>
      </w:r>
      <w:r w:rsidR="005F71D1" w:rsidRPr="00A60FD5">
        <w:rPr>
          <w:rFonts w:ascii="Times New Roman" w:hAnsi="Times New Roman"/>
          <w:lang w:eastAsia="fr-BE"/>
        </w:rPr>
        <w:t xml:space="preserve">ournal </w:t>
      </w:r>
      <w:r w:rsidRPr="00A60FD5">
        <w:rPr>
          <w:rFonts w:ascii="Times New Roman" w:hAnsi="Times New Roman"/>
          <w:lang w:eastAsia="fr-BE"/>
        </w:rPr>
        <w:t>of Intern</w:t>
      </w:r>
      <w:r w:rsidR="005F71D1" w:rsidRPr="00A60FD5">
        <w:rPr>
          <w:rFonts w:ascii="Times New Roman" w:hAnsi="Times New Roman"/>
          <w:lang w:eastAsia="fr-BE"/>
        </w:rPr>
        <w:t>ational</w:t>
      </w:r>
      <w:r w:rsidRPr="00A60FD5">
        <w:rPr>
          <w:rFonts w:ascii="Times New Roman" w:hAnsi="Times New Roman"/>
          <w:lang w:eastAsia="fr-BE"/>
        </w:rPr>
        <w:t xml:space="preserve"> Business Stud</w:t>
      </w:r>
      <w:r w:rsidR="005F71D1" w:rsidRPr="00A60FD5">
        <w:rPr>
          <w:rFonts w:ascii="Times New Roman" w:hAnsi="Times New Roman"/>
          <w:lang w:eastAsia="fr-BE"/>
        </w:rPr>
        <w:t>ies</w:t>
      </w:r>
      <w:r w:rsidRPr="00A60FD5">
        <w:rPr>
          <w:rFonts w:ascii="Times New Roman" w:hAnsi="Times New Roman"/>
          <w:lang w:eastAsia="fr-BE"/>
        </w:rPr>
        <w:t xml:space="preserve"> 25</w:t>
      </w:r>
      <w:r w:rsidR="005F71D1" w:rsidRPr="00A60FD5">
        <w:rPr>
          <w:rFonts w:ascii="Times New Roman" w:hAnsi="Times New Roman"/>
          <w:lang w:eastAsia="fr-BE"/>
        </w:rPr>
        <w:t>,</w:t>
      </w:r>
      <w:r w:rsidRPr="00A60FD5">
        <w:rPr>
          <w:rFonts w:ascii="Times New Roman" w:hAnsi="Times New Roman"/>
          <w:lang w:eastAsia="fr-BE"/>
        </w:rPr>
        <w:t xml:space="preserve"> 407-427.</w:t>
      </w:r>
    </w:p>
    <w:p w14:paraId="7730763E" w14:textId="25BE49E2" w:rsidR="00754823" w:rsidRPr="00A60FD5" w:rsidRDefault="00754823" w:rsidP="00E258CC">
      <w:pPr>
        <w:spacing w:line="220" w:lineRule="exact"/>
        <w:rPr>
          <w:rFonts w:ascii="Times New Roman" w:hAnsi="Times New Roman"/>
        </w:rPr>
      </w:pPr>
      <w:r w:rsidRPr="00A60FD5">
        <w:rPr>
          <w:rFonts w:ascii="Times New Roman" w:hAnsi="Times New Roman"/>
        </w:rPr>
        <w:t>Slate, W.K.</w:t>
      </w:r>
      <w:r w:rsidR="00704689">
        <w:rPr>
          <w:rFonts w:ascii="Times New Roman" w:hAnsi="Times New Roman"/>
        </w:rPr>
        <w:t>,</w:t>
      </w:r>
      <w:r w:rsidRPr="00A60FD5">
        <w:rPr>
          <w:rFonts w:ascii="Times New Roman" w:hAnsi="Times New Roman"/>
        </w:rPr>
        <w:t xml:space="preserve"> 1996. International arbitration: do institutions make a difference. Wake Forest Law Rev</w:t>
      </w:r>
      <w:r w:rsidR="00704689">
        <w:rPr>
          <w:rFonts w:ascii="Times New Roman" w:hAnsi="Times New Roman"/>
        </w:rPr>
        <w:t>iew</w:t>
      </w:r>
      <w:r w:rsidRPr="00A60FD5">
        <w:rPr>
          <w:rFonts w:ascii="Times New Roman" w:hAnsi="Times New Roman"/>
        </w:rPr>
        <w:t xml:space="preserve"> 31</w:t>
      </w:r>
      <w:r w:rsidR="00704689">
        <w:rPr>
          <w:rFonts w:ascii="Times New Roman" w:hAnsi="Times New Roman"/>
        </w:rPr>
        <w:t>,</w:t>
      </w:r>
      <w:r w:rsidRPr="00A60FD5">
        <w:rPr>
          <w:rFonts w:ascii="Times New Roman" w:hAnsi="Times New Roman"/>
        </w:rPr>
        <w:t xml:space="preserve"> 41</w:t>
      </w:r>
      <w:r w:rsidR="00704689">
        <w:rPr>
          <w:rFonts w:ascii="Times New Roman" w:hAnsi="Times New Roman"/>
        </w:rPr>
        <w:t>-64</w:t>
      </w:r>
      <w:r w:rsidRPr="00A60FD5">
        <w:rPr>
          <w:rFonts w:ascii="Times New Roman" w:hAnsi="Times New Roman"/>
        </w:rPr>
        <w:t>.</w:t>
      </w:r>
    </w:p>
    <w:p w14:paraId="193521D6" w14:textId="0C927DE0" w:rsidR="00754823" w:rsidRPr="00A60FD5" w:rsidRDefault="00754823" w:rsidP="00E258CC">
      <w:pPr>
        <w:spacing w:line="220" w:lineRule="exact"/>
        <w:rPr>
          <w:rFonts w:ascii="Times New Roman" w:hAnsi="Times New Roman"/>
          <w:lang w:eastAsia="fr-BE"/>
        </w:rPr>
      </w:pPr>
      <w:r w:rsidRPr="00A60FD5">
        <w:rPr>
          <w:rFonts w:ascii="Times New Roman" w:hAnsi="Times New Roman"/>
        </w:rPr>
        <w:t xml:space="preserve">Somaya, D., Kim, </w:t>
      </w:r>
      <w:r w:rsidR="00265B14" w:rsidRPr="00A60FD5">
        <w:rPr>
          <w:rFonts w:ascii="Times New Roman" w:hAnsi="Times New Roman"/>
        </w:rPr>
        <w:t xml:space="preserve">Y., </w:t>
      </w:r>
      <w:r w:rsidRPr="00A60FD5">
        <w:rPr>
          <w:rFonts w:ascii="Times New Roman" w:hAnsi="Times New Roman"/>
        </w:rPr>
        <w:t>Vonortas</w:t>
      </w:r>
      <w:r w:rsidR="00265B14" w:rsidRPr="00A60FD5">
        <w:rPr>
          <w:rFonts w:ascii="Times New Roman" w:hAnsi="Times New Roman"/>
        </w:rPr>
        <w:t>, N.S.,</w:t>
      </w:r>
      <w:r w:rsidRPr="00A60FD5">
        <w:rPr>
          <w:rFonts w:ascii="Times New Roman" w:hAnsi="Times New Roman"/>
        </w:rPr>
        <w:t xml:space="preserve"> 2010. Exclusivity in licensing alliances : using hostages to support technology commercialization. Strategic Management J</w:t>
      </w:r>
      <w:r w:rsidR="00265B14" w:rsidRPr="00A60FD5">
        <w:rPr>
          <w:rFonts w:ascii="Times New Roman" w:hAnsi="Times New Roman"/>
        </w:rPr>
        <w:t>ournal</w:t>
      </w:r>
      <w:r w:rsidRPr="00A60FD5">
        <w:rPr>
          <w:rFonts w:ascii="Times New Roman" w:hAnsi="Times New Roman"/>
        </w:rPr>
        <w:t xml:space="preserve"> 32</w:t>
      </w:r>
      <w:r w:rsidR="00265B14" w:rsidRPr="00A60FD5">
        <w:rPr>
          <w:rFonts w:ascii="Times New Roman" w:hAnsi="Times New Roman"/>
        </w:rPr>
        <w:t>,</w:t>
      </w:r>
      <w:r w:rsidRPr="00A60FD5">
        <w:rPr>
          <w:rFonts w:ascii="Times New Roman" w:hAnsi="Times New Roman"/>
        </w:rPr>
        <w:t xml:space="preserve"> 159-186.</w:t>
      </w:r>
    </w:p>
    <w:p w14:paraId="431DAAD8" w14:textId="182A0DFC" w:rsidR="00754823" w:rsidRPr="00A60FD5" w:rsidRDefault="00754823" w:rsidP="00E258CC">
      <w:pPr>
        <w:spacing w:line="220" w:lineRule="exact"/>
        <w:rPr>
          <w:rFonts w:ascii="Times New Roman" w:eastAsia="Times New Roman" w:hAnsi="Times New Roman"/>
        </w:rPr>
      </w:pPr>
      <w:r w:rsidRPr="00A60FD5">
        <w:rPr>
          <w:rFonts w:ascii="Times New Roman" w:eastAsia="Times New Roman" w:hAnsi="Times New Roman"/>
        </w:rPr>
        <w:t>Sternlight, J.R., Resnik</w:t>
      </w:r>
      <w:r w:rsidR="006A20C8" w:rsidRPr="00A60FD5">
        <w:rPr>
          <w:rFonts w:ascii="Times New Roman" w:eastAsia="Times New Roman" w:hAnsi="Times New Roman"/>
        </w:rPr>
        <w:t>, J.,</w:t>
      </w:r>
      <w:r w:rsidRPr="00A60FD5">
        <w:rPr>
          <w:rFonts w:ascii="Times New Roman" w:eastAsia="Times New Roman" w:hAnsi="Times New Roman"/>
        </w:rPr>
        <w:t xml:space="preserve"> </w:t>
      </w:r>
      <w:r w:rsidR="001C1680" w:rsidRPr="00A60FD5">
        <w:rPr>
          <w:rFonts w:ascii="Times New Roman" w:eastAsia="Times New Roman" w:hAnsi="Times New Roman"/>
        </w:rPr>
        <w:t>2005</w:t>
      </w:r>
      <w:r w:rsidRPr="00A60FD5">
        <w:rPr>
          <w:rFonts w:ascii="Times New Roman" w:eastAsia="Times New Roman" w:hAnsi="Times New Roman"/>
        </w:rPr>
        <w:t xml:space="preserve">. Competing and complementary rule systems: civil procedure and ADR. Notre Dame </w:t>
      </w:r>
      <w:r w:rsidR="005447D4" w:rsidRPr="00A60FD5">
        <w:rPr>
          <w:rFonts w:ascii="Times New Roman" w:hAnsi="Times New Roman"/>
          <w:lang w:eastAsia="fr-BE"/>
        </w:rPr>
        <w:t>Law</w:t>
      </w:r>
      <w:r w:rsidRPr="00A60FD5">
        <w:rPr>
          <w:rFonts w:ascii="Times New Roman" w:eastAsia="Times New Roman" w:hAnsi="Times New Roman"/>
        </w:rPr>
        <w:t xml:space="preserve"> Rev</w:t>
      </w:r>
      <w:r w:rsidR="006A20C8" w:rsidRPr="00A60FD5">
        <w:rPr>
          <w:rFonts w:ascii="Times New Roman" w:eastAsia="Times New Roman" w:hAnsi="Times New Roman"/>
        </w:rPr>
        <w:t xml:space="preserve">iew </w:t>
      </w:r>
      <w:r w:rsidRPr="00A60FD5">
        <w:rPr>
          <w:rFonts w:ascii="Times New Roman" w:eastAsia="Times New Roman" w:hAnsi="Times New Roman"/>
        </w:rPr>
        <w:t>80</w:t>
      </w:r>
      <w:r w:rsidR="006A20C8" w:rsidRPr="00A60FD5">
        <w:rPr>
          <w:rFonts w:ascii="Times New Roman" w:eastAsia="Times New Roman" w:hAnsi="Times New Roman"/>
        </w:rPr>
        <w:t>,</w:t>
      </w:r>
      <w:r w:rsidRPr="00A60FD5">
        <w:rPr>
          <w:rFonts w:ascii="Times New Roman" w:eastAsia="Times New Roman" w:hAnsi="Times New Roman"/>
        </w:rPr>
        <w:t xml:space="preserve"> 481</w:t>
      </w:r>
      <w:r w:rsidR="006A20C8" w:rsidRPr="00A60FD5">
        <w:rPr>
          <w:rFonts w:ascii="Times New Roman" w:eastAsia="Times New Roman" w:hAnsi="Times New Roman"/>
        </w:rPr>
        <w:t>-487</w:t>
      </w:r>
      <w:r w:rsidRPr="00A60FD5">
        <w:rPr>
          <w:rFonts w:ascii="Times New Roman" w:eastAsia="Times New Roman" w:hAnsi="Times New Roman"/>
        </w:rPr>
        <w:t xml:space="preserve">. </w:t>
      </w:r>
    </w:p>
    <w:p w14:paraId="068924E3" w14:textId="56605903" w:rsidR="00CC004F" w:rsidRPr="00A60FD5" w:rsidRDefault="00CC004F" w:rsidP="00DE2B44">
      <w:pPr>
        <w:spacing w:line="220" w:lineRule="exact"/>
        <w:rPr>
          <w:rFonts w:ascii="Times New Roman" w:hAnsi="Times New Roman"/>
        </w:rPr>
      </w:pPr>
      <w:r w:rsidRPr="00A60FD5">
        <w:rPr>
          <w:rFonts w:ascii="Times New Roman" w:hAnsi="Times New Roman"/>
        </w:rPr>
        <w:t>Stipanowich, T.</w:t>
      </w:r>
      <w:r w:rsidR="00DE2B44" w:rsidRPr="00A60FD5">
        <w:rPr>
          <w:rFonts w:ascii="Times New Roman" w:hAnsi="Times New Roman"/>
        </w:rPr>
        <w:t>,</w:t>
      </w:r>
      <w:r w:rsidRPr="00A60FD5">
        <w:rPr>
          <w:rFonts w:ascii="Times New Roman" w:hAnsi="Times New Roman"/>
        </w:rPr>
        <w:t xml:space="preserve"> 2014. Reflections on the </w:t>
      </w:r>
      <w:r w:rsidR="00DE2B44" w:rsidRPr="00A60FD5">
        <w:rPr>
          <w:rFonts w:ascii="Times New Roman" w:hAnsi="Times New Roman"/>
        </w:rPr>
        <w:t>s</w:t>
      </w:r>
      <w:r w:rsidRPr="00A60FD5">
        <w:rPr>
          <w:rFonts w:ascii="Times New Roman" w:hAnsi="Times New Roman"/>
        </w:rPr>
        <w:t xml:space="preserve">tate and </w:t>
      </w:r>
      <w:r w:rsidR="00DE2B44" w:rsidRPr="00A60FD5">
        <w:rPr>
          <w:rFonts w:ascii="Times New Roman" w:hAnsi="Times New Roman"/>
        </w:rPr>
        <w:t>f</w:t>
      </w:r>
      <w:r w:rsidRPr="00A60FD5">
        <w:rPr>
          <w:rFonts w:ascii="Times New Roman" w:hAnsi="Times New Roman"/>
        </w:rPr>
        <w:t xml:space="preserve">uture of </w:t>
      </w:r>
      <w:r w:rsidR="00DE2B44" w:rsidRPr="00A60FD5">
        <w:rPr>
          <w:rFonts w:ascii="Times New Roman" w:hAnsi="Times New Roman"/>
        </w:rPr>
        <w:t>c</w:t>
      </w:r>
      <w:r w:rsidRPr="00A60FD5">
        <w:rPr>
          <w:rFonts w:ascii="Times New Roman" w:hAnsi="Times New Roman"/>
        </w:rPr>
        <w:t xml:space="preserve">ommercial </w:t>
      </w:r>
      <w:r w:rsidR="00DE2B44" w:rsidRPr="00A60FD5">
        <w:rPr>
          <w:rFonts w:ascii="Times New Roman" w:hAnsi="Times New Roman"/>
        </w:rPr>
        <w:t>a</w:t>
      </w:r>
      <w:r w:rsidRPr="00A60FD5">
        <w:rPr>
          <w:rFonts w:ascii="Times New Roman" w:hAnsi="Times New Roman"/>
        </w:rPr>
        <w:t xml:space="preserve">rbitration: </w:t>
      </w:r>
      <w:r w:rsidR="00DE2B44" w:rsidRPr="00A60FD5">
        <w:rPr>
          <w:rFonts w:ascii="Times New Roman" w:hAnsi="Times New Roman"/>
        </w:rPr>
        <w:t>c</w:t>
      </w:r>
      <w:r w:rsidRPr="00A60FD5">
        <w:rPr>
          <w:rFonts w:ascii="Times New Roman" w:hAnsi="Times New Roman"/>
        </w:rPr>
        <w:t xml:space="preserve">hallenges, </w:t>
      </w:r>
      <w:r w:rsidR="00DE2B44" w:rsidRPr="00A60FD5">
        <w:rPr>
          <w:rFonts w:ascii="Times New Roman" w:hAnsi="Times New Roman"/>
        </w:rPr>
        <w:t>o</w:t>
      </w:r>
      <w:r w:rsidRPr="00A60FD5">
        <w:rPr>
          <w:rFonts w:ascii="Times New Roman" w:hAnsi="Times New Roman"/>
        </w:rPr>
        <w:t xml:space="preserve">pportunities, </w:t>
      </w:r>
      <w:r w:rsidR="00DE2B44" w:rsidRPr="00A60FD5">
        <w:rPr>
          <w:rFonts w:ascii="Times New Roman" w:hAnsi="Times New Roman"/>
        </w:rPr>
        <w:t>p</w:t>
      </w:r>
      <w:r w:rsidRPr="00A60FD5">
        <w:rPr>
          <w:rFonts w:ascii="Times New Roman" w:hAnsi="Times New Roman"/>
        </w:rPr>
        <w:t>roposals.</w:t>
      </w:r>
      <w:r w:rsidR="00DE2B44" w:rsidRPr="00A60FD5">
        <w:rPr>
          <w:rFonts w:ascii="Times New Roman" w:hAnsi="Times New Roman"/>
        </w:rPr>
        <w:t xml:space="preserve"> Columbia American Review of International Arbitration 25, 2014.</w:t>
      </w:r>
    </w:p>
    <w:p w14:paraId="79156E0A" w14:textId="58D5AC7B" w:rsidR="00704689" w:rsidRDefault="00704689" w:rsidP="00E258CC">
      <w:pPr>
        <w:spacing w:line="220" w:lineRule="exact"/>
        <w:rPr>
          <w:rFonts w:ascii="Times New Roman" w:hAnsi="Times New Roman"/>
        </w:rPr>
      </w:pPr>
      <w:r w:rsidRPr="00A60FD5">
        <w:rPr>
          <w:rFonts w:ascii="Times New Roman" w:eastAsia="Times New Roman" w:hAnsi="Times New Roman"/>
        </w:rPr>
        <w:t>Stipanowich, T., Lamare, J.R., 2014. Living with ‘ADR’: evolving perceptions and use of mediation, arbitration and conflict management in Fortune 1000 Corporations. Harvard Negotiation Law Review 19, 1-68</w:t>
      </w:r>
      <w:r w:rsidRPr="00A60FD5">
        <w:t>.</w:t>
      </w:r>
    </w:p>
    <w:p w14:paraId="38E324CF" w14:textId="0963A605" w:rsidR="00CC5D3D" w:rsidRPr="00A60FD5" w:rsidRDefault="00CC5D3D" w:rsidP="00E258CC">
      <w:pPr>
        <w:spacing w:line="220" w:lineRule="exact"/>
        <w:rPr>
          <w:rFonts w:ascii="Times New Roman" w:hAnsi="Times New Roman"/>
        </w:rPr>
      </w:pPr>
      <w:r w:rsidRPr="00A60FD5">
        <w:rPr>
          <w:rFonts w:ascii="Times New Roman" w:hAnsi="Times New Roman"/>
        </w:rPr>
        <w:t>Teece, D.</w:t>
      </w:r>
      <w:r w:rsidR="00BD7F94" w:rsidRPr="00A60FD5">
        <w:rPr>
          <w:rFonts w:ascii="Times New Roman" w:hAnsi="Times New Roman"/>
        </w:rPr>
        <w:t>,</w:t>
      </w:r>
      <w:r w:rsidRPr="00A60FD5">
        <w:rPr>
          <w:rFonts w:ascii="Times New Roman" w:hAnsi="Times New Roman"/>
        </w:rPr>
        <w:t xml:space="preserve"> 1977. Time-cost tradeoffs: Elasticity estimates and determinants for international technology transfer projects. Management Sc</w:t>
      </w:r>
      <w:r w:rsidR="00BD7F94" w:rsidRPr="00A60FD5">
        <w:rPr>
          <w:rFonts w:ascii="Times New Roman" w:hAnsi="Times New Roman"/>
        </w:rPr>
        <w:t>ience</w:t>
      </w:r>
      <w:r w:rsidRPr="00A60FD5">
        <w:rPr>
          <w:rFonts w:ascii="Times New Roman" w:hAnsi="Times New Roman"/>
        </w:rPr>
        <w:t xml:space="preserve"> 23</w:t>
      </w:r>
      <w:r w:rsidR="00BD7F94" w:rsidRPr="00A60FD5">
        <w:rPr>
          <w:rFonts w:ascii="Times New Roman" w:hAnsi="Times New Roman"/>
        </w:rPr>
        <w:t>,</w:t>
      </w:r>
      <w:r w:rsidRPr="00A60FD5">
        <w:rPr>
          <w:rFonts w:ascii="Times New Roman" w:hAnsi="Times New Roman"/>
        </w:rPr>
        <w:t xml:space="preserve"> 830-837.</w:t>
      </w:r>
    </w:p>
    <w:p w14:paraId="40AE571B" w14:textId="6B3603E5" w:rsidR="00754823" w:rsidRPr="00A60FD5" w:rsidRDefault="00754823" w:rsidP="00E258CC">
      <w:pPr>
        <w:spacing w:line="220" w:lineRule="exact"/>
        <w:rPr>
          <w:rFonts w:ascii="Times New Roman" w:hAnsi="Times New Roman"/>
        </w:rPr>
      </w:pPr>
      <w:r w:rsidRPr="00A60FD5">
        <w:rPr>
          <w:rFonts w:ascii="Times New Roman" w:hAnsi="Times New Roman"/>
        </w:rPr>
        <w:t>Teece, D.</w:t>
      </w:r>
      <w:r w:rsidR="00C61B9E" w:rsidRPr="00A60FD5">
        <w:rPr>
          <w:rFonts w:ascii="Times New Roman" w:hAnsi="Times New Roman"/>
        </w:rPr>
        <w:t>,</w:t>
      </w:r>
      <w:r w:rsidRPr="00A60FD5">
        <w:rPr>
          <w:rFonts w:ascii="Times New Roman" w:hAnsi="Times New Roman"/>
        </w:rPr>
        <w:t xml:space="preserve"> 1986. Profiting from technological innovation: implications for integration, collaboration, licensing and public policy. Res</w:t>
      </w:r>
      <w:r w:rsidR="00C61B9E" w:rsidRPr="00A60FD5">
        <w:rPr>
          <w:rFonts w:ascii="Times New Roman" w:hAnsi="Times New Roman"/>
        </w:rPr>
        <w:t>earch Policy</w:t>
      </w:r>
      <w:r w:rsidRPr="00A60FD5">
        <w:rPr>
          <w:rFonts w:ascii="Times New Roman" w:hAnsi="Times New Roman"/>
        </w:rPr>
        <w:t xml:space="preserve"> 15</w:t>
      </w:r>
      <w:r w:rsidR="00C61B9E" w:rsidRPr="00A60FD5">
        <w:rPr>
          <w:rFonts w:ascii="Times New Roman" w:hAnsi="Times New Roman"/>
        </w:rPr>
        <w:t xml:space="preserve">, </w:t>
      </w:r>
      <w:r w:rsidRPr="00A60FD5">
        <w:rPr>
          <w:rFonts w:ascii="Times New Roman" w:hAnsi="Times New Roman"/>
        </w:rPr>
        <w:t xml:space="preserve">285-305. </w:t>
      </w:r>
    </w:p>
    <w:p w14:paraId="2FF8D5C7" w14:textId="16790888" w:rsidR="00E3113C" w:rsidRPr="00A60FD5" w:rsidRDefault="00E3113C" w:rsidP="00E258CC">
      <w:pPr>
        <w:spacing w:line="220" w:lineRule="exact"/>
        <w:rPr>
          <w:rFonts w:ascii="Times New Roman" w:hAnsi="Times New Roman"/>
        </w:rPr>
      </w:pPr>
      <w:r w:rsidRPr="00A60FD5">
        <w:rPr>
          <w:rFonts w:ascii="Times New Roman" w:hAnsi="Times New Roman"/>
        </w:rPr>
        <w:t xml:space="preserve">Uzzi, B., 1997. Social structure and competition in interfirm networks: the paradox of embeddedness. Administrative Science Quarterly 42, 35-67. </w:t>
      </w:r>
    </w:p>
    <w:p w14:paraId="5AF15D09" w14:textId="31E6E934" w:rsidR="00754823" w:rsidRPr="00A60FD5" w:rsidRDefault="00754823" w:rsidP="00E258CC">
      <w:pPr>
        <w:spacing w:line="220" w:lineRule="exact"/>
        <w:rPr>
          <w:rFonts w:ascii="Times New Roman" w:hAnsi="Times New Roman"/>
          <w:lang w:val="nl-NL"/>
        </w:rPr>
      </w:pPr>
      <w:r w:rsidRPr="00A60FD5">
        <w:rPr>
          <w:rFonts w:ascii="Times New Roman" w:hAnsi="Times New Roman"/>
          <w:lang w:val="fr-BE"/>
        </w:rPr>
        <w:t>Vanneste, B.S., Puranam</w:t>
      </w:r>
      <w:r w:rsidR="004D5AA7" w:rsidRPr="00A60FD5">
        <w:rPr>
          <w:rFonts w:ascii="Times New Roman" w:hAnsi="Times New Roman"/>
          <w:lang w:val="fr-BE"/>
        </w:rPr>
        <w:t>, P.,</w:t>
      </w:r>
      <w:r w:rsidRPr="00A60FD5">
        <w:rPr>
          <w:rFonts w:ascii="Times New Roman" w:hAnsi="Times New Roman"/>
          <w:lang w:val="fr-BE"/>
        </w:rPr>
        <w:t xml:space="preserve"> 2010. </w:t>
      </w:r>
      <w:r w:rsidRPr="00A60FD5">
        <w:rPr>
          <w:rFonts w:ascii="Times New Roman" w:hAnsi="Times New Roman"/>
        </w:rPr>
        <w:t xml:space="preserve">Repeated interactions and contractual detail: identifying the learning effect. </w:t>
      </w:r>
      <w:r w:rsidRPr="00A60FD5">
        <w:rPr>
          <w:rFonts w:ascii="Times New Roman" w:hAnsi="Times New Roman"/>
          <w:lang w:val="nl-NL"/>
        </w:rPr>
        <w:t>Organ</w:t>
      </w:r>
      <w:r w:rsidR="004D5AA7" w:rsidRPr="00A60FD5">
        <w:rPr>
          <w:rFonts w:ascii="Times New Roman" w:hAnsi="Times New Roman"/>
          <w:lang w:val="nl-NL"/>
        </w:rPr>
        <w:t>ization</w:t>
      </w:r>
      <w:r w:rsidRPr="00A60FD5">
        <w:rPr>
          <w:rFonts w:ascii="Times New Roman" w:hAnsi="Times New Roman"/>
          <w:lang w:val="nl-NL"/>
        </w:rPr>
        <w:t xml:space="preserve"> Sci</w:t>
      </w:r>
      <w:r w:rsidR="004D5AA7" w:rsidRPr="00A60FD5">
        <w:rPr>
          <w:rFonts w:ascii="Times New Roman" w:hAnsi="Times New Roman"/>
          <w:lang w:val="nl-NL"/>
        </w:rPr>
        <w:t>ence</w:t>
      </w:r>
      <w:r w:rsidRPr="00A60FD5">
        <w:rPr>
          <w:rFonts w:ascii="Times New Roman" w:hAnsi="Times New Roman"/>
          <w:lang w:val="nl-NL"/>
        </w:rPr>
        <w:t xml:space="preserve"> 21</w:t>
      </w:r>
      <w:r w:rsidR="004D5AA7" w:rsidRPr="00A60FD5">
        <w:rPr>
          <w:rFonts w:ascii="Times New Roman" w:hAnsi="Times New Roman"/>
          <w:lang w:val="nl-NL"/>
        </w:rPr>
        <w:t>,</w:t>
      </w:r>
      <w:r w:rsidRPr="00A60FD5">
        <w:rPr>
          <w:rFonts w:ascii="Times New Roman" w:hAnsi="Times New Roman"/>
          <w:lang w:val="nl-NL"/>
        </w:rPr>
        <w:t xml:space="preserve"> 186-201.  </w:t>
      </w:r>
    </w:p>
    <w:p w14:paraId="003E03C7" w14:textId="0C82D590" w:rsidR="000A178C" w:rsidRPr="00A60FD5" w:rsidRDefault="000A178C" w:rsidP="00E258CC">
      <w:pPr>
        <w:spacing w:line="220" w:lineRule="exact"/>
        <w:rPr>
          <w:rFonts w:ascii="Times New Roman" w:hAnsi="Times New Roman"/>
          <w:lang w:eastAsia="fr-BE"/>
        </w:rPr>
      </w:pPr>
      <w:r w:rsidRPr="00A60FD5">
        <w:rPr>
          <w:rFonts w:ascii="Times New Roman" w:hAnsi="Times New Roman"/>
          <w:lang w:val="nl-NL" w:eastAsia="fr-BE"/>
        </w:rPr>
        <w:lastRenderedPageBreak/>
        <w:t xml:space="preserve">Vlaar, P.W.L, F.A.J. Van den Bosch, H.W. Volberda. </w:t>
      </w:r>
      <w:r w:rsidRPr="00A60FD5">
        <w:rPr>
          <w:rFonts w:ascii="Times New Roman" w:hAnsi="Times New Roman"/>
          <w:lang w:eastAsia="fr-BE"/>
        </w:rPr>
        <w:t xml:space="preserve">2007. On the evolution of trust, distrust, and formal coordination and control in interorganizational relationships: Toward an integrative framework. Groups and Organ. Management 32 407-428. </w:t>
      </w:r>
    </w:p>
    <w:p w14:paraId="6EE6512B" w14:textId="7901C145" w:rsidR="00014EF9" w:rsidRDefault="00014EF9" w:rsidP="00E258CC">
      <w:pPr>
        <w:spacing w:line="220" w:lineRule="exact"/>
        <w:rPr>
          <w:rFonts w:ascii="Times New Roman" w:hAnsi="Times New Roman"/>
          <w:lang w:eastAsia="fr-BE"/>
        </w:rPr>
      </w:pPr>
      <w:r w:rsidRPr="00014EF9">
        <w:rPr>
          <w:rFonts w:ascii="Times New Roman" w:hAnsi="Times New Roman"/>
          <w:lang w:eastAsia="fr-BE"/>
        </w:rPr>
        <w:t>Walsh, J.P., Ungson, G.R.</w:t>
      </w:r>
      <w:r>
        <w:rPr>
          <w:rFonts w:ascii="Times New Roman" w:hAnsi="Times New Roman"/>
          <w:lang w:eastAsia="fr-BE"/>
        </w:rPr>
        <w:t>,</w:t>
      </w:r>
      <w:r w:rsidRPr="00014EF9">
        <w:rPr>
          <w:rFonts w:ascii="Times New Roman" w:hAnsi="Times New Roman"/>
          <w:lang w:eastAsia="fr-BE"/>
        </w:rPr>
        <w:t xml:space="preserve"> 1991. Organizational memory. Academy of management review 16, 57-91.</w:t>
      </w:r>
    </w:p>
    <w:p w14:paraId="79F88C49" w14:textId="71D4AD3F" w:rsidR="008C2D92" w:rsidRPr="00A60FD5" w:rsidRDefault="008C2D92" w:rsidP="00E258CC">
      <w:pPr>
        <w:spacing w:line="220" w:lineRule="exact"/>
        <w:rPr>
          <w:rFonts w:ascii="Times New Roman" w:hAnsi="Times New Roman"/>
          <w:lang w:eastAsia="fr-BE"/>
        </w:rPr>
      </w:pPr>
      <w:r w:rsidRPr="00A60FD5">
        <w:rPr>
          <w:rFonts w:ascii="Times New Roman" w:hAnsi="Times New Roman"/>
          <w:lang w:eastAsia="fr-BE"/>
        </w:rPr>
        <w:t>Wang, M., 2014. Are alternative dispute resolution methods superior to litigation in resolving disputes in international commerce?. Arbitration International 16, 189-212.</w:t>
      </w:r>
    </w:p>
    <w:p w14:paraId="3C34E0D3" w14:textId="31EFBCB1" w:rsidR="00BE7A1D" w:rsidRPr="00A60FD5" w:rsidRDefault="00BE7A1D" w:rsidP="00E258CC">
      <w:pPr>
        <w:spacing w:line="220" w:lineRule="exact"/>
        <w:rPr>
          <w:rFonts w:ascii="Times New Roman" w:hAnsi="Times New Roman"/>
          <w:lang w:eastAsia="fr-BE"/>
        </w:rPr>
      </w:pPr>
      <w:r w:rsidRPr="00A60FD5">
        <w:rPr>
          <w:rFonts w:ascii="Times New Roman" w:hAnsi="Times New Roman"/>
          <w:lang w:eastAsia="fr-BE"/>
        </w:rPr>
        <w:t xml:space="preserve">Weber, L., Mayer, </w:t>
      </w:r>
      <w:r w:rsidR="00A81F92" w:rsidRPr="00A60FD5">
        <w:rPr>
          <w:rFonts w:ascii="Times New Roman" w:hAnsi="Times New Roman"/>
          <w:lang w:eastAsia="fr-BE"/>
        </w:rPr>
        <w:t xml:space="preserve">K.J., </w:t>
      </w:r>
      <w:r w:rsidRPr="00A60FD5">
        <w:rPr>
          <w:rFonts w:ascii="Times New Roman" w:hAnsi="Times New Roman"/>
          <w:lang w:eastAsia="fr-BE"/>
        </w:rPr>
        <w:t>Macher</w:t>
      </w:r>
      <w:r w:rsidR="00A81F92" w:rsidRPr="00A60FD5">
        <w:rPr>
          <w:rFonts w:ascii="Times New Roman" w:hAnsi="Times New Roman"/>
          <w:lang w:eastAsia="fr-BE"/>
        </w:rPr>
        <w:t>, J.T.,</w:t>
      </w:r>
      <w:r w:rsidRPr="00A60FD5">
        <w:rPr>
          <w:rFonts w:ascii="Times New Roman" w:hAnsi="Times New Roman"/>
          <w:lang w:eastAsia="fr-BE"/>
        </w:rPr>
        <w:t xml:space="preserve"> 2011. An analysis of extendibility and early termination provisions: The importance of framing duration safeguards. Acad</w:t>
      </w:r>
      <w:r w:rsidR="00A81F92" w:rsidRPr="00A60FD5">
        <w:rPr>
          <w:rFonts w:ascii="Times New Roman" w:hAnsi="Times New Roman"/>
          <w:lang w:eastAsia="fr-BE"/>
        </w:rPr>
        <w:t>emy</w:t>
      </w:r>
      <w:r w:rsidRPr="00A60FD5">
        <w:rPr>
          <w:rFonts w:ascii="Times New Roman" w:hAnsi="Times New Roman"/>
          <w:lang w:eastAsia="fr-BE"/>
        </w:rPr>
        <w:t xml:space="preserve"> of Management J</w:t>
      </w:r>
      <w:r w:rsidR="00A81F92" w:rsidRPr="00A60FD5">
        <w:rPr>
          <w:rFonts w:ascii="Times New Roman" w:hAnsi="Times New Roman"/>
          <w:lang w:eastAsia="fr-BE"/>
        </w:rPr>
        <w:t>ournal</w:t>
      </w:r>
      <w:r w:rsidRPr="00A60FD5">
        <w:rPr>
          <w:rFonts w:ascii="Times New Roman" w:hAnsi="Times New Roman"/>
          <w:lang w:eastAsia="fr-BE"/>
        </w:rPr>
        <w:t xml:space="preserve"> 54</w:t>
      </w:r>
      <w:r w:rsidR="00A81F92" w:rsidRPr="00A60FD5">
        <w:rPr>
          <w:rFonts w:ascii="Times New Roman" w:hAnsi="Times New Roman"/>
          <w:lang w:eastAsia="fr-BE"/>
        </w:rPr>
        <w:t>,</w:t>
      </w:r>
      <w:r w:rsidRPr="00A60FD5">
        <w:rPr>
          <w:rFonts w:ascii="Times New Roman" w:hAnsi="Times New Roman"/>
          <w:lang w:eastAsia="fr-BE"/>
        </w:rPr>
        <w:t xml:space="preserve"> 182-202.</w:t>
      </w:r>
    </w:p>
    <w:p w14:paraId="416FF64C" w14:textId="56EFB060" w:rsidR="00014EF9" w:rsidRDefault="00014EF9" w:rsidP="00014EF9">
      <w:pPr>
        <w:spacing w:line="220" w:lineRule="exact"/>
        <w:rPr>
          <w:rFonts w:ascii="Times New Roman" w:hAnsi="Times New Roman"/>
          <w:lang w:eastAsia="fr-BE"/>
        </w:rPr>
      </w:pPr>
      <w:r w:rsidRPr="00014EF9">
        <w:rPr>
          <w:rFonts w:ascii="Times New Roman" w:hAnsi="Times New Roman"/>
          <w:lang w:eastAsia="fr-BE"/>
        </w:rPr>
        <w:t>Weick</w:t>
      </w:r>
      <w:r>
        <w:rPr>
          <w:rFonts w:ascii="Times New Roman" w:hAnsi="Times New Roman"/>
          <w:lang w:eastAsia="fr-BE"/>
        </w:rPr>
        <w:t>,</w:t>
      </w:r>
      <w:r w:rsidRPr="00014EF9">
        <w:rPr>
          <w:rFonts w:ascii="Times New Roman" w:hAnsi="Times New Roman"/>
          <w:lang w:eastAsia="fr-BE"/>
        </w:rPr>
        <w:t xml:space="preserve"> KE.</w:t>
      </w:r>
      <w:r>
        <w:rPr>
          <w:rFonts w:ascii="Times New Roman" w:hAnsi="Times New Roman"/>
          <w:lang w:eastAsia="fr-BE"/>
        </w:rPr>
        <w:t>,</w:t>
      </w:r>
      <w:r w:rsidRPr="00014EF9">
        <w:rPr>
          <w:rFonts w:ascii="Times New Roman" w:hAnsi="Times New Roman"/>
          <w:lang w:eastAsia="fr-BE"/>
        </w:rPr>
        <w:t xml:space="preserve"> 1976. Educational organizations as loosely</w:t>
      </w:r>
      <w:r>
        <w:rPr>
          <w:rFonts w:ascii="Times New Roman" w:hAnsi="Times New Roman"/>
          <w:lang w:eastAsia="fr-BE"/>
        </w:rPr>
        <w:t xml:space="preserve"> </w:t>
      </w:r>
      <w:r w:rsidRPr="00014EF9">
        <w:rPr>
          <w:rFonts w:ascii="Times New Roman" w:hAnsi="Times New Roman"/>
          <w:lang w:eastAsia="fr-BE"/>
        </w:rPr>
        <w:t>coupled systems. Administrative Science</w:t>
      </w:r>
      <w:r>
        <w:rPr>
          <w:rFonts w:ascii="Times New Roman" w:hAnsi="Times New Roman"/>
          <w:lang w:eastAsia="fr-BE"/>
        </w:rPr>
        <w:t xml:space="preserve"> </w:t>
      </w:r>
      <w:r w:rsidRPr="00014EF9">
        <w:rPr>
          <w:rFonts w:ascii="Times New Roman" w:hAnsi="Times New Roman"/>
          <w:lang w:eastAsia="fr-BE"/>
        </w:rPr>
        <w:t>Quarterly 21</w:t>
      </w:r>
      <w:r>
        <w:rPr>
          <w:rFonts w:ascii="Times New Roman" w:hAnsi="Times New Roman"/>
          <w:lang w:eastAsia="fr-BE"/>
        </w:rPr>
        <w:t xml:space="preserve">, </w:t>
      </w:r>
      <w:r w:rsidRPr="00014EF9">
        <w:rPr>
          <w:rFonts w:ascii="Times New Roman" w:hAnsi="Times New Roman"/>
          <w:lang w:eastAsia="fr-BE"/>
        </w:rPr>
        <w:t>1–19.</w:t>
      </w:r>
    </w:p>
    <w:p w14:paraId="755D37A0" w14:textId="07C9C653" w:rsidR="00EE2AEA" w:rsidRPr="00A60FD5" w:rsidRDefault="00EE2AEA" w:rsidP="00E258CC">
      <w:pPr>
        <w:spacing w:line="220" w:lineRule="exact"/>
        <w:rPr>
          <w:rFonts w:ascii="Times New Roman" w:hAnsi="Times New Roman"/>
          <w:lang w:eastAsia="fr-BE"/>
        </w:rPr>
      </w:pPr>
      <w:r w:rsidRPr="00A60FD5">
        <w:rPr>
          <w:rFonts w:ascii="Times New Roman" w:hAnsi="Times New Roman"/>
          <w:lang w:eastAsia="fr-BE"/>
        </w:rPr>
        <w:t>White, S., 2005,. Cooperation costs, governance choice and alliance evolution. Journal of Management Studies 42, 1383-1412.</w:t>
      </w:r>
    </w:p>
    <w:p w14:paraId="45259DCA" w14:textId="46D6487D" w:rsidR="00754823" w:rsidRPr="00A60FD5" w:rsidRDefault="00754823" w:rsidP="00E258CC">
      <w:pPr>
        <w:spacing w:line="220" w:lineRule="exact"/>
        <w:rPr>
          <w:rFonts w:ascii="Times New Roman" w:hAnsi="Times New Roman"/>
          <w:lang w:eastAsia="fr-BE"/>
        </w:rPr>
      </w:pPr>
      <w:r w:rsidRPr="00A60FD5">
        <w:rPr>
          <w:rFonts w:ascii="Times New Roman" w:hAnsi="Times New Roman"/>
          <w:lang w:eastAsia="fr-BE"/>
        </w:rPr>
        <w:t>White</w:t>
      </w:r>
      <w:r w:rsidR="00E9636D" w:rsidRPr="00A60FD5">
        <w:rPr>
          <w:rFonts w:ascii="Times New Roman" w:hAnsi="Times New Roman"/>
          <w:lang w:eastAsia="fr-BE"/>
        </w:rPr>
        <w:t>,</w:t>
      </w:r>
      <w:r w:rsidRPr="00A60FD5">
        <w:rPr>
          <w:rFonts w:ascii="Times New Roman" w:hAnsi="Times New Roman"/>
          <w:lang w:eastAsia="fr-BE"/>
        </w:rPr>
        <w:t xml:space="preserve"> S., Lui</w:t>
      </w:r>
      <w:r w:rsidR="00E9636D" w:rsidRPr="00A60FD5">
        <w:rPr>
          <w:rFonts w:ascii="Times New Roman" w:hAnsi="Times New Roman"/>
          <w:lang w:eastAsia="fr-BE"/>
        </w:rPr>
        <w:t>, S-Y.,</w:t>
      </w:r>
      <w:r w:rsidRPr="00A60FD5">
        <w:rPr>
          <w:rFonts w:ascii="Times New Roman" w:hAnsi="Times New Roman"/>
          <w:lang w:eastAsia="fr-BE"/>
        </w:rPr>
        <w:t xml:space="preserve"> 2005. Distinguishing costs of cooperation and control in alliances. </w:t>
      </w:r>
      <w:r w:rsidRPr="00A60FD5">
        <w:rPr>
          <w:rFonts w:ascii="Times New Roman" w:hAnsi="Times New Roman"/>
          <w:color w:val="000000"/>
        </w:rPr>
        <w:t>Strategic Management J</w:t>
      </w:r>
      <w:r w:rsidR="00E9636D" w:rsidRPr="00A60FD5">
        <w:rPr>
          <w:rFonts w:ascii="Times New Roman" w:hAnsi="Times New Roman"/>
          <w:color w:val="000000"/>
        </w:rPr>
        <w:t>ournal</w:t>
      </w:r>
      <w:r w:rsidRPr="00A60FD5">
        <w:rPr>
          <w:rFonts w:ascii="Times New Roman" w:hAnsi="Times New Roman"/>
          <w:color w:val="000000"/>
        </w:rPr>
        <w:t xml:space="preserve"> 26</w:t>
      </w:r>
      <w:r w:rsidR="00E9636D" w:rsidRPr="00A60FD5">
        <w:rPr>
          <w:rFonts w:ascii="Times New Roman" w:hAnsi="Times New Roman"/>
          <w:color w:val="000000"/>
        </w:rPr>
        <w:t>,</w:t>
      </w:r>
      <w:r w:rsidRPr="00A60FD5">
        <w:rPr>
          <w:rFonts w:ascii="Times New Roman" w:hAnsi="Times New Roman"/>
          <w:color w:val="000000"/>
        </w:rPr>
        <w:t xml:space="preserve"> 913-932.</w:t>
      </w:r>
    </w:p>
    <w:p w14:paraId="0FF0C53B" w14:textId="06D88BB8" w:rsidR="00754823" w:rsidRPr="00A60FD5" w:rsidRDefault="00754823" w:rsidP="00E258CC">
      <w:pPr>
        <w:spacing w:line="220" w:lineRule="exact"/>
        <w:rPr>
          <w:rFonts w:ascii="Times New Roman" w:hAnsi="Times New Roman"/>
        </w:rPr>
      </w:pPr>
      <w:r w:rsidRPr="00A60FD5">
        <w:rPr>
          <w:rFonts w:ascii="Times New Roman" w:hAnsi="Times New Roman"/>
        </w:rPr>
        <w:t>Williamson, O.E.</w:t>
      </w:r>
      <w:r w:rsidR="004051F5" w:rsidRPr="00A60FD5">
        <w:rPr>
          <w:rFonts w:ascii="Times New Roman" w:hAnsi="Times New Roman"/>
        </w:rPr>
        <w:t>,</w:t>
      </w:r>
      <w:r w:rsidRPr="00A60FD5">
        <w:rPr>
          <w:rFonts w:ascii="Times New Roman" w:hAnsi="Times New Roman"/>
        </w:rPr>
        <w:t xml:space="preserve"> 1979. Transaction-cost economics: the governance of contractual relations. J</w:t>
      </w:r>
      <w:r w:rsidR="004051F5" w:rsidRPr="00A60FD5">
        <w:rPr>
          <w:rFonts w:ascii="Times New Roman" w:hAnsi="Times New Roman"/>
        </w:rPr>
        <w:t>ournal</w:t>
      </w:r>
      <w:r w:rsidRPr="00A60FD5">
        <w:rPr>
          <w:rFonts w:ascii="Times New Roman" w:hAnsi="Times New Roman"/>
        </w:rPr>
        <w:t xml:space="preserve"> of Law and Econom</w:t>
      </w:r>
      <w:r w:rsidR="004051F5" w:rsidRPr="00A60FD5">
        <w:rPr>
          <w:rFonts w:ascii="Times New Roman" w:hAnsi="Times New Roman"/>
        </w:rPr>
        <w:t>ics</w:t>
      </w:r>
      <w:r w:rsidRPr="00A60FD5">
        <w:rPr>
          <w:rFonts w:ascii="Times New Roman" w:hAnsi="Times New Roman"/>
        </w:rPr>
        <w:t xml:space="preserve"> 22</w:t>
      </w:r>
      <w:r w:rsidR="004051F5" w:rsidRPr="00A60FD5">
        <w:rPr>
          <w:rFonts w:ascii="Times New Roman" w:hAnsi="Times New Roman"/>
        </w:rPr>
        <w:t>,</w:t>
      </w:r>
      <w:r w:rsidRPr="00A60FD5">
        <w:rPr>
          <w:rFonts w:ascii="Times New Roman" w:hAnsi="Times New Roman"/>
        </w:rPr>
        <w:t xml:space="preserve"> 233-261.</w:t>
      </w:r>
    </w:p>
    <w:p w14:paraId="22CB2667" w14:textId="66E53891" w:rsidR="00754823" w:rsidRPr="00A60FD5" w:rsidRDefault="00754823" w:rsidP="00E258CC">
      <w:pPr>
        <w:spacing w:line="220" w:lineRule="exact"/>
        <w:rPr>
          <w:rFonts w:ascii="Times New Roman" w:hAnsi="Times New Roman"/>
          <w:color w:val="000000"/>
        </w:rPr>
      </w:pPr>
      <w:r w:rsidRPr="00A60FD5">
        <w:rPr>
          <w:rFonts w:ascii="Times New Roman" w:hAnsi="Times New Roman"/>
        </w:rPr>
        <w:t>Williamson, O.E.</w:t>
      </w:r>
      <w:r w:rsidR="00CB4F09" w:rsidRPr="00A60FD5">
        <w:rPr>
          <w:rFonts w:ascii="Times New Roman" w:hAnsi="Times New Roman"/>
        </w:rPr>
        <w:t>,</w:t>
      </w:r>
      <w:r w:rsidRPr="00A60FD5">
        <w:rPr>
          <w:rFonts w:ascii="Times New Roman" w:hAnsi="Times New Roman"/>
        </w:rPr>
        <w:t xml:space="preserve"> 1985. The Economic Institutions of Capitalism: Firms, Markets and Relational Contracting. Free Press, New York.</w:t>
      </w:r>
    </w:p>
    <w:p w14:paraId="5D523F30" w14:textId="2270E3CD" w:rsidR="009918C0" w:rsidRDefault="00754823" w:rsidP="0018613D">
      <w:pPr>
        <w:spacing w:line="220" w:lineRule="exact"/>
        <w:rPr>
          <w:rFonts w:ascii="Times New Roman" w:hAnsi="Times New Roman"/>
        </w:rPr>
      </w:pPr>
      <w:r w:rsidRPr="00A60FD5">
        <w:rPr>
          <w:rFonts w:ascii="Times New Roman" w:hAnsi="Times New Roman"/>
        </w:rPr>
        <w:t>Williamson, O.E.</w:t>
      </w:r>
      <w:r w:rsidR="008E2D97" w:rsidRPr="00A60FD5">
        <w:rPr>
          <w:rFonts w:ascii="Times New Roman" w:hAnsi="Times New Roman"/>
        </w:rPr>
        <w:t>,</w:t>
      </w:r>
      <w:r w:rsidRPr="00A60FD5">
        <w:rPr>
          <w:rFonts w:ascii="Times New Roman" w:hAnsi="Times New Roman"/>
        </w:rPr>
        <w:t xml:space="preserve"> 1991. Comparative economic organization: the analysis of discrete structural alternatives. Adm</w:t>
      </w:r>
      <w:r w:rsidR="008E2D97" w:rsidRPr="00A60FD5">
        <w:rPr>
          <w:rFonts w:ascii="Times New Roman" w:hAnsi="Times New Roman"/>
        </w:rPr>
        <w:t>inistrative</w:t>
      </w:r>
      <w:r w:rsidRPr="00A60FD5">
        <w:rPr>
          <w:rFonts w:ascii="Times New Roman" w:hAnsi="Times New Roman"/>
        </w:rPr>
        <w:t xml:space="preserve"> Sci</w:t>
      </w:r>
      <w:r w:rsidR="008E2D97" w:rsidRPr="00A60FD5">
        <w:rPr>
          <w:rFonts w:ascii="Times New Roman" w:hAnsi="Times New Roman"/>
        </w:rPr>
        <w:t>ence</w:t>
      </w:r>
      <w:r w:rsidRPr="00A60FD5">
        <w:rPr>
          <w:rFonts w:ascii="Times New Roman" w:hAnsi="Times New Roman"/>
        </w:rPr>
        <w:t xml:space="preserve"> Quart</w:t>
      </w:r>
      <w:r w:rsidR="008E2D97" w:rsidRPr="00A60FD5">
        <w:rPr>
          <w:rFonts w:ascii="Times New Roman" w:hAnsi="Times New Roman"/>
        </w:rPr>
        <w:t>erly</w:t>
      </w:r>
      <w:r w:rsidRPr="00A60FD5">
        <w:rPr>
          <w:rFonts w:ascii="Times New Roman" w:hAnsi="Times New Roman"/>
        </w:rPr>
        <w:t xml:space="preserve"> 36</w:t>
      </w:r>
      <w:r w:rsidR="008E2D97" w:rsidRPr="00A60FD5">
        <w:rPr>
          <w:rFonts w:ascii="Times New Roman" w:hAnsi="Times New Roman"/>
        </w:rPr>
        <w:t>,</w:t>
      </w:r>
      <w:r w:rsidRPr="00A60FD5">
        <w:rPr>
          <w:rFonts w:ascii="Times New Roman" w:hAnsi="Times New Roman"/>
        </w:rPr>
        <w:t xml:space="preserve"> 269- 296</w:t>
      </w:r>
      <w:r w:rsidR="003038F0">
        <w:rPr>
          <w:rFonts w:ascii="Times New Roman" w:hAnsi="Times New Roman"/>
        </w:rPr>
        <w:t>.</w:t>
      </w:r>
    </w:p>
    <w:p w14:paraId="6169C607" w14:textId="4BB5AD04" w:rsidR="003038F0" w:rsidRPr="00A60FD5" w:rsidRDefault="003038F0" w:rsidP="003038F0">
      <w:pPr>
        <w:spacing w:line="220" w:lineRule="exact"/>
        <w:rPr>
          <w:rFonts w:ascii="Times New Roman" w:hAnsi="Times New Roman"/>
        </w:rPr>
      </w:pPr>
      <w:r w:rsidRPr="003038F0">
        <w:rPr>
          <w:rFonts w:ascii="Times New Roman" w:hAnsi="Times New Roman"/>
        </w:rPr>
        <w:t>Zhang</w:t>
      </w:r>
      <w:r>
        <w:rPr>
          <w:rFonts w:ascii="Times New Roman" w:hAnsi="Times New Roman"/>
        </w:rPr>
        <w:t>,</w:t>
      </w:r>
      <w:r w:rsidRPr="003038F0">
        <w:rPr>
          <w:rFonts w:ascii="Times New Roman" w:hAnsi="Times New Roman"/>
        </w:rPr>
        <w:t xml:space="preserve"> Y</w:t>
      </w:r>
      <w:r>
        <w:rPr>
          <w:rFonts w:ascii="Times New Roman" w:hAnsi="Times New Roman"/>
        </w:rPr>
        <w:t>.</w:t>
      </w:r>
      <w:r w:rsidRPr="003038F0">
        <w:rPr>
          <w:rFonts w:ascii="Times New Roman" w:hAnsi="Times New Roman"/>
        </w:rPr>
        <w:t>, Li</w:t>
      </w:r>
      <w:r>
        <w:rPr>
          <w:rFonts w:ascii="Times New Roman" w:hAnsi="Times New Roman"/>
        </w:rPr>
        <w:t>,</w:t>
      </w:r>
      <w:r w:rsidRPr="003038F0">
        <w:rPr>
          <w:rFonts w:ascii="Times New Roman" w:hAnsi="Times New Roman"/>
        </w:rPr>
        <w:t xml:space="preserve"> H.</w:t>
      </w:r>
      <w:r>
        <w:rPr>
          <w:rFonts w:ascii="Times New Roman" w:hAnsi="Times New Roman"/>
        </w:rPr>
        <w:t>,</w:t>
      </w:r>
      <w:r w:rsidRPr="003038F0">
        <w:rPr>
          <w:rFonts w:ascii="Times New Roman" w:hAnsi="Times New Roman"/>
        </w:rPr>
        <w:t xml:space="preserve"> 2010. Innovation search of new ventures in a</w:t>
      </w:r>
      <w:r>
        <w:rPr>
          <w:rFonts w:ascii="Times New Roman" w:hAnsi="Times New Roman"/>
        </w:rPr>
        <w:t xml:space="preserve"> </w:t>
      </w:r>
      <w:r w:rsidRPr="003038F0">
        <w:rPr>
          <w:rFonts w:ascii="Times New Roman" w:hAnsi="Times New Roman"/>
        </w:rPr>
        <w:t>technology cluster: the role of ties with service intermediaries.</w:t>
      </w:r>
      <w:r>
        <w:rPr>
          <w:rFonts w:ascii="Times New Roman" w:hAnsi="Times New Roman"/>
        </w:rPr>
        <w:t xml:space="preserve"> </w:t>
      </w:r>
      <w:r w:rsidRPr="003038F0">
        <w:rPr>
          <w:rFonts w:ascii="Times New Roman" w:hAnsi="Times New Roman"/>
        </w:rPr>
        <w:t>Strategic Management Journal 31</w:t>
      </w:r>
      <w:r>
        <w:rPr>
          <w:rFonts w:ascii="Times New Roman" w:hAnsi="Times New Roman"/>
        </w:rPr>
        <w:t>,</w:t>
      </w:r>
      <w:r w:rsidRPr="003038F0">
        <w:rPr>
          <w:rFonts w:ascii="Times New Roman" w:hAnsi="Times New Roman"/>
        </w:rPr>
        <w:t xml:space="preserve"> 88–109.</w:t>
      </w:r>
    </w:p>
    <w:p w14:paraId="2FB49CAD" w14:textId="77777777" w:rsidR="0049089C" w:rsidRDefault="0049089C" w:rsidP="00116FFB">
      <w:pPr>
        <w:rPr>
          <w:rFonts w:ascii="Times New Roman" w:hAnsi="Times New Roman" w:cs="Times New Roman"/>
          <w:b/>
          <w:sz w:val="24"/>
          <w:szCs w:val="24"/>
        </w:rPr>
      </w:pPr>
    </w:p>
    <w:p w14:paraId="11E0D077" w14:textId="77777777" w:rsidR="00AE16AB" w:rsidRDefault="00AE16AB" w:rsidP="00116FFB">
      <w:pPr>
        <w:rPr>
          <w:rFonts w:ascii="Times New Roman" w:hAnsi="Times New Roman" w:cs="Times New Roman"/>
          <w:b/>
          <w:sz w:val="24"/>
          <w:szCs w:val="24"/>
        </w:rPr>
      </w:pPr>
    </w:p>
    <w:p w14:paraId="78AA17BB" w14:textId="77777777" w:rsidR="00AE16AB" w:rsidRPr="00A60FD5" w:rsidRDefault="00AE16AB" w:rsidP="00116FFB">
      <w:pPr>
        <w:rPr>
          <w:rFonts w:ascii="Times New Roman" w:hAnsi="Times New Roman" w:cs="Times New Roman"/>
          <w:b/>
          <w:sz w:val="24"/>
          <w:szCs w:val="24"/>
        </w:rPr>
      </w:pPr>
    </w:p>
    <w:p w14:paraId="44AF87F9" w14:textId="77777777" w:rsidR="00925392" w:rsidRDefault="00925392" w:rsidP="00417594">
      <w:pPr>
        <w:jc w:val="center"/>
        <w:rPr>
          <w:rFonts w:ascii="Times New Roman" w:hAnsi="Times New Roman" w:cs="Times New Roman"/>
          <w:b/>
          <w:sz w:val="24"/>
          <w:szCs w:val="24"/>
        </w:rPr>
      </w:pPr>
    </w:p>
    <w:p w14:paraId="17A46CEB" w14:textId="77777777" w:rsidR="00EC5AD6" w:rsidRDefault="00EC5AD6" w:rsidP="00417594">
      <w:pPr>
        <w:jc w:val="center"/>
        <w:rPr>
          <w:rFonts w:ascii="Times New Roman" w:hAnsi="Times New Roman" w:cs="Times New Roman"/>
          <w:b/>
          <w:sz w:val="24"/>
          <w:szCs w:val="24"/>
        </w:rPr>
      </w:pPr>
    </w:p>
    <w:p w14:paraId="19F3244D" w14:textId="77777777" w:rsidR="00EC5AD6" w:rsidRDefault="00EC5AD6" w:rsidP="00417594">
      <w:pPr>
        <w:jc w:val="center"/>
        <w:rPr>
          <w:rFonts w:ascii="Times New Roman" w:hAnsi="Times New Roman" w:cs="Times New Roman"/>
          <w:b/>
          <w:sz w:val="24"/>
          <w:szCs w:val="24"/>
        </w:rPr>
      </w:pPr>
    </w:p>
    <w:p w14:paraId="0B5EFB97" w14:textId="77777777" w:rsidR="003038F0" w:rsidRDefault="003038F0" w:rsidP="00417594">
      <w:pPr>
        <w:jc w:val="center"/>
        <w:rPr>
          <w:rFonts w:ascii="Times New Roman" w:hAnsi="Times New Roman" w:cs="Times New Roman"/>
          <w:b/>
          <w:sz w:val="24"/>
          <w:szCs w:val="24"/>
        </w:rPr>
      </w:pPr>
    </w:p>
    <w:p w14:paraId="55E68009" w14:textId="77777777" w:rsidR="003038F0" w:rsidRDefault="003038F0" w:rsidP="00417594">
      <w:pPr>
        <w:jc w:val="center"/>
        <w:rPr>
          <w:rFonts w:ascii="Times New Roman" w:hAnsi="Times New Roman" w:cs="Times New Roman"/>
          <w:b/>
          <w:sz w:val="24"/>
          <w:szCs w:val="24"/>
        </w:rPr>
      </w:pPr>
    </w:p>
    <w:p w14:paraId="06CAAB3F" w14:textId="77777777" w:rsidR="003038F0" w:rsidRDefault="003038F0" w:rsidP="00417594">
      <w:pPr>
        <w:jc w:val="center"/>
        <w:rPr>
          <w:rFonts w:ascii="Times New Roman" w:hAnsi="Times New Roman" w:cs="Times New Roman"/>
          <w:b/>
          <w:sz w:val="24"/>
          <w:szCs w:val="24"/>
        </w:rPr>
      </w:pPr>
    </w:p>
    <w:p w14:paraId="2818386D" w14:textId="77777777" w:rsidR="003038F0" w:rsidRDefault="003038F0" w:rsidP="00417594">
      <w:pPr>
        <w:jc w:val="center"/>
        <w:rPr>
          <w:rFonts w:ascii="Times New Roman" w:hAnsi="Times New Roman" w:cs="Times New Roman"/>
          <w:b/>
          <w:sz w:val="24"/>
          <w:szCs w:val="24"/>
        </w:rPr>
      </w:pPr>
    </w:p>
    <w:p w14:paraId="44396B57" w14:textId="77777777" w:rsidR="003038F0" w:rsidRDefault="003038F0" w:rsidP="00417594">
      <w:pPr>
        <w:jc w:val="center"/>
        <w:rPr>
          <w:rFonts w:ascii="Times New Roman" w:hAnsi="Times New Roman" w:cs="Times New Roman"/>
          <w:b/>
          <w:sz w:val="24"/>
          <w:szCs w:val="24"/>
        </w:rPr>
      </w:pPr>
    </w:p>
    <w:p w14:paraId="69D7B5DB" w14:textId="77777777" w:rsidR="003038F0" w:rsidRDefault="003038F0" w:rsidP="00417594">
      <w:pPr>
        <w:jc w:val="center"/>
        <w:rPr>
          <w:rFonts w:ascii="Times New Roman" w:hAnsi="Times New Roman" w:cs="Times New Roman"/>
          <w:b/>
          <w:sz w:val="24"/>
          <w:szCs w:val="24"/>
        </w:rPr>
      </w:pPr>
    </w:p>
    <w:p w14:paraId="136876D1" w14:textId="77777777" w:rsidR="003038F0" w:rsidRDefault="003038F0" w:rsidP="00417594">
      <w:pPr>
        <w:jc w:val="center"/>
        <w:rPr>
          <w:rFonts w:ascii="Times New Roman" w:hAnsi="Times New Roman" w:cs="Times New Roman"/>
          <w:b/>
          <w:sz w:val="24"/>
          <w:szCs w:val="24"/>
        </w:rPr>
      </w:pPr>
    </w:p>
    <w:p w14:paraId="5AE69181" w14:textId="77777777" w:rsidR="00417594" w:rsidRPr="00A60FD5" w:rsidRDefault="00417594" w:rsidP="00417594">
      <w:pPr>
        <w:jc w:val="center"/>
        <w:rPr>
          <w:rFonts w:ascii="Times New Roman" w:hAnsi="Times New Roman" w:cs="Times New Roman"/>
          <w:b/>
          <w:sz w:val="24"/>
          <w:szCs w:val="24"/>
        </w:rPr>
      </w:pPr>
      <w:r w:rsidRPr="00A60FD5">
        <w:rPr>
          <w:rFonts w:ascii="Times New Roman" w:hAnsi="Times New Roman" w:cs="Times New Roman"/>
          <w:b/>
          <w:sz w:val="24"/>
          <w:szCs w:val="24"/>
        </w:rPr>
        <w:lastRenderedPageBreak/>
        <w:t>TABLE 1 – Contractual orientations (promax factor pattern)</w:t>
      </w:r>
      <w:r w:rsidRPr="00A60FD5">
        <w:rPr>
          <w:rFonts w:ascii="Times New Roman" w:hAnsi="Times New Roman" w:cs="Times New Roman"/>
          <w:b/>
          <w:sz w:val="24"/>
          <w:szCs w:val="24"/>
          <w:vertAlign w:val="superscript"/>
        </w:rPr>
        <w:t>a</w:t>
      </w:r>
    </w:p>
    <w:tbl>
      <w:tblPr>
        <w:tblpPr w:leftFromText="141" w:rightFromText="141" w:vertAnchor="text" w:horzAnchor="margin" w:tblpXSpec="center" w:tblpY="63"/>
        <w:tblW w:w="84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69"/>
        <w:gridCol w:w="2126"/>
        <w:gridCol w:w="1417"/>
        <w:gridCol w:w="1560"/>
      </w:tblGrid>
      <w:tr w:rsidR="00A6057D" w:rsidRPr="00A60FD5" w14:paraId="5191F187" w14:textId="77777777" w:rsidTr="00A6057D">
        <w:tc>
          <w:tcPr>
            <w:tcW w:w="3369" w:type="dxa"/>
            <w:tcBorders>
              <w:top w:val="double" w:sz="4" w:space="0" w:color="auto"/>
              <w:left w:val="nil"/>
              <w:bottom w:val="single" w:sz="4" w:space="0" w:color="auto"/>
              <w:right w:val="nil"/>
            </w:tcBorders>
          </w:tcPr>
          <w:p w14:paraId="5A68F1A8" w14:textId="77777777" w:rsidR="00A6057D" w:rsidRPr="00A60FD5" w:rsidRDefault="00A6057D" w:rsidP="00042923">
            <w:pPr>
              <w:spacing w:line="180" w:lineRule="exact"/>
              <w:rPr>
                <w:rFonts w:ascii="Times New Roman" w:hAnsi="Times New Roman" w:cs="Times New Roman"/>
                <w:b/>
                <w:sz w:val="18"/>
                <w:szCs w:val="18"/>
              </w:rPr>
            </w:pPr>
            <w:r w:rsidRPr="00A60FD5">
              <w:rPr>
                <w:rFonts w:ascii="Times New Roman" w:hAnsi="Times New Roman" w:cs="Times New Roman"/>
                <w:b/>
                <w:sz w:val="18"/>
                <w:szCs w:val="18"/>
              </w:rPr>
              <w:t>Provisions</w:t>
            </w:r>
          </w:p>
        </w:tc>
        <w:tc>
          <w:tcPr>
            <w:tcW w:w="2126" w:type="dxa"/>
            <w:tcBorders>
              <w:top w:val="double" w:sz="4" w:space="0" w:color="auto"/>
              <w:left w:val="nil"/>
              <w:bottom w:val="single" w:sz="4" w:space="0" w:color="auto"/>
              <w:right w:val="nil"/>
            </w:tcBorders>
          </w:tcPr>
          <w:p w14:paraId="67CE7394" w14:textId="6E3EA537" w:rsidR="00A6057D" w:rsidRPr="00A60FD5" w:rsidRDefault="00A6057D" w:rsidP="00042923">
            <w:pPr>
              <w:spacing w:line="180" w:lineRule="exact"/>
              <w:jc w:val="center"/>
              <w:rPr>
                <w:rFonts w:ascii="Times New Roman" w:hAnsi="Times New Roman" w:cs="Times New Roman"/>
                <w:b/>
                <w:sz w:val="18"/>
                <w:szCs w:val="18"/>
              </w:rPr>
            </w:pPr>
            <w:r w:rsidRPr="00A60FD5">
              <w:rPr>
                <w:rFonts w:ascii="Times New Roman" w:hAnsi="Times New Roman" w:cs="Times New Roman"/>
                <w:b/>
                <w:sz w:val="18"/>
                <w:szCs w:val="18"/>
              </w:rPr>
              <w:t>Percentage of licensing contracts including each provision</w:t>
            </w:r>
          </w:p>
        </w:tc>
        <w:tc>
          <w:tcPr>
            <w:tcW w:w="1417" w:type="dxa"/>
            <w:tcBorders>
              <w:top w:val="double" w:sz="4" w:space="0" w:color="auto"/>
              <w:left w:val="nil"/>
              <w:bottom w:val="single" w:sz="4" w:space="0" w:color="auto"/>
              <w:right w:val="nil"/>
            </w:tcBorders>
          </w:tcPr>
          <w:p w14:paraId="070B942C" w14:textId="2AF08296" w:rsidR="00A6057D" w:rsidRPr="00A60FD5" w:rsidRDefault="00A6057D" w:rsidP="00042923">
            <w:pPr>
              <w:spacing w:line="180" w:lineRule="exact"/>
              <w:jc w:val="center"/>
              <w:rPr>
                <w:rFonts w:ascii="Times New Roman" w:hAnsi="Times New Roman" w:cs="Times New Roman"/>
                <w:b/>
                <w:sz w:val="18"/>
                <w:szCs w:val="18"/>
              </w:rPr>
            </w:pPr>
            <w:r w:rsidRPr="00A60FD5">
              <w:rPr>
                <w:rFonts w:ascii="Times New Roman" w:hAnsi="Times New Roman" w:cs="Times New Roman"/>
                <w:b/>
                <w:sz w:val="18"/>
                <w:szCs w:val="18"/>
              </w:rPr>
              <w:t>Monitoring (Factor 1)</w:t>
            </w:r>
          </w:p>
        </w:tc>
        <w:tc>
          <w:tcPr>
            <w:tcW w:w="1560" w:type="dxa"/>
            <w:tcBorders>
              <w:top w:val="double" w:sz="4" w:space="0" w:color="auto"/>
              <w:left w:val="nil"/>
              <w:bottom w:val="single" w:sz="4" w:space="0" w:color="auto"/>
              <w:right w:val="nil"/>
            </w:tcBorders>
          </w:tcPr>
          <w:p w14:paraId="6240232A" w14:textId="77777777" w:rsidR="00A6057D" w:rsidRPr="00A60FD5" w:rsidRDefault="00A6057D" w:rsidP="00042923">
            <w:pPr>
              <w:spacing w:line="180" w:lineRule="exact"/>
              <w:jc w:val="center"/>
              <w:rPr>
                <w:rFonts w:ascii="Times New Roman" w:hAnsi="Times New Roman" w:cs="Times New Roman"/>
                <w:b/>
                <w:sz w:val="18"/>
                <w:szCs w:val="18"/>
              </w:rPr>
            </w:pPr>
            <w:r w:rsidRPr="00A60FD5">
              <w:rPr>
                <w:rFonts w:ascii="Times New Roman" w:hAnsi="Times New Roman" w:cs="Times New Roman"/>
                <w:b/>
                <w:sz w:val="18"/>
                <w:szCs w:val="18"/>
              </w:rPr>
              <w:t>Coordination (Factor 2)</w:t>
            </w:r>
          </w:p>
        </w:tc>
      </w:tr>
      <w:tr w:rsidR="00A6057D" w:rsidRPr="00A60FD5" w14:paraId="3747A9A4" w14:textId="77777777" w:rsidTr="00A6057D">
        <w:tc>
          <w:tcPr>
            <w:tcW w:w="3369" w:type="dxa"/>
            <w:tcBorders>
              <w:top w:val="single" w:sz="4" w:space="0" w:color="auto"/>
              <w:left w:val="nil"/>
              <w:bottom w:val="nil"/>
              <w:right w:val="nil"/>
            </w:tcBorders>
          </w:tcPr>
          <w:p w14:paraId="66EB97C4" w14:textId="77777777" w:rsidR="00A6057D" w:rsidRPr="00A60FD5" w:rsidRDefault="00A6057D" w:rsidP="00042923">
            <w:pPr>
              <w:spacing w:line="180" w:lineRule="exact"/>
              <w:rPr>
                <w:rFonts w:ascii="Times New Roman" w:hAnsi="Times New Roman" w:cs="Times New Roman"/>
                <w:sz w:val="18"/>
                <w:szCs w:val="18"/>
              </w:rPr>
            </w:pPr>
            <w:r w:rsidRPr="00A60FD5">
              <w:rPr>
                <w:rFonts w:ascii="Times New Roman" w:hAnsi="Times New Roman" w:cs="Times New Roman"/>
                <w:sz w:val="18"/>
                <w:szCs w:val="18"/>
              </w:rPr>
              <w:t>Supervision of the licensee’s products by the licensor</w:t>
            </w:r>
          </w:p>
        </w:tc>
        <w:tc>
          <w:tcPr>
            <w:tcW w:w="2126" w:type="dxa"/>
            <w:tcBorders>
              <w:top w:val="single" w:sz="4" w:space="0" w:color="auto"/>
              <w:left w:val="nil"/>
              <w:bottom w:val="nil"/>
              <w:right w:val="nil"/>
            </w:tcBorders>
          </w:tcPr>
          <w:p w14:paraId="685063A5" w14:textId="0042842C" w:rsidR="00A6057D" w:rsidRPr="00A60FD5" w:rsidRDefault="00A6057D" w:rsidP="00A6057D">
            <w:pPr>
              <w:spacing w:line="180" w:lineRule="exact"/>
              <w:jc w:val="center"/>
              <w:rPr>
                <w:rFonts w:ascii="Times New Roman" w:hAnsi="Times New Roman" w:cs="Times New Roman"/>
                <w:sz w:val="18"/>
                <w:szCs w:val="18"/>
              </w:rPr>
            </w:pPr>
            <w:r w:rsidRPr="00A60FD5">
              <w:rPr>
                <w:rFonts w:ascii="Times New Roman" w:hAnsi="Times New Roman" w:cs="Times New Roman"/>
                <w:sz w:val="18"/>
                <w:szCs w:val="18"/>
              </w:rPr>
              <w:t>12.3%</w:t>
            </w:r>
          </w:p>
        </w:tc>
        <w:tc>
          <w:tcPr>
            <w:tcW w:w="1417" w:type="dxa"/>
            <w:tcBorders>
              <w:top w:val="single" w:sz="4" w:space="0" w:color="auto"/>
              <w:left w:val="nil"/>
              <w:bottom w:val="nil"/>
              <w:right w:val="nil"/>
            </w:tcBorders>
          </w:tcPr>
          <w:p w14:paraId="772A1E3B" w14:textId="7634F2B8" w:rsidR="00A6057D" w:rsidRPr="00A60FD5" w:rsidRDefault="00A6057D" w:rsidP="00042923">
            <w:pPr>
              <w:spacing w:line="180" w:lineRule="exact"/>
              <w:jc w:val="center"/>
              <w:rPr>
                <w:rFonts w:ascii="Times New Roman" w:hAnsi="Times New Roman" w:cs="Times New Roman"/>
                <w:b/>
                <w:sz w:val="18"/>
                <w:szCs w:val="18"/>
              </w:rPr>
            </w:pPr>
            <w:r w:rsidRPr="00A60FD5">
              <w:rPr>
                <w:rFonts w:ascii="Times New Roman" w:hAnsi="Times New Roman" w:cs="Times New Roman"/>
                <w:b/>
                <w:sz w:val="18"/>
                <w:szCs w:val="18"/>
              </w:rPr>
              <w:t>0.91</w:t>
            </w:r>
          </w:p>
        </w:tc>
        <w:tc>
          <w:tcPr>
            <w:tcW w:w="1560" w:type="dxa"/>
            <w:tcBorders>
              <w:top w:val="single" w:sz="4" w:space="0" w:color="auto"/>
              <w:left w:val="nil"/>
              <w:bottom w:val="nil"/>
              <w:right w:val="nil"/>
            </w:tcBorders>
          </w:tcPr>
          <w:p w14:paraId="25D6AA15" w14:textId="2EF0BF87" w:rsidR="00A6057D" w:rsidRPr="00A60FD5" w:rsidRDefault="00A6057D" w:rsidP="00042923">
            <w:pPr>
              <w:spacing w:line="180" w:lineRule="exact"/>
              <w:jc w:val="center"/>
              <w:rPr>
                <w:rFonts w:ascii="Times New Roman" w:hAnsi="Times New Roman" w:cs="Times New Roman"/>
                <w:sz w:val="18"/>
                <w:szCs w:val="18"/>
              </w:rPr>
            </w:pPr>
            <w:r w:rsidRPr="00A60FD5">
              <w:rPr>
                <w:rFonts w:ascii="Times New Roman" w:hAnsi="Times New Roman" w:cs="Times New Roman"/>
                <w:sz w:val="18"/>
                <w:szCs w:val="18"/>
              </w:rPr>
              <w:t>-0.22</w:t>
            </w:r>
          </w:p>
        </w:tc>
      </w:tr>
      <w:tr w:rsidR="00A6057D" w:rsidRPr="00A60FD5" w14:paraId="0FF50254" w14:textId="77777777" w:rsidTr="00A6057D">
        <w:tc>
          <w:tcPr>
            <w:tcW w:w="3369" w:type="dxa"/>
            <w:tcBorders>
              <w:top w:val="nil"/>
              <w:left w:val="nil"/>
              <w:bottom w:val="nil"/>
              <w:right w:val="nil"/>
            </w:tcBorders>
          </w:tcPr>
          <w:p w14:paraId="5343D364" w14:textId="77777777" w:rsidR="00A6057D" w:rsidRPr="00A60FD5" w:rsidRDefault="00A6057D" w:rsidP="00042923">
            <w:pPr>
              <w:spacing w:line="180" w:lineRule="exact"/>
              <w:rPr>
                <w:rFonts w:ascii="Times New Roman" w:hAnsi="Times New Roman" w:cs="Times New Roman"/>
                <w:sz w:val="18"/>
                <w:szCs w:val="18"/>
              </w:rPr>
            </w:pPr>
            <w:r w:rsidRPr="00A60FD5">
              <w:rPr>
                <w:rFonts w:ascii="Times New Roman" w:hAnsi="Times New Roman" w:cs="Times New Roman"/>
                <w:sz w:val="18"/>
                <w:szCs w:val="18"/>
              </w:rPr>
              <w:t>Supervision of the licensee’s industrial and R&amp;D installations by the licensor</w:t>
            </w:r>
          </w:p>
        </w:tc>
        <w:tc>
          <w:tcPr>
            <w:tcW w:w="2126" w:type="dxa"/>
            <w:tcBorders>
              <w:top w:val="nil"/>
              <w:left w:val="nil"/>
              <w:bottom w:val="nil"/>
              <w:right w:val="nil"/>
            </w:tcBorders>
          </w:tcPr>
          <w:p w14:paraId="2A0E5E5D" w14:textId="12D54F20" w:rsidR="00A6057D" w:rsidRPr="00A60FD5" w:rsidRDefault="00A6057D" w:rsidP="00A6057D">
            <w:pPr>
              <w:spacing w:line="180" w:lineRule="exact"/>
              <w:jc w:val="center"/>
              <w:rPr>
                <w:rFonts w:ascii="Times New Roman" w:hAnsi="Times New Roman" w:cs="Times New Roman"/>
                <w:sz w:val="18"/>
                <w:szCs w:val="18"/>
              </w:rPr>
            </w:pPr>
            <w:r w:rsidRPr="00A60FD5">
              <w:rPr>
                <w:rFonts w:ascii="Times New Roman" w:hAnsi="Times New Roman" w:cs="Times New Roman"/>
                <w:sz w:val="18"/>
                <w:szCs w:val="18"/>
              </w:rPr>
              <w:t>9.43%</w:t>
            </w:r>
          </w:p>
        </w:tc>
        <w:tc>
          <w:tcPr>
            <w:tcW w:w="1417" w:type="dxa"/>
            <w:tcBorders>
              <w:top w:val="nil"/>
              <w:left w:val="nil"/>
              <w:bottom w:val="nil"/>
              <w:right w:val="nil"/>
            </w:tcBorders>
          </w:tcPr>
          <w:p w14:paraId="6C1182DC" w14:textId="6F0B92DF" w:rsidR="00A6057D" w:rsidRPr="00A60FD5" w:rsidRDefault="00A6057D" w:rsidP="00042923">
            <w:pPr>
              <w:spacing w:line="180" w:lineRule="exact"/>
              <w:jc w:val="center"/>
              <w:rPr>
                <w:rFonts w:ascii="Times New Roman" w:hAnsi="Times New Roman" w:cs="Times New Roman"/>
                <w:b/>
                <w:sz w:val="18"/>
                <w:szCs w:val="18"/>
              </w:rPr>
            </w:pPr>
            <w:r w:rsidRPr="00A60FD5">
              <w:rPr>
                <w:rFonts w:ascii="Times New Roman" w:hAnsi="Times New Roman" w:cs="Times New Roman"/>
                <w:b/>
                <w:sz w:val="18"/>
                <w:szCs w:val="18"/>
              </w:rPr>
              <w:t>0.61</w:t>
            </w:r>
          </w:p>
        </w:tc>
        <w:tc>
          <w:tcPr>
            <w:tcW w:w="1560" w:type="dxa"/>
            <w:tcBorders>
              <w:top w:val="nil"/>
              <w:left w:val="nil"/>
              <w:bottom w:val="nil"/>
              <w:right w:val="nil"/>
            </w:tcBorders>
          </w:tcPr>
          <w:p w14:paraId="76D62276" w14:textId="77777777" w:rsidR="00A6057D" w:rsidRPr="00A60FD5" w:rsidRDefault="00A6057D" w:rsidP="00042923">
            <w:pPr>
              <w:spacing w:line="180" w:lineRule="exact"/>
              <w:jc w:val="center"/>
              <w:rPr>
                <w:rFonts w:ascii="Times New Roman" w:hAnsi="Times New Roman" w:cs="Times New Roman"/>
                <w:sz w:val="18"/>
                <w:szCs w:val="18"/>
              </w:rPr>
            </w:pPr>
            <w:r w:rsidRPr="00A60FD5">
              <w:rPr>
                <w:rFonts w:ascii="Times New Roman" w:hAnsi="Times New Roman" w:cs="Times New Roman"/>
                <w:sz w:val="18"/>
                <w:szCs w:val="18"/>
              </w:rPr>
              <w:t>0.49</w:t>
            </w:r>
          </w:p>
        </w:tc>
      </w:tr>
      <w:tr w:rsidR="00A6057D" w:rsidRPr="00A60FD5" w14:paraId="48078D63" w14:textId="77777777" w:rsidTr="00A6057D">
        <w:tc>
          <w:tcPr>
            <w:tcW w:w="3369" w:type="dxa"/>
            <w:tcBorders>
              <w:top w:val="nil"/>
              <w:left w:val="nil"/>
              <w:bottom w:val="nil"/>
              <w:right w:val="nil"/>
            </w:tcBorders>
          </w:tcPr>
          <w:p w14:paraId="456714ED" w14:textId="2BEF1319" w:rsidR="00A6057D" w:rsidRPr="00A60FD5" w:rsidRDefault="00A6057D" w:rsidP="007C64B4">
            <w:pPr>
              <w:spacing w:line="180" w:lineRule="exact"/>
              <w:rPr>
                <w:rFonts w:ascii="Times New Roman" w:hAnsi="Times New Roman" w:cs="Times New Roman"/>
                <w:sz w:val="18"/>
                <w:szCs w:val="18"/>
              </w:rPr>
            </w:pPr>
            <w:r w:rsidRPr="00A60FD5">
              <w:rPr>
                <w:rFonts w:ascii="Times New Roman" w:hAnsi="Times New Roman" w:cs="Times New Roman"/>
                <w:sz w:val="18"/>
                <w:szCs w:val="18"/>
              </w:rPr>
              <w:t xml:space="preserve">Reporting the results of technical and commercial tests undertaken by the licensee to the licensor  </w:t>
            </w:r>
          </w:p>
        </w:tc>
        <w:tc>
          <w:tcPr>
            <w:tcW w:w="2126" w:type="dxa"/>
            <w:tcBorders>
              <w:top w:val="nil"/>
              <w:left w:val="nil"/>
              <w:bottom w:val="nil"/>
              <w:right w:val="nil"/>
            </w:tcBorders>
          </w:tcPr>
          <w:p w14:paraId="2CE2C726" w14:textId="1C492884" w:rsidR="00A6057D" w:rsidRPr="00A60FD5" w:rsidRDefault="00A6057D" w:rsidP="00A6057D">
            <w:pPr>
              <w:spacing w:line="180" w:lineRule="exact"/>
              <w:jc w:val="center"/>
              <w:rPr>
                <w:rFonts w:ascii="Times New Roman" w:hAnsi="Times New Roman" w:cs="Times New Roman"/>
                <w:sz w:val="18"/>
                <w:szCs w:val="18"/>
              </w:rPr>
            </w:pPr>
            <w:r w:rsidRPr="00A60FD5">
              <w:rPr>
                <w:rFonts w:ascii="Times New Roman" w:hAnsi="Times New Roman" w:cs="Times New Roman"/>
                <w:sz w:val="18"/>
                <w:szCs w:val="18"/>
              </w:rPr>
              <w:t>16.0%</w:t>
            </w:r>
          </w:p>
        </w:tc>
        <w:tc>
          <w:tcPr>
            <w:tcW w:w="1417" w:type="dxa"/>
            <w:tcBorders>
              <w:top w:val="nil"/>
              <w:left w:val="nil"/>
              <w:bottom w:val="nil"/>
              <w:right w:val="nil"/>
            </w:tcBorders>
          </w:tcPr>
          <w:p w14:paraId="1E9A9BB8" w14:textId="0446D840" w:rsidR="00A6057D" w:rsidRPr="00A60FD5" w:rsidRDefault="00A6057D" w:rsidP="00042923">
            <w:pPr>
              <w:spacing w:line="180" w:lineRule="exact"/>
              <w:jc w:val="center"/>
              <w:rPr>
                <w:rFonts w:ascii="Times New Roman" w:hAnsi="Times New Roman" w:cs="Times New Roman"/>
                <w:b/>
                <w:sz w:val="18"/>
                <w:szCs w:val="18"/>
              </w:rPr>
            </w:pPr>
            <w:r w:rsidRPr="00A60FD5">
              <w:rPr>
                <w:rFonts w:ascii="Times New Roman" w:hAnsi="Times New Roman" w:cs="Times New Roman"/>
                <w:b/>
                <w:sz w:val="18"/>
                <w:szCs w:val="18"/>
              </w:rPr>
              <w:t>0.54</w:t>
            </w:r>
          </w:p>
        </w:tc>
        <w:tc>
          <w:tcPr>
            <w:tcW w:w="1560" w:type="dxa"/>
            <w:tcBorders>
              <w:top w:val="nil"/>
              <w:left w:val="nil"/>
              <w:bottom w:val="nil"/>
              <w:right w:val="nil"/>
            </w:tcBorders>
          </w:tcPr>
          <w:p w14:paraId="2C54B098" w14:textId="2A6F5544" w:rsidR="00A6057D" w:rsidRPr="00A60FD5" w:rsidRDefault="00A6057D" w:rsidP="00042923">
            <w:pPr>
              <w:spacing w:line="180" w:lineRule="exact"/>
              <w:jc w:val="center"/>
              <w:rPr>
                <w:rFonts w:ascii="Times New Roman" w:hAnsi="Times New Roman" w:cs="Times New Roman"/>
                <w:sz w:val="18"/>
                <w:szCs w:val="18"/>
              </w:rPr>
            </w:pPr>
            <w:r w:rsidRPr="00A60FD5">
              <w:rPr>
                <w:rFonts w:ascii="Times New Roman" w:hAnsi="Times New Roman" w:cs="Times New Roman"/>
                <w:sz w:val="18"/>
                <w:szCs w:val="18"/>
              </w:rPr>
              <w:t>0.33</w:t>
            </w:r>
          </w:p>
        </w:tc>
      </w:tr>
      <w:tr w:rsidR="00A6057D" w:rsidRPr="00A60FD5" w14:paraId="46758BDD" w14:textId="77777777" w:rsidTr="00A6057D">
        <w:tc>
          <w:tcPr>
            <w:tcW w:w="3369" w:type="dxa"/>
            <w:tcBorders>
              <w:top w:val="nil"/>
              <w:left w:val="nil"/>
              <w:bottom w:val="nil"/>
              <w:right w:val="nil"/>
            </w:tcBorders>
          </w:tcPr>
          <w:p w14:paraId="64C7E475" w14:textId="77777777" w:rsidR="00A6057D" w:rsidRPr="00A60FD5" w:rsidRDefault="00A6057D" w:rsidP="00042923">
            <w:pPr>
              <w:spacing w:line="180" w:lineRule="exact"/>
              <w:rPr>
                <w:rFonts w:ascii="Times New Roman" w:hAnsi="Times New Roman" w:cs="Times New Roman"/>
                <w:sz w:val="18"/>
                <w:szCs w:val="18"/>
              </w:rPr>
            </w:pPr>
            <w:r w:rsidRPr="00A60FD5">
              <w:rPr>
                <w:rFonts w:ascii="Times New Roman" w:hAnsi="Times New Roman" w:cs="Times New Roman"/>
                <w:sz w:val="18"/>
                <w:szCs w:val="18"/>
              </w:rPr>
              <w:t>Training of the licensee’s personnel by the licensor</w:t>
            </w:r>
          </w:p>
        </w:tc>
        <w:tc>
          <w:tcPr>
            <w:tcW w:w="2126" w:type="dxa"/>
            <w:tcBorders>
              <w:top w:val="nil"/>
              <w:left w:val="nil"/>
              <w:bottom w:val="nil"/>
              <w:right w:val="nil"/>
            </w:tcBorders>
          </w:tcPr>
          <w:p w14:paraId="52A32A76" w14:textId="3DA4000A" w:rsidR="00A6057D" w:rsidRPr="00A60FD5" w:rsidRDefault="00A6057D" w:rsidP="00A6057D">
            <w:pPr>
              <w:spacing w:line="180" w:lineRule="exact"/>
              <w:jc w:val="center"/>
              <w:rPr>
                <w:rFonts w:ascii="Times New Roman" w:hAnsi="Times New Roman" w:cs="Times New Roman"/>
                <w:sz w:val="18"/>
                <w:szCs w:val="18"/>
              </w:rPr>
            </w:pPr>
            <w:r w:rsidRPr="00A60FD5">
              <w:rPr>
                <w:rFonts w:ascii="Times New Roman" w:hAnsi="Times New Roman" w:cs="Times New Roman"/>
                <w:sz w:val="18"/>
                <w:szCs w:val="18"/>
              </w:rPr>
              <w:t>23.6%</w:t>
            </w:r>
          </w:p>
        </w:tc>
        <w:tc>
          <w:tcPr>
            <w:tcW w:w="1417" w:type="dxa"/>
            <w:tcBorders>
              <w:top w:val="nil"/>
              <w:left w:val="nil"/>
              <w:bottom w:val="nil"/>
              <w:right w:val="nil"/>
            </w:tcBorders>
          </w:tcPr>
          <w:p w14:paraId="63944002" w14:textId="12FEC39D" w:rsidR="00A6057D" w:rsidRPr="00A60FD5" w:rsidRDefault="00A6057D" w:rsidP="00042923">
            <w:pPr>
              <w:spacing w:line="180" w:lineRule="exact"/>
              <w:jc w:val="center"/>
              <w:rPr>
                <w:rFonts w:ascii="Times New Roman" w:hAnsi="Times New Roman" w:cs="Times New Roman"/>
                <w:sz w:val="18"/>
                <w:szCs w:val="18"/>
              </w:rPr>
            </w:pPr>
            <w:r w:rsidRPr="00A60FD5">
              <w:rPr>
                <w:rFonts w:ascii="Times New Roman" w:hAnsi="Times New Roman" w:cs="Times New Roman"/>
                <w:sz w:val="18"/>
                <w:szCs w:val="18"/>
              </w:rPr>
              <w:t>-0.19</w:t>
            </w:r>
          </w:p>
        </w:tc>
        <w:tc>
          <w:tcPr>
            <w:tcW w:w="1560" w:type="dxa"/>
            <w:tcBorders>
              <w:top w:val="nil"/>
              <w:left w:val="nil"/>
              <w:bottom w:val="nil"/>
              <w:right w:val="nil"/>
            </w:tcBorders>
          </w:tcPr>
          <w:p w14:paraId="49686EF5" w14:textId="49A04244" w:rsidR="00A6057D" w:rsidRPr="00A60FD5" w:rsidRDefault="00A6057D" w:rsidP="00042923">
            <w:pPr>
              <w:spacing w:line="180" w:lineRule="exact"/>
              <w:jc w:val="center"/>
              <w:rPr>
                <w:rFonts w:ascii="Times New Roman" w:hAnsi="Times New Roman" w:cs="Times New Roman"/>
                <w:b/>
                <w:sz w:val="18"/>
                <w:szCs w:val="18"/>
              </w:rPr>
            </w:pPr>
            <w:r w:rsidRPr="00A60FD5">
              <w:rPr>
                <w:rFonts w:ascii="Times New Roman" w:hAnsi="Times New Roman" w:cs="Times New Roman"/>
                <w:b/>
                <w:sz w:val="18"/>
                <w:szCs w:val="18"/>
              </w:rPr>
              <w:t>0.78</w:t>
            </w:r>
          </w:p>
        </w:tc>
      </w:tr>
      <w:tr w:rsidR="00A6057D" w:rsidRPr="00A60FD5" w14:paraId="32A0AAC4" w14:textId="77777777" w:rsidTr="00A6057D">
        <w:tc>
          <w:tcPr>
            <w:tcW w:w="3369" w:type="dxa"/>
            <w:tcBorders>
              <w:top w:val="nil"/>
              <w:left w:val="nil"/>
              <w:bottom w:val="nil"/>
              <w:right w:val="nil"/>
            </w:tcBorders>
          </w:tcPr>
          <w:p w14:paraId="2683757A" w14:textId="77777777" w:rsidR="00A6057D" w:rsidRPr="00A60FD5" w:rsidRDefault="00A6057D" w:rsidP="00042923">
            <w:pPr>
              <w:spacing w:line="180" w:lineRule="exact"/>
              <w:rPr>
                <w:rFonts w:ascii="Times New Roman" w:hAnsi="Times New Roman" w:cs="Times New Roman"/>
                <w:sz w:val="18"/>
                <w:szCs w:val="18"/>
              </w:rPr>
            </w:pPr>
            <w:r w:rsidRPr="00A60FD5">
              <w:rPr>
                <w:rFonts w:ascii="Times New Roman" w:hAnsi="Times New Roman" w:cs="Times New Roman"/>
                <w:sz w:val="18"/>
                <w:szCs w:val="18"/>
              </w:rPr>
              <w:t>Transfer of technical improvements made by the licensor to the licensee</w:t>
            </w:r>
          </w:p>
        </w:tc>
        <w:tc>
          <w:tcPr>
            <w:tcW w:w="2126" w:type="dxa"/>
            <w:tcBorders>
              <w:top w:val="nil"/>
              <w:left w:val="nil"/>
              <w:bottom w:val="nil"/>
              <w:right w:val="nil"/>
            </w:tcBorders>
          </w:tcPr>
          <w:p w14:paraId="2D1FC152" w14:textId="57A25281" w:rsidR="00A6057D" w:rsidRPr="00A60FD5" w:rsidRDefault="00A6057D" w:rsidP="00A6057D">
            <w:pPr>
              <w:spacing w:line="180" w:lineRule="exact"/>
              <w:jc w:val="center"/>
              <w:rPr>
                <w:rFonts w:ascii="Times New Roman" w:hAnsi="Times New Roman" w:cs="Times New Roman"/>
                <w:sz w:val="18"/>
                <w:szCs w:val="18"/>
              </w:rPr>
            </w:pPr>
            <w:r w:rsidRPr="00A60FD5">
              <w:rPr>
                <w:rFonts w:ascii="Times New Roman" w:hAnsi="Times New Roman" w:cs="Times New Roman"/>
                <w:sz w:val="18"/>
                <w:szCs w:val="18"/>
              </w:rPr>
              <w:t>14.2%</w:t>
            </w:r>
          </w:p>
        </w:tc>
        <w:tc>
          <w:tcPr>
            <w:tcW w:w="1417" w:type="dxa"/>
            <w:tcBorders>
              <w:top w:val="nil"/>
              <w:left w:val="nil"/>
              <w:bottom w:val="nil"/>
              <w:right w:val="nil"/>
            </w:tcBorders>
          </w:tcPr>
          <w:p w14:paraId="1C3E9B25" w14:textId="58A0D532" w:rsidR="00A6057D" w:rsidRPr="00A60FD5" w:rsidRDefault="00A6057D" w:rsidP="002B2AB4">
            <w:pPr>
              <w:spacing w:line="180" w:lineRule="exact"/>
              <w:jc w:val="center"/>
              <w:rPr>
                <w:rFonts w:ascii="Times New Roman" w:hAnsi="Times New Roman" w:cs="Times New Roman"/>
                <w:sz w:val="18"/>
                <w:szCs w:val="18"/>
              </w:rPr>
            </w:pPr>
            <w:r w:rsidRPr="00A60FD5">
              <w:rPr>
                <w:rFonts w:ascii="Times New Roman" w:hAnsi="Times New Roman" w:cs="Times New Roman"/>
                <w:sz w:val="18"/>
                <w:szCs w:val="18"/>
              </w:rPr>
              <w:t>0.01</w:t>
            </w:r>
          </w:p>
        </w:tc>
        <w:tc>
          <w:tcPr>
            <w:tcW w:w="1560" w:type="dxa"/>
            <w:tcBorders>
              <w:top w:val="nil"/>
              <w:left w:val="nil"/>
              <w:bottom w:val="nil"/>
              <w:right w:val="nil"/>
            </w:tcBorders>
          </w:tcPr>
          <w:p w14:paraId="28D29B68" w14:textId="20623E28" w:rsidR="00A6057D" w:rsidRPr="00A60FD5" w:rsidRDefault="00A6057D" w:rsidP="00042923">
            <w:pPr>
              <w:spacing w:line="180" w:lineRule="exact"/>
              <w:jc w:val="center"/>
              <w:rPr>
                <w:rFonts w:ascii="Times New Roman" w:hAnsi="Times New Roman" w:cs="Times New Roman"/>
                <w:b/>
                <w:sz w:val="18"/>
                <w:szCs w:val="18"/>
              </w:rPr>
            </w:pPr>
            <w:r w:rsidRPr="00A60FD5">
              <w:rPr>
                <w:rFonts w:ascii="Times New Roman" w:hAnsi="Times New Roman" w:cs="Times New Roman"/>
                <w:b/>
                <w:sz w:val="18"/>
                <w:szCs w:val="18"/>
              </w:rPr>
              <w:t>0.90</w:t>
            </w:r>
          </w:p>
        </w:tc>
      </w:tr>
      <w:tr w:rsidR="00A6057D" w:rsidRPr="00A60FD5" w14:paraId="5122F6CC" w14:textId="77777777" w:rsidTr="00A6057D">
        <w:tc>
          <w:tcPr>
            <w:tcW w:w="3369" w:type="dxa"/>
            <w:tcBorders>
              <w:top w:val="nil"/>
              <w:left w:val="nil"/>
              <w:bottom w:val="nil"/>
              <w:right w:val="nil"/>
            </w:tcBorders>
          </w:tcPr>
          <w:p w14:paraId="58C3EDB4" w14:textId="77777777" w:rsidR="00A6057D" w:rsidRPr="00A60FD5" w:rsidRDefault="00A6057D" w:rsidP="00042923">
            <w:pPr>
              <w:spacing w:line="180" w:lineRule="exact"/>
              <w:rPr>
                <w:rFonts w:ascii="Times New Roman" w:hAnsi="Times New Roman" w:cs="Times New Roman"/>
                <w:sz w:val="18"/>
                <w:szCs w:val="18"/>
              </w:rPr>
            </w:pPr>
            <w:r w:rsidRPr="00A60FD5">
              <w:rPr>
                <w:rFonts w:ascii="Times New Roman" w:hAnsi="Times New Roman" w:cs="Times New Roman"/>
                <w:sz w:val="18"/>
                <w:szCs w:val="18"/>
              </w:rPr>
              <w:t>Licensee’s use of the licensor’s trademark</w:t>
            </w:r>
          </w:p>
        </w:tc>
        <w:tc>
          <w:tcPr>
            <w:tcW w:w="2126" w:type="dxa"/>
            <w:tcBorders>
              <w:top w:val="nil"/>
              <w:left w:val="nil"/>
              <w:bottom w:val="nil"/>
              <w:right w:val="nil"/>
            </w:tcBorders>
          </w:tcPr>
          <w:p w14:paraId="0C997587" w14:textId="0943F4A9" w:rsidR="00A6057D" w:rsidRPr="00A60FD5" w:rsidRDefault="00A6057D" w:rsidP="00A6057D">
            <w:pPr>
              <w:spacing w:line="180" w:lineRule="exact"/>
              <w:jc w:val="center"/>
              <w:rPr>
                <w:rFonts w:ascii="Times New Roman" w:hAnsi="Times New Roman" w:cs="Times New Roman"/>
                <w:sz w:val="18"/>
                <w:szCs w:val="18"/>
              </w:rPr>
            </w:pPr>
            <w:r w:rsidRPr="00A60FD5">
              <w:rPr>
                <w:rFonts w:ascii="Times New Roman" w:hAnsi="Times New Roman" w:cs="Times New Roman"/>
                <w:sz w:val="18"/>
                <w:szCs w:val="18"/>
              </w:rPr>
              <w:t>56.6%</w:t>
            </w:r>
          </w:p>
        </w:tc>
        <w:tc>
          <w:tcPr>
            <w:tcW w:w="1417" w:type="dxa"/>
            <w:tcBorders>
              <w:top w:val="nil"/>
              <w:left w:val="nil"/>
              <w:bottom w:val="nil"/>
              <w:right w:val="nil"/>
            </w:tcBorders>
          </w:tcPr>
          <w:p w14:paraId="6F82FDAF" w14:textId="36483EAE" w:rsidR="00A6057D" w:rsidRPr="00A60FD5" w:rsidRDefault="00A6057D" w:rsidP="00042923">
            <w:pPr>
              <w:spacing w:line="180" w:lineRule="exact"/>
              <w:jc w:val="center"/>
              <w:rPr>
                <w:rFonts w:ascii="Times New Roman" w:hAnsi="Times New Roman" w:cs="Times New Roman"/>
                <w:sz w:val="18"/>
                <w:szCs w:val="18"/>
              </w:rPr>
            </w:pPr>
            <w:r w:rsidRPr="00A60FD5">
              <w:rPr>
                <w:rFonts w:ascii="Times New Roman" w:hAnsi="Times New Roman" w:cs="Times New Roman"/>
                <w:sz w:val="18"/>
                <w:szCs w:val="18"/>
              </w:rPr>
              <w:t>0.47</w:t>
            </w:r>
          </w:p>
        </w:tc>
        <w:tc>
          <w:tcPr>
            <w:tcW w:w="1560" w:type="dxa"/>
            <w:tcBorders>
              <w:top w:val="nil"/>
              <w:left w:val="nil"/>
              <w:bottom w:val="nil"/>
              <w:right w:val="nil"/>
            </w:tcBorders>
          </w:tcPr>
          <w:p w14:paraId="0F4B26FA" w14:textId="37EF3668" w:rsidR="00A6057D" w:rsidRPr="00A60FD5" w:rsidRDefault="00A6057D" w:rsidP="00042923">
            <w:pPr>
              <w:spacing w:line="180" w:lineRule="exact"/>
              <w:jc w:val="center"/>
              <w:rPr>
                <w:rFonts w:ascii="Times New Roman" w:hAnsi="Times New Roman" w:cs="Times New Roman"/>
                <w:b/>
                <w:sz w:val="18"/>
                <w:szCs w:val="18"/>
              </w:rPr>
            </w:pPr>
            <w:r w:rsidRPr="00A60FD5">
              <w:rPr>
                <w:rFonts w:ascii="Times New Roman" w:hAnsi="Times New Roman" w:cs="Times New Roman"/>
                <w:b/>
                <w:sz w:val="18"/>
                <w:szCs w:val="18"/>
              </w:rPr>
              <w:t>0.67</w:t>
            </w:r>
          </w:p>
        </w:tc>
      </w:tr>
      <w:tr w:rsidR="00A6057D" w:rsidRPr="00A60FD5" w14:paraId="3AB6C55E" w14:textId="77777777" w:rsidTr="00A6057D">
        <w:tc>
          <w:tcPr>
            <w:tcW w:w="3369" w:type="dxa"/>
            <w:tcBorders>
              <w:top w:val="nil"/>
              <w:left w:val="nil"/>
              <w:bottom w:val="nil"/>
              <w:right w:val="nil"/>
            </w:tcBorders>
          </w:tcPr>
          <w:p w14:paraId="4562CFDE" w14:textId="77777777" w:rsidR="00A6057D" w:rsidRPr="00A60FD5" w:rsidRDefault="00A6057D" w:rsidP="00042923">
            <w:pPr>
              <w:spacing w:line="180" w:lineRule="exact"/>
              <w:rPr>
                <w:rFonts w:ascii="Times New Roman" w:hAnsi="Times New Roman" w:cs="Times New Roman"/>
                <w:sz w:val="18"/>
                <w:szCs w:val="18"/>
              </w:rPr>
            </w:pPr>
            <w:r w:rsidRPr="00A60FD5">
              <w:rPr>
                <w:rFonts w:ascii="Times New Roman" w:hAnsi="Times New Roman" w:cs="Times New Roman"/>
                <w:sz w:val="18"/>
                <w:szCs w:val="18"/>
              </w:rPr>
              <w:t>Transfer of marketing test data and other commercial data from the licensor to the licensee</w:t>
            </w:r>
          </w:p>
        </w:tc>
        <w:tc>
          <w:tcPr>
            <w:tcW w:w="2126" w:type="dxa"/>
            <w:tcBorders>
              <w:top w:val="nil"/>
              <w:left w:val="nil"/>
              <w:bottom w:val="nil"/>
              <w:right w:val="nil"/>
            </w:tcBorders>
          </w:tcPr>
          <w:p w14:paraId="53072179" w14:textId="0F0DAA0D" w:rsidR="00A6057D" w:rsidRPr="00A60FD5" w:rsidRDefault="00A6057D" w:rsidP="00A6057D">
            <w:pPr>
              <w:spacing w:line="180" w:lineRule="exact"/>
              <w:jc w:val="center"/>
              <w:rPr>
                <w:rFonts w:ascii="Times New Roman" w:hAnsi="Times New Roman" w:cs="Times New Roman"/>
                <w:sz w:val="18"/>
                <w:szCs w:val="18"/>
              </w:rPr>
            </w:pPr>
            <w:r w:rsidRPr="00A60FD5">
              <w:rPr>
                <w:rFonts w:ascii="Times New Roman" w:hAnsi="Times New Roman" w:cs="Times New Roman"/>
                <w:sz w:val="18"/>
                <w:szCs w:val="18"/>
              </w:rPr>
              <w:t>42.5%</w:t>
            </w:r>
          </w:p>
        </w:tc>
        <w:tc>
          <w:tcPr>
            <w:tcW w:w="1417" w:type="dxa"/>
            <w:tcBorders>
              <w:top w:val="nil"/>
              <w:left w:val="nil"/>
              <w:bottom w:val="nil"/>
              <w:right w:val="nil"/>
            </w:tcBorders>
          </w:tcPr>
          <w:p w14:paraId="7ACD56BB" w14:textId="763E6720" w:rsidR="00A6057D" w:rsidRPr="00A60FD5" w:rsidRDefault="00A6057D" w:rsidP="00042923">
            <w:pPr>
              <w:spacing w:line="180" w:lineRule="exact"/>
              <w:jc w:val="center"/>
              <w:rPr>
                <w:rFonts w:ascii="Times New Roman" w:hAnsi="Times New Roman" w:cs="Times New Roman"/>
                <w:sz w:val="18"/>
                <w:szCs w:val="18"/>
              </w:rPr>
            </w:pPr>
            <w:r w:rsidRPr="00A60FD5">
              <w:rPr>
                <w:rFonts w:ascii="Times New Roman" w:hAnsi="Times New Roman" w:cs="Times New Roman"/>
                <w:sz w:val="18"/>
                <w:szCs w:val="18"/>
              </w:rPr>
              <w:t>0.14</w:t>
            </w:r>
          </w:p>
        </w:tc>
        <w:tc>
          <w:tcPr>
            <w:tcW w:w="1560" w:type="dxa"/>
            <w:tcBorders>
              <w:top w:val="nil"/>
              <w:left w:val="nil"/>
              <w:bottom w:val="nil"/>
              <w:right w:val="nil"/>
            </w:tcBorders>
          </w:tcPr>
          <w:p w14:paraId="32853108" w14:textId="51C229BC" w:rsidR="00A6057D" w:rsidRPr="00A60FD5" w:rsidRDefault="00A6057D" w:rsidP="00042923">
            <w:pPr>
              <w:spacing w:line="180" w:lineRule="exact"/>
              <w:jc w:val="center"/>
              <w:rPr>
                <w:rFonts w:ascii="Times New Roman" w:hAnsi="Times New Roman" w:cs="Times New Roman"/>
                <w:b/>
                <w:sz w:val="18"/>
                <w:szCs w:val="18"/>
              </w:rPr>
            </w:pPr>
            <w:r w:rsidRPr="00A60FD5">
              <w:rPr>
                <w:rFonts w:ascii="Times New Roman" w:hAnsi="Times New Roman" w:cs="Times New Roman"/>
                <w:b/>
                <w:sz w:val="18"/>
                <w:szCs w:val="18"/>
              </w:rPr>
              <w:t>0.78</w:t>
            </w:r>
          </w:p>
        </w:tc>
      </w:tr>
      <w:tr w:rsidR="00A6057D" w:rsidRPr="00A60FD5" w14:paraId="15B31844" w14:textId="77777777" w:rsidTr="00A6057D">
        <w:tc>
          <w:tcPr>
            <w:tcW w:w="3369" w:type="dxa"/>
            <w:tcBorders>
              <w:top w:val="nil"/>
              <w:left w:val="nil"/>
              <w:bottom w:val="nil"/>
              <w:right w:val="nil"/>
            </w:tcBorders>
          </w:tcPr>
          <w:p w14:paraId="10BE693D" w14:textId="77777777" w:rsidR="00A6057D" w:rsidRPr="00A60FD5" w:rsidRDefault="00A6057D" w:rsidP="00042923">
            <w:pPr>
              <w:spacing w:line="180" w:lineRule="exact"/>
              <w:rPr>
                <w:rFonts w:ascii="Times New Roman" w:hAnsi="Times New Roman" w:cs="Times New Roman"/>
                <w:sz w:val="18"/>
                <w:szCs w:val="18"/>
              </w:rPr>
            </w:pPr>
            <w:r w:rsidRPr="00A60FD5">
              <w:rPr>
                <w:rFonts w:ascii="Times New Roman" w:hAnsi="Times New Roman" w:cs="Times New Roman"/>
                <w:sz w:val="18"/>
                <w:szCs w:val="18"/>
              </w:rPr>
              <w:t>Technical assistance and consultancy services provided by the licensor to the licensee</w:t>
            </w:r>
          </w:p>
        </w:tc>
        <w:tc>
          <w:tcPr>
            <w:tcW w:w="2126" w:type="dxa"/>
            <w:tcBorders>
              <w:top w:val="nil"/>
              <w:left w:val="nil"/>
              <w:bottom w:val="nil"/>
              <w:right w:val="nil"/>
            </w:tcBorders>
          </w:tcPr>
          <w:p w14:paraId="21C6FA3B" w14:textId="1A41601C" w:rsidR="00A6057D" w:rsidRPr="00A60FD5" w:rsidRDefault="00A6057D" w:rsidP="00A6057D">
            <w:pPr>
              <w:spacing w:line="180" w:lineRule="exact"/>
              <w:jc w:val="center"/>
              <w:rPr>
                <w:rFonts w:ascii="Times New Roman" w:hAnsi="Times New Roman" w:cs="Times New Roman"/>
                <w:sz w:val="18"/>
                <w:szCs w:val="18"/>
              </w:rPr>
            </w:pPr>
            <w:r w:rsidRPr="00A60FD5">
              <w:rPr>
                <w:rFonts w:ascii="Times New Roman" w:hAnsi="Times New Roman" w:cs="Times New Roman"/>
                <w:sz w:val="18"/>
                <w:szCs w:val="18"/>
              </w:rPr>
              <w:t>56.6%</w:t>
            </w:r>
          </w:p>
        </w:tc>
        <w:tc>
          <w:tcPr>
            <w:tcW w:w="1417" w:type="dxa"/>
            <w:tcBorders>
              <w:top w:val="nil"/>
              <w:left w:val="nil"/>
              <w:bottom w:val="nil"/>
              <w:right w:val="nil"/>
            </w:tcBorders>
          </w:tcPr>
          <w:p w14:paraId="73D80493" w14:textId="539BF9B2" w:rsidR="00A6057D" w:rsidRPr="00A60FD5" w:rsidRDefault="00A6057D" w:rsidP="00042923">
            <w:pPr>
              <w:spacing w:line="180" w:lineRule="exact"/>
              <w:jc w:val="center"/>
              <w:rPr>
                <w:rFonts w:ascii="Times New Roman" w:hAnsi="Times New Roman" w:cs="Times New Roman"/>
                <w:sz w:val="18"/>
                <w:szCs w:val="18"/>
              </w:rPr>
            </w:pPr>
            <w:r w:rsidRPr="00A60FD5">
              <w:rPr>
                <w:rFonts w:ascii="Times New Roman" w:hAnsi="Times New Roman" w:cs="Times New Roman"/>
                <w:sz w:val="18"/>
                <w:szCs w:val="18"/>
              </w:rPr>
              <w:t>-0.35</w:t>
            </w:r>
          </w:p>
        </w:tc>
        <w:tc>
          <w:tcPr>
            <w:tcW w:w="1560" w:type="dxa"/>
            <w:tcBorders>
              <w:top w:val="nil"/>
              <w:left w:val="nil"/>
              <w:bottom w:val="nil"/>
              <w:right w:val="nil"/>
            </w:tcBorders>
          </w:tcPr>
          <w:p w14:paraId="41347D2E" w14:textId="653A8135" w:rsidR="00A6057D" w:rsidRPr="00A60FD5" w:rsidRDefault="00A6057D" w:rsidP="00042923">
            <w:pPr>
              <w:spacing w:line="180" w:lineRule="exact"/>
              <w:jc w:val="center"/>
              <w:rPr>
                <w:rFonts w:ascii="Times New Roman" w:hAnsi="Times New Roman" w:cs="Times New Roman"/>
                <w:b/>
                <w:sz w:val="18"/>
                <w:szCs w:val="18"/>
              </w:rPr>
            </w:pPr>
            <w:r w:rsidRPr="00A60FD5">
              <w:rPr>
                <w:rFonts w:ascii="Times New Roman" w:hAnsi="Times New Roman" w:cs="Times New Roman"/>
                <w:b/>
                <w:sz w:val="18"/>
                <w:szCs w:val="18"/>
              </w:rPr>
              <w:t>0.69</w:t>
            </w:r>
          </w:p>
        </w:tc>
      </w:tr>
      <w:tr w:rsidR="00A6057D" w:rsidRPr="00A60FD5" w14:paraId="75D922A9" w14:textId="77777777" w:rsidTr="00A6057D">
        <w:tc>
          <w:tcPr>
            <w:tcW w:w="3369" w:type="dxa"/>
            <w:tcBorders>
              <w:top w:val="nil"/>
              <w:left w:val="nil"/>
              <w:bottom w:val="double" w:sz="4" w:space="0" w:color="auto"/>
              <w:right w:val="nil"/>
            </w:tcBorders>
          </w:tcPr>
          <w:p w14:paraId="12B6B848" w14:textId="77777777" w:rsidR="00A6057D" w:rsidRPr="00A60FD5" w:rsidRDefault="00A6057D" w:rsidP="00042923">
            <w:pPr>
              <w:spacing w:line="180" w:lineRule="exact"/>
              <w:rPr>
                <w:rFonts w:ascii="Times New Roman" w:hAnsi="Times New Roman" w:cs="Times New Roman"/>
                <w:sz w:val="18"/>
                <w:szCs w:val="18"/>
              </w:rPr>
            </w:pPr>
            <w:r w:rsidRPr="00A60FD5">
              <w:rPr>
                <w:rFonts w:ascii="Times New Roman" w:hAnsi="Times New Roman" w:cs="Times New Roman"/>
                <w:sz w:val="18"/>
                <w:szCs w:val="18"/>
              </w:rPr>
              <w:t>Eigenvalue</w:t>
            </w:r>
          </w:p>
          <w:p w14:paraId="06C851E4" w14:textId="77777777" w:rsidR="00A6057D" w:rsidRPr="00A60FD5" w:rsidRDefault="00A6057D" w:rsidP="00042923">
            <w:pPr>
              <w:spacing w:line="180" w:lineRule="exact"/>
              <w:rPr>
                <w:rFonts w:ascii="Times New Roman" w:hAnsi="Times New Roman" w:cs="Times New Roman"/>
                <w:sz w:val="18"/>
                <w:szCs w:val="18"/>
              </w:rPr>
            </w:pPr>
            <w:r w:rsidRPr="00A60FD5">
              <w:rPr>
                <w:rFonts w:ascii="Times New Roman" w:hAnsi="Times New Roman" w:cs="Times New Roman"/>
                <w:sz w:val="18"/>
                <w:szCs w:val="18"/>
              </w:rPr>
              <w:t>Proportion of variance explained</w:t>
            </w:r>
          </w:p>
        </w:tc>
        <w:tc>
          <w:tcPr>
            <w:tcW w:w="2126" w:type="dxa"/>
            <w:tcBorders>
              <w:top w:val="nil"/>
              <w:left w:val="nil"/>
              <w:bottom w:val="double" w:sz="4" w:space="0" w:color="auto"/>
              <w:right w:val="nil"/>
            </w:tcBorders>
          </w:tcPr>
          <w:p w14:paraId="1A503A05" w14:textId="77777777" w:rsidR="00A6057D" w:rsidRPr="00A60FD5" w:rsidRDefault="00A6057D" w:rsidP="00042923">
            <w:pPr>
              <w:spacing w:line="180" w:lineRule="exact"/>
              <w:jc w:val="center"/>
              <w:rPr>
                <w:rFonts w:ascii="Times New Roman" w:hAnsi="Times New Roman" w:cs="Times New Roman"/>
                <w:sz w:val="18"/>
                <w:szCs w:val="18"/>
              </w:rPr>
            </w:pPr>
          </w:p>
        </w:tc>
        <w:tc>
          <w:tcPr>
            <w:tcW w:w="1417" w:type="dxa"/>
            <w:tcBorders>
              <w:top w:val="nil"/>
              <w:left w:val="nil"/>
              <w:bottom w:val="double" w:sz="4" w:space="0" w:color="auto"/>
              <w:right w:val="nil"/>
            </w:tcBorders>
          </w:tcPr>
          <w:p w14:paraId="4DFA3FFD" w14:textId="697A77BB" w:rsidR="00A6057D" w:rsidRPr="00A60FD5" w:rsidRDefault="00A6057D" w:rsidP="00042923">
            <w:pPr>
              <w:spacing w:line="180" w:lineRule="exact"/>
              <w:jc w:val="center"/>
              <w:rPr>
                <w:rFonts w:ascii="Times New Roman" w:hAnsi="Times New Roman" w:cs="Times New Roman"/>
                <w:sz w:val="18"/>
                <w:szCs w:val="18"/>
              </w:rPr>
            </w:pPr>
            <w:r w:rsidRPr="00A60FD5">
              <w:rPr>
                <w:rFonts w:ascii="Times New Roman" w:hAnsi="Times New Roman" w:cs="Times New Roman"/>
                <w:sz w:val="18"/>
                <w:szCs w:val="18"/>
              </w:rPr>
              <w:t>1.58</w:t>
            </w:r>
          </w:p>
          <w:p w14:paraId="1475B48A" w14:textId="6A03A23A" w:rsidR="00A6057D" w:rsidRPr="00A60FD5" w:rsidRDefault="00A6057D" w:rsidP="00042923">
            <w:pPr>
              <w:spacing w:line="180" w:lineRule="exact"/>
              <w:jc w:val="center"/>
              <w:rPr>
                <w:rFonts w:ascii="Times New Roman" w:hAnsi="Times New Roman" w:cs="Times New Roman"/>
                <w:sz w:val="18"/>
                <w:szCs w:val="18"/>
              </w:rPr>
            </w:pPr>
            <w:r w:rsidRPr="00A60FD5">
              <w:rPr>
                <w:rFonts w:ascii="Times New Roman" w:hAnsi="Times New Roman" w:cs="Times New Roman"/>
                <w:sz w:val="18"/>
                <w:szCs w:val="18"/>
              </w:rPr>
              <w:t>0.20</w:t>
            </w:r>
          </w:p>
        </w:tc>
        <w:tc>
          <w:tcPr>
            <w:tcW w:w="1560" w:type="dxa"/>
            <w:tcBorders>
              <w:top w:val="nil"/>
              <w:left w:val="nil"/>
              <w:bottom w:val="double" w:sz="4" w:space="0" w:color="auto"/>
              <w:right w:val="nil"/>
            </w:tcBorders>
          </w:tcPr>
          <w:p w14:paraId="029BCDA1" w14:textId="77777777" w:rsidR="00A6057D" w:rsidRPr="00A60FD5" w:rsidRDefault="00A6057D" w:rsidP="00042923">
            <w:pPr>
              <w:spacing w:line="180" w:lineRule="exact"/>
              <w:jc w:val="center"/>
              <w:rPr>
                <w:rFonts w:ascii="Times New Roman" w:hAnsi="Times New Roman" w:cs="Times New Roman"/>
                <w:sz w:val="18"/>
                <w:szCs w:val="18"/>
              </w:rPr>
            </w:pPr>
            <w:r w:rsidRPr="00A60FD5">
              <w:rPr>
                <w:rFonts w:ascii="Times New Roman" w:hAnsi="Times New Roman" w:cs="Times New Roman"/>
                <w:sz w:val="18"/>
                <w:szCs w:val="18"/>
              </w:rPr>
              <w:t>3.81</w:t>
            </w:r>
          </w:p>
          <w:p w14:paraId="2E2C5582" w14:textId="77777777" w:rsidR="00A6057D" w:rsidRPr="00A60FD5" w:rsidRDefault="00A6057D" w:rsidP="00042923">
            <w:pPr>
              <w:spacing w:line="180" w:lineRule="exact"/>
              <w:jc w:val="center"/>
              <w:rPr>
                <w:rFonts w:ascii="Times New Roman" w:hAnsi="Times New Roman" w:cs="Times New Roman"/>
                <w:sz w:val="18"/>
                <w:szCs w:val="18"/>
              </w:rPr>
            </w:pPr>
            <w:r w:rsidRPr="00A60FD5">
              <w:rPr>
                <w:rFonts w:ascii="Times New Roman" w:hAnsi="Times New Roman" w:cs="Times New Roman"/>
                <w:sz w:val="18"/>
                <w:szCs w:val="18"/>
              </w:rPr>
              <w:t>0.48</w:t>
            </w:r>
          </w:p>
        </w:tc>
      </w:tr>
    </w:tbl>
    <w:p w14:paraId="4676B82B" w14:textId="02D8B224" w:rsidR="00417594" w:rsidRPr="00A60FD5" w:rsidRDefault="00417594" w:rsidP="00A6057D">
      <w:pPr>
        <w:spacing w:line="180" w:lineRule="exact"/>
        <w:rPr>
          <w:rFonts w:ascii="Times New Roman" w:hAnsi="Times New Roman" w:cs="Times New Roman"/>
          <w:sz w:val="18"/>
          <w:szCs w:val="18"/>
          <w:vertAlign w:val="superscript"/>
        </w:rPr>
      </w:pPr>
      <w:r w:rsidRPr="00A60FD5">
        <w:rPr>
          <w:rFonts w:ascii="Times New Roman" w:hAnsi="Times New Roman" w:cs="Times New Roman"/>
          <w:sz w:val="18"/>
          <w:szCs w:val="18"/>
        </w:rPr>
        <w:t xml:space="preserve">                  </w:t>
      </w:r>
      <w:r w:rsidRPr="00A60FD5">
        <w:rPr>
          <w:rFonts w:ascii="Times New Roman" w:hAnsi="Times New Roman" w:cs="Times New Roman"/>
          <w:sz w:val="18"/>
          <w:szCs w:val="18"/>
          <w:vertAlign w:val="superscript"/>
        </w:rPr>
        <w:t xml:space="preserve"> a  </w:t>
      </w:r>
      <w:r w:rsidRPr="00A60FD5">
        <w:rPr>
          <w:rFonts w:ascii="Times New Roman" w:hAnsi="Times New Roman" w:cs="Times New Roman"/>
          <w:sz w:val="18"/>
          <w:szCs w:val="18"/>
        </w:rPr>
        <w:t>N = 1</w:t>
      </w:r>
      <w:r w:rsidR="00E2118B" w:rsidRPr="00A60FD5">
        <w:rPr>
          <w:rFonts w:ascii="Times New Roman" w:hAnsi="Times New Roman" w:cs="Times New Roman"/>
          <w:sz w:val="18"/>
          <w:szCs w:val="18"/>
        </w:rPr>
        <w:t>06</w:t>
      </w:r>
      <w:r w:rsidRPr="00A60FD5">
        <w:rPr>
          <w:rFonts w:ascii="Times New Roman" w:hAnsi="Times New Roman" w:cs="Times New Roman"/>
          <w:sz w:val="18"/>
          <w:szCs w:val="18"/>
        </w:rPr>
        <w:t xml:space="preserve">. </w:t>
      </w:r>
      <w:r w:rsidRPr="00A60FD5">
        <w:rPr>
          <w:rFonts w:ascii="Times New Roman" w:hAnsi="Times New Roman" w:cs="Times New Roman"/>
          <w:sz w:val="18"/>
          <w:szCs w:val="18"/>
        </w:rPr>
        <w:br/>
      </w:r>
      <w:r w:rsidR="00A6057D" w:rsidRPr="00A60FD5">
        <w:rPr>
          <w:rFonts w:ascii="Times New Roman" w:hAnsi="Times New Roman" w:cs="Times New Roman"/>
          <w:sz w:val="18"/>
          <w:szCs w:val="18"/>
        </w:rPr>
        <w:t xml:space="preserve">                     </w:t>
      </w:r>
      <w:r w:rsidRPr="00A60FD5">
        <w:rPr>
          <w:rFonts w:ascii="Times New Roman" w:hAnsi="Times New Roman" w:cs="Times New Roman"/>
          <w:sz w:val="18"/>
          <w:szCs w:val="18"/>
        </w:rPr>
        <w:t>Bold print indicates the largest factor loadings for each contract dimension.</w:t>
      </w:r>
    </w:p>
    <w:p w14:paraId="6961EE35" w14:textId="77777777" w:rsidR="00304694" w:rsidRPr="00A60FD5" w:rsidRDefault="00417594" w:rsidP="00FB7187">
      <w:pPr>
        <w:spacing w:after="0" w:line="240" w:lineRule="auto"/>
        <w:rPr>
          <w:rFonts w:ascii="Times New Roman" w:hAnsi="Times New Roman" w:cs="Times New Roman"/>
          <w:sz w:val="18"/>
          <w:vertAlign w:val="superscript"/>
        </w:rPr>
      </w:pPr>
      <w:r w:rsidRPr="00A60FD5">
        <w:rPr>
          <w:rFonts w:ascii="Times New Roman" w:hAnsi="Times New Roman" w:cs="Times New Roman"/>
          <w:sz w:val="18"/>
          <w:vertAlign w:val="superscript"/>
        </w:rPr>
        <w:t xml:space="preserve">                                                                                                                                                                               </w:t>
      </w:r>
    </w:p>
    <w:p w14:paraId="2992AB41" w14:textId="77777777" w:rsidR="00304694" w:rsidRPr="00A60FD5" w:rsidRDefault="00304694" w:rsidP="00FB7187">
      <w:pPr>
        <w:spacing w:after="0" w:line="240" w:lineRule="auto"/>
        <w:rPr>
          <w:rFonts w:ascii="Times New Roman" w:hAnsi="Times New Roman" w:cs="Times New Roman"/>
          <w:sz w:val="18"/>
          <w:vertAlign w:val="superscript"/>
        </w:rPr>
      </w:pPr>
    </w:p>
    <w:p w14:paraId="7AC0B7F3" w14:textId="77777777" w:rsidR="00304694" w:rsidRPr="00A60FD5" w:rsidRDefault="00304694" w:rsidP="00FB7187">
      <w:pPr>
        <w:spacing w:after="0" w:line="240" w:lineRule="auto"/>
        <w:rPr>
          <w:rFonts w:ascii="Times New Roman" w:hAnsi="Times New Roman" w:cs="Times New Roman"/>
          <w:sz w:val="18"/>
          <w:vertAlign w:val="superscript"/>
        </w:rPr>
      </w:pPr>
    </w:p>
    <w:p w14:paraId="4E5DCF3A" w14:textId="77777777" w:rsidR="00304694" w:rsidRPr="00A60FD5" w:rsidRDefault="00304694" w:rsidP="00FB7187">
      <w:pPr>
        <w:spacing w:after="0" w:line="240" w:lineRule="auto"/>
        <w:rPr>
          <w:rFonts w:ascii="Times New Roman" w:hAnsi="Times New Roman" w:cs="Times New Roman"/>
          <w:sz w:val="18"/>
          <w:vertAlign w:val="superscript"/>
        </w:rPr>
      </w:pPr>
    </w:p>
    <w:p w14:paraId="7FE3B7E9" w14:textId="77777777" w:rsidR="00304694" w:rsidRPr="00A60FD5" w:rsidRDefault="00304694" w:rsidP="00FB7187">
      <w:pPr>
        <w:spacing w:after="0" w:line="240" w:lineRule="auto"/>
        <w:rPr>
          <w:rFonts w:ascii="Times New Roman" w:hAnsi="Times New Roman" w:cs="Times New Roman"/>
          <w:sz w:val="18"/>
          <w:vertAlign w:val="superscript"/>
        </w:rPr>
      </w:pPr>
    </w:p>
    <w:p w14:paraId="5E136FA9" w14:textId="77777777" w:rsidR="00304694" w:rsidRPr="00A60FD5" w:rsidRDefault="00304694" w:rsidP="00FB7187">
      <w:pPr>
        <w:spacing w:after="0" w:line="240" w:lineRule="auto"/>
        <w:rPr>
          <w:rFonts w:ascii="Times New Roman" w:hAnsi="Times New Roman" w:cs="Times New Roman"/>
          <w:sz w:val="18"/>
          <w:vertAlign w:val="superscript"/>
        </w:rPr>
      </w:pPr>
    </w:p>
    <w:p w14:paraId="2AAF96B7" w14:textId="77777777" w:rsidR="00304694" w:rsidRPr="00A60FD5" w:rsidRDefault="00304694" w:rsidP="00FB7187">
      <w:pPr>
        <w:spacing w:after="0" w:line="240" w:lineRule="auto"/>
        <w:rPr>
          <w:rFonts w:ascii="Times New Roman" w:hAnsi="Times New Roman" w:cs="Times New Roman"/>
          <w:sz w:val="18"/>
          <w:vertAlign w:val="superscript"/>
        </w:rPr>
      </w:pPr>
    </w:p>
    <w:p w14:paraId="2D35A8AC" w14:textId="77777777" w:rsidR="00304694" w:rsidRPr="00A60FD5" w:rsidRDefault="00304694" w:rsidP="00FB7187">
      <w:pPr>
        <w:spacing w:after="0" w:line="240" w:lineRule="auto"/>
        <w:rPr>
          <w:rFonts w:ascii="Times New Roman" w:hAnsi="Times New Roman" w:cs="Times New Roman"/>
          <w:sz w:val="18"/>
          <w:vertAlign w:val="superscript"/>
        </w:rPr>
      </w:pPr>
    </w:p>
    <w:p w14:paraId="7E949F2E" w14:textId="77777777" w:rsidR="00304694" w:rsidRPr="00A60FD5" w:rsidRDefault="00304694" w:rsidP="00FB7187">
      <w:pPr>
        <w:spacing w:after="0" w:line="240" w:lineRule="auto"/>
        <w:rPr>
          <w:rFonts w:ascii="Times New Roman" w:hAnsi="Times New Roman" w:cs="Times New Roman"/>
          <w:sz w:val="18"/>
          <w:vertAlign w:val="superscript"/>
        </w:rPr>
      </w:pPr>
    </w:p>
    <w:p w14:paraId="26AB999B" w14:textId="77777777" w:rsidR="00304694" w:rsidRPr="00A60FD5" w:rsidRDefault="00304694" w:rsidP="00FB7187">
      <w:pPr>
        <w:spacing w:after="0" w:line="240" w:lineRule="auto"/>
        <w:rPr>
          <w:rFonts w:ascii="Times New Roman" w:hAnsi="Times New Roman" w:cs="Times New Roman"/>
          <w:sz w:val="18"/>
          <w:vertAlign w:val="superscript"/>
        </w:rPr>
      </w:pPr>
    </w:p>
    <w:p w14:paraId="20308662" w14:textId="77777777" w:rsidR="00304694" w:rsidRPr="00A60FD5" w:rsidRDefault="00304694" w:rsidP="00FB7187">
      <w:pPr>
        <w:spacing w:after="0" w:line="240" w:lineRule="auto"/>
        <w:rPr>
          <w:rFonts w:ascii="Times New Roman" w:hAnsi="Times New Roman" w:cs="Times New Roman"/>
          <w:sz w:val="18"/>
          <w:vertAlign w:val="superscript"/>
        </w:rPr>
      </w:pPr>
    </w:p>
    <w:p w14:paraId="00A0247D" w14:textId="77777777" w:rsidR="00304694" w:rsidRPr="00A60FD5" w:rsidRDefault="00304694" w:rsidP="00FB7187">
      <w:pPr>
        <w:spacing w:after="0" w:line="240" w:lineRule="auto"/>
        <w:rPr>
          <w:rFonts w:ascii="Times New Roman" w:hAnsi="Times New Roman" w:cs="Times New Roman"/>
          <w:sz w:val="18"/>
          <w:vertAlign w:val="superscript"/>
        </w:rPr>
      </w:pPr>
    </w:p>
    <w:p w14:paraId="1AA47C72" w14:textId="77777777" w:rsidR="00304694" w:rsidRPr="00A60FD5" w:rsidRDefault="00304694" w:rsidP="00FB7187">
      <w:pPr>
        <w:spacing w:after="0" w:line="240" w:lineRule="auto"/>
        <w:rPr>
          <w:rFonts w:ascii="Times New Roman" w:hAnsi="Times New Roman" w:cs="Times New Roman"/>
          <w:sz w:val="18"/>
          <w:vertAlign w:val="superscript"/>
        </w:rPr>
      </w:pPr>
    </w:p>
    <w:p w14:paraId="3346DB43" w14:textId="77777777" w:rsidR="00304694" w:rsidRPr="00A60FD5" w:rsidRDefault="00304694" w:rsidP="00FB7187">
      <w:pPr>
        <w:spacing w:after="0" w:line="240" w:lineRule="auto"/>
        <w:rPr>
          <w:rFonts w:ascii="Times New Roman" w:hAnsi="Times New Roman" w:cs="Times New Roman"/>
          <w:sz w:val="18"/>
          <w:vertAlign w:val="superscript"/>
        </w:rPr>
      </w:pPr>
    </w:p>
    <w:p w14:paraId="40F86668" w14:textId="387DDBC1" w:rsidR="00304694" w:rsidRPr="00A60FD5" w:rsidRDefault="00304694" w:rsidP="00304694">
      <w:pPr>
        <w:spacing w:after="0" w:line="240" w:lineRule="auto"/>
        <w:jc w:val="center"/>
        <w:rPr>
          <w:rFonts w:ascii="Times New Roman" w:hAnsi="Times New Roman"/>
          <w:b/>
          <w:sz w:val="24"/>
          <w:szCs w:val="24"/>
        </w:rPr>
        <w:sectPr w:rsidR="00304694" w:rsidRPr="00A60FD5" w:rsidSect="00304694">
          <w:footerReference w:type="default" r:id="rId8"/>
          <w:pgSz w:w="11906" w:h="16838"/>
          <w:pgMar w:top="1418" w:right="1418" w:bottom="1418" w:left="1418" w:header="709" w:footer="709" w:gutter="0"/>
          <w:cols w:space="708"/>
          <w:docGrid w:linePitch="360"/>
        </w:sectPr>
      </w:pPr>
    </w:p>
    <w:p w14:paraId="0047E11E" w14:textId="0C95BDA7" w:rsidR="00417594" w:rsidRPr="00A60FD5" w:rsidRDefault="00417594" w:rsidP="00BB7A97">
      <w:pPr>
        <w:spacing w:after="0" w:line="240" w:lineRule="auto"/>
        <w:jc w:val="center"/>
        <w:rPr>
          <w:rFonts w:ascii="Times New Roman" w:hAnsi="Times New Roman"/>
          <w:b/>
          <w:sz w:val="24"/>
          <w:szCs w:val="24"/>
          <w:vertAlign w:val="superscript"/>
        </w:rPr>
      </w:pPr>
      <w:r w:rsidRPr="00A60FD5">
        <w:rPr>
          <w:rFonts w:ascii="Times New Roman" w:hAnsi="Times New Roman"/>
          <w:b/>
          <w:sz w:val="24"/>
          <w:szCs w:val="24"/>
        </w:rPr>
        <w:lastRenderedPageBreak/>
        <w:t>TABLE 2: Descriptive statistics</w:t>
      </w:r>
      <w:r w:rsidRPr="00A60FD5">
        <w:rPr>
          <w:rFonts w:ascii="Times New Roman" w:hAnsi="Times New Roman"/>
          <w:b/>
          <w:sz w:val="24"/>
          <w:szCs w:val="24"/>
          <w:vertAlign w:val="superscript"/>
        </w:rPr>
        <w:t>a</w:t>
      </w:r>
    </w:p>
    <w:p w14:paraId="5EFFA011" w14:textId="77777777" w:rsidR="002257F0" w:rsidRPr="00A60FD5" w:rsidRDefault="002257F0" w:rsidP="00BB7A97">
      <w:pPr>
        <w:spacing w:after="0" w:line="240" w:lineRule="auto"/>
        <w:jc w:val="center"/>
        <w:rPr>
          <w:rFonts w:ascii="Times New Roman" w:hAnsi="Times New Roman"/>
          <w:b/>
          <w:sz w:val="24"/>
          <w:szCs w:val="24"/>
        </w:rPr>
      </w:pPr>
    </w:p>
    <w:tbl>
      <w:tblPr>
        <w:tblpPr w:leftFromText="180" w:rightFromText="180" w:horzAnchor="margin" w:tblpXSpec="center" w:tblpY="300"/>
        <w:tblW w:w="5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7"/>
        <w:gridCol w:w="709"/>
        <w:gridCol w:w="708"/>
        <w:gridCol w:w="708"/>
        <w:gridCol w:w="708"/>
      </w:tblGrid>
      <w:tr w:rsidR="00F74EF5" w:rsidRPr="00A60FD5" w14:paraId="62D8A5E5" w14:textId="694B373F" w:rsidTr="00802D47">
        <w:tc>
          <w:tcPr>
            <w:tcW w:w="2377" w:type="dxa"/>
            <w:tcBorders>
              <w:top w:val="double" w:sz="4" w:space="0" w:color="auto"/>
              <w:left w:val="nil"/>
              <w:bottom w:val="single" w:sz="4" w:space="0" w:color="auto"/>
              <w:right w:val="nil"/>
            </w:tcBorders>
          </w:tcPr>
          <w:p w14:paraId="6093F538" w14:textId="77777777" w:rsidR="00F74EF5" w:rsidRPr="00A60FD5" w:rsidRDefault="00F74EF5" w:rsidP="00802D47">
            <w:pPr>
              <w:spacing w:before="80" w:after="0" w:line="240" w:lineRule="auto"/>
              <w:rPr>
                <w:rFonts w:ascii="Times New Roman" w:hAnsi="Times New Roman" w:cs="Times New Roman"/>
                <w:sz w:val="18"/>
                <w:szCs w:val="18"/>
              </w:rPr>
            </w:pPr>
          </w:p>
        </w:tc>
        <w:tc>
          <w:tcPr>
            <w:tcW w:w="709" w:type="dxa"/>
            <w:tcBorders>
              <w:top w:val="double" w:sz="4" w:space="0" w:color="auto"/>
              <w:left w:val="nil"/>
              <w:bottom w:val="single" w:sz="4" w:space="0" w:color="auto"/>
              <w:right w:val="nil"/>
            </w:tcBorders>
          </w:tcPr>
          <w:p w14:paraId="0CC37D70" w14:textId="3FA1DD98" w:rsidR="00F74EF5" w:rsidRPr="00A60FD5" w:rsidRDefault="00F74EF5" w:rsidP="00802D47">
            <w:pPr>
              <w:spacing w:before="80" w:after="0" w:line="240" w:lineRule="auto"/>
              <w:rPr>
                <w:rFonts w:ascii="Times New Roman" w:hAnsi="Times New Roman" w:cs="Times New Roman"/>
                <w:sz w:val="18"/>
                <w:szCs w:val="18"/>
              </w:rPr>
            </w:pPr>
            <w:r w:rsidRPr="00A60FD5">
              <w:rPr>
                <w:rFonts w:ascii="Times New Roman" w:hAnsi="Times New Roman" w:cs="Times New Roman"/>
                <w:sz w:val="18"/>
                <w:szCs w:val="18"/>
              </w:rPr>
              <w:t>Mean</w:t>
            </w:r>
          </w:p>
        </w:tc>
        <w:tc>
          <w:tcPr>
            <w:tcW w:w="708" w:type="dxa"/>
            <w:tcBorders>
              <w:top w:val="double" w:sz="4" w:space="0" w:color="auto"/>
              <w:left w:val="nil"/>
              <w:bottom w:val="single" w:sz="4" w:space="0" w:color="auto"/>
              <w:right w:val="nil"/>
            </w:tcBorders>
          </w:tcPr>
          <w:p w14:paraId="42AFDB1F" w14:textId="3FBEDFDE" w:rsidR="00F74EF5" w:rsidRPr="00A60FD5" w:rsidRDefault="00F74EF5" w:rsidP="00802D47">
            <w:pPr>
              <w:spacing w:before="80" w:after="0" w:line="240" w:lineRule="auto"/>
              <w:rPr>
                <w:rFonts w:ascii="Times New Roman" w:hAnsi="Times New Roman" w:cs="Times New Roman"/>
                <w:sz w:val="18"/>
                <w:szCs w:val="18"/>
              </w:rPr>
            </w:pPr>
            <w:r w:rsidRPr="00A60FD5">
              <w:rPr>
                <w:rFonts w:ascii="Times New Roman" w:hAnsi="Times New Roman" w:cs="Times New Roman"/>
                <w:sz w:val="18"/>
                <w:szCs w:val="18"/>
              </w:rPr>
              <w:t>STD</w:t>
            </w:r>
          </w:p>
        </w:tc>
        <w:tc>
          <w:tcPr>
            <w:tcW w:w="708" w:type="dxa"/>
            <w:tcBorders>
              <w:top w:val="double" w:sz="4" w:space="0" w:color="auto"/>
              <w:left w:val="nil"/>
              <w:bottom w:val="single" w:sz="4" w:space="0" w:color="auto"/>
              <w:right w:val="nil"/>
            </w:tcBorders>
          </w:tcPr>
          <w:p w14:paraId="05936CC4" w14:textId="5AA0D7CA" w:rsidR="00F74EF5" w:rsidRPr="00A60FD5" w:rsidRDefault="00F74EF5" w:rsidP="00802D47">
            <w:pPr>
              <w:spacing w:before="80" w:after="0" w:line="240" w:lineRule="auto"/>
              <w:rPr>
                <w:rFonts w:ascii="Times New Roman" w:hAnsi="Times New Roman" w:cs="Times New Roman"/>
                <w:sz w:val="18"/>
                <w:szCs w:val="18"/>
              </w:rPr>
            </w:pPr>
            <w:r w:rsidRPr="00A60FD5">
              <w:rPr>
                <w:rFonts w:ascii="Times New Roman" w:hAnsi="Times New Roman" w:cs="Times New Roman"/>
                <w:sz w:val="18"/>
                <w:szCs w:val="18"/>
              </w:rPr>
              <w:t>Min</w:t>
            </w:r>
          </w:p>
        </w:tc>
        <w:tc>
          <w:tcPr>
            <w:tcW w:w="708" w:type="dxa"/>
            <w:tcBorders>
              <w:top w:val="double" w:sz="4" w:space="0" w:color="auto"/>
              <w:left w:val="nil"/>
              <w:bottom w:val="single" w:sz="4" w:space="0" w:color="auto"/>
              <w:right w:val="nil"/>
            </w:tcBorders>
          </w:tcPr>
          <w:p w14:paraId="03C05EDE" w14:textId="67834B4E" w:rsidR="00F74EF5" w:rsidRPr="00A60FD5" w:rsidRDefault="00F74EF5" w:rsidP="00802D47">
            <w:pPr>
              <w:spacing w:before="80" w:after="0" w:line="240" w:lineRule="auto"/>
              <w:rPr>
                <w:rFonts w:ascii="Times New Roman" w:hAnsi="Times New Roman" w:cs="Times New Roman"/>
                <w:sz w:val="18"/>
                <w:szCs w:val="18"/>
              </w:rPr>
            </w:pPr>
            <w:r w:rsidRPr="00A60FD5">
              <w:rPr>
                <w:rFonts w:ascii="Times New Roman" w:hAnsi="Times New Roman" w:cs="Times New Roman"/>
                <w:sz w:val="18"/>
                <w:szCs w:val="18"/>
              </w:rPr>
              <w:t>Max</w:t>
            </w:r>
          </w:p>
        </w:tc>
      </w:tr>
      <w:tr w:rsidR="00F74EF5" w:rsidRPr="00A60FD5" w14:paraId="63E25A57" w14:textId="06041EF4" w:rsidTr="00802D47">
        <w:tc>
          <w:tcPr>
            <w:tcW w:w="2377" w:type="dxa"/>
            <w:tcBorders>
              <w:top w:val="single" w:sz="4" w:space="0" w:color="auto"/>
              <w:left w:val="nil"/>
              <w:bottom w:val="nil"/>
              <w:right w:val="nil"/>
            </w:tcBorders>
          </w:tcPr>
          <w:p w14:paraId="2C612639" w14:textId="77777777" w:rsidR="00F74EF5" w:rsidRPr="00A60FD5" w:rsidRDefault="00F74EF5" w:rsidP="00802D47">
            <w:pPr>
              <w:spacing w:before="80" w:after="0" w:line="200" w:lineRule="exact"/>
              <w:rPr>
                <w:rFonts w:ascii="Times New Roman" w:hAnsi="Times New Roman" w:cs="Times New Roman"/>
                <w:sz w:val="20"/>
                <w:szCs w:val="20"/>
              </w:rPr>
            </w:pPr>
            <w:r w:rsidRPr="00A60FD5">
              <w:rPr>
                <w:rFonts w:ascii="Times New Roman" w:hAnsi="Times New Roman" w:cs="Times New Roman"/>
                <w:sz w:val="20"/>
                <w:szCs w:val="20"/>
              </w:rPr>
              <w:t>1. Arbitration</w:t>
            </w:r>
          </w:p>
        </w:tc>
        <w:tc>
          <w:tcPr>
            <w:tcW w:w="709" w:type="dxa"/>
            <w:tcBorders>
              <w:top w:val="single" w:sz="4" w:space="0" w:color="auto"/>
              <w:left w:val="nil"/>
              <w:bottom w:val="nil"/>
              <w:right w:val="nil"/>
            </w:tcBorders>
          </w:tcPr>
          <w:p w14:paraId="219A0F81" w14:textId="7C80A652" w:rsidR="00F74EF5" w:rsidRPr="00A60FD5" w:rsidRDefault="00F74EF5" w:rsidP="00802D47">
            <w:pPr>
              <w:spacing w:before="80" w:after="0" w:line="200" w:lineRule="exact"/>
              <w:rPr>
                <w:rFonts w:ascii="Times New Roman" w:hAnsi="Times New Roman" w:cs="Times New Roman"/>
                <w:sz w:val="18"/>
                <w:szCs w:val="18"/>
              </w:rPr>
            </w:pPr>
            <w:r w:rsidRPr="00A60FD5">
              <w:rPr>
                <w:rFonts w:ascii="Times New Roman" w:hAnsi="Times New Roman" w:cs="Times New Roman"/>
                <w:sz w:val="18"/>
                <w:szCs w:val="18"/>
              </w:rPr>
              <w:t>0.27</w:t>
            </w:r>
          </w:p>
        </w:tc>
        <w:tc>
          <w:tcPr>
            <w:tcW w:w="708" w:type="dxa"/>
            <w:tcBorders>
              <w:top w:val="single" w:sz="4" w:space="0" w:color="auto"/>
              <w:left w:val="nil"/>
              <w:bottom w:val="nil"/>
              <w:right w:val="nil"/>
            </w:tcBorders>
          </w:tcPr>
          <w:p w14:paraId="2E518A53" w14:textId="5C416E13" w:rsidR="00F74EF5" w:rsidRPr="00A60FD5" w:rsidRDefault="00F74EF5" w:rsidP="00802D47">
            <w:pPr>
              <w:spacing w:before="80" w:after="0" w:line="200" w:lineRule="exact"/>
              <w:rPr>
                <w:rFonts w:ascii="Times New Roman" w:hAnsi="Times New Roman" w:cs="Times New Roman"/>
                <w:sz w:val="18"/>
                <w:szCs w:val="18"/>
              </w:rPr>
            </w:pPr>
            <w:r w:rsidRPr="00A60FD5">
              <w:rPr>
                <w:rFonts w:ascii="Times New Roman" w:hAnsi="Times New Roman" w:cs="Times New Roman"/>
                <w:sz w:val="18"/>
                <w:szCs w:val="18"/>
              </w:rPr>
              <w:t>0.15</w:t>
            </w:r>
          </w:p>
        </w:tc>
        <w:tc>
          <w:tcPr>
            <w:tcW w:w="708" w:type="dxa"/>
            <w:tcBorders>
              <w:top w:val="single" w:sz="4" w:space="0" w:color="auto"/>
              <w:left w:val="nil"/>
              <w:bottom w:val="nil"/>
              <w:right w:val="nil"/>
            </w:tcBorders>
          </w:tcPr>
          <w:p w14:paraId="672421DF" w14:textId="60F5976E" w:rsidR="00F74EF5" w:rsidRPr="00A60FD5" w:rsidRDefault="006F129E" w:rsidP="00802D47">
            <w:pPr>
              <w:spacing w:before="80" w:after="0" w:line="200" w:lineRule="exact"/>
              <w:rPr>
                <w:rFonts w:ascii="Times New Roman" w:hAnsi="Times New Roman" w:cs="Times New Roman"/>
                <w:sz w:val="18"/>
                <w:szCs w:val="18"/>
              </w:rPr>
            </w:pPr>
            <w:r w:rsidRPr="00A60FD5">
              <w:rPr>
                <w:rFonts w:ascii="Times New Roman" w:hAnsi="Times New Roman" w:cs="Times New Roman"/>
                <w:sz w:val="18"/>
                <w:szCs w:val="18"/>
              </w:rPr>
              <w:t>0</w:t>
            </w:r>
          </w:p>
        </w:tc>
        <w:tc>
          <w:tcPr>
            <w:tcW w:w="708" w:type="dxa"/>
            <w:tcBorders>
              <w:top w:val="single" w:sz="4" w:space="0" w:color="auto"/>
              <w:left w:val="nil"/>
              <w:bottom w:val="nil"/>
              <w:right w:val="nil"/>
            </w:tcBorders>
          </w:tcPr>
          <w:p w14:paraId="703460CB" w14:textId="48BF3ED0" w:rsidR="00F74EF5" w:rsidRPr="00A60FD5" w:rsidRDefault="006F129E" w:rsidP="00802D47">
            <w:pPr>
              <w:spacing w:before="80" w:after="0" w:line="200" w:lineRule="exact"/>
              <w:rPr>
                <w:rFonts w:ascii="Times New Roman" w:hAnsi="Times New Roman" w:cs="Times New Roman"/>
                <w:sz w:val="18"/>
                <w:szCs w:val="18"/>
              </w:rPr>
            </w:pPr>
            <w:r w:rsidRPr="00A60FD5">
              <w:rPr>
                <w:rFonts w:ascii="Times New Roman" w:hAnsi="Times New Roman" w:cs="Times New Roman"/>
                <w:sz w:val="18"/>
                <w:szCs w:val="18"/>
              </w:rPr>
              <w:t>1</w:t>
            </w:r>
          </w:p>
        </w:tc>
      </w:tr>
      <w:tr w:rsidR="00F74EF5" w:rsidRPr="00A60FD5" w14:paraId="27885C80" w14:textId="24724475" w:rsidTr="00802D47">
        <w:tc>
          <w:tcPr>
            <w:tcW w:w="2377" w:type="dxa"/>
            <w:tcBorders>
              <w:top w:val="nil"/>
              <w:left w:val="nil"/>
              <w:bottom w:val="nil"/>
              <w:right w:val="nil"/>
            </w:tcBorders>
          </w:tcPr>
          <w:p w14:paraId="7DB0A600" w14:textId="77777777" w:rsidR="00F74EF5" w:rsidRPr="00A60FD5" w:rsidRDefault="00F74EF5" w:rsidP="00802D47">
            <w:pPr>
              <w:spacing w:before="80" w:after="0" w:line="200" w:lineRule="exact"/>
              <w:rPr>
                <w:rFonts w:ascii="Times New Roman" w:hAnsi="Times New Roman" w:cs="Times New Roman"/>
                <w:sz w:val="20"/>
                <w:szCs w:val="20"/>
              </w:rPr>
            </w:pPr>
            <w:r w:rsidRPr="00A60FD5">
              <w:rPr>
                <w:rFonts w:ascii="Times New Roman" w:hAnsi="Times New Roman" w:cs="Times New Roman"/>
                <w:sz w:val="20"/>
                <w:szCs w:val="20"/>
              </w:rPr>
              <w:t xml:space="preserve">2. Monitoring </w:t>
            </w:r>
          </w:p>
        </w:tc>
        <w:tc>
          <w:tcPr>
            <w:tcW w:w="709" w:type="dxa"/>
            <w:tcBorders>
              <w:top w:val="nil"/>
              <w:left w:val="nil"/>
              <w:bottom w:val="nil"/>
              <w:right w:val="nil"/>
            </w:tcBorders>
          </w:tcPr>
          <w:p w14:paraId="3BC95951" w14:textId="6E79A3AD" w:rsidR="00F74EF5" w:rsidRPr="00A60FD5" w:rsidRDefault="00F74EF5" w:rsidP="00802D47">
            <w:pPr>
              <w:spacing w:before="80" w:after="0" w:line="200" w:lineRule="exact"/>
              <w:rPr>
                <w:rFonts w:ascii="Times New Roman" w:hAnsi="Times New Roman" w:cs="Times New Roman"/>
                <w:sz w:val="18"/>
                <w:szCs w:val="18"/>
              </w:rPr>
            </w:pPr>
            <w:r w:rsidRPr="00A60FD5">
              <w:rPr>
                <w:rFonts w:ascii="Times New Roman" w:hAnsi="Times New Roman" w:cs="Times New Roman"/>
                <w:sz w:val="18"/>
                <w:szCs w:val="18"/>
              </w:rPr>
              <w:t>0.38</w:t>
            </w:r>
          </w:p>
        </w:tc>
        <w:tc>
          <w:tcPr>
            <w:tcW w:w="708" w:type="dxa"/>
            <w:tcBorders>
              <w:top w:val="nil"/>
              <w:left w:val="nil"/>
              <w:bottom w:val="nil"/>
              <w:right w:val="nil"/>
            </w:tcBorders>
          </w:tcPr>
          <w:p w14:paraId="367444DB" w14:textId="5528A957" w:rsidR="00F74EF5" w:rsidRPr="00A60FD5" w:rsidRDefault="00F74EF5" w:rsidP="00802D47">
            <w:pPr>
              <w:spacing w:before="80" w:after="0" w:line="200" w:lineRule="exact"/>
              <w:rPr>
                <w:rFonts w:ascii="Times New Roman" w:hAnsi="Times New Roman" w:cs="Times New Roman"/>
                <w:sz w:val="18"/>
                <w:szCs w:val="18"/>
              </w:rPr>
            </w:pPr>
            <w:r w:rsidRPr="00A60FD5">
              <w:rPr>
                <w:rFonts w:ascii="Times New Roman" w:hAnsi="Times New Roman" w:cs="Times New Roman"/>
                <w:sz w:val="18"/>
                <w:szCs w:val="18"/>
              </w:rPr>
              <w:t>0.68</w:t>
            </w:r>
          </w:p>
        </w:tc>
        <w:tc>
          <w:tcPr>
            <w:tcW w:w="708" w:type="dxa"/>
            <w:tcBorders>
              <w:top w:val="nil"/>
              <w:left w:val="nil"/>
              <w:bottom w:val="nil"/>
              <w:right w:val="nil"/>
            </w:tcBorders>
          </w:tcPr>
          <w:p w14:paraId="4EB907F5" w14:textId="6BD981F5" w:rsidR="00F74EF5" w:rsidRPr="00A60FD5" w:rsidRDefault="006F129E" w:rsidP="00802D47">
            <w:pPr>
              <w:spacing w:before="80" w:after="0" w:line="200" w:lineRule="exact"/>
              <w:rPr>
                <w:rFonts w:ascii="Times New Roman" w:hAnsi="Times New Roman" w:cs="Times New Roman"/>
                <w:sz w:val="18"/>
                <w:szCs w:val="18"/>
              </w:rPr>
            </w:pPr>
            <w:r w:rsidRPr="00A60FD5">
              <w:rPr>
                <w:rFonts w:ascii="Times New Roman" w:hAnsi="Times New Roman" w:cs="Times New Roman"/>
                <w:sz w:val="18"/>
                <w:szCs w:val="18"/>
              </w:rPr>
              <w:t>0</w:t>
            </w:r>
          </w:p>
        </w:tc>
        <w:tc>
          <w:tcPr>
            <w:tcW w:w="708" w:type="dxa"/>
            <w:tcBorders>
              <w:top w:val="nil"/>
              <w:left w:val="nil"/>
              <w:bottom w:val="nil"/>
              <w:right w:val="nil"/>
            </w:tcBorders>
          </w:tcPr>
          <w:p w14:paraId="2B731879" w14:textId="125B9063" w:rsidR="00F74EF5" w:rsidRPr="00A60FD5" w:rsidRDefault="006F129E" w:rsidP="00802D47">
            <w:pPr>
              <w:spacing w:before="80" w:after="0" w:line="200" w:lineRule="exact"/>
              <w:rPr>
                <w:rFonts w:ascii="Times New Roman" w:hAnsi="Times New Roman" w:cs="Times New Roman"/>
                <w:sz w:val="18"/>
                <w:szCs w:val="18"/>
              </w:rPr>
            </w:pPr>
            <w:r w:rsidRPr="00A60FD5">
              <w:rPr>
                <w:rFonts w:ascii="Times New Roman" w:hAnsi="Times New Roman" w:cs="Times New Roman"/>
                <w:sz w:val="18"/>
                <w:szCs w:val="18"/>
              </w:rPr>
              <w:t>3</w:t>
            </w:r>
          </w:p>
        </w:tc>
      </w:tr>
      <w:tr w:rsidR="00F74EF5" w:rsidRPr="00A60FD5" w14:paraId="5A0DA2D4" w14:textId="797EA4F5" w:rsidTr="00802D47">
        <w:tc>
          <w:tcPr>
            <w:tcW w:w="2377" w:type="dxa"/>
            <w:tcBorders>
              <w:top w:val="nil"/>
              <w:left w:val="nil"/>
              <w:bottom w:val="nil"/>
              <w:right w:val="nil"/>
            </w:tcBorders>
          </w:tcPr>
          <w:p w14:paraId="35515F6F" w14:textId="64FF39DB" w:rsidR="00F74EF5" w:rsidRPr="00A60FD5" w:rsidRDefault="00F74EF5" w:rsidP="00802D47">
            <w:pPr>
              <w:spacing w:before="80" w:after="0" w:line="200" w:lineRule="exact"/>
              <w:rPr>
                <w:rFonts w:ascii="Times New Roman" w:hAnsi="Times New Roman" w:cs="Times New Roman"/>
                <w:sz w:val="20"/>
                <w:szCs w:val="20"/>
              </w:rPr>
            </w:pPr>
            <w:r w:rsidRPr="00A60FD5">
              <w:rPr>
                <w:rFonts w:ascii="Times New Roman" w:hAnsi="Times New Roman" w:cs="Times New Roman"/>
                <w:sz w:val="20"/>
                <w:szCs w:val="20"/>
              </w:rPr>
              <w:t>3. Coordination</w:t>
            </w:r>
          </w:p>
        </w:tc>
        <w:tc>
          <w:tcPr>
            <w:tcW w:w="709" w:type="dxa"/>
            <w:tcBorders>
              <w:top w:val="nil"/>
              <w:left w:val="nil"/>
              <w:bottom w:val="nil"/>
              <w:right w:val="nil"/>
            </w:tcBorders>
          </w:tcPr>
          <w:p w14:paraId="11654DD7" w14:textId="4B8928D8" w:rsidR="00F74EF5" w:rsidRPr="00A60FD5" w:rsidRDefault="00F74EF5" w:rsidP="00802D47">
            <w:pPr>
              <w:spacing w:before="80" w:after="0" w:line="200" w:lineRule="exact"/>
              <w:rPr>
                <w:rFonts w:ascii="Times New Roman" w:hAnsi="Times New Roman" w:cs="Times New Roman"/>
                <w:sz w:val="18"/>
                <w:szCs w:val="18"/>
              </w:rPr>
            </w:pPr>
            <w:r w:rsidRPr="00A60FD5">
              <w:rPr>
                <w:rFonts w:ascii="Times New Roman" w:hAnsi="Times New Roman" w:cs="Times New Roman"/>
                <w:sz w:val="18"/>
                <w:szCs w:val="18"/>
              </w:rPr>
              <w:t>1.93</w:t>
            </w:r>
          </w:p>
        </w:tc>
        <w:tc>
          <w:tcPr>
            <w:tcW w:w="708" w:type="dxa"/>
            <w:tcBorders>
              <w:top w:val="nil"/>
              <w:left w:val="nil"/>
              <w:bottom w:val="nil"/>
              <w:right w:val="nil"/>
            </w:tcBorders>
          </w:tcPr>
          <w:p w14:paraId="7667E2A1" w14:textId="13F551AA" w:rsidR="00F74EF5" w:rsidRPr="00A60FD5" w:rsidRDefault="00F74EF5" w:rsidP="00802D47">
            <w:pPr>
              <w:spacing w:before="80" w:after="0" w:line="200" w:lineRule="exact"/>
              <w:rPr>
                <w:rFonts w:ascii="Times New Roman" w:hAnsi="Times New Roman" w:cs="Times New Roman"/>
                <w:sz w:val="18"/>
                <w:szCs w:val="18"/>
              </w:rPr>
            </w:pPr>
            <w:r w:rsidRPr="00A60FD5">
              <w:rPr>
                <w:rFonts w:ascii="Times New Roman" w:hAnsi="Times New Roman" w:cs="Times New Roman"/>
                <w:sz w:val="18"/>
                <w:szCs w:val="18"/>
              </w:rPr>
              <w:t>1.49</w:t>
            </w:r>
          </w:p>
        </w:tc>
        <w:tc>
          <w:tcPr>
            <w:tcW w:w="708" w:type="dxa"/>
            <w:tcBorders>
              <w:top w:val="nil"/>
              <w:left w:val="nil"/>
              <w:bottom w:val="nil"/>
              <w:right w:val="nil"/>
            </w:tcBorders>
          </w:tcPr>
          <w:p w14:paraId="0A8B4464" w14:textId="5DBEED85" w:rsidR="00F74EF5" w:rsidRPr="00A60FD5" w:rsidRDefault="006F129E" w:rsidP="00802D47">
            <w:pPr>
              <w:spacing w:before="80" w:after="0" w:line="200" w:lineRule="exact"/>
              <w:rPr>
                <w:rFonts w:ascii="Times New Roman" w:hAnsi="Times New Roman" w:cs="Times New Roman"/>
                <w:sz w:val="18"/>
                <w:szCs w:val="18"/>
              </w:rPr>
            </w:pPr>
            <w:r w:rsidRPr="00A60FD5">
              <w:rPr>
                <w:rFonts w:ascii="Times New Roman" w:hAnsi="Times New Roman" w:cs="Times New Roman"/>
                <w:sz w:val="18"/>
                <w:szCs w:val="18"/>
              </w:rPr>
              <w:t>0</w:t>
            </w:r>
          </w:p>
        </w:tc>
        <w:tc>
          <w:tcPr>
            <w:tcW w:w="708" w:type="dxa"/>
            <w:tcBorders>
              <w:top w:val="nil"/>
              <w:left w:val="nil"/>
              <w:bottom w:val="nil"/>
              <w:right w:val="nil"/>
            </w:tcBorders>
          </w:tcPr>
          <w:p w14:paraId="1BCB6DB2" w14:textId="00AAF311" w:rsidR="00F74EF5" w:rsidRPr="00A60FD5" w:rsidRDefault="006F129E" w:rsidP="00802D47">
            <w:pPr>
              <w:spacing w:before="80" w:after="0" w:line="200" w:lineRule="exact"/>
              <w:rPr>
                <w:rFonts w:ascii="Times New Roman" w:hAnsi="Times New Roman" w:cs="Times New Roman"/>
                <w:sz w:val="18"/>
                <w:szCs w:val="18"/>
              </w:rPr>
            </w:pPr>
            <w:r w:rsidRPr="00A60FD5">
              <w:rPr>
                <w:rFonts w:ascii="Times New Roman" w:hAnsi="Times New Roman" w:cs="Times New Roman"/>
                <w:sz w:val="18"/>
                <w:szCs w:val="18"/>
              </w:rPr>
              <w:t>5</w:t>
            </w:r>
          </w:p>
        </w:tc>
      </w:tr>
      <w:tr w:rsidR="00F74EF5" w:rsidRPr="00A60FD5" w14:paraId="4DC09B67" w14:textId="663C166F" w:rsidTr="00802D47">
        <w:tc>
          <w:tcPr>
            <w:tcW w:w="2377" w:type="dxa"/>
            <w:tcBorders>
              <w:top w:val="nil"/>
              <w:left w:val="nil"/>
              <w:bottom w:val="nil"/>
              <w:right w:val="nil"/>
            </w:tcBorders>
          </w:tcPr>
          <w:p w14:paraId="5E250694" w14:textId="695A90AC" w:rsidR="00F74EF5" w:rsidRPr="00A60FD5" w:rsidRDefault="00F74EF5" w:rsidP="00802D47">
            <w:pPr>
              <w:spacing w:before="80" w:after="0" w:line="200" w:lineRule="exact"/>
              <w:rPr>
                <w:rFonts w:ascii="Times New Roman" w:hAnsi="Times New Roman" w:cs="Times New Roman"/>
                <w:sz w:val="20"/>
                <w:szCs w:val="20"/>
              </w:rPr>
            </w:pPr>
            <w:r w:rsidRPr="00A60FD5">
              <w:rPr>
                <w:rFonts w:ascii="Times New Roman" w:hAnsi="Times New Roman" w:cs="Times New Roman"/>
                <w:sz w:val="20"/>
                <w:szCs w:val="20"/>
              </w:rPr>
              <w:t xml:space="preserve">4. Tacitness </w:t>
            </w:r>
          </w:p>
        </w:tc>
        <w:tc>
          <w:tcPr>
            <w:tcW w:w="709" w:type="dxa"/>
            <w:tcBorders>
              <w:top w:val="nil"/>
              <w:left w:val="nil"/>
              <w:bottom w:val="nil"/>
              <w:right w:val="nil"/>
            </w:tcBorders>
          </w:tcPr>
          <w:p w14:paraId="4D7A33BB" w14:textId="67F0D031" w:rsidR="00F74EF5" w:rsidRPr="00A60FD5" w:rsidRDefault="00F74EF5" w:rsidP="00802D47">
            <w:pPr>
              <w:spacing w:before="80" w:after="0" w:line="200" w:lineRule="exact"/>
              <w:rPr>
                <w:rFonts w:ascii="Times New Roman" w:hAnsi="Times New Roman" w:cs="Times New Roman"/>
                <w:sz w:val="18"/>
                <w:szCs w:val="18"/>
              </w:rPr>
            </w:pPr>
            <w:r w:rsidRPr="00A60FD5">
              <w:rPr>
                <w:rFonts w:ascii="Times New Roman" w:hAnsi="Times New Roman" w:cs="Times New Roman"/>
                <w:sz w:val="18"/>
                <w:szCs w:val="18"/>
              </w:rPr>
              <w:t>3.48</w:t>
            </w:r>
          </w:p>
        </w:tc>
        <w:tc>
          <w:tcPr>
            <w:tcW w:w="708" w:type="dxa"/>
            <w:tcBorders>
              <w:top w:val="nil"/>
              <w:left w:val="nil"/>
              <w:bottom w:val="nil"/>
              <w:right w:val="nil"/>
            </w:tcBorders>
          </w:tcPr>
          <w:p w14:paraId="641F7036" w14:textId="454A9F2E" w:rsidR="00F74EF5" w:rsidRPr="00A60FD5" w:rsidRDefault="00F74EF5" w:rsidP="00802D47">
            <w:pPr>
              <w:spacing w:before="80" w:after="0" w:line="200" w:lineRule="exact"/>
              <w:rPr>
                <w:rFonts w:ascii="Times New Roman" w:hAnsi="Times New Roman" w:cs="Times New Roman"/>
                <w:sz w:val="18"/>
                <w:szCs w:val="18"/>
              </w:rPr>
            </w:pPr>
            <w:r w:rsidRPr="00A60FD5">
              <w:rPr>
                <w:rFonts w:ascii="Times New Roman" w:hAnsi="Times New Roman" w:cs="Times New Roman"/>
                <w:sz w:val="18"/>
                <w:szCs w:val="18"/>
              </w:rPr>
              <w:t>1.11</w:t>
            </w:r>
          </w:p>
        </w:tc>
        <w:tc>
          <w:tcPr>
            <w:tcW w:w="708" w:type="dxa"/>
            <w:tcBorders>
              <w:top w:val="nil"/>
              <w:left w:val="nil"/>
              <w:bottom w:val="nil"/>
              <w:right w:val="nil"/>
            </w:tcBorders>
          </w:tcPr>
          <w:p w14:paraId="2A35992F" w14:textId="393B8E4C" w:rsidR="00F74EF5" w:rsidRPr="00A60FD5" w:rsidRDefault="006F129E" w:rsidP="00802D47">
            <w:pPr>
              <w:spacing w:before="80" w:after="0" w:line="200" w:lineRule="exact"/>
              <w:rPr>
                <w:rFonts w:ascii="Times New Roman" w:hAnsi="Times New Roman" w:cs="Times New Roman"/>
                <w:sz w:val="18"/>
                <w:szCs w:val="18"/>
              </w:rPr>
            </w:pPr>
            <w:r w:rsidRPr="00A60FD5">
              <w:rPr>
                <w:rFonts w:ascii="Times New Roman" w:hAnsi="Times New Roman" w:cs="Times New Roman"/>
                <w:sz w:val="18"/>
                <w:szCs w:val="18"/>
              </w:rPr>
              <w:t>1</w:t>
            </w:r>
          </w:p>
        </w:tc>
        <w:tc>
          <w:tcPr>
            <w:tcW w:w="708" w:type="dxa"/>
            <w:tcBorders>
              <w:top w:val="nil"/>
              <w:left w:val="nil"/>
              <w:bottom w:val="nil"/>
              <w:right w:val="nil"/>
            </w:tcBorders>
          </w:tcPr>
          <w:p w14:paraId="65427963" w14:textId="3CCEB926" w:rsidR="00F74EF5" w:rsidRPr="00A60FD5" w:rsidRDefault="006F129E" w:rsidP="00802D47">
            <w:pPr>
              <w:spacing w:before="80" w:after="0" w:line="200" w:lineRule="exact"/>
              <w:rPr>
                <w:rFonts w:ascii="Times New Roman" w:hAnsi="Times New Roman" w:cs="Times New Roman"/>
                <w:sz w:val="18"/>
                <w:szCs w:val="18"/>
              </w:rPr>
            </w:pPr>
            <w:r w:rsidRPr="00A60FD5">
              <w:rPr>
                <w:rFonts w:ascii="Times New Roman" w:hAnsi="Times New Roman" w:cs="Times New Roman"/>
                <w:sz w:val="18"/>
                <w:szCs w:val="18"/>
              </w:rPr>
              <w:t>5</w:t>
            </w:r>
          </w:p>
        </w:tc>
      </w:tr>
      <w:tr w:rsidR="00F74EF5" w:rsidRPr="00A60FD5" w14:paraId="15528F41" w14:textId="4237B896" w:rsidTr="00802D47">
        <w:tc>
          <w:tcPr>
            <w:tcW w:w="2377" w:type="dxa"/>
            <w:tcBorders>
              <w:top w:val="nil"/>
              <w:left w:val="nil"/>
              <w:bottom w:val="nil"/>
              <w:right w:val="nil"/>
            </w:tcBorders>
          </w:tcPr>
          <w:p w14:paraId="4988F864" w14:textId="526CF8B7" w:rsidR="00F74EF5" w:rsidRPr="00A60FD5" w:rsidRDefault="00F74EF5" w:rsidP="00802D47">
            <w:pPr>
              <w:spacing w:before="80" w:after="0" w:line="200" w:lineRule="exact"/>
              <w:rPr>
                <w:rFonts w:ascii="Times New Roman" w:hAnsi="Times New Roman" w:cs="Times New Roman"/>
                <w:sz w:val="20"/>
                <w:szCs w:val="20"/>
              </w:rPr>
            </w:pPr>
            <w:r w:rsidRPr="00A60FD5">
              <w:rPr>
                <w:rFonts w:ascii="Times New Roman" w:hAnsi="Times New Roman" w:cs="Times New Roman"/>
                <w:sz w:val="20"/>
                <w:szCs w:val="20"/>
              </w:rPr>
              <w:t>5.  Specific investment</w:t>
            </w:r>
          </w:p>
        </w:tc>
        <w:tc>
          <w:tcPr>
            <w:tcW w:w="709" w:type="dxa"/>
            <w:tcBorders>
              <w:top w:val="nil"/>
              <w:left w:val="nil"/>
              <w:bottom w:val="nil"/>
              <w:right w:val="nil"/>
            </w:tcBorders>
          </w:tcPr>
          <w:p w14:paraId="26ADE241" w14:textId="1C6FCCF5" w:rsidR="00F74EF5" w:rsidRPr="00A60FD5" w:rsidRDefault="00F74EF5" w:rsidP="00802D47">
            <w:pPr>
              <w:spacing w:before="80" w:after="0" w:line="200" w:lineRule="exact"/>
              <w:rPr>
                <w:rFonts w:ascii="Times New Roman" w:hAnsi="Times New Roman" w:cs="Times New Roman"/>
                <w:sz w:val="18"/>
                <w:szCs w:val="18"/>
              </w:rPr>
            </w:pPr>
            <w:r w:rsidRPr="00A60FD5">
              <w:rPr>
                <w:rFonts w:ascii="Times New Roman" w:hAnsi="Times New Roman" w:cs="Times New Roman"/>
                <w:sz w:val="18"/>
                <w:szCs w:val="18"/>
              </w:rPr>
              <w:t>3.32</w:t>
            </w:r>
          </w:p>
        </w:tc>
        <w:tc>
          <w:tcPr>
            <w:tcW w:w="708" w:type="dxa"/>
            <w:tcBorders>
              <w:top w:val="nil"/>
              <w:left w:val="nil"/>
              <w:bottom w:val="nil"/>
              <w:right w:val="nil"/>
            </w:tcBorders>
          </w:tcPr>
          <w:p w14:paraId="77CDADDA" w14:textId="5AC978EF" w:rsidR="00F74EF5" w:rsidRPr="00A60FD5" w:rsidRDefault="00F74EF5" w:rsidP="00802D47">
            <w:pPr>
              <w:spacing w:before="80" w:after="0" w:line="200" w:lineRule="exact"/>
              <w:rPr>
                <w:rFonts w:ascii="Times New Roman" w:hAnsi="Times New Roman" w:cs="Times New Roman"/>
                <w:sz w:val="18"/>
                <w:szCs w:val="18"/>
              </w:rPr>
            </w:pPr>
            <w:r w:rsidRPr="00A60FD5">
              <w:rPr>
                <w:rFonts w:ascii="Times New Roman" w:hAnsi="Times New Roman" w:cs="Times New Roman"/>
                <w:sz w:val="18"/>
                <w:szCs w:val="18"/>
              </w:rPr>
              <w:t>0.98</w:t>
            </w:r>
          </w:p>
        </w:tc>
        <w:tc>
          <w:tcPr>
            <w:tcW w:w="708" w:type="dxa"/>
            <w:tcBorders>
              <w:top w:val="nil"/>
              <w:left w:val="nil"/>
              <w:bottom w:val="nil"/>
              <w:right w:val="nil"/>
            </w:tcBorders>
          </w:tcPr>
          <w:p w14:paraId="6EB1225D" w14:textId="61A1CD4E" w:rsidR="00F74EF5" w:rsidRPr="00A60FD5" w:rsidRDefault="006F129E" w:rsidP="00802D47">
            <w:pPr>
              <w:spacing w:before="80" w:after="0" w:line="200" w:lineRule="exact"/>
              <w:rPr>
                <w:rFonts w:ascii="Times New Roman" w:hAnsi="Times New Roman" w:cs="Times New Roman"/>
                <w:sz w:val="18"/>
                <w:szCs w:val="18"/>
              </w:rPr>
            </w:pPr>
            <w:r w:rsidRPr="00A60FD5">
              <w:rPr>
                <w:rFonts w:ascii="Times New Roman" w:hAnsi="Times New Roman" w:cs="Times New Roman"/>
                <w:sz w:val="18"/>
                <w:szCs w:val="18"/>
              </w:rPr>
              <w:t>1</w:t>
            </w:r>
          </w:p>
        </w:tc>
        <w:tc>
          <w:tcPr>
            <w:tcW w:w="708" w:type="dxa"/>
            <w:tcBorders>
              <w:top w:val="nil"/>
              <w:left w:val="nil"/>
              <w:bottom w:val="nil"/>
              <w:right w:val="nil"/>
            </w:tcBorders>
          </w:tcPr>
          <w:p w14:paraId="1C803BC1" w14:textId="174E15C3" w:rsidR="00F74EF5" w:rsidRPr="00A60FD5" w:rsidRDefault="006F129E" w:rsidP="00802D47">
            <w:pPr>
              <w:spacing w:before="80" w:after="0" w:line="200" w:lineRule="exact"/>
              <w:rPr>
                <w:rFonts w:ascii="Times New Roman" w:hAnsi="Times New Roman" w:cs="Times New Roman"/>
                <w:sz w:val="18"/>
                <w:szCs w:val="18"/>
              </w:rPr>
            </w:pPr>
            <w:r w:rsidRPr="00A60FD5">
              <w:rPr>
                <w:rFonts w:ascii="Times New Roman" w:hAnsi="Times New Roman" w:cs="Times New Roman"/>
                <w:sz w:val="18"/>
                <w:szCs w:val="18"/>
              </w:rPr>
              <w:t>5</w:t>
            </w:r>
          </w:p>
        </w:tc>
      </w:tr>
      <w:tr w:rsidR="00F74EF5" w:rsidRPr="00A60FD5" w14:paraId="698581F4" w14:textId="7E81193A" w:rsidTr="00802D47">
        <w:tc>
          <w:tcPr>
            <w:tcW w:w="2377" w:type="dxa"/>
            <w:tcBorders>
              <w:top w:val="nil"/>
              <w:left w:val="nil"/>
              <w:bottom w:val="nil"/>
              <w:right w:val="nil"/>
            </w:tcBorders>
          </w:tcPr>
          <w:p w14:paraId="582C855E" w14:textId="398E6357" w:rsidR="00F74EF5" w:rsidRPr="00A60FD5" w:rsidRDefault="00F74EF5" w:rsidP="00802D47">
            <w:pPr>
              <w:spacing w:before="80" w:after="0" w:line="200" w:lineRule="exact"/>
              <w:rPr>
                <w:rFonts w:ascii="Times New Roman" w:hAnsi="Times New Roman" w:cs="Times New Roman"/>
                <w:sz w:val="20"/>
                <w:szCs w:val="20"/>
              </w:rPr>
            </w:pPr>
            <w:r w:rsidRPr="00A60FD5">
              <w:rPr>
                <w:rFonts w:ascii="Times New Roman" w:hAnsi="Times New Roman" w:cs="Times New Roman"/>
                <w:sz w:val="20"/>
                <w:szCs w:val="20"/>
              </w:rPr>
              <w:t xml:space="preserve">6. Observability   </w:t>
            </w:r>
          </w:p>
        </w:tc>
        <w:tc>
          <w:tcPr>
            <w:tcW w:w="709" w:type="dxa"/>
            <w:tcBorders>
              <w:top w:val="nil"/>
              <w:left w:val="nil"/>
              <w:bottom w:val="nil"/>
              <w:right w:val="nil"/>
            </w:tcBorders>
          </w:tcPr>
          <w:p w14:paraId="422D45B4" w14:textId="08168EBA" w:rsidR="00F74EF5" w:rsidRPr="00A60FD5" w:rsidRDefault="00F74EF5" w:rsidP="00802D47">
            <w:pPr>
              <w:spacing w:before="80" w:after="0" w:line="200" w:lineRule="exact"/>
              <w:rPr>
                <w:rFonts w:ascii="Times New Roman" w:hAnsi="Times New Roman" w:cs="Times New Roman"/>
                <w:sz w:val="18"/>
                <w:szCs w:val="18"/>
              </w:rPr>
            </w:pPr>
            <w:r w:rsidRPr="00A60FD5">
              <w:rPr>
                <w:rFonts w:ascii="Times New Roman" w:hAnsi="Times New Roman" w:cs="Times New Roman"/>
                <w:sz w:val="18"/>
                <w:szCs w:val="18"/>
              </w:rPr>
              <w:t>3.41</w:t>
            </w:r>
          </w:p>
        </w:tc>
        <w:tc>
          <w:tcPr>
            <w:tcW w:w="708" w:type="dxa"/>
            <w:tcBorders>
              <w:top w:val="nil"/>
              <w:left w:val="nil"/>
              <w:bottom w:val="nil"/>
              <w:right w:val="nil"/>
            </w:tcBorders>
          </w:tcPr>
          <w:p w14:paraId="5DD7F53D" w14:textId="7E313EC3" w:rsidR="00F74EF5" w:rsidRPr="00A60FD5" w:rsidRDefault="00F74EF5" w:rsidP="00802D47">
            <w:pPr>
              <w:spacing w:before="80" w:after="0" w:line="200" w:lineRule="exact"/>
              <w:rPr>
                <w:rFonts w:ascii="Times New Roman" w:hAnsi="Times New Roman" w:cs="Times New Roman"/>
                <w:sz w:val="18"/>
                <w:szCs w:val="18"/>
              </w:rPr>
            </w:pPr>
            <w:r w:rsidRPr="00A60FD5">
              <w:rPr>
                <w:rFonts w:ascii="Times New Roman" w:hAnsi="Times New Roman" w:cs="Times New Roman"/>
                <w:sz w:val="18"/>
                <w:szCs w:val="18"/>
              </w:rPr>
              <w:t>1.11</w:t>
            </w:r>
          </w:p>
        </w:tc>
        <w:tc>
          <w:tcPr>
            <w:tcW w:w="708" w:type="dxa"/>
            <w:tcBorders>
              <w:top w:val="nil"/>
              <w:left w:val="nil"/>
              <w:bottom w:val="nil"/>
              <w:right w:val="nil"/>
            </w:tcBorders>
          </w:tcPr>
          <w:p w14:paraId="39B1B62A" w14:textId="29A586F3" w:rsidR="00F74EF5" w:rsidRPr="00A60FD5" w:rsidRDefault="006F129E" w:rsidP="00802D47">
            <w:pPr>
              <w:spacing w:before="80" w:after="0" w:line="200" w:lineRule="exact"/>
              <w:rPr>
                <w:rFonts w:ascii="Times New Roman" w:hAnsi="Times New Roman" w:cs="Times New Roman"/>
                <w:sz w:val="18"/>
                <w:szCs w:val="18"/>
              </w:rPr>
            </w:pPr>
            <w:r w:rsidRPr="00A60FD5">
              <w:rPr>
                <w:rFonts w:ascii="Times New Roman" w:hAnsi="Times New Roman" w:cs="Times New Roman"/>
                <w:sz w:val="18"/>
                <w:szCs w:val="18"/>
              </w:rPr>
              <w:t>1</w:t>
            </w:r>
          </w:p>
        </w:tc>
        <w:tc>
          <w:tcPr>
            <w:tcW w:w="708" w:type="dxa"/>
            <w:tcBorders>
              <w:top w:val="nil"/>
              <w:left w:val="nil"/>
              <w:bottom w:val="nil"/>
              <w:right w:val="nil"/>
            </w:tcBorders>
          </w:tcPr>
          <w:p w14:paraId="71A638E7" w14:textId="2A3CA4F3" w:rsidR="00F74EF5" w:rsidRPr="00A60FD5" w:rsidRDefault="006F129E" w:rsidP="00802D47">
            <w:pPr>
              <w:spacing w:before="80" w:after="0" w:line="200" w:lineRule="exact"/>
              <w:rPr>
                <w:rFonts w:ascii="Times New Roman" w:hAnsi="Times New Roman" w:cs="Times New Roman"/>
                <w:sz w:val="18"/>
                <w:szCs w:val="18"/>
              </w:rPr>
            </w:pPr>
            <w:r w:rsidRPr="00A60FD5">
              <w:rPr>
                <w:rFonts w:ascii="Times New Roman" w:hAnsi="Times New Roman" w:cs="Times New Roman"/>
                <w:sz w:val="18"/>
                <w:szCs w:val="18"/>
              </w:rPr>
              <w:t>5</w:t>
            </w:r>
          </w:p>
        </w:tc>
      </w:tr>
      <w:tr w:rsidR="00F74EF5" w:rsidRPr="00A60FD5" w14:paraId="28AD83FF" w14:textId="10E1F958" w:rsidTr="00802D47">
        <w:tc>
          <w:tcPr>
            <w:tcW w:w="2377" w:type="dxa"/>
            <w:tcBorders>
              <w:top w:val="nil"/>
              <w:left w:val="nil"/>
              <w:bottom w:val="nil"/>
              <w:right w:val="nil"/>
            </w:tcBorders>
          </w:tcPr>
          <w:p w14:paraId="30480F85" w14:textId="1EC497DA" w:rsidR="00F74EF5" w:rsidRPr="00A60FD5" w:rsidRDefault="00F74EF5" w:rsidP="00802D47">
            <w:pPr>
              <w:spacing w:before="80" w:after="0" w:line="200" w:lineRule="exact"/>
              <w:rPr>
                <w:rFonts w:ascii="Times New Roman" w:hAnsi="Times New Roman" w:cs="Times New Roman"/>
                <w:sz w:val="20"/>
                <w:szCs w:val="20"/>
              </w:rPr>
            </w:pPr>
            <w:r w:rsidRPr="00A60FD5">
              <w:rPr>
                <w:rFonts w:ascii="Times New Roman" w:hAnsi="Times New Roman" w:cs="Times New Roman"/>
                <w:sz w:val="20"/>
                <w:szCs w:val="20"/>
              </w:rPr>
              <w:t xml:space="preserve">7. Technological capabilities </w:t>
            </w:r>
          </w:p>
        </w:tc>
        <w:tc>
          <w:tcPr>
            <w:tcW w:w="709" w:type="dxa"/>
            <w:tcBorders>
              <w:top w:val="nil"/>
              <w:left w:val="nil"/>
              <w:bottom w:val="nil"/>
              <w:right w:val="nil"/>
            </w:tcBorders>
          </w:tcPr>
          <w:p w14:paraId="179CE764" w14:textId="646E2021" w:rsidR="00F74EF5" w:rsidRPr="00A60FD5" w:rsidRDefault="00F74EF5" w:rsidP="00802D47">
            <w:pPr>
              <w:spacing w:before="80" w:after="0" w:line="200" w:lineRule="exact"/>
              <w:rPr>
                <w:rFonts w:ascii="Times New Roman" w:hAnsi="Times New Roman" w:cs="Times New Roman"/>
                <w:sz w:val="18"/>
                <w:szCs w:val="18"/>
              </w:rPr>
            </w:pPr>
            <w:r w:rsidRPr="00A60FD5">
              <w:rPr>
                <w:rFonts w:ascii="Times New Roman" w:hAnsi="Times New Roman" w:cs="Times New Roman"/>
                <w:sz w:val="18"/>
                <w:szCs w:val="18"/>
              </w:rPr>
              <w:t>3.41</w:t>
            </w:r>
          </w:p>
        </w:tc>
        <w:tc>
          <w:tcPr>
            <w:tcW w:w="708" w:type="dxa"/>
            <w:tcBorders>
              <w:top w:val="nil"/>
              <w:left w:val="nil"/>
              <w:bottom w:val="nil"/>
              <w:right w:val="nil"/>
            </w:tcBorders>
          </w:tcPr>
          <w:p w14:paraId="7965A511" w14:textId="4241CC28" w:rsidR="00F74EF5" w:rsidRPr="00A60FD5" w:rsidRDefault="00F74EF5" w:rsidP="00802D47">
            <w:pPr>
              <w:spacing w:before="80" w:after="0" w:line="200" w:lineRule="exact"/>
              <w:rPr>
                <w:rFonts w:ascii="Times New Roman" w:hAnsi="Times New Roman" w:cs="Times New Roman"/>
                <w:sz w:val="18"/>
                <w:szCs w:val="18"/>
              </w:rPr>
            </w:pPr>
            <w:r w:rsidRPr="00A60FD5">
              <w:rPr>
                <w:rFonts w:ascii="Times New Roman" w:hAnsi="Times New Roman" w:cs="Times New Roman"/>
                <w:sz w:val="18"/>
                <w:szCs w:val="18"/>
              </w:rPr>
              <w:t>1.25</w:t>
            </w:r>
          </w:p>
        </w:tc>
        <w:tc>
          <w:tcPr>
            <w:tcW w:w="708" w:type="dxa"/>
            <w:tcBorders>
              <w:top w:val="nil"/>
              <w:left w:val="nil"/>
              <w:bottom w:val="nil"/>
              <w:right w:val="nil"/>
            </w:tcBorders>
          </w:tcPr>
          <w:p w14:paraId="48276F86" w14:textId="7390C276" w:rsidR="00F74EF5" w:rsidRPr="00A60FD5" w:rsidRDefault="006F129E" w:rsidP="00802D47">
            <w:pPr>
              <w:spacing w:before="80" w:after="0" w:line="200" w:lineRule="exact"/>
              <w:rPr>
                <w:rFonts w:ascii="Times New Roman" w:hAnsi="Times New Roman" w:cs="Times New Roman"/>
                <w:sz w:val="18"/>
                <w:szCs w:val="18"/>
              </w:rPr>
            </w:pPr>
            <w:r w:rsidRPr="00A60FD5">
              <w:rPr>
                <w:rFonts w:ascii="Times New Roman" w:hAnsi="Times New Roman" w:cs="Times New Roman"/>
                <w:sz w:val="18"/>
                <w:szCs w:val="18"/>
              </w:rPr>
              <w:t>1</w:t>
            </w:r>
          </w:p>
        </w:tc>
        <w:tc>
          <w:tcPr>
            <w:tcW w:w="708" w:type="dxa"/>
            <w:tcBorders>
              <w:top w:val="nil"/>
              <w:left w:val="nil"/>
              <w:bottom w:val="nil"/>
              <w:right w:val="nil"/>
            </w:tcBorders>
          </w:tcPr>
          <w:p w14:paraId="2BEE3741" w14:textId="13810DF3" w:rsidR="00F74EF5" w:rsidRPr="00A60FD5" w:rsidRDefault="006F129E" w:rsidP="00802D47">
            <w:pPr>
              <w:spacing w:before="80" w:after="0" w:line="200" w:lineRule="exact"/>
              <w:rPr>
                <w:rFonts w:ascii="Times New Roman" w:hAnsi="Times New Roman" w:cs="Times New Roman"/>
                <w:sz w:val="18"/>
                <w:szCs w:val="18"/>
              </w:rPr>
            </w:pPr>
            <w:r w:rsidRPr="00A60FD5">
              <w:rPr>
                <w:rFonts w:ascii="Times New Roman" w:hAnsi="Times New Roman" w:cs="Times New Roman"/>
                <w:sz w:val="18"/>
                <w:szCs w:val="18"/>
              </w:rPr>
              <w:t>5</w:t>
            </w:r>
          </w:p>
        </w:tc>
      </w:tr>
      <w:tr w:rsidR="00F74EF5" w:rsidRPr="00A60FD5" w14:paraId="74188059" w14:textId="6CCA8EB4" w:rsidTr="00802D47">
        <w:tc>
          <w:tcPr>
            <w:tcW w:w="2377" w:type="dxa"/>
            <w:tcBorders>
              <w:top w:val="nil"/>
              <w:left w:val="nil"/>
              <w:bottom w:val="nil"/>
              <w:right w:val="nil"/>
            </w:tcBorders>
          </w:tcPr>
          <w:p w14:paraId="17FDDADA" w14:textId="78023D86" w:rsidR="00F74EF5" w:rsidRPr="00A60FD5" w:rsidRDefault="00F74EF5" w:rsidP="00802D47">
            <w:pPr>
              <w:spacing w:before="80" w:after="0" w:line="200" w:lineRule="exact"/>
              <w:rPr>
                <w:rFonts w:ascii="Times New Roman" w:hAnsi="Times New Roman" w:cs="Times New Roman"/>
                <w:sz w:val="20"/>
                <w:szCs w:val="20"/>
              </w:rPr>
            </w:pPr>
            <w:r w:rsidRPr="00A60FD5">
              <w:rPr>
                <w:rFonts w:ascii="Times New Roman" w:hAnsi="Times New Roman" w:cs="Times New Roman"/>
                <w:sz w:val="20"/>
                <w:szCs w:val="20"/>
              </w:rPr>
              <w:t>8. Exclusivity</w:t>
            </w:r>
          </w:p>
        </w:tc>
        <w:tc>
          <w:tcPr>
            <w:tcW w:w="709" w:type="dxa"/>
            <w:tcBorders>
              <w:top w:val="nil"/>
              <w:left w:val="nil"/>
              <w:bottom w:val="nil"/>
              <w:right w:val="nil"/>
            </w:tcBorders>
          </w:tcPr>
          <w:p w14:paraId="00C18D61" w14:textId="1DD96A4F" w:rsidR="00F74EF5" w:rsidRPr="00A60FD5" w:rsidRDefault="00F74EF5" w:rsidP="00802D47">
            <w:pPr>
              <w:spacing w:before="80" w:after="0" w:line="200" w:lineRule="exact"/>
              <w:rPr>
                <w:rFonts w:ascii="Times New Roman" w:hAnsi="Times New Roman" w:cs="Times New Roman"/>
                <w:sz w:val="18"/>
                <w:szCs w:val="18"/>
              </w:rPr>
            </w:pPr>
            <w:r w:rsidRPr="00A60FD5">
              <w:rPr>
                <w:rFonts w:ascii="Times New Roman" w:hAnsi="Times New Roman" w:cs="Times New Roman"/>
                <w:sz w:val="18"/>
                <w:szCs w:val="18"/>
              </w:rPr>
              <w:t>0.34</w:t>
            </w:r>
          </w:p>
        </w:tc>
        <w:tc>
          <w:tcPr>
            <w:tcW w:w="708" w:type="dxa"/>
            <w:tcBorders>
              <w:top w:val="nil"/>
              <w:left w:val="nil"/>
              <w:bottom w:val="nil"/>
              <w:right w:val="nil"/>
            </w:tcBorders>
          </w:tcPr>
          <w:p w14:paraId="1C596DD9" w14:textId="7141E409" w:rsidR="00F74EF5" w:rsidRPr="00A60FD5" w:rsidRDefault="00F74EF5" w:rsidP="00802D47">
            <w:pPr>
              <w:spacing w:before="80" w:after="0" w:line="200" w:lineRule="exact"/>
              <w:rPr>
                <w:rFonts w:ascii="Times New Roman" w:hAnsi="Times New Roman" w:cs="Times New Roman"/>
                <w:sz w:val="18"/>
                <w:szCs w:val="18"/>
              </w:rPr>
            </w:pPr>
            <w:r w:rsidRPr="00A60FD5">
              <w:rPr>
                <w:rFonts w:ascii="Times New Roman" w:hAnsi="Times New Roman" w:cs="Times New Roman"/>
                <w:sz w:val="18"/>
                <w:szCs w:val="18"/>
              </w:rPr>
              <w:t>0.48</w:t>
            </w:r>
          </w:p>
        </w:tc>
        <w:tc>
          <w:tcPr>
            <w:tcW w:w="708" w:type="dxa"/>
            <w:tcBorders>
              <w:top w:val="nil"/>
              <w:left w:val="nil"/>
              <w:bottom w:val="nil"/>
              <w:right w:val="nil"/>
            </w:tcBorders>
          </w:tcPr>
          <w:p w14:paraId="31D18448" w14:textId="5900D81A" w:rsidR="00F74EF5" w:rsidRPr="00A60FD5" w:rsidRDefault="006F129E" w:rsidP="00802D47">
            <w:pPr>
              <w:spacing w:before="80" w:after="0" w:line="200" w:lineRule="exact"/>
              <w:rPr>
                <w:rFonts w:ascii="Times New Roman" w:hAnsi="Times New Roman" w:cs="Times New Roman"/>
                <w:sz w:val="18"/>
                <w:szCs w:val="18"/>
              </w:rPr>
            </w:pPr>
            <w:r w:rsidRPr="00A60FD5">
              <w:rPr>
                <w:rFonts w:ascii="Times New Roman" w:hAnsi="Times New Roman" w:cs="Times New Roman"/>
                <w:sz w:val="18"/>
                <w:szCs w:val="18"/>
              </w:rPr>
              <w:t>0</w:t>
            </w:r>
          </w:p>
        </w:tc>
        <w:tc>
          <w:tcPr>
            <w:tcW w:w="708" w:type="dxa"/>
            <w:tcBorders>
              <w:top w:val="nil"/>
              <w:left w:val="nil"/>
              <w:bottom w:val="nil"/>
              <w:right w:val="nil"/>
            </w:tcBorders>
          </w:tcPr>
          <w:p w14:paraId="4DCC7F6B" w14:textId="106F3976" w:rsidR="00F74EF5" w:rsidRPr="00A60FD5" w:rsidRDefault="006F129E" w:rsidP="00802D47">
            <w:pPr>
              <w:spacing w:before="80" w:after="0" w:line="200" w:lineRule="exact"/>
              <w:rPr>
                <w:rFonts w:ascii="Times New Roman" w:hAnsi="Times New Roman" w:cs="Times New Roman"/>
                <w:sz w:val="18"/>
                <w:szCs w:val="18"/>
              </w:rPr>
            </w:pPr>
            <w:r w:rsidRPr="00A60FD5">
              <w:rPr>
                <w:rFonts w:ascii="Times New Roman" w:hAnsi="Times New Roman" w:cs="Times New Roman"/>
                <w:sz w:val="18"/>
                <w:szCs w:val="18"/>
              </w:rPr>
              <w:t>1</w:t>
            </w:r>
          </w:p>
        </w:tc>
      </w:tr>
      <w:tr w:rsidR="00F74EF5" w:rsidRPr="00A60FD5" w14:paraId="0E925486" w14:textId="39410DBA" w:rsidTr="00802D47">
        <w:tc>
          <w:tcPr>
            <w:tcW w:w="2377" w:type="dxa"/>
            <w:tcBorders>
              <w:top w:val="nil"/>
              <w:left w:val="nil"/>
              <w:bottom w:val="nil"/>
              <w:right w:val="nil"/>
            </w:tcBorders>
          </w:tcPr>
          <w:p w14:paraId="6B00C7B2" w14:textId="42E9FDAB" w:rsidR="00F74EF5" w:rsidRPr="00A60FD5" w:rsidRDefault="00F74EF5" w:rsidP="00802D47">
            <w:pPr>
              <w:spacing w:before="80" w:after="0" w:line="200" w:lineRule="exact"/>
              <w:rPr>
                <w:rFonts w:ascii="Times New Roman" w:hAnsi="Times New Roman" w:cs="Times New Roman"/>
                <w:sz w:val="20"/>
                <w:szCs w:val="20"/>
              </w:rPr>
            </w:pPr>
            <w:r w:rsidRPr="00A60FD5">
              <w:rPr>
                <w:rFonts w:ascii="Times New Roman" w:hAnsi="Times New Roman" w:cs="Times New Roman"/>
                <w:sz w:val="20"/>
                <w:szCs w:val="20"/>
              </w:rPr>
              <w:t>9. License’s Scope</w:t>
            </w:r>
          </w:p>
        </w:tc>
        <w:tc>
          <w:tcPr>
            <w:tcW w:w="709" w:type="dxa"/>
            <w:tcBorders>
              <w:top w:val="nil"/>
              <w:left w:val="nil"/>
              <w:bottom w:val="nil"/>
              <w:right w:val="nil"/>
            </w:tcBorders>
          </w:tcPr>
          <w:p w14:paraId="17F9F120" w14:textId="081BAB40" w:rsidR="00F74EF5" w:rsidRPr="00A60FD5" w:rsidRDefault="00F74EF5" w:rsidP="00802D47">
            <w:pPr>
              <w:spacing w:before="80" w:after="0" w:line="200" w:lineRule="exact"/>
              <w:rPr>
                <w:rFonts w:ascii="Times New Roman" w:hAnsi="Times New Roman" w:cs="Times New Roman"/>
                <w:sz w:val="18"/>
                <w:szCs w:val="18"/>
              </w:rPr>
            </w:pPr>
            <w:r w:rsidRPr="00A60FD5">
              <w:rPr>
                <w:rFonts w:ascii="Times New Roman" w:hAnsi="Times New Roman" w:cs="Times New Roman"/>
                <w:sz w:val="18"/>
                <w:szCs w:val="18"/>
              </w:rPr>
              <w:t>0.25</w:t>
            </w:r>
          </w:p>
        </w:tc>
        <w:tc>
          <w:tcPr>
            <w:tcW w:w="708" w:type="dxa"/>
            <w:tcBorders>
              <w:top w:val="nil"/>
              <w:left w:val="nil"/>
              <w:bottom w:val="nil"/>
              <w:right w:val="nil"/>
            </w:tcBorders>
          </w:tcPr>
          <w:p w14:paraId="6AA41D08" w14:textId="07D60E61" w:rsidR="00F74EF5" w:rsidRPr="00A60FD5" w:rsidRDefault="00F74EF5" w:rsidP="00802D47">
            <w:pPr>
              <w:spacing w:before="80" w:after="0" w:line="200" w:lineRule="exact"/>
              <w:rPr>
                <w:rFonts w:ascii="Times New Roman" w:hAnsi="Times New Roman" w:cs="Times New Roman"/>
                <w:sz w:val="18"/>
                <w:szCs w:val="18"/>
              </w:rPr>
            </w:pPr>
            <w:r w:rsidRPr="00A60FD5">
              <w:rPr>
                <w:rFonts w:ascii="Times New Roman" w:hAnsi="Times New Roman" w:cs="Times New Roman"/>
                <w:sz w:val="18"/>
                <w:szCs w:val="18"/>
              </w:rPr>
              <w:t>0.49</w:t>
            </w:r>
          </w:p>
        </w:tc>
        <w:tc>
          <w:tcPr>
            <w:tcW w:w="708" w:type="dxa"/>
            <w:tcBorders>
              <w:top w:val="nil"/>
              <w:left w:val="nil"/>
              <w:bottom w:val="nil"/>
              <w:right w:val="nil"/>
            </w:tcBorders>
          </w:tcPr>
          <w:p w14:paraId="0FB87AF4" w14:textId="15FC1972" w:rsidR="00F74EF5" w:rsidRPr="00A60FD5" w:rsidRDefault="006F129E" w:rsidP="00802D47">
            <w:pPr>
              <w:spacing w:before="80" w:after="0" w:line="200" w:lineRule="exact"/>
              <w:rPr>
                <w:rFonts w:ascii="Times New Roman" w:hAnsi="Times New Roman" w:cs="Times New Roman"/>
                <w:sz w:val="18"/>
                <w:szCs w:val="18"/>
              </w:rPr>
            </w:pPr>
            <w:r w:rsidRPr="00A60FD5">
              <w:rPr>
                <w:rFonts w:ascii="Times New Roman" w:hAnsi="Times New Roman" w:cs="Times New Roman"/>
                <w:sz w:val="18"/>
                <w:szCs w:val="18"/>
              </w:rPr>
              <w:t>0</w:t>
            </w:r>
          </w:p>
        </w:tc>
        <w:tc>
          <w:tcPr>
            <w:tcW w:w="708" w:type="dxa"/>
            <w:tcBorders>
              <w:top w:val="nil"/>
              <w:left w:val="nil"/>
              <w:bottom w:val="nil"/>
              <w:right w:val="nil"/>
            </w:tcBorders>
          </w:tcPr>
          <w:p w14:paraId="3351A913" w14:textId="0368D906" w:rsidR="00F74EF5" w:rsidRPr="00A60FD5" w:rsidRDefault="006F129E" w:rsidP="00802D47">
            <w:pPr>
              <w:spacing w:before="80" w:after="0" w:line="200" w:lineRule="exact"/>
              <w:rPr>
                <w:rFonts w:ascii="Times New Roman" w:hAnsi="Times New Roman" w:cs="Times New Roman"/>
                <w:sz w:val="18"/>
                <w:szCs w:val="18"/>
              </w:rPr>
            </w:pPr>
            <w:r w:rsidRPr="00A60FD5">
              <w:rPr>
                <w:rFonts w:ascii="Times New Roman" w:hAnsi="Times New Roman" w:cs="Times New Roman"/>
                <w:sz w:val="18"/>
                <w:szCs w:val="18"/>
              </w:rPr>
              <w:t>2</w:t>
            </w:r>
          </w:p>
        </w:tc>
      </w:tr>
      <w:tr w:rsidR="00F74EF5" w:rsidRPr="00A60FD5" w14:paraId="55C16FBD" w14:textId="5ED00DD9" w:rsidTr="00802D47">
        <w:tc>
          <w:tcPr>
            <w:tcW w:w="2377" w:type="dxa"/>
            <w:tcBorders>
              <w:top w:val="nil"/>
              <w:left w:val="nil"/>
              <w:bottom w:val="nil"/>
              <w:right w:val="nil"/>
            </w:tcBorders>
          </w:tcPr>
          <w:p w14:paraId="1EC14B1C" w14:textId="6EEE9A65" w:rsidR="00F74EF5" w:rsidRPr="00A60FD5" w:rsidRDefault="00F74EF5" w:rsidP="00802D47">
            <w:pPr>
              <w:spacing w:before="80" w:after="0" w:line="200" w:lineRule="exact"/>
              <w:rPr>
                <w:rFonts w:ascii="Times New Roman" w:hAnsi="Times New Roman" w:cs="Times New Roman"/>
                <w:sz w:val="20"/>
                <w:szCs w:val="20"/>
              </w:rPr>
            </w:pPr>
            <w:r w:rsidRPr="00A60FD5">
              <w:rPr>
                <w:rFonts w:ascii="Times New Roman" w:hAnsi="Times New Roman" w:cs="Times New Roman"/>
                <w:sz w:val="20"/>
                <w:szCs w:val="20"/>
              </w:rPr>
              <w:t>10. Patent-rights index</w:t>
            </w:r>
          </w:p>
        </w:tc>
        <w:tc>
          <w:tcPr>
            <w:tcW w:w="709" w:type="dxa"/>
            <w:tcBorders>
              <w:top w:val="nil"/>
              <w:left w:val="nil"/>
              <w:bottom w:val="nil"/>
              <w:right w:val="nil"/>
            </w:tcBorders>
          </w:tcPr>
          <w:p w14:paraId="786B2E03" w14:textId="2885780A" w:rsidR="00F74EF5" w:rsidRPr="00A60FD5" w:rsidRDefault="00F74EF5" w:rsidP="00802D47">
            <w:pPr>
              <w:spacing w:before="80" w:after="0" w:line="200" w:lineRule="exact"/>
              <w:rPr>
                <w:rFonts w:ascii="Times New Roman" w:hAnsi="Times New Roman" w:cs="Times New Roman"/>
                <w:sz w:val="18"/>
                <w:szCs w:val="18"/>
              </w:rPr>
            </w:pPr>
            <w:r w:rsidRPr="00A60FD5">
              <w:rPr>
                <w:rFonts w:ascii="Times New Roman" w:hAnsi="Times New Roman" w:cs="Times New Roman"/>
                <w:sz w:val="18"/>
                <w:szCs w:val="18"/>
              </w:rPr>
              <w:t>4.51</w:t>
            </w:r>
          </w:p>
        </w:tc>
        <w:tc>
          <w:tcPr>
            <w:tcW w:w="708" w:type="dxa"/>
            <w:tcBorders>
              <w:top w:val="nil"/>
              <w:left w:val="nil"/>
              <w:bottom w:val="nil"/>
              <w:right w:val="nil"/>
            </w:tcBorders>
          </w:tcPr>
          <w:p w14:paraId="42D115D0" w14:textId="39F2624D" w:rsidR="00F74EF5" w:rsidRPr="00A60FD5" w:rsidRDefault="00F74EF5" w:rsidP="00802D47">
            <w:pPr>
              <w:spacing w:before="80" w:after="0" w:line="200" w:lineRule="exact"/>
              <w:rPr>
                <w:rFonts w:ascii="Times New Roman" w:hAnsi="Times New Roman" w:cs="Times New Roman"/>
                <w:sz w:val="18"/>
                <w:szCs w:val="18"/>
              </w:rPr>
            </w:pPr>
            <w:r w:rsidRPr="00A60FD5">
              <w:rPr>
                <w:rFonts w:ascii="Times New Roman" w:hAnsi="Times New Roman" w:cs="Times New Roman"/>
                <w:sz w:val="18"/>
                <w:szCs w:val="18"/>
              </w:rPr>
              <w:t>0.53</w:t>
            </w:r>
          </w:p>
        </w:tc>
        <w:tc>
          <w:tcPr>
            <w:tcW w:w="708" w:type="dxa"/>
            <w:tcBorders>
              <w:top w:val="nil"/>
              <w:left w:val="nil"/>
              <w:bottom w:val="nil"/>
              <w:right w:val="nil"/>
            </w:tcBorders>
          </w:tcPr>
          <w:p w14:paraId="6EB036C4" w14:textId="685A6DE7" w:rsidR="00F74EF5" w:rsidRPr="00A60FD5" w:rsidRDefault="006F129E" w:rsidP="00802D47">
            <w:pPr>
              <w:spacing w:before="80" w:after="0" w:line="200" w:lineRule="exact"/>
              <w:rPr>
                <w:rFonts w:ascii="Times New Roman" w:hAnsi="Times New Roman" w:cs="Times New Roman"/>
                <w:sz w:val="18"/>
                <w:szCs w:val="18"/>
              </w:rPr>
            </w:pPr>
            <w:r w:rsidRPr="00A60FD5">
              <w:rPr>
                <w:rFonts w:ascii="Times New Roman" w:hAnsi="Times New Roman" w:cs="Times New Roman"/>
                <w:sz w:val="18"/>
                <w:szCs w:val="18"/>
              </w:rPr>
              <w:t>2.2</w:t>
            </w:r>
          </w:p>
        </w:tc>
        <w:tc>
          <w:tcPr>
            <w:tcW w:w="708" w:type="dxa"/>
            <w:tcBorders>
              <w:top w:val="nil"/>
              <w:left w:val="nil"/>
              <w:bottom w:val="nil"/>
              <w:right w:val="nil"/>
            </w:tcBorders>
          </w:tcPr>
          <w:p w14:paraId="7931DD7C" w14:textId="703735FE" w:rsidR="00F74EF5" w:rsidRPr="00A60FD5" w:rsidRDefault="006F129E" w:rsidP="00802D47">
            <w:pPr>
              <w:spacing w:before="80" w:after="0" w:line="200" w:lineRule="exact"/>
              <w:rPr>
                <w:rFonts w:ascii="Times New Roman" w:hAnsi="Times New Roman" w:cs="Times New Roman"/>
                <w:sz w:val="18"/>
                <w:szCs w:val="18"/>
              </w:rPr>
            </w:pPr>
            <w:r w:rsidRPr="00A60FD5">
              <w:rPr>
                <w:rFonts w:ascii="Times New Roman" w:hAnsi="Times New Roman" w:cs="Times New Roman"/>
                <w:sz w:val="18"/>
                <w:szCs w:val="18"/>
              </w:rPr>
              <w:t>4.88</w:t>
            </w:r>
          </w:p>
        </w:tc>
      </w:tr>
      <w:tr w:rsidR="00F74EF5" w:rsidRPr="00A60FD5" w14:paraId="5275CBFA" w14:textId="090AC7A0" w:rsidTr="00802D47">
        <w:tc>
          <w:tcPr>
            <w:tcW w:w="2377" w:type="dxa"/>
            <w:tcBorders>
              <w:top w:val="nil"/>
              <w:left w:val="nil"/>
              <w:bottom w:val="nil"/>
              <w:right w:val="nil"/>
            </w:tcBorders>
          </w:tcPr>
          <w:p w14:paraId="78E87B4D" w14:textId="4151E8BC" w:rsidR="00F74EF5" w:rsidRPr="00A60FD5" w:rsidRDefault="00F74EF5" w:rsidP="00802D47">
            <w:pPr>
              <w:spacing w:before="80" w:after="0" w:line="200" w:lineRule="exact"/>
              <w:rPr>
                <w:rFonts w:ascii="Times New Roman" w:hAnsi="Times New Roman" w:cs="Times New Roman"/>
                <w:sz w:val="20"/>
                <w:szCs w:val="20"/>
              </w:rPr>
            </w:pPr>
            <w:r w:rsidRPr="00A60FD5">
              <w:rPr>
                <w:rFonts w:ascii="Times New Roman" w:hAnsi="Times New Roman" w:cs="Times New Roman"/>
                <w:sz w:val="20"/>
                <w:szCs w:val="20"/>
              </w:rPr>
              <w:t>11. Prior ties</w:t>
            </w:r>
          </w:p>
        </w:tc>
        <w:tc>
          <w:tcPr>
            <w:tcW w:w="709" w:type="dxa"/>
            <w:tcBorders>
              <w:top w:val="nil"/>
              <w:left w:val="nil"/>
              <w:bottom w:val="nil"/>
              <w:right w:val="nil"/>
            </w:tcBorders>
          </w:tcPr>
          <w:p w14:paraId="09CF2A6B" w14:textId="235ADD8B" w:rsidR="00F74EF5" w:rsidRPr="00A60FD5" w:rsidRDefault="00F74EF5" w:rsidP="00802D47">
            <w:pPr>
              <w:spacing w:before="80" w:after="0" w:line="200" w:lineRule="exact"/>
              <w:rPr>
                <w:rFonts w:ascii="Times New Roman" w:hAnsi="Times New Roman" w:cs="Times New Roman"/>
                <w:sz w:val="18"/>
                <w:szCs w:val="18"/>
              </w:rPr>
            </w:pPr>
            <w:r w:rsidRPr="00A60FD5">
              <w:rPr>
                <w:rFonts w:ascii="Times New Roman" w:hAnsi="Times New Roman" w:cs="Times New Roman"/>
                <w:sz w:val="18"/>
                <w:szCs w:val="18"/>
              </w:rPr>
              <w:t>0.16</w:t>
            </w:r>
          </w:p>
        </w:tc>
        <w:tc>
          <w:tcPr>
            <w:tcW w:w="708" w:type="dxa"/>
            <w:tcBorders>
              <w:top w:val="nil"/>
              <w:left w:val="nil"/>
              <w:bottom w:val="nil"/>
              <w:right w:val="nil"/>
            </w:tcBorders>
          </w:tcPr>
          <w:p w14:paraId="6B9AFEA5" w14:textId="22B1ED41" w:rsidR="00F74EF5" w:rsidRPr="00A60FD5" w:rsidRDefault="00F74EF5" w:rsidP="00802D47">
            <w:pPr>
              <w:spacing w:before="80" w:after="0" w:line="200" w:lineRule="exact"/>
              <w:rPr>
                <w:rFonts w:ascii="Times New Roman" w:hAnsi="Times New Roman" w:cs="Times New Roman"/>
                <w:sz w:val="18"/>
                <w:szCs w:val="18"/>
              </w:rPr>
            </w:pPr>
            <w:r w:rsidRPr="00A60FD5">
              <w:rPr>
                <w:rFonts w:ascii="Times New Roman" w:hAnsi="Times New Roman" w:cs="Times New Roman"/>
                <w:sz w:val="18"/>
                <w:szCs w:val="18"/>
              </w:rPr>
              <w:t>0.37</w:t>
            </w:r>
          </w:p>
        </w:tc>
        <w:tc>
          <w:tcPr>
            <w:tcW w:w="708" w:type="dxa"/>
            <w:tcBorders>
              <w:top w:val="nil"/>
              <w:left w:val="nil"/>
              <w:bottom w:val="nil"/>
              <w:right w:val="nil"/>
            </w:tcBorders>
          </w:tcPr>
          <w:p w14:paraId="7D98F60D" w14:textId="111F53E0" w:rsidR="00F74EF5" w:rsidRPr="00A60FD5" w:rsidRDefault="006F129E" w:rsidP="00802D47">
            <w:pPr>
              <w:spacing w:before="80" w:after="0" w:line="200" w:lineRule="exact"/>
              <w:rPr>
                <w:rFonts w:ascii="Times New Roman" w:hAnsi="Times New Roman" w:cs="Times New Roman"/>
                <w:sz w:val="18"/>
                <w:szCs w:val="18"/>
              </w:rPr>
            </w:pPr>
            <w:r w:rsidRPr="00A60FD5">
              <w:rPr>
                <w:rFonts w:ascii="Times New Roman" w:hAnsi="Times New Roman" w:cs="Times New Roman"/>
                <w:sz w:val="18"/>
                <w:szCs w:val="18"/>
              </w:rPr>
              <w:t>0</w:t>
            </w:r>
          </w:p>
        </w:tc>
        <w:tc>
          <w:tcPr>
            <w:tcW w:w="708" w:type="dxa"/>
            <w:tcBorders>
              <w:top w:val="nil"/>
              <w:left w:val="nil"/>
              <w:bottom w:val="nil"/>
              <w:right w:val="nil"/>
            </w:tcBorders>
          </w:tcPr>
          <w:p w14:paraId="70244203" w14:textId="79E182ED" w:rsidR="00F74EF5" w:rsidRPr="00A60FD5" w:rsidRDefault="006F129E" w:rsidP="00802D47">
            <w:pPr>
              <w:spacing w:before="80" w:after="0" w:line="200" w:lineRule="exact"/>
              <w:rPr>
                <w:rFonts w:ascii="Times New Roman" w:hAnsi="Times New Roman" w:cs="Times New Roman"/>
                <w:sz w:val="18"/>
                <w:szCs w:val="18"/>
              </w:rPr>
            </w:pPr>
            <w:r w:rsidRPr="00A60FD5">
              <w:rPr>
                <w:rFonts w:ascii="Times New Roman" w:hAnsi="Times New Roman" w:cs="Times New Roman"/>
                <w:sz w:val="18"/>
                <w:szCs w:val="18"/>
              </w:rPr>
              <w:t>1</w:t>
            </w:r>
          </w:p>
        </w:tc>
      </w:tr>
      <w:tr w:rsidR="00F74EF5" w:rsidRPr="00A60FD5" w14:paraId="204ED1BA" w14:textId="3A055F82" w:rsidTr="00802D47">
        <w:tc>
          <w:tcPr>
            <w:tcW w:w="2377" w:type="dxa"/>
            <w:tcBorders>
              <w:top w:val="nil"/>
              <w:left w:val="nil"/>
              <w:bottom w:val="nil"/>
              <w:right w:val="nil"/>
            </w:tcBorders>
          </w:tcPr>
          <w:p w14:paraId="0C1F1EA6" w14:textId="7E5A59F9" w:rsidR="00F74EF5" w:rsidRPr="00A60FD5" w:rsidRDefault="00F74EF5" w:rsidP="00802D47">
            <w:pPr>
              <w:spacing w:before="80" w:after="0" w:line="200" w:lineRule="exact"/>
              <w:rPr>
                <w:rFonts w:ascii="Times New Roman" w:hAnsi="Times New Roman" w:cs="Times New Roman"/>
                <w:sz w:val="20"/>
                <w:szCs w:val="20"/>
              </w:rPr>
            </w:pPr>
            <w:r w:rsidRPr="00A60FD5">
              <w:rPr>
                <w:rFonts w:ascii="Times New Roman" w:hAnsi="Times New Roman" w:cs="Times New Roman"/>
                <w:sz w:val="20"/>
                <w:szCs w:val="20"/>
              </w:rPr>
              <w:t>12. Same sector</w:t>
            </w:r>
          </w:p>
        </w:tc>
        <w:tc>
          <w:tcPr>
            <w:tcW w:w="709" w:type="dxa"/>
            <w:tcBorders>
              <w:top w:val="nil"/>
              <w:left w:val="nil"/>
              <w:bottom w:val="nil"/>
              <w:right w:val="nil"/>
            </w:tcBorders>
          </w:tcPr>
          <w:p w14:paraId="20E77E34" w14:textId="6FF1E307" w:rsidR="00F74EF5" w:rsidRPr="00A60FD5" w:rsidRDefault="00F74EF5" w:rsidP="00802D47">
            <w:pPr>
              <w:spacing w:before="80" w:after="0" w:line="200" w:lineRule="exact"/>
              <w:rPr>
                <w:rFonts w:ascii="Times New Roman" w:hAnsi="Times New Roman" w:cs="Times New Roman"/>
                <w:sz w:val="18"/>
                <w:szCs w:val="18"/>
              </w:rPr>
            </w:pPr>
            <w:r w:rsidRPr="00A60FD5">
              <w:rPr>
                <w:rFonts w:ascii="Times New Roman" w:hAnsi="Times New Roman" w:cs="Times New Roman"/>
                <w:sz w:val="18"/>
                <w:szCs w:val="18"/>
              </w:rPr>
              <w:t>0.74</w:t>
            </w:r>
          </w:p>
        </w:tc>
        <w:tc>
          <w:tcPr>
            <w:tcW w:w="708" w:type="dxa"/>
            <w:tcBorders>
              <w:top w:val="nil"/>
              <w:left w:val="nil"/>
              <w:bottom w:val="nil"/>
              <w:right w:val="nil"/>
            </w:tcBorders>
          </w:tcPr>
          <w:p w14:paraId="6BE157B2" w14:textId="1EE7A2D1" w:rsidR="00F74EF5" w:rsidRPr="00A60FD5" w:rsidRDefault="00F74EF5" w:rsidP="00802D47">
            <w:pPr>
              <w:spacing w:before="80" w:after="0" w:line="200" w:lineRule="exact"/>
              <w:rPr>
                <w:rFonts w:ascii="Times New Roman" w:hAnsi="Times New Roman" w:cs="Times New Roman"/>
                <w:sz w:val="18"/>
                <w:szCs w:val="18"/>
              </w:rPr>
            </w:pPr>
            <w:r w:rsidRPr="00A60FD5">
              <w:rPr>
                <w:rFonts w:ascii="Times New Roman" w:hAnsi="Times New Roman" w:cs="Times New Roman"/>
                <w:sz w:val="18"/>
                <w:szCs w:val="18"/>
              </w:rPr>
              <w:t>0.44</w:t>
            </w:r>
          </w:p>
        </w:tc>
        <w:tc>
          <w:tcPr>
            <w:tcW w:w="708" w:type="dxa"/>
            <w:tcBorders>
              <w:top w:val="nil"/>
              <w:left w:val="nil"/>
              <w:bottom w:val="nil"/>
              <w:right w:val="nil"/>
            </w:tcBorders>
          </w:tcPr>
          <w:p w14:paraId="7B2DBFC9" w14:textId="5B68B409" w:rsidR="00F74EF5" w:rsidRPr="00A60FD5" w:rsidRDefault="006F129E" w:rsidP="00802D47">
            <w:pPr>
              <w:spacing w:before="80" w:after="0" w:line="200" w:lineRule="exact"/>
              <w:rPr>
                <w:rFonts w:ascii="Times New Roman" w:hAnsi="Times New Roman" w:cs="Times New Roman"/>
                <w:sz w:val="18"/>
                <w:szCs w:val="18"/>
              </w:rPr>
            </w:pPr>
            <w:r w:rsidRPr="00A60FD5">
              <w:rPr>
                <w:rFonts w:ascii="Times New Roman" w:hAnsi="Times New Roman" w:cs="Times New Roman"/>
                <w:sz w:val="18"/>
                <w:szCs w:val="18"/>
              </w:rPr>
              <w:t>0</w:t>
            </w:r>
          </w:p>
        </w:tc>
        <w:tc>
          <w:tcPr>
            <w:tcW w:w="708" w:type="dxa"/>
            <w:tcBorders>
              <w:top w:val="nil"/>
              <w:left w:val="nil"/>
              <w:bottom w:val="nil"/>
              <w:right w:val="nil"/>
            </w:tcBorders>
          </w:tcPr>
          <w:p w14:paraId="25237FC0" w14:textId="5ACF9383" w:rsidR="00F74EF5" w:rsidRPr="00A60FD5" w:rsidRDefault="006F129E" w:rsidP="00802D47">
            <w:pPr>
              <w:spacing w:before="80" w:after="0" w:line="200" w:lineRule="exact"/>
              <w:rPr>
                <w:rFonts w:ascii="Times New Roman" w:hAnsi="Times New Roman" w:cs="Times New Roman"/>
                <w:sz w:val="18"/>
                <w:szCs w:val="18"/>
              </w:rPr>
            </w:pPr>
            <w:r w:rsidRPr="00A60FD5">
              <w:rPr>
                <w:rFonts w:ascii="Times New Roman" w:hAnsi="Times New Roman" w:cs="Times New Roman"/>
                <w:sz w:val="18"/>
                <w:szCs w:val="18"/>
              </w:rPr>
              <w:t>1</w:t>
            </w:r>
          </w:p>
        </w:tc>
      </w:tr>
      <w:tr w:rsidR="00F74EF5" w:rsidRPr="00A60FD5" w14:paraId="1785BFD6" w14:textId="5DE8BACC" w:rsidTr="00802D47">
        <w:tc>
          <w:tcPr>
            <w:tcW w:w="2377" w:type="dxa"/>
            <w:tcBorders>
              <w:top w:val="nil"/>
              <w:left w:val="nil"/>
              <w:bottom w:val="nil"/>
              <w:right w:val="nil"/>
            </w:tcBorders>
          </w:tcPr>
          <w:p w14:paraId="4868DE1E" w14:textId="77025863" w:rsidR="00F74EF5" w:rsidRPr="00A60FD5" w:rsidRDefault="00F74EF5" w:rsidP="00802D47">
            <w:pPr>
              <w:spacing w:before="80" w:after="0" w:line="200" w:lineRule="exact"/>
              <w:rPr>
                <w:rFonts w:ascii="Times New Roman" w:hAnsi="Times New Roman" w:cs="Times New Roman"/>
                <w:sz w:val="20"/>
                <w:szCs w:val="20"/>
              </w:rPr>
            </w:pPr>
            <w:r w:rsidRPr="00A60FD5">
              <w:rPr>
                <w:rFonts w:ascii="Times New Roman" w:hAnsi="Times New Roman" w:cs="Times New Roman"/>
                <w:sz w:val="20"/>
                <w:szCs w:val="20"/>
              </w:rPr>
              <w:t>13. Legal assistance</w:t>
            </w:r>
          </w:p>
        </w:tc>
        <w:tc>
          <w:tcPr>
            <w:tcW w:w="709" w:type="dxa"/>
            <w:tcBorders>
              <w:top w:val="nil"/>
              <w:left w:val="nil"/>
              <w:bottom w:val="nil"/>
              <w:right w:val="nil"/>
            </w:tcBorders>
          </w:tcPr>
          <w:p w14:paraId="2625AC1A" w14:textId="2D9F72F6" w:rsidR="00F74EF5" w:rsidRPr="00A60FD5" w:rsidRDefault="00F74EF5" w:rsidP="00802D47">
            <w:pPr>
              <w:spacing w:before="80" w:after="0" w:line="200" w:lineRule="exact"/>
              <w:rPr>
                <w:rFonts w:ascii="Times New Roman" w:hAnsi="Times New Roman" w:cs="Times New Roman"/>
                <w:sz w:val="18"/>
                <w:szCs w:val="18"/>
              </w:rPr>
            </w:pPr>
            <w:r w:rsidRPr="00A60FD5">
              <w:rPr>
                <w:rFonts w:ascii="Times New Roman" w:hAnsi="Times New Roman" w:cs="Times New Roman"/>
                <w:sz w:val="18"/>
                <w:szCs w:val="18"/>
              </w:rPr>
              <w:t>0.35</w:t>
            </w:r>
          </w:p>
        </w:tc>
        <w:tc>
          <w:tcPr>
            <w:tcW w:w="708" w:type="dxa"/>
            <w:tcBorders>
              <w:top w:val="nil"/>
              <w:left w:val="nil"/>
              <w:bottom w:val="nil"/>
              <w:right w:val="nil"/>
            </w:tcBorders>
          </w:tcPr>
          <w:p w14:paraId="0E4832E5" w14:textId="375DFB5A" w:rsidR="00F74EF5" w:rsidRPr="00A60FD5" w:rsidRDefault="00F74EF5" w:rsidP="00802D47">
            <w:pPr>
              <w:spacing w:before="80" w:after="0" w:line="200" w:lineRule="exact"/>
              <w:rPr>
                <w:rFonts w:ascii="Times New Roman" w:hAnsi="Times New Roman" w:cs="Times New Roman"/>
                <w:sz w:val="18"/>
                <w:szCs w:val="18"/>
              </w:rPr>
            </w:pPr>
            <w:r w:rsidRPr="00A60FD5">
              <w:rPr>
                <w:rFonts w:ascii="Times New Roman" w:hAnsi="Times New Roman" w:cs="Times New Roman"/>
                <w:sz w:val="18"/>
                <w:szCs w:val="18"/>
              </w:rPr>
              <w:t>0.48</w:t>
            </w:r>
          </w:p>
        </w:tc>
        <w:tc>
          <w:tcPr>
            <w:tcW w:w="708" w:type="dxa"/>
            <w:tcBorders>
              <w:top w:val="nil"/>
              <w:left w:val="nil"/>
              <w:bottom w:val="nil"/>
              <w:right w:val="nil"/>
            </w:tcBorders>
          </w:tcPr>
          <w:p w14:paraId="4452F9FA" w14:textId="685AE50D" w:rsidR="00F74EF5" w:rsidRPr="00A60FD5" w:rsidRDefault="006F129E" w:rsidP="00802D47">
            <w:pPr>
              <w:spacing w:before="80" w:after="0" w:line="200" w:lineRule="exact"/>
              <w:rPr>
                <w:rFonts w:ascii="Times New Roman" w:hAnsi="Times New Roman" w:cs="Times New Roman"/>
                <w:sz w:val="18"/>
                <w:szCs w:val="18"/>
              </w:rPr>
            </w:pPr>
            <w:r w:rsidRPr="00A60FD5">
              <w:rPr>
                <w:rFonts w:ascii="Times New Roman" w:hAnsi="Times New Roman" w:cs="Times New Roman"/>
                <w:sz w:val="18"/>
                <w:szCs w:val="18"/>
              </w:rPr>
              <w:t>0</w:t>
            </w:r>
          </w:p>
        </w:tc>
        <w:tc>
          <w:tcPr>
            <w:tcW w:w="708" w:type="dxa"/>
            <w:tcBorders>
              <w:top w:val="nil"/>
              <w:left w:val="nil"/>
              <w:bottom w:val="nil"/>
              <w:right w:val="nil"/>
            </w:tcBorders>
          </w:tcPr>
          <w:p w14:paraId="3E4CCBCE" w14:textId="0212031C" w:rsidR="00F74EF5" w:rsidRPr="00A60FD5" w:rsidRDefault="006F129E" w:rsidP="00802D47">
            <w:pPr>
              <w:spacing w:before="80" w:after="0" w:line="200" w:lineRule="exact"/>
              <w:rPr>
                <w:rFonts w:ascii="Times New Roman" w:hAnsi="Times New Roman" w:cs="Times New Roman"/>
                <w:sz w:val="18"/>
                <w:szCs w:val="18"/>
              </w:rPr>
            </w:pPr>
            <w:r w:rsidRPr="00A60FD5">
              <w:rPr>
                <w:rFonts w:ascii="Times New Roman" w:hAnsi="Times New Roman" w:cs="Times New Roman"/>
                <w:sz w:val="18"/>
                <w:szCs w:val="18"/>
              </w:rPr>
              <w:t>1</w:t>
            </w:r>
          </w:p>
        </w:tc>
      </w:tr>
      <w:tr w:rsidR="00F74EF5" w:rsidRPr="00A60FD5" w14:paraId="13AAD22A" w14:textId="23336B77" w:rsidTr="00802D47">
        <w:tc>
          <w:tcPr>
            <w:tcW w:w="2377" w:type="dxa"/>
            <w:tcBorders>
              <w:top w:val="nil"/>
              <w:left w:val="nil"/>
              <w:bottom w:val="nil"/>
              <w:right w:val="nil"/>
            </w:tcBorders>
          </w:tcPr>
          <w:p w14:paraId="011D38B4" w14:textId="3005D822" w:rsidR="00F74EF5" w:rsidRPr="00A60FD5" w:rsidRDefault="00F74EF5" w:rsidP="00802D47">
            <w:pPr>
              <w:spacing w:before="80" w:after="0" w:line="200" w:lineRule="exact"/>
              <w:rPr>
                <w:rFonts w:ascii="Times New Roman" w:hAnsi="Times New Roman" w:cs="Times New Roman"/>
                <w:sz w:val="20"/>
                <w:szCs w:val="20"/>
              </w:rPr>
            </w:pPr>
            <w:r w:rsidRPr="00A60FD5">
              <w:rPr>
                <w:rFonts w:ascii="Times New Roman" w:hAnsi="Times New Roman" w:cs="Times New Roman"/>
                <w:sz w:val="20"/>
                <w:szCs w:val="20"/>
              </w:rPr>
              <w:t>14. Licensor’s size</w:t>
            </w:r>
          </w:p>
        </w:tc>
        <w:tc>
          <w:tcPr>
            <w:tcW w:w="709" w:type="dxa"/>
            <w:tcBorders>
              <w:top w:val="nil"/>
              <w:left w:val="nil"/>
              <w:bottom w:val="nil"/>
              <w:right w:val="nil"/>
            </w:tcBorders>
          </w:tcPr>
          <w:p w14:paraId="49F8AA70" w14:textId="590A251A" w:rsidR="00F74EF5" w:rsidRPr="00A60FD5" w:rsidRDefault="00F74EF5" w:rsidP="00802D47">
            <w:pPr>
              <w:spacing w:before="80" w:after="0" w:line="200" w:lineRule="exact"/>
              <w:rPr>
                <w:rFonts w:ascii="Times New Roman" w:hAnsi="Times New Roman" w:cs="Times New Roman"/>
                <w:sz w:val="18"/>
                <w:szCs w:val="18"/>
              </w:rPr>
            </w:pPr>
            <w:r w:rsidRPr="00A60FD5">
              <w:rPr>
                <w:rFonts w:ascii="Times New Roman" w:hAnsi="Times New Roman" w:cs="Times New Roman"/>
                <w:sz w:val="18"/>
                <w:szCs w:val="18"/>
              </w:rPr>
              <w:t>2.74</w:t>
            </w:r>
          </w:p>
        </w:tc>
        <w:tc>
          <w:tcPr>
            <w:tcW w:w="708" w:type="dxa"/>
            <w:tcBorders>
              <w:top w:val="nil"/>
              <w:left w:val="nil"/>
              <w:bottom w:val="nil"/>
              <w:right w:val="nil"/>
            </w:tcBorders>
          </w:tcPr>
          <w:p w14:paraId="63AF5551" w14:textId="2B8073DA" w:rsidR="00F74EF5" w:rsidRPr="00A60FD5" w:rsidRDefault="00F74EF5" w:rsidP="00802D47">
            <w:pPr>
              <w:spacing w:before="80" w:after="0" w:line="200" w:lineRule="exact"/>
              <w:rPr>
                <w:rFonts w:ascii="Times New Roman" w:hAnsi="Times New Roman" w:cs="Times New Roman"/>
                <w:sz w:val="18"/>
                <w:szCs w:val="18"/>
              </w:rPr>
            </w:pPr>
            <w:r w:rsidRPr="00A60FD5">
              <w:rPr>
                <w:rFonts w:ascii="Times New Roman" w:hAnsi="Times New Roman" w:cs="Times New Roman"/>
                <w:sz w:val="18"/>
                <w:szCs w:val="18"/>
              </w:rPr>
              <w:t>1.76</w:t>
            </w:r>
          </w:p>
        </w:tc>
        <w:tc>
          <w:tcPr>
            <w:tcW w:w="708" w:type="dxa"/>
            <w:tcBorders>
              <w:top w:val="nil"/>
              <w:left w:val="nil"/>
              <w:bottom w:val="nil"/>
              <w:right w:val="nil"/>
            </w:tcBorders>
          </w:tcPr>
          <w:p w14:paraId="06AE6E9A" w14:textId="080E056B" w:rsidR="00F74EF5" w:rsidRPr="00A60FD5" w:rsidRDefault="006F129E" w:rsidP="00802D47">
            <w:pPr>
              <w:spacing w:before="80" w:after="0" w:line="200" w:lineRule="exact"/>
              <w:rPr>
                <w:rFonts w:ascii="Times New Roman" w:hAnsi="Times New Roman" w:cs="Times New Roman"/>
                <w:sz w:val="18"/>
                <w:szCs w:val="18"/>
              </w:rPr>
            </w:pPr>
            <w:r w:rsidRPr="00A60FD5">
              <w:rPr>
                <w:rFonts w:ascii="Times New Roman" w:hAnsi="Times New Roman" w:cs="Times New Roman"/>
                <w:sz w:val="18"/>
                <w:szCs w:val="18"/>
              </w:rPr>
              <w:t>1</w:t>
            </w:r>
          </w:p>
        </w:tc>
        <w:tc>
          <w:tcPr>
            <w:tcW w:w="708" w:type="dxa"/>
            <w:tcBorders>
              <w:top w:val="nil"/>
              <w:left w:val="nil"/>
              <w:bottom w:val="nil"/>
              <w:right w:val="nil"/>
            </w:tcBorders>
          </w:tcPr>
          <w:p w14:paraId="6CD5D086" w14:textId="1CF28EDA" w:rsidR="00F74EF5" w:rsidRPr="00A60FD5" w:rsidRDefault="006F129E" w:rsidP="00802D47">
            <w:pPr>
              <w:spacing w:before="80" w:after="0" w:line="200" w:lineRule="exact"/>
              <w:rPr>
                <w:rFonts w:ascii="Times New Roman" w:hAnsi="Times New Roman" w:cs="Times New Roman"/>
                <w:sz w:val="18"/>
                <w:szCs w:val="18"/>
              </w:rPr>
            </w:pPr>
            <w:r w:rsidRPr="00A60FD5">
              <w:rPr>
                <w:rFonts w:ascii="Times New Roman" w:hAnsi="Times New Roman" w:cs="Times New Roman"/>
                <w:sz w:val="18"/>
                <w:szCs w:val="18"/>
              </w:rPr>
              <w:t>5</w:t>
            </w:r>
          </w:p>
        </w:tc>
      </w:tr>
      <w:tr w:rsidR="00F74EF5" w:rsidRPr="00A60FD5" w14:paraId="741EBD3C" w14:textId="61ADA8ED" w:rsidTr="00802D47">
        <w:tc>
          <w:tcPr>
            <w:tcW w:w="2377" w:type="dxa"/>
            <w:tcBorders>
              <w:top w:val="nil"/>
              <w:left w:val="nil"/>
              <w:bottom w:val="nil"/>
              <w:right w:val="nil"/>
            </w:tcBorders>
          </w:tcPr>
          <w:p w14:paraId="16BFD7F5" w14:textId="47432F18" w:rsidR="00F74EF5" w:rsidRPr="00A60FD5" w:rsidRDefault="00F74EF5" w:rsidP="00802D47">
            <w:pPr>
              <w:spacing w:before="80" w:after="0" w:line="200" w:lineRule="exact"/>
              <w:rPr>
                <w:rFonts w:ascii="Times New Roman" w:hAnsi="Times New Roman" w:cs="Times New Roman"/>
                <w:sz w:val="20"/>
                <w:szCs w:val="20"/>
              </w:rPr>
            </w:pPr>
            <w:r w:rsidRPr="00A60FD5">
              <w:rPr>
                <w:rFonts w:ascii="Times New Roman" w:hAnsi="Times New Roman" w:cs="Times New Roman"/>
                <w:sz w:val="20"/>
                <w:szCs w:val="20"/>
              </w:rPr>
              <w:t>15. License age</w:t>
            </w:r>
          </w:p>
        </w:tc>
        <w:tc>
          <w:tcPr>
            <w:tcW w:w="709" w:type="dxa"/>
            <w:tcBorders>
              <w:top w:val="nil"/>
              <w:left w:val="nil"/>
              <w:bottom w:val="nil"/>
              <w:right w:val="nil"/>
            </w:tcBorders>
          </w:tcPr>
          <w:p w14:paraId="1A3C0BC3" w14:textId="31C12685" w:rsidR="00F74EF5" w:rsidRPr="00A60FD5" w:rsidRDefault="00F74EF5" w:rsidP="00802D47">
            <w:pPr>
              <w:spacing w:before="80" w:after="0" w:line="200" w:lineRule="exact"/>
              <w:rPr>
                <w:rFonts w:ascii="Times New Roman" w:hAnsi="Times New Roman" w:cs="Times New Roman"/>
                <w:sz w:val="18"/>
                <w:szCs w:val="18"/>
              </w:rPr>
            </w:pPr>
            <w:r w:rsidRPr="00A60FD5">
              <w:rPr>
                <w:rFonts w:ascii="Times New Roman" w:hAnsi="Times New Roman" w:cs="Times New Roman"/>
                <w:sz w:val="18"/>
                <w:szCs w:val="18"/>
              </w:rPr>
              <w:t>1.82</w:t>
            </w:r>
          </w:p>
        </w:tc>
        <w:tc>
          <w:tcPr>
            <w:tcW w:w="708" w:type="dxa"/>
            <w:tcBorders>
              <w:top w:val="nil"/>
              <w:left w:val="nil"/>
              <w:bottom w:val="nil"/>
              <w:right w:val="nil"/>
            </w:tcBorders>
          </w:tcPr>
          <w:p w14:paraId="0C9C0206" w14:textId="79E948F6" w:rsidR="00F74EF5" w:rsidRPr="00A60FD5" w:rsidRDefault="00F74EF5" w:rsidP="00802D47">
            <w:pPr>
              <w:spacing w:before="80" w:after="0" w:line="200" w:lineRule="exact"/>
              <w:rPr>
                <w:rFonts w:ascii="Times New Roman" w:hAnsi="Times New Roman" w:cs="Times New Roman"/>
                <w:sz w:val="18"/>
                <w:szCs w:val="18"/>
              </w:rPr>
            </w:pPr>
            <w:r w:rsidRPr="00A60FD5">
              <w:rPr>
                <w:rFonts w:ascii="Times New Roman" w:hAnsi="Times New Roman" w:cs="Times New Roman"/>
                <w:sz w:val="18"/>
                <w:szCs w:val="18"/>
              </w:rPr>
              <w:t>0.66</w:t>
            </w:r>
          </w:p>
        </w:tc>
        <w:tc>
          <w:tcPr>
            <w:tcW w:w="708" w:type="dxa"/>
            <w:tcBorders>
              <w:top w:val="nil"/>
              <w:left w:val="nil"/>
              <w:bottom w:val="nil"/>
              <w:right w:val="nil"/>
            </w:tcBorders>
          </w:tcPr>
          <w:p w14:paraId="5E367CDD" w14:textId="205EF56A" w:rsidR="00F74EF5" w:rsidRPr="00A60FD5" w:rsidRDefault="006F129E" w:rsidP="00802D47">
            <w:pPr>
              <w:spacing w:before="80" w:after="0" w:line="200" w:lineRule="exact"/>
              <w:rPr>
                <w:rFonts w:ascii="Times New Roman" w:hAnsi="Times New Roman" w:cs="Times New Roman"/>
                <w:sz w:val="18"/>
                <w:szCs w:val="18"/>
              </w:rPr>
            </w:pPr>
            <w:r w:rsidRPr="00A60FD5">
              <w:rPr>
                <w:rFonts w:ascii="Times New Roman" w:hAnsi="Times New Roman" w:cs="Times New Roman"/>
                <w:sz w:val="18"/>
                <w:szCs w:val="18"/>
              </w:rPr>
              <w:t>1</w:t>
            </w:r>
          </w:p>
        </w:tc>
        <w:tc>
          <w:tcPr>
            <w:tcW w:w="708" w:type="dxa"/>
            <w:tcBorders>
              <w:top w:val="nil"/>
              <w:left w:val="nil"/>
              <w:bottom w:val="nil"/>
              <w:right w:val="nil"/>
            </w:tcBorders>
          </w:tcPr>
          <w:p w14:paraId="6B611249" w14:textId="75F99EE3" w:rsidR="00F74EF5" w:rsidRPr="00A60FD5" w:rsidRDefault="006F129E" w:rsidP="00802D47">
            <w:pPr>
              <w:spacing w:before="80" w:after="0" w:line="200" w:lineRule="exact"/>
              <w:rPr>
                <w:rFonts w:ascii="Times New Roman" w:hAnsi="Times New Roman" w:cs="Times New Roman"/>
                <w:sz w:val="18"/>
                <w:szCs w:val="18"/>
              </w:rPr>
            </w:pPr>
            <w:r w:rsidRPr="00A60FD5">
              <w:rPr>
                <w:rFonts w:ascii="Times New Roman" w:hAnsi="Times New Roman" w:cs="Times New Roman"/>
                <w:sz w:val="18"/>
                <w:szCs w:val="18"/>
              </w:rPr>
              <w:t>3</w:t>
            </w:r>
          </w:p>
        </w:tc>
      </w:tr>
      <w:tr w:rsidR="00F74EF5" w:rsidRPr="00A60FD5" w14:paraId="2218D31E" w14:textId="060758DC" w:rsidTr="00802D47">
        <w:tc>
          <w:tcPr>
            <w:tcW w:w="2377" w:type="dxa"/>
            <w:tcBorders>
              <w:top w:val="nil"/>
              <w:left w:val="nil"/>
              <w:bottom w:val="nil"/>
              <w:right w:val="nil"/>
            </w:tcBorders>
          </w:tcPr>
          <w:p w14:paraId="2A2E9518" w14:textId="7772858E" w:rsidR="00F74EF5" w:rsidRPr="00A60FD5" w:rsidRDefault="00F74EF5" w:rsidP="00802D47">
            <w:pPr>
              <w:spacing w:before="80" w:after="0" w:line="200" w:lineRule="exact"/>
              <w:rPr>
                <w:rFonts w:ascii="Times New Roman" w:hAnsi="Times New Roman" w:cs="Times New Roman"/>
                <w:sz w:val="20"/>
                <w:szCs w:val="20"/>
              </w:rPr>
            </w:pPr>
            <w:r w:rsidRPr="00A60FD5">
              <w:rPr>
                <w:rFonts w:ascii="Times New Roman" w:hAnsi="Times New Roman" w:cs="Times New Roman"/>
                <w:sz w:val="20"/>
                <w:szCs w:val="20"/>
              </w:rPr>
              <w:t>16. Arm's-length licensing</w:t>
            </w:r>
            <w:r w:rsidRPr="00A60FD5" w:rsidDel="001A2465">
              <w:rPr>
                <w:rFonts w:ascii="Times New Roman" w:hAnsi="Times New Roman" w:cs="Times New Roman"/>
                <w:sz w:val="20"/>
                <w:szCs w:val="20"/>
              </w:rPr>
              <w:t xml:space="preserve"> </w:t>
            </w:r>
          </w:p>
        </w:tc>
        <w:tc>
          <w:tcPr>
            <w:tcW w:w="709" w:type="dxa"/>
            <w:tcBorders>
              <w:top w:val="nil"/>
              <w:left w:val="nil"/>
              <w:bottom w:val="nil"/>
              <w:right w:val="nil"/>
            </w:tcBorders>
          </w:tcPr>
          <w:p w14:paraId="581A8B77" w14:textId="302B6EDA" w:rsidR="00F74EF5" w:rsidRPr="00A60FD5" w:rsidRDefault="00F74EF5" w:rsidP="00802D47">
            <w:pPr>
              <w:spacing w:before="80" w:after="0" w:line="200" w:lineRule="exact"/>
              <w:rPr>
                <w:rFonts w:ascii="Times New Roman" w:hAnsi="Times New Roman" w:cs="Times New Roman"/>
                <w:sz w:val="18"/>
                <w:szCs w:val="18"/>
              </w:rPr>
            </w:pPr>
            <w:r w:rsidRPr="00A60FD5">
              <w:rPr>
                <w:rFonts w:ascii="Times New Roman" w:hAnsi="Times New Roman" w:cs="Times New Roman"/>
                <w:sz w:val="18"/>
                <w:szCs w:val="18"/>
              </w:rPr>
              <w:t>0.15</w:t>
            </w:r>
          </w:p>
        </w:tc>
        <w:tc>
          <w:tcPr>
            <w:tcW w:w="708" w:type="dxa"/>
            <w:tcBorders>
              <w:top w:val="nil"/>
              <w:left w:val="nil"/>
              <w:bottom w:val="nil"/>
              <w:right w:val="nil"/>
            </w:tcBorders>
          </w:tcPr>
          <w:p w14:paraId="0D653497" w14:textId="70378E5F" w:rsidR="00F74EF5" w:rsidRPr="00A60FD5" w:rsidRDefault="00F74EF5" w:rsidP="00802D47">
            <w:pPr>
              <w:spacing w:before="80" w:after="0" w:line="200" w:lineRule="exact"/>
              <w:rPr>
                <w:rFonts w:ascii="Times New Roman" w:hAnsi="Times New Roman" w:cs="Times New Roman"/>
                <w:sz w:val="18"/>
                <w:szCs w:val="18"/>
              </w:rPr>
            </w:pPr>
            <w:r w:rsidRPr="00A60FD5">
              <w:rPr>
                <w:rFonts w:ascii="Times New Roman" w:hAnsi="Times New Roman" w:cs="Times New Roman"/>
                <w:sz w:val="18"/>
                <w:szCs w:val="18"/>
              </w:rPr>
              <w:t>0.36</w:t>
            </w:r>
          </w:p>
        </w:tc>
        <w:tc>
          <w:tcPr>
            <w:tcW w:w="708" w:type="dxa"/>
            <w:tcBorders>
              <w:top w:val="nil"/>
              <w:left w:val="nil"/>
              <w:bottom w:val="nil"/>
              <w:right w:val="nil"/>
            </w:tcBorders>
          </w:tcPr>
          <w:p w14:paraId="62E89768" w14:textId="1360871C" w:rsidR="00F74EF5" w:rsidRPr="00A60FD5" w:rsidRDefault="006F129E" w:rsidP="00802D47">
            <w:pPr>
              <w:spacing w:before="80" w:after="0" w:line="200" w:lineRule="exact"/>
              <w:rPr>
                <w:rFonts w:ascii="Times New Roman" w:hAnsi="Times New Roman" w:cs="Times New Roman"/>
                <w:sz w:val="18"/>
                <w:szCs w:val="18"/>
              </w:rPr>
            </w:pPr>
            <w:r w:rsidRPr="00A60FD5">
              <w:rPr>
                <w:rFonts w:ascii="Times New Roman" w:hAnsi="Times New Roman" w:cs="Times New Roman"/>
                <w:sz w:val="18"/>
                <w:szCs w:val="18"/>
              </w:rPr>
              <w:t>0</w:t>
            </w:r>
          </w:p>
        </w:tc>
        <w:tc>
          <w:tcPr>
            <w:tcW w:w="708" w:type="dxa"/>
            <w:tcBorders>
              <w:top w:val="nil"/>
              <w:left w:val="nil"/>
              <w:bottom w:val="nil"/>
              <w:right w:val="nil"/>
            </w:tcBorders>
          </w:tcPr>
          <w:p w14:paraId="1005666C" w14:textId="792C02B4" w:rsidR="00F74EF5" w:rsidRPr="00A60FD5" w:rsidRDefault="006F129E" w:rsidP="00802D47">
            <w:pPr>
              <w:spacing w:before="80" w:after="0" w:line="200" w:lineRule="exact"/>
              <w:rPr>
                <w:rFonts w:ascii="Times New Roman" w:hAnsi="Times New Roman" w:cs="Times New Roman"/>
                <w:sz w:val="18"/>
                <w:szCs w:val="18"/>
              </w:rPr>
            </w:pPr>
            <w:r w:rsidRPr="00A60FD5">
              <w:rPr>
                <w:rFonts w:ascii="Times New Roman" w:hAnsi="Times New Roman" w:cs="Times New Roman"/>
                <w:sz w:val="18"/>
                <w:szCs w:val="18"/>
              </w:rPr>
              <w:t>1</w:t>
            </w:r>
          </w:p>
        </w:tc>
      </w:tr>
      <w:tr w:rsidR="00F74EF5" w:rsidRPr="00A60FD5" w14:paraId="1D4C4885" w14:textId="3A36F774" w:rsidTr="00802D47">
        <w:tc>
          <w:tcPr>
            <w:tcW w:w="2377" w:type="dxa"/>
            <w:tcBorders>
              <w:top w:val="nil"/>
              <w:left w:val="nil"/>
              <w:bottom w:val="nil"/>
              <w:right w:val="nil"/>
            </w:tcBorders>
          </w:tcPr>
          <w:p w14:paraId="08545328" w14:textId="7F7A909E" w:rsidR="00F74EF5" w:rsidRPr="00A60FD5" w:rsidRDefault="00F74EF5" w:rsidP="00802D47">
            <w:pPr>
              <w:spacing w:before="80" w:after="0" w:line="200" w:lineRule="exact"/>
              <w:rPr>
                <w:rFonts w:ascii="Times New Roman" w:hAnsi="Times New Roman" w:cs="Times New Roman"/>
                <w:sz w:val="20"/>
                <w:szCs w:val="20"/>
              </w:rPr>
            </w:pPr>
            <w:r w:rsidRPr="00A60FD5">
              <w:rPr>
                <w:rFonts w:ascii="Times New Roman" w:hAnsi="Times New Roman" w:cs="Times New Roman"/>
                <w:sz w:val="20"/>
                <w:szCs w:val="20"/>
              </w:rPr>
              <w:t xml:space="preserve">17. Technology intensity </w:t>
            </w:r>
          </w:p>
        </w:tc>
        <w:tc>
          <w:tcPr>
            <w:tcW w:w="709" w:type="dxa"/>
            <w:tcBorders>
              <w:top w:val="nil"/>
              <w:left w:val="nil"/>
              <w:bottom w:val="nil"/>
              <w:right w:val="nil"/>
            </w:tcBorders>
          </w:tcPr>
          <w:p w14:paraId="2606CCA5" w14:textId="5C3EF9ED" w:rsidR="00F74EF5" w:rsidRPr="00A60FD5" w:rsidRDefault="00F74EF5" w:rsidP="00802D47">
            <w:pPr>
              <w:spacing w:before="80" w:after="0" w:line="200" w:lineRule="exact"/>
              <w:rPr>
                <w:rFonts w:ascii="Times New Roman" w:hAnsi="Times New Roman" w:cs="Times New Roman"/>
                <w:sz w:val="18"/>
                <w:szCs w:val="18"/>
              </w:rPr>
            </w:pPr>
            <w:r w:rsidRPr="00A60FD5">
              <w:rPr>
                <w:rFonts w:ascii="Times New Roman" w:hAnsi="Times New Roman" w:cs="Times New Roman"/>
                <w:sz w:val="18"/>
                <w:szCs w:val="18"/>
              </w:rPr>
              <w:t>2.09</w:t>
            </w:r>
          </w:p>
        </w:tc>
        <w:tc>
          <w:tcPr>
            <w:tcW w:w="708" w:type="dxa"/>
            <w:tcBorders>
              <w:top w:val="nil"/>
              <w:left w:val="nil"/>
              <w:bottom w:val="nil"/>
              <w:right w:val="nil"/>
            </w:tcBorders>
          </w:tcPr>
          <w:p w14:paraId="6DE5A8BC" w14:textId="0C430067" w:rsidR="00F74EF5" w:rsidRPr="00A60FD5" w:rsidRDefault="00F74EF5" w:rsidP="00802D47">
            <w:pPr>
              <w:spacing w:before="80" w:after="0" w:line="200" w:lineRule="exact"/>
              <w:rPr>
                <w:rFonts w:ascii="Times New Roman" w:hAnsi="Times New Roman" w:cs="Times New Roman"/>
                <w:sz w:val="18"/>
                <w:szCs w:val="18"/>
              </w:rPr>
            </w:pPr>
            <w:r w:rsidRPr="00A60FD5">
              <w:rPr>
                <w:rFonts w:ascii="Times New Roman" w:hAnsi="Times New Roman" w:cs="Times New Roman"/>
                <w:sz w:val="18"/>
                <w:szCs w:val="18"/>
              </w:rPr>
              <w:t>0.93</w:t>
            </w:r>
          </w:p>
        </w:tc>
        <w:tc>
          <w:tcPr>
            <w:tcW w:w="708" w:type="dxa"/>
            <w:tcBorders>
              <w:top w:val="nil"/>
              <w:left w:val="nil"/>
              <w:bottom w:val="nil"/>
              <w:right w:val="nil"/>
            </w:tcBorders>
          </w:tcPr>
          <w:p w14:paraId="69BFFC26" w14:textId="7FAA8BD8" w:rsidR="00F74EF5" w:rsidRPr="00A60FD5" w:rsidRDefault="006F129E" w:rsidP="00802D47">
            <w:pPr>
              <w:spacing w:before="80" w:after="0" w:line="200" w:lineRule="exact"/>
              <w:rPr>
                <w:rFonts w:ascii="Times New Roman" w:hAnsi="Times New Roman" w:cs="Times New Roman"/>
                <w:sz w:val="18"/>
                <w:szCs w:val="18"/>
              </w:rPr>
            </w:pPr>
            <w:r w:rsidRPr="00A60FD5">
              <w:rPr>
                <w:rFonts w:ascii="Times New Roman" w:hAnsi="Times New Roman" w:cs="Times New Roman"/>
                <w:sz w:val="18"/>
                <w:szCs w:val="18"/>
              </w:rPr>
              <w:t>1</w:t>
            </w:r>
          </w:p>
        </w:tc>
        <w:tc>
          <w:tcPr>
            <w:tcW w:w="708" w:type="dxa"/>
            <w:tcBorders>
              <w:top w:val="nil"/>
              <w:left w:val="nil"/>
              <w:bottom w:val="nil"/>
              <w:right w:val="nil"/>
            </w:tcBorders>
          </w:tcPr>
          <w:p w14:paraId="053923F0" w14:textId="4CC3ECCE" w:rsidR="00F74EF5" w:rsidRPr="00A60FD5" w:rsidRDefault="006F129E" w:rsidP="00802D47">
            <w:pPr>
              <w:spacing w:before="80" w:after="0" w:line="200" w:lineRule="exact"/>
              <w:rPr>
                <w:rFonts w:ascii="Times New Roman" w:hAnsi="Times New Roman" w:cs="Times New Roman"/>
                <w:sz w:val="18"/>
                <w:szCs w:val="18"/>
              </w:rPr>
            </w:pPr>
            <w:r w:rsidRPr="00A60FD5">
              <w:rPr>
                <w:rFonts w:ascii="Times New Roman" w:hAnsi="Times New Roman" w:cs="Times New Roman"/>
                <w:sz w:val="18"/>
                <w:szCs w:val="18"/>
              </w:rPr>
              <w:t>4</w:t>
            </w:r>
          </w:p>
        </w:tc>
      </w:tr>
      <w:tr w:rsidR="00F74EF5" w:rsidRPr="00A60FD5" w14:paraId="50B93A18" w14:textId="7C245167" w:rsidTr="00802D47">
        <w:tc>
          <w:tcPr>
            <w:tcW w:w="2377" w:type="dxa"/>
            <w:tcBorders>
              <w:top w:val="nil"/>
              <w:left w:val="nil"/>
              <w:bottom w:val="double" w:sz="4" w:space="0" w:color="auto"/>
              <w:right w:val="nil"/>
            </w:tcBorders>
          </w:tcPr>
          <w:p w14:paraId="6DFECC9A" w14:textId="767F9518" w:rsidR="00F74EF5" w:rsidRPr="00A60FD5" w:rsidRDefault="00F74EF5" w:rsidP="00802D47">
            <w:pPr>
              <w:spacing w:before="80" w:after="0" w:line="200" w:lineRule="exact"/>
              <w:rPr>
                <w:rFonts w:ascii="Times New Roman" w:hAnsi="Times New Roman" w:cs="Times New Roman"/>
                <w:sz w:val="20"/>
                <w:szCs w:val="20"/>
              </w:rPr>
            </w:pPr>
            <w:r w:rsidRPr="00A60FD5">
              <w:rPr>
                <w:rFonts w:ascii="Times New Roman" w:hAnsi="Times New Roman" w:cs="Times New Roman"/>
                <w:sz w:val="20"/>
                <w:szCs w:val="20"/>
              </w:rPr>
              <w:t>18. Third assistance</w:t>
            </w:r>
          </w:p>
        </w:tc>
        <w:tc>
          <w:tcPr>
            <w:tcW w:w="709" w:type="dxa"/>
            <w:tcBorders>
              <w:top w:val="nil"/>
              <w:left w:val="nil"/>
              <w:bottom w:val="double" w:sz="4" w:space="0" w:color="auto"/>
              <w:right w:val="nil"/>
            </w:tcBorders>
          </w:tcPr>
          <w:p w14:paraId="3D9B7BA5" w14:textId="7706D5B5" w:rsidR="00F74EF5" w:rsidRPr="00A60FD5" w:rsidRDefault="00F74EF5" w:rsidP="00802D47">
            <w:pPr>
              <w:spacing w:before="80" w:after="0" w:line="200" w:lineRule="exact"/>
              <w:rPr>
                <w:rFonts w:ascii="Times New Roman" w:hAnsi="Times New Roman" w:cs="Times New Roman"/>
                <w:sz w:val="18"/>
                <w:szCs w:val="18"/>
              </w:rPr>
            </w:pPr>
            <w:r w:rsidRPr="00A60FD5">
              <w:rPr>
                <w:rFonts w:ascii="Times New Roman" w:hAnsi="Times New Roman" w:cs="Times New Roman"/>
                <w:sz w:val="18"/>
                <w:szCs w:val="18"/>
              </w:rPr>
              <w:t>0.07</w:t>
            </w:r>
          </w:p>
        </w:tc>
        <w:tc>
          <w:tcPr>
            <w:tcW w:w="708" w:type="dxa"/>
            <w:tcBorders>
              <w:top w:val="nil"/>
              <w:left w:val="nil"/>
              <w:bottom w:val="double" w:sz="4" w:space="0" w:color="auto"/>
              <w:right w:val="nil"/>
            </w:tcBorders>
          </w:tcPr>
          <w:p w14:paraId="10E341F6" w14:textId="01732465" w:rsidR="00F74EF5" w:rsidRPr="00A60FD5" w:rsidRDefault="00F74EF5" w:rsidP="00802D47">
            <w:pPr>
              <w:spacing w:before="80" w:after="0" w:line="200" w:lineRule="exact"/>
              <w:rPr>
                <w:rFonts w:ascii="Times New Roman" w:hAnsi="Times New Roman" w:cs="Times New Roman"/>
                <w:sz w:val="18"/>
                <w:szCs w:val="18"/>
              </w:rPr>
            </w:pPr>
            <w:r w:rsidRPr="00A60FD5">
              <w:rPr>
                <w:rFonts w:ascii="Times New Roman" w:hAnsi="Times New Roman" w:cs="Times New Roman"/>
                <w:sz w:val="18"/>
                <w:szCs w:val="18"/>
              </w:rPr>
              <w:t>0.27</w:t>
            </w:r>
          </w:p>
        </w:tc>
        <w:tc>
          <w:tcPr>
            <w:tcW w:w="708" w:type="dxa"/>
            <w:tcBorders>
              <w:top w:val="nil"/>
              <w:left w:val="nil"/>
              <w:bottom w:val="double" w:sz="4" w:space="0" w:color="auto"/>
              <w:right w:val="nil"/>
            </w:tcBorders>
          </w:tcPr>
          <w:p w14:paraId="1853C47F" w14:textId="04515594" w:rsidR="00F74EF5" w:rsidRPr="00A60FD5" w:rsidRDefault="006F129E" w:rsidP="00802D47">
            <w:pPr>
              <w:spacing w:before="80" w:after="0" w:line="200" w:lineRule="exact"/>
              <w:rPr>
                <w:rFonts w:ascii="Times New Roman" w:hAnsi="Times New Roman" w:cs="Times New Roman"/>
                <w:sz w:val="18"/>
                <w:szCs w:val="18"/>
              </w:rPr>
            </w:pPr>
            <w:r w:rsidRPr="00A60FD5">
              <w:rPr>
                <w:rFonts w:ascii="Times New Roman" w:hAnsi="Times New Roman" w:cs="Times New Roman"/>
                <w:sz w:val="18"/>
                <w:szCs w:val="18"/>
              </w:rPr>
              <w:t>0</w:t>
            </w:r>
          </w:p>
        </w:tc>
        <w:tc>
          <w:tcPr>
            <w:tcW w:w="708" w:type="dxa"/>
            <w:tcBorders>
              <w:top w:val="nil"/>
              <w:left w:val="nil"/>
              <w:bottom w:val="double" w:sz="4" w:space="0" w:color="auto"/>
              <w:right w:val="nil"/>
            </w:tcBorders>
          </w:tcPr>
          <w:p w14:paraId="60A5FB26" w14:textId="3F4CC83C" w:rsidR="00F74EF5" w:rsidRPr="00A60FD5" w:rsidRDefault="006F129E" w:rsidP="00802D47">
            <w:pPr>
              <w:spacing w:before="80" w:after="0" w:line="200" w:lineRule="exact"/>
              <w:rPr>
                <w:rFonts w:ascii="Times New Roman" w:hAnsi="Times New Roman" w:cs="Times New Roman"/>
                <w:sz w:val="18"/>
                <w:szCs w:val="18"/>
              </w:rPr>
            </w:pPr>
            <w:r w:rsidRPr="00A60FD5">
              <w:rPr>
                <w:rFonts w:ascii="Times New Roman" w:hAnsi="Times New Roman" w:cs="Times New Roman"/>
                <w:sz w:val="18"/>
                <w:szCs w:val="18"/>
              </w:rPr>
              <w:t>1</w:t>
            </w:r>
          </w:p>
        </w:tc>
      </w:tr>
    </w:tbl>
    <w:p w14:paraId="286223B6" w14:textId="77777777" w:rsidR="00802D47" w:rsidRPr="00A60FD5" w:rsidRDefault="00A54CDF" w:rsidP="00417594">
      <w:pPr>
        <w:spacing w:after="0" w:line="240" w:lineRule="auto"/>
        <w:rPr>
          <w:rFonts w:ascii="Times New Roman" w:hAnsi="Times New Roman" w:cs="Times New Roman"/>
          <w:sz w:val="18"/>
          <w:vertAlign w:val="superscript"/>
        </w:rPr>
      </w:pPr>
      <w:r w:rsidRPr="00A60FD5">
        <w:rPr>
          <w:rFonts w:ascii="Times New Roman" w:hAnsi="Times New Roman" w:cs="Times New Roman"/>
          <w:sz w:val="18"/>
          <w:vertAlign w:val="superscript"/>
        </w:rPr>
        <w:t xml:space="preserve">   </w:t>
      </w:r>
      <w:r w:rsidR="00F74EF5" w:rsidRPr="00A60FD5">
        <w:rPr>
          <w:rFonts w:ascii="Times New Roman" w:hAnsi="Times New Roman" w:cs="Times New Roman"/>
          <w:sz w:val="18"/>
          <w:vertAlign w:val="superscript"/>
        </w:rPr>
        <w:t xml:space="preserve">                                                                                                                                                                        </w:t>
      </w:r>
    </w:p>
    <w:p w14:paraId="32C4CC5E" w14:textId="77777777" w:rsidR="00802D47" w:rsidRPr="00A60FD5" w:rsidRDefault="00802D47" w:rsidP="00417594">
      <w:pPr>
        <w:spacing w:after="0" w:line="240" w:lineRule="auto"/>
        <w:rPr>
          <w:rFonts w:ascii="Times New Roman" w:hAnsi="Times New Roman" w:cs="Times New Roman"/>
          <w:sz w:val="18"/>
          <w:vertAlign w:val="superscript"/>
        </w:rPr>
      </w:pPr>
    </w:p>
    <w:p w14:paraId="42E1010C" w14:textId="77777777" w:rsidR="00802D47" w:rsidRPr="00A60FD5" w:rsidRDefault="00802D47" w:rsidP="00417594">
      <w:pPr>
        <w:spacing w:after="0" w:line="240" w:lineRule="auto"/>
        <w:rPr>
          <w:rFonts w:ascii="Times New Roman" w:hAnsi="Times New Roman" w:cs="Times New Roman"/>
          <w:sz w:val="18"/>
          <w:vertAlign w:val="superscript"/>
        </w:rPr>
      </w:pPr>
    </w:p>
    <w:p w14:paraId="4CF20D77" w14:textId="77777777" w:rsidR="00802D47" w:rsidRPr="00A60FD5" w:rsidRDefault="00802D47" w:rsidP="00417594">
      <w:pPr>
        <w:spacing w:after="0" w:line="240" w:lineRule="auto"/>
        <w:rPr>
          <w:rFonts w:ascii="Times New Roman" w:hAnsi="Times New Roman" w:cs="Times New Roman"/>
          <w:sz w:val="18"/>
          <w:vertAlign w:val="superscript"/>
        </w:rPr>
      </w:pPr>
    </w:p>
    <w:p w14:paraId="7CFB5B7A" w14:textId="77777777" w:rsidR="00802D47" w:rsidRPr="00A60FD5" w:rsidRDefault="00802D47" w:rsidP="00417594">
      <w:pPr>
        <w:spacing w:after="0" w:line="240" w:lineRule="auto"/>
        <w:rPr>
          <w:rFonts w:ascii="Times New Roman" w:hAnsi="Times New Roman" w:cs="Times New Roman"/>
          <w:sz w:val="18"/>
          <w:vertAlign w:val="superscript"/>
        </w:rPr>
      </w:pPr>
    </w:p>
    <w:p w14:paraId="51F161F0" w14:textId="77777777" w:rsidR="00802D47" w:rsidRPr="00A60FD5" w:rsidRDefault="00802D47" w:rsidP="00417594">
      <w:pPr>
        <w:spacing w:after="0" w:line="240" w:lineRule="auto"/>
        <w:rPr>
          <w:rFonts w:ascii="Times New Roman" w:hAnsi="Times New Roman" w:cs="Times New Roman"/>
          <w:sz w:val="18"/>
          <w:vertAlign w:val="superscript"/>
        </w:rPr>
      </w:pPr>
    </w:p>
    <w:p w14:paraId="34470F87" w14:textId="77777777" w:rsidR="00802D47" w:rsidRPr="00A60FD5" w:rsidRDefault="00802D47" w:rsidP="00417594">
      <w:pPr>
        <w:spacing w:after="0" w:line="240" w:lineRule="auto"/>
        <w:rPr>
          <w:rFonts w:ascii="Times New Roman" w:hAnsi="Times New Roman" w:cs="Times New Roman"/>
          <w:sz w:val="18"/>
          <w:vertAlign w:val="superscript"/>
        </w:rPr>
      </w:pPr>
    </w:p>
    <w:p w14:paraId="252B71A1" w14:textId="77777777" w:rsidR="00802D47" w:rsidRPr="00A60FD5" w:rsidRDefault="00802D47" w:rsidP="00417594">
      <w:pPr>
        <w:spacing w:after="0" w:line="240" w:lineRule="auto"/>
        <w:rPr>
          <w:rFonts w:ascii="Times New Roman" w:hAnsi="Times New Roman" w:cs="Times New Roman"/>
          <w:sz w:val="18"/>
          <w:vertAlign w:val="superscript"/>
        </w:rPr>
      </w:pPr>
    </w:p>
    <w:p w14:paraId="0EB30130" w14:textId="77777777" w:rsidR="00802D47" w:rsidRPr="00A60FD5" w:rsidRDefault="00802D47" w:rsidP="00417594">
      <w:pPr>
        <w:spacing w:after="0" w:line="240" w:lineRule="auto"/>
        <w:rPr>
          <w:rFonts w:ascii="Times New Roman" w:hAnsi="Times New Roman" w:cs="Times New Roman"/>
          <w:sz w:val="18"/>
          <w:vertAlign w:val="superscript"/>
        </w:rPr>
      </w:pPr>
    </w:p>
    <w:p w14:paraId="04413DCC" w14:textId="77777777" w:rsidR="00802D47" w:rsidRPr="00A60FD5" w:rsidRDefault="00802D47" w:rsidP="00417594">
      <w:pPr>
        <w:spacing w:after="0" w:line="240" w:lineRule="auto"/>
        <w:rPr>
          <w:rFonts w:ascii="Times New Roman" w:hAnsi="Times New Roman" w:cs="Times New Roman"/>
          <w:sz w:val="18"/>
          <w:vertAlign w:val="superscript"/>
        </w:rPr>
      </w:pPr>
    </w:p>
    <w:p w14:paraId="55EC66CB" w14:textId="77777777" w:rsidR="00802D47" w:rsidRPr="00A60FD5" w:rsidRDefault="00802D47" w:rsidP="00417594">
      <w:pPr>
        <w:spacing w:after="0" w:line="240" w:lineRule="auto"/>
        <w:rPr>
          <w:rFonts w:ascii="Times New Roman" w:hAnsi="Times New Roman" w:cs="Times New Roman"/>
          <w:sz w:val="18"/>
          <w:vertAlign w:val="superscript"/>
        </w:rPr>
      </w:pPr>
    </w:p>
    <w:p w14:paraId="69304F9D" w14:textId="77777777" w:rsidR="00802D47" w:rsidRPr="00A60FD5" w:rsidRDefault="00802D47" w:rsidP="00417594">
      <w:pPr>
        <w:spacing w:after="0" w:line="240" w:lineRule="auto"/>
        <w:rPr>
          <w:rFonts w:ascii="Times New Roman" w:hAnsi="Times New Roman" w:cs="Times New Roman"/>
          <w:sz w:val="18"/>
          <w:vertAlign w:val="superscript"/>
        </w:rPr>
      </w:pPr>
    </w:p>
    <w:p w14:paraId="7D6B1A04" w14:textId="77777777" w:rsidR="00802D47" w:rsidRPr="00A60FD5" w:rsidRDefault="00802D47" w:rsidP="00417594">
      <w:pPr>
        <w:spacing w:after="0" w:line="240" w:lineRule="auto"/>
        <w:rPr>
          <w:rFonts w:ascii="Times New Roman" w:hAnsi="Times New Roman" w:cs="Times New Roman"/>
          <w:sz w:val="18"/>
          <w:vertAlign w:val="superscript"/>
        </w:rPr>
      </w:pPr>
    </w:p>
    <w:p w14:paraId="10D1FF72" w14:textId="77777777" w:rsidR="00802D47" w:rsidRPr="00A60FD5" w:rsidRDefault="00802D47" w:rsidP="00417594">
      <w:pPr>
        <w:spacing w:after="0" w:line="240" w:lineRule="auto"/>
        <w:rPr>
          <w:rFonts w:ascii="Times New Roman" w:hAnsi="Times New Roman" w:cs="Times New Roman"/>
          <w:sz w:val="18"/>
          <w:vertAlign w:val="superscript"/>
        </w:rPr>
      </w:pPr>
    </w:p>
    <w:p w14:paraId="634172C8" w14:textId="77777777" w:rsidR="00802D47" w:rsidRPr="00A60FD5" w:rsidRDefault="00802D47" w:rsidP="00417594">
      <w:pPr>
        <w:spacing w:after="0" w:line="240" w:lineRule="auto"/>
        <w:rPr>
          <w:rFonts w:ascii="Times New Roman" w:hAnsi="Times New Roman" w:cs="Times New Roman"/>
          <w:sz w:val="18"/>
          <w:vertAlign w:val="superscript"/>
        </w:rPr>
      </w:pPr>
    </w:p>
    <w:p w14:paraId="60DD4F9A" w14:textId="77777777" w:rsidR="00802D47" w:rsidRPr="00A60FD5" w:rsidRDefault="00802D47" w:rsidP="00417594">
      <w:pPr>
        <w:spacing w:after="0" w:line="240" w:lineRule="auto"/>
        <w:rPr>
          <w:rFonts w:ascii="Times New Roman" w:hAnsi="Times New Roman" w:cs="Times New Roman"/>
          <w:sz w:val="18"/>
          <w:vertAlign w:val="superscript"/>
        </w:rPr>
      </w:pPr>
    </w:p>
    <w:p w14:paraId="2543A4D5" w14:textId="77777777" w:rsidR="00802D47" w:rsidRPr="00A60FD5" w:rsidRDefault="00802D47" w:rsidP="00417594">
      <w:pPr>
        <w:spacing w:after="0" w:line="240" w:lineRule="auto"/>
        <w:rPr>
          <w:rFonts w:ascii="Times New Roman" w:hAnsi="Times New Roman" w:cs="Times New Roman"/>
          <w:sz w:val="18"/>
          <w:vertAlign w:val="superscript"/>
        </w:rPr>
      </w:pPr>
    </w:p>
    <w:p w14:paraId="2F1749B6" w14:textId="77777777" w:rsidR="00802D47" w:rsidRPr="00A60FD5" w:rsidRDefault="00802D47" w:rsidP="00417594">
      <w:pPr>
        <w:spacing w:after="0" w:line="240" w:lineRule="auto"/>
        <w:rPr>
          <w:rFonts w:ascii="Times New Roman" w:hAnsi="Times New Roman" w:cs="Times New Roman"/>
          <w:sz w:val="18"/>
          <w:vertAlign w:val="superscript"/>
        </w:rPr>
      </w:pPr>
    </w:p>
    <w:p w14:paraId="2B7385CA" w14:textId="77777777" w:rsidR="00802D47" w:rsidRPr="00A60FD5" w:rsidRDefault="00802D47" w:rsidP="00417594">
      <w:pPr>
        <w:spacing w:after="0" w:line="240" w:lineRule="auto"/>
        <w:rPr>
          <w:rFonts w:ascii="Times New Roman" w:hAnsi="Times New Roman" w:cs="Times New Roman"/>
          <w:sz w:val="18"/>
          <w:vertAlign w:val="superscript"/>
        </w:rPr>
      </w:pPr>
    </w:p>
    <w:p w14:paraId="09E0527B" w14:textId="77777777" w:rsidR="00802D47" w:rsidRPr="00A60FD5" w:rsidRDefault="00802D47" w:rsidP="00417594">
      <w:pPr>
        <w:spacing w:after="0" w:line="240" w:lineRule="auto"/>
        <w:rPr>
          <w:rFonts w:ascii="Times New Roman" w:hAnsi="Times New Roman" w:cs="Times New Roman"/>
          <w:sz w:val="18"/>
          <w:vertAlign w:val="superscript"/>
        </w:rPr>
      </w:pPr>
    </w:p>
    <w:p w14:paraId="7DC8DFB8" w14:textId="77777777" w:rsidR="00802D47" w:rsidRPr="00A60FD5" w:rsidRDefault="00802D47" w:rsidP="00417594">
      <w:pPr>
        <w:spacing w:after="0" w:line="240" w:lineRule="auto"/>
        <w:rPr>
          <w:rFonts w:ascii="Times New Roman" w:hAnsi="Times New Roman" w:cs="Times New Roman"/>
          <w:sz w:val="18"/>
          <w:vertAlign w:val="superscript"/>
        </w:rPr>
      </w:pPr>
    </w:p>
    <w:p w14:paraId="1E3B8809" w14:textId="77777777" w:rsidR="00802D47" w:rsidRPr="00A60FD5" w:rsidRDefault="00802D47" w:rsidP="00417594">
      <w:pPr>
        <w:spacing w:after="0" w:line="240" w:lineRule="auto"/>
        <w:rPr>
          <w:rFonts w:ascii="Times New Roman" w:hAnsi="Times New Roman" w:cs="Times New Roman"/>
          <w:sz w:val="18"/>
          <w:vertAlign w:val="superscript"/>
        </w:rPr>
      </w:pPr>
    </w:p>
    <w:p w14:paraId="6CDE9436" w14:textId="77777777" w:rsidR="00802D47" w:rsidRPr="00A60FD5" w:rsidRDefault="00802D47" w:rsidP="00417594">
      <w:pPr>
        <w:spacing w:after="0" w:line="240" w:lineRule="auto"/>
        <w:rPr>
          <w:rFonts w:ascii="Times New Roman" w:hAnsi="Times New Roman" w:cs="Times New Roman"/>
          <w:sz w:val="18"/>
          <w:vertAlign w:val="superscript"/>
        </w:rPr>
      </w:pPr>
    </w:p>
    <w:p w14:paraId="31E8DEBE" w14:textId="77777777" w:rsidR="00802D47" w:rsidRPr="00A60FD5" w:rsidRDefault="00802D47" w:rsidP="00417594">
      <w:pPr>
        <w:spacing w:after="0" w:line="240" w:lineRule="auto"/>
        <w:rPr>
          <w:rFonts w:ascii="Times New Roman" w:hAnsi="Times New Roman" w:cs="Times New Roman"/>
          <w:sz w:val="18"/>
          <w:vertAlign w:val="superscript"/>
        </w:rPr>
      </w:pPr>
    </w:p>
    <w:p w14:paraId="4DB5F411" w14:textId="77777777" w:rsidR="00802D47" w:rsidRPr="00A60FD5" w:rsidRDefault="00802D47" w:rsidP="00417594">
      <w:pPr>
        <w:spacing w:after="0" w:line="240" w:lineRule="auto"/>
        <w:rPr>
          <w:rFonts w:ascii="Times New Roman" w:hAnsi="Times New Roman" w:cs="Times New Roman"/>
          <w:sz w:val="18"/>
          <w:vertAlign w:val="superscript"/>
        </w:rPr>
      </w:pPr>
    </w:p>
    <w:p w14:paraId="5861103C" w14:textId="77777777" w:rsidR="00802D47" w:rsidRPr="00A60FD5" w:rsidRDefault="00802D47" w:rsidP="00417594">
      <w:pPr>
        <w:spacing w:after="0" w:line="240" w:lineRule="auto"/>
        <w:rPr>
          <w:rFonts w:ascii="Times New Roman" w:hAnsi="Times New Roman" w:cs="Times New Roman"/>
          <w:sz w:val="18"/>
          <w:vertAlign w:val="superscript"/>
        </w:rPr>
      </w:pPr>
    </w:p>
    <w:p w14:paraId="1EB8A265" w14:textId="77777777" w:rsidR="00802D47" w:rsidRPr="00A60FD5" w:rsidRDefault="00802D47" w:rsidP="00417594">
      <w:pPr>
        <w:spacing w:after="0" w:line="240" w:lineRule="auto"/>
        <w:rPr>
          <w:rFonts w:ascii="Times New Roman" w:hAnsi="Times New Roman" w:cs="Times New Roman"/>
          <w:sz w:val="18"/>
          <w:vertAlign w:val="superscript"/>
        </w:rPr>
      </w:pPr>
    </w:p>
    <w:p w14:paraId="10D4F3BB" w14:textId="7DDBE01B" w:rsidR="00802D47" w:rsidRPr="00A60FD5" w:rsidRDefault="00802D47" w:rsidP="00601A6B">
      <w:pPr>
        <w:rPr>
          <w:rFonts w:ascii="Times New Roman" w:hAnsi="Times New Roman"/>
          <w:b/>
          <w:sz w:val="24"/>
          <w:szCs w:val="24"/>
        </w:rPr>
      </w:pPr>
      <w:r w:rsidRPr="00A60FD5">
        <w:rPr>
          <w:rFonts w:ascii="Times New Roman" w:hAnsi="Times New Roman" w:cs="Times New Roman"/>
          <w:sz w:val="18"/>
          <w:vertAlign w:val="superscript"/>
        </w:rPr>
        <w:t xml:space="preserve">                                                              </w:t>
      </w:r>
      <w:r w:rsidR="00417594" w:rsidRPr="00A60FD5">
        <w:rPr>
          <w:rFonts w:ascii="Times New Roman" w:hAnsi="Times New Roman" w:cs="Times New Roman"/>
          <w:sz w:val="18"/>
          <w:vertAlign w:val="superscript"/>
        </w:rPr>
        <w:t>a</w:t>
      </w:r>
      <w:r w:rsidR="00417594" w:rsidRPr="00A60FD5">
        <w:rPr>
          <w:rFonts w:ascii="Times New Roman" w:hAnsi="Times New Roman" w:cs="Times New Roman"/>
          <w:sz w:val="18"/>
        </w:rPr>
        <w:t xml:space="preserve"> N = 10</w:t>
      </w:r>
      <w:r w:rsidR="007C58B3" w:rsidRPr="00A60FD5">
        <w:rPr>
          <w:rFonts w:ascii="Times New Roman" w:hAnsi="Times New Roman" w:cs="Times New Roman"/>
          <w:sz w:val="18"/>
        </w:rPr>
        <w:t>6</w:t>
      </w:r>
      <w:r w:rsidR="00417594" w:rsidRPr="00A60FD5">
        <w:rPr>
          <w:rFonts w:ascii="Times New Roman" w:hAnsi="Times New Roman" w:cs="Times New Roman"/>
          <w:sz w:val="18"/>
        </w:rPr>
        <w:t xml:space="preserve">. </w:t>
      </w:r>
    </w:p>
    <w:p w14:paraId="5496FA6A" w14:textId="77777777" w:rsidR="00802D47" w:rsidRPr="00A60FD5" w:rsidRDefault="00802D47" w:rsidP="00417594">
      <w:pPr>
        <w:jc w:val="center"/>
        <w:rPr>
          <w:rFonts w:ascii="Times New Roman" w:hAnsi="Times New Roman"/>
          <w:b/>
          <w:sz w:val="24"/>
          <w:szCs w:val="24"/>
        </w:rPr>
      </w:pPr>
    </w:p>
    <w:p w14:paraId="3F11982A" w14:textId="77777777" w:rsidR="00802D47" w:rsidRPr="00A60FD5" w:rsidRDefault="00802D47" w:rsidP="00417594">
      <w:pPr>
        <w:jc w:val="center"/>
        <w:rPr>
          <w:rFonts w:ascii="Times New Roman" w:hAnsi="Times New Roman"/>
          <w:b/>
          <w:sz w:val="24"/>
          <w:szCs w:val="24"/>
        </w:rPr>
      </w:pPr>
    </w:p>
    <w:p w14:paraId="21074D10" w14:textId="77777777" w:rsidR="00802D47" w:rsidRPr="00A60FD5" w:rsidRDefault="00802D47" w:rsidP="00417594">
      <w:pPr>
        <w:jc w:val="center"/>
        <w:rPr>
          <w:rFonts w:ascii="Times New Roman" w:hAnsi="Times New Roman"/>
          <w:b/>
          <w:sz w:val="24"/>
          <w:szCs w:val="24"/>
        </w:rPr>
      </w:pPr>
    </w:p>
    <w:p w14:paraId="3024356E" w14:textId="77777777" w:rsidR="00802D47" w:rsidRPr="00A60FD5" w:rsidRDefault="00802D47" w:rsidP="00417594">
      <w:pPr>
        <w:jc w:val="center"/>
        <w:rPr>
          <w:rFonts w:ascii="Times New Roman" w:hAnsi="Times New Roman"/>
          <w:b/>
          <w:sz w:val="24"/>
          <w:szCs w:val="24"/>
        </w:rPr>
      </w:pPr>
    </w:p>
    <w:p w14:paraId="782295E6" w14:textId="77777777" w:rsidR="00802D47" w:rsidRPr="00A60FD5" w:rsidRDefault="00802D47" w:rsidP="00417594">
      <w:pPr>
        <w:jc w:val="center"/>
        <w:rPr>
          <w:rFonts w:ascii="Times New Roman" w:hAnsi="Times New Roman"/>
          <w:b/>
          <w:sz w:val="24"/>
          <w:szCs w:val="24"/>
        </w:rPr>
      </w:pPr>
    </w:p>
    <w:p w14:paraId="61DD89B2" w14:textId="77777777" w:rsidR="00802D47" w:rsidRPr="00A60FD5" w:rsidRDefault="00802D47" w:rsidP="00417594">
      <w:pPr>
        <w:jc w:val="center"/>
        <w:rPr>
          <w:rFonts w:ascii="Times New Roman" w:hAnsi="Times New Roman"/>
          <w:b/>
          <w:sz w:val="24"/>
          <w:szCs w:val="24"/>
        </w:rPr>
      </w:pPr>
    </w:p>
    <w:p w14:paraId="0AF8564C" w14:textId="77777777" w:rsidR="00802D47" w:rsidRPr="00A60FD5" w:rsidRDefault="00802D47" w:rsidP="00417594">
      <w:pPr>
        <w:jc w:val="center"/>
        <w:rPr>
          <w:rFonts w:ascii="Times New Roman" w:hAnsi="Times New Roman"/>
          <w:b/>
          <w:sz w:val="24"/>
          <w:szCs w:val="24"/>
        </w:rPr>
      </w:pPr>
    </w:p>
    <w:p w14:paraId="741352E9" w14:textId="77777777" w:rsidR="00802D47" w:rsidRPr="00A60FD5" w:rsidRDefault="00802D47" w:rsidP="00417594">
      <w:pPr>
        <w:jc w:val="center"/>
        <w:rPr>
          <w:rFonts w:ascii="Times New Roman" w:hAnsi="Times New Roman"/>
          <w:b/>
          <w:sz w:val="24"/>
          <w:szCs w:val="24"/>
        </w:rPr>
      </w:pPr>
    </w:p>
    <w:p w14:paraId="2460A26B" w14:textId="77777777" w:rsidR="00802D47" w:rsidRPr="00A60FD5" w:rsidRDefault="00802D47" w:rsidP="00417594">
      <w:pPr>
        <w:jc w:val="center"/>
        <w:rPr>
          <w:rFonts w:ascii="Times New Roman" w:hAnsi="Times New Roman"/>
          <w:b/>
          <w:sz w:val="24"/>
          <w:szCs w:val="24"/>
        </w:rPr>
      </w:pPr>
    </w:p>
    <w:p w14:paraId="2A439A65" w14:textId="77777777" w:rsidR="00802D47" w:rsidRPr="00A60FD5" w:rsidRDefault="00802D47" w:rsidP="00417594">
      <w:pPr>
        <w:jc w:val="center"/>
        <w:rPr>
          <w:rFonts w:ascii="Times New Roman" w:hAnsi="Times New Roman"/>
          <w:b/>
          <w:sz w:val="24"/>
          <w:szCs w:val="24"/>
        </w:rPr>
      </w:pPr>
    </w:p>
    <w:p w14:paraId="7E86DF04" w14:textId="77777777" w:rsidR="00802D47" w:rsidRPr="00A60FD5" w:rsidRDefault="00802D47" w:rsidP="00417594">
      <w:pPr>
        <w:jc w:val="center"/>
        <w:rPr>
          <w:rFonts w:ascii="Times New Roman" w:hAnsi="Times New Roman"/>
          <w:b/>
          <w:sz w:val="24"/>
          <w:szCs w:val="24"/>
        </w:rPr>
      </w:pPr>
    </w:p>
    <w:p w14:paraId="0035D0BE" w14:textId="77777777" w:rsidR="00802D47" w:rsidRPr="00A60FD5" w:rsidRDefault="00802D47" w:rsidP="00417594">
      <w:pPr>
        <w:jc w:val="center"/>
        <w:rPr>
          <w:rFonts w:ascii="Times New Roman" w:hAnsi="Times New Roman"/>
          <w:b/>
          <w:sz w:val="24"/>
          <w:szCs w:val="24"/>
        </w:rPr>
      </w:pPr>
    </w:p>
    <w:p w14:paraId="2B95AEDD" w14:textId="77777777" w:rsidR="00802D47" w:rsidRPr="00A60FD5" w:rsidRDefault="00802D47" w:rsidP="00417594">
      <w:pPr>
        <w:jc w:val="center"/>
        <w:rPr>
          <w:rFonts w:ascii="Times New Roman" w:hAnsi="Times New Roman"/>
          <w:b/>
          <w:sz w:val="24"/>
          <w:szCs w:val="24"/>
        </w:rPr>
      </w:pPr>
    </w:p>
    <w:p w14:paraId="48AF55CA" w14:textId="77777777" w:rsidR="00F74EF5" w:rsidRPr="00A60FD5" w:rsidRDefault="00F74EF5" w:rsidP="00417594">
      <w:pPr>
        <w:jc w:val="center"/>
        <w:rPr>
          <w:rFonts w:ascii="Times New Roman" w:hAnsi="Times New Roman"/>
          <w:b/>
          <w:sz w:val="24"/>
          <w:szCs w:val="24"/>
        </w:rPr>
      </w:pPr>
    </w:p>
    <w:p w14:paraId="275FFF0B" w14:textId="77777777" w:rsidR="00802D47" w:rsidRPr="00A60FD5" w:rsidRDefault="00802D47" w:rsidP="00417594">
      <w:pPr>
        <w:jc w:val="center"/>
        <w:rPr>
          <w:rFonts w:ascii="Times New Roman" w:hAnsi="Times New Roman"/>
          <w:b/>
          <w:sz w:val="24"/>
          <w:szCs w:val="24"/>
        </w:rPr>
        <w:sectPr w:rsidR="00802D47" w:rsidRPr="00A60FD5" w:rsidSect="00244AE0">
          <w:footerReference w:type="default" r:id="rId9"/>
          <w:pgSz w:w="11906" w:h="16838" w:code="9"/>
          <w:pgMar w:top="1418" w:right="1418" w:bottom="1418" w:left="1418" w:header="709" w:footer="709" w:gutter="0"/>
          <w:cols w:space="708"/>
          <w:docGrid w:linePitch="360"/>
        </w:sectPr>
      </w:pPr>
    </w:p>
    <w:p w14:paraId="24ED93A8" w14:textId="399F17C7" w:rsidR="00F74EF5" w:rsidRPr="00A60FD5" w:rsidRDefault="00F74EF5" w:rsidP="00417594">
      <w:pPr>
        <w:jc w:val="center"/>
        <w:rPr>
          <w:rFonts w:ascii="Times New Roman" w:hAnsi="Times New Roman"/>
          <w:b/>
          <w:sz w:val="24"/>
          <w:szCs w:val="24"/>
        </w:rPr>
      </w:pPr>
    </w:p>
    <w:p w14:paraId="49464ABB" w14:textId="72EA13BB" w:rsidR="00F74EF5" w:rsidRPr="00A60FD5" w:rsidRDefault="00F74EF5" w:rsidP="00F74EF5">
      <w:pPr>
        <w:spacing w:after="0" w:line="240" w:lineRule="auto"/>
        <w:jc w:val="center"/>
        <w:rPr>
          <w:rFonts w:ascii="Times New Roman" w:hAnsi="Times New Roman"/>
          <w:b/>
          <w:sz w:val="24"/>
          <w:szCs w:val="24"/>
          <w:vertAlign w:val="superscript"/>
        </w:rPr>
      </w:pPr>
      <w:r w:rsidRPr="00A60FD5">
        <w:rPr>
          <w:rFonts w:ascii="Times New Roman" w:hAnsi="Times New Roman"/>
          <w:b/>
          <w:sz w:val="24"/>
          <w:szCs w:val="24"/>
        </w:rPr>
        <w:t xml:space="preserve">TABLE </w:t>
      </w:r>
      <w:r w:rsidR="006F129E" w:rsidRPr="00A60FD5">
        <w:rPr>
          <w:rFonts w:ascii="Times New Roman" w:hAnsi="Times New Roman"/>
          <w:b/>
          <w:sz w:val="24"/>
          <w:szCs w:val="24"/>
        </w:rPr>
        <w:t>3</w:t>
      </w:r>
      <w:r w:rsidRPr="00A60FD5">
        <w:rPr>
          <w:rFonts w:ascii="Times New Roman" w:hAnsi="Times New Roman"/>
          <w:b/>
          <w:sz w:val="24"/>
          <w:szCs w:val="24"/>
        </w:rPr>
        <w:t>: Correlation matrix</w:t>
      </w:r>
      <w:r w:rsidRPr="00A60FD5">
        <w:rPr>
          <w:rFonts w:ascii="Times New Roman" w:hAnsi="Times New Roman"/>
          <w:b/>
          <w:sz w:val="24"/>
          <w:szCs w:val="24"/>
          <w:vertAlign w:val="superscript"/>
        </w:rPr>
        <w:t>a</w:t>
      </w:r>
    </w:p>
    <w:p w14:paraId="28ADB257" w14:textId="77777777" w:rsidR="00F74EF5" w:rsidRPr="00A60FD5" w:rsidRDefault="00F74EF5" w:rsidP="00F74EF5">
      <w:pPr>
        <w:spacing w:after="0" w:line="240" w:lineRule="auto"/>
        <w:jc w:val="center"/>
        <w:rPr>
          <w:rFonts w:ascii="Times New Roman" w:hAnsi="Times New Roman"/>
          <w:b/>
          <w:sz w:val="24"/>
          <w:szCs w:val="24"/>
        </w:rPr>
      </w:pPr>
    </w:p>
    <w:tbl>
      <w:tblPr>
        <w:tblW w:w="15702" w:type="dxa"/>
        <w:tblInd w:w="-1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7"/>
        <w:gridCol w:w="709"/>
        <w:gridCol w:w="992"/>
        <w:gridCol w:w="851"/>
        <w:gridCol w:w="850"/>
        <w:gridCol w:w="851"/>
        <w:gridCol w:w="709"/>
        <w:gridCol w:w="708"/>
        <w:gridCol w:w="851"/>
        <w:gridCol w:w="709"/>
        <w:gridCol w:w="708"/>
        <w:gridCol w:w="709"/>
        <w:gridCol w:w="709"/>
        <w:gridCol w:w="709"/>
        <w:gridCol w:w="708"/>
        <w:gridCol w:w="709"/>
        <w:gridCol w:w="709"/>
        <w:gridCol w:w="567"/>
        <w:gridCol w:w="567"/>
      </w:tblGrid>
      <w:tr w:rsidR="00F74EF5" w:rsidRPr="00A60FD5" w14:paraId="6EE6D884" w14:textId="77777777" w:rsidTr="00F74EF5">
        <w:tc>
          <w:tcPr>
            <w:tcW w:w="2377" w:type="dxa"/>
            <w:tcBorders>
              <w:top w:val="double" w:sz="4" w:space="0" w:color="auto"/>
              <w:left w:val="nil"/>
              <w:bottom w:val="single" w:sz="4" w:space="0" w:color="auto"/>
              <w:right w:val="nil"/>
            </w:tcBorders>
          </w:tcPr>
          <w:p w14:paraId="2A9F753F" w14:textId="77777777" w:rsidR="00F74EF5" w:rsidRPr="00A60FD5" w:rsidRDefault="00F74EF5" w:rsidP="001E1CB2">
            <w:pPr>
              <w:spacing w:before="80" w:after="0" w:line="240" w:lineRule="auto"/>
              <w:rPr>
                <w:rFonts w:ascii="Times New Roman" w:hAnsi="Times New Roman" w:cs="Times New Roman"/>
                <w:sz w:val="18"/>
                <w:szCs w:val="18"/>
              </w:rPr>
            </w:pPr>
          </w:p>
        </w:tc>
        <w:tc>
          <w:tcPr>
            <w:tcW w:w="709" w:type="dxa"/>
            <w:tcBorders>
              <w:top w:val="double" w:sz="4" w:space="0" w:color="auto"/>
              <w:left w:val="nil"/>
              <w:bottom w:val="single" w:sz="4" w:space="0" w:color="auto"/>
              <w:right w:val="nil"/>
            </w:tcBorders>
          </w:tcPr>
          <w:p w14:paraId="1578DD56" w14:textId="77777777" w:rsidR="00F74EF5" w:rsidRPr="00A60FD5" w:rsidRDefault="00F74EF5" w:rsidP="001E1CB2">
            <w:pPr>
              <w:spacing w:before="80" w:after="0" w:line="240" w:lineRule="auto"/>
              <w:rPr>
                <w:rFonts w:ascii="Times New Roman" w:hAnsi="Times New Roman" w:cs="Times New Roman"/>
                <w:sz w:val="18"/>
                <w:szCs w:val="18"/>
              </w:rPr>
            </w:pPr>
            <w:r w:rsidRPr="00A60FD5">
              <w:rPr>
                <w:rFonts w:ascii="Times New Roman" w:hAnsi="Times New Roman" w:cs="Times New Roman"/>
                <w:sz w:val="18"/>
                <w:szCs w:val="18"/>
              </w:rPr>
              <w:t>1</w:t>
            </w:r>
          </w:p>
        </w:tc>
        <w:tc>
          <w:tcPr>
            <w:tcW w:w="992" w:type="dxa"/>
            <w:tcBorders>
              <w:top w:val="double" w:sz="4" w:space="0" w:color="auto"/>
              <w:left w:val="nil"/>
              <w:bottom w:val="single" w:sz="4" w:space="0" w:color="auto"/>
              <w:right w:val="nil"/>
            </w:tcBorders>
          </w:tcPr>
          <w:p w14:paraId="58CFEA95" w14:textId="77777777" w:rsidR="00F74EF5" w:rsidRPr="00A60FD5" w:rsidRDefault="00F74EF5" w:rsidP="001E1CB2">
            <w:pPr>
              <w:spacing w:before="80" w:after="0" w:line="240" w:lineRule="auto"/>
              <w:rPr>
                <w:rFonts w:ascii="Times New Roman" w:hAnsi="Times New Roman" w:cs="Times New Roman"/>
                <w:sz w:val="18"/>
                <w:szCs w:val="18"/>
              </w:rPr>
            </w:pPr>
            <w:r w:rsidRPr="00A60FD5">
              <w:rPr>
                <w:rFonts w:ascii="Times New Roman" w:hAnsi="Times New Roman" w:cs="Times New Roman"/>
                <w:sz w:val="18"/>
                <w:szCs w:val="18"/>
              </w:rPr>
              <w:t>2</w:t>
            </w:r>
          </w:p>
        </w:tc>
        <w:tc>
          <w:tcPr>
            <w:tcW w:w="851" w:type="dxa"/>
            <w:tcBorders>
              <w:top w:val="double" w:sz="4" w:space="0" w:color="auto"/>
              <w:left w:val="nil"/>
              <w:bottom w:val="single" w:sz="4" w:space="0" w:color="auto"/>
              <w:right w:val="nil"/>
            </w:tcBorders>
          </w:tcPr>
          <w:p w14:paraId="3B6734C4" w14:textId="77777777" w:rsidR="00F74EF5" w:rsidRPr="00A60FD5" w:rsidRDefault="00F74EF5" w:rsidP="001E1CB2">
            <w:pPr>
              <w:spacing w:before="80" w:after="0" w:line="240" w:lineRule="auto"/>
              <w:rPr>
                <w:rFonts w:ascii="Times New Roman" w:hAnsi="Times New Roman" w:cs="Times New Roman"/>
                <w:sz w:val="18"/>
                <w:szCs w:val="18"/>
              </w:rPr>
            </w:pPr>
            <w:r w:rsidRPr="00A60FD5">
              <w:rPr>
                <w:rFonts w:ascii="Times New Roman" w:hAnsi="Times New Roman" w:cs="Times New Roman"/>
                <w:sz w:val="18"/>
                <w:szCs w:val="18"/>
              </w:rPr>
              <w:t>3</w:t>
            </w:r>
          </w:p>
        </w:tc>
        <w:tc>
          <w:tcPr>
            <w:tcW w:w="850" w:type="dxa"/>
            <w:tcBorders>
              <w:top w:val="double" w:sz="4" w:space="0" w:color="auto"/>
              <w:left w:val="nil"/>
              <w:bottom w:val="single" w:sz="4" w:space="0" w:color="auto"/>
              <w:right w:val="nil"/>
            </w:tcBorders>
          </w:tcPr>
          <w:p w14:paraId="0160067E" w14:textId="77777777" w:rsidR="00F74EF5" w:rsidRPr="00A60FD5" w:rsidRDefault="00F74EF5" w:rsidP="001E1CB2">
            <w:pPr>
              <w:spacing w:before="80" w:after="0" w:line="240" w:lineRule="auto"/>
              <w:rPr>
                <w:rFonts w:ascii="Times New Roman" w:hAnsi="Times New Roman" w:cs="Times New Roman"/>
                <w:sz w:val="18"/>
                <w:szCs w:val="18"/>
              </w:rPr>
            </w:pPr>
            <w:r w:rsidRPr="00A60FD5">
              <w:rPr>
                <w:rFonts w:ascii="Times New Roman" w:hAnsi="Times New Roman" w:cs="Times New Roman"/>
                <w:sz w:val="18"/>
                <w:szCs w:val="18"/>
              </w:rPr>
              <w:t>4</w:t>
            </w:r>
          </w:p>
        </w:tc>
        <w:tc>
          <w:tcPr>
            <w:tcW w:w="851" w:type="dxa"/>
            <w:tcBorders>
              <w:top w:val="double" w:sz="4" w:space="0" w:color="auto"/>
              <w:left w:val="nil"/>
              <w:bottom w:val="single" w:sz="4" w:space="0" w:color="auto"/>
              <w:right w:val="nil"/>
            </w:tcBorders>
          </w:tcPr>
          <w:p w14:paraId="5BE5C798" w14:textId="77777777" w:rsidR="00F74EF5" w:rsidRPr="00A60FD5" w:rsidRDefault="00F74EF5" w:rsidP="001E1CB2">
            <w:pPr>
              <w:spacing w:before="80" w:after="0" w:line="240" w:lineRule="auto"/>
              <w:rPr>
                <w:rFonts w:ascii="Times New Roman" w:hAnsi="Times New Roman" w:cs="Times New Roman"/>
                <w:sz w:val="18"/>
                <w:szCs w:val="18"/>
              </w:rPr>
            </w:pPr>
            <w:r w:rsidRPr="00A60FD5">
              <w:rPr>
                <w:rFonts w:ascii="Times New Roman" w:hAnsi="Times New Roman" w:cs="Times New Roman"/>
                <w:sz w:val="18"/>
                <w:szCs w:val="18"/>
              </w:rPr>
              <w:t>5</w:t>
            </w:r>
          </w:p>
        </w:tc>
        <w:tc>
          <w:tcPr>
            <w:tcW w:w="709" w:type="dxa"/>
            <w:tcBorders>
              <w:top w:val="double" w:sz="4" w:space="0" w:color="auto"/>
              <w:left w:val="nil"/>
              <w:bottom w:val="single" w:sz="4" w:space="0" w:color="auto"/>
              <w:right w:val="nil"/>
            </w:tcBorders>
          </w:tcPr>
          <w:p w14:paraId="1926F86D" w14:textId="77777777" w:rsidR="00F74EF5" w:rsidRPr="00A60FD5" w:rsidRDefault="00F74EF5" w:rsidP="001E1CB2">
            <w:pPr>
              <w:spacing w:before="80" w:after="0" w:line="240" w:lineRule="auto"/>
              <w:rPr>
                <w:rFonts w:ascii="Times New Roman" w:hAnsi="Times New Roman" w:cs="Times New Roman"/>
                <w:sz w:val="18"/>
                <w:szCs w:val="18"/>
              </w:rPr>
            </w:pPr>
            <w:r w:rsidRPr="00A60FD5">
              <w:rPr>
                <w:rFonts w:ascii="Times New Roman" w:hAnsi="Times New Roman" w:cs="Times New Roman"/>
                <w:sz w:val="18"/>
                <w:szCs w:val="18"/>
              </w:rPr>
              <w:t>6</w:t>
            </w:r>
          </w:p>
        </w:tc>
        <w:tc>
          <w:tcPr>
            <w:tcW w:w="708" w:type="dxa"/>
            <w:tcBorders>
              <w:top w:val="double" w:sz="4" w:space="0" w:color="auto"/>
              <w:left w:val="nil"/>
              <w:bottom w:val="single" w:sz="4" w:space="0" w:color="auto"/>
              <w:right w:val="nil"/>
            </w:tcBorders>
          </w:tcPr>
          <w:p w14:paraId="07152340" w14:textId="77777777" w:rsidR="00F74EF5" w:rsidRPr="00A60FD5" w:rsidRDefault="00F74EF5" w:rsidP="001E1CB2">
            <w:pPr>
              <w:spacing w:before="80" w:after="0" w:line="240" w:lineRule="auto"/>
              <w:rPr>
                <w:rFonts w:ascii="Times New Roman" w:hAnsi="Times New Roman" w:cs="Times New Roman"/>
                <w:sz w:val="18"/>
                <w:szCs w:val="18"/>
              </w:rPr>
            </w:pPr>
            <w:r w:rsidRPr="00A60FD5">
              <w:rPr>
                <w:rFonts w:ascii="Times New Roman" w:hAnsi="Times New Roman" w:cs="Times New Roman"/>
                <w:sz w:val="18"/>
                <w:szCs w:val="18"/>
              </w:rPr>
              <w:t>7</w:t>
            </w:r>
          </w:p>
        </w:tc>
        <w:tc>
          <w:tcPr>
            <w:tcW w:w="851" w:type="dxa"/>
            <w:tcBorders>
              <w:top w:val="double" w:sz="4" w:space="0" w:color="auto"/>
              <w:left w:val="nil"/>
              <w:bottom w:val="single" w:sz="4" w:space="0" w:color="auto"/>
              <w:right w:val="nil"/>
            </w:tcBorders>
          </w:tcPr>
          <w:p w14:paraId="50F603D3" w14:textId="77777777" w:rsidR="00F74EF5" w:rsidRPr="00A60FD5" w:rsidRDefault="00F74EF5" w:rsidP="001E1CB2">
            <w:pPr>
              <w:spacing w:before="80" w:after="0" w:line="240" w:lineRule="auto"/>
              <w:rPr>
                <w:rFonts w:ascii="Times New Roman" w:hAnsi="Times New Roman" w:cs="Times New Roman"/>
                <w:sz w:val="18"/>
                <w:szCs w:val="18"/>
              </w:rPr>
            </w:pPr>
            <w:r w:rsidRPr="00A60FD5">
              <w:rPr>
                <w:rFonts w:ascii="Times New Roman" w:hAnsi="Times New Roman" w:cs="Times New Roman"/>
                <w:sz w:val="18"/>
                <w:szCs w:val="18"/>
              </w:rPr>
              <w:t>8</w:t>
            </w:r>
          </w:p>
        </w:tc>
        <w:tc>
          <w:tcPr>
            <w:tcW w:w="709" w:type="dxa"/>
            <w:tcBorders>
              <w:top w:val="double" w:sz="4" w:space="0" w:color="auto"/>
              <w:left w:val="nil"/>
              <w:bottom w:val="single" w:sz="4" w:space="0" w:color="auto"/>
              <w:right w:val="nil"/>
            </w:tcBorders>
          </w:tcPr>
          <w:p w14:paraId="08FD8AA0" w14:textId="77777777" w:rsidR="00F74EF5" w:rsidRPr="00A60FD5" w:rsidRDefault="00F74EF5" w:rsidP="001E1CB2">
            <w:pPr>
              <w:spacing w:before="80" w:after="0" w:line="240" w:lineRule="auto"/>
              <w:rPr>
                <w:rFonts w:ascii="Times New Roman" w:hAnsi="Times New Roman" w:cs="Times New Roman"/>
                <w:sz w:val="18"/>
                <w:szCs w:val="18"/>
              </w:rPr>
            </w:pPr>
            <w:r w:rsidRPr="00A60FD5">
              <w:rPr>
                <w:rFonts w:ascii="Times New Roman" w:hAnsi="Times New Roman" w:cs="Times New Roman"/>
                <w:sz w:val="18"/>
                <w:szCs w:val="18"/>
              </w:rPr>
              <w:t>9</w:t>
            </w:r>
          </w:p>
        </w:tc>
        <w:tc>
          <w:tcPr>
            <w:tcW w:w="708" w:type="dxa"/>
            <w:tcBorders>
              <w:top w:val="double" w:sz="4" w:space="0" w:color="auto"/>
              <w:left w:val="nil"/>
              <w:bottom w:val="single" w:sz="4" w:space="0" w:color="auto"/>
              <w:right w:val="nil"/>
            </w:tcBorders>
          </w:tcPr>
          <w:p w14:paraId="01BBCEDB" w14:textId="77777777" w:rsidR="00F74EF5" w:rsidRPr="00A60FD5" w:rsidRDefault="00F74EF5" w:rsidP="001E1CB2">
            <w:pPr>
              <w:spacing w:before="80" w:after="0" w:line="240" w:lineRule="auto"/>
              <w:rPr>
                <w:rFonts w:ascii="Times New Roman" w:hAnsi="Times New Roman" w:cs="Times New Roman"/>
                <w:sz w:val="18"/>
                <w:szCs w:val="18"/>
              </w:rPr>
            </w:pPr>
            <w:r w:rsidRPr="00A60FD5">
              <w:rPr>
                <w:rFonts w:ascii="Times New Roman" w:hAnsi="Times New Roman" w:cs="Times New Roman"/>
                <w:sz w:val="18"/>
                <w:szCs w:val="18"/>
              </w:rPr>
              <w:t>10</w:t>
            </w:r>
          </w:p>
        </w:tc>
        <w:tc>
          <w:tcPr>
            <w:tcW w:w="709" w:type="dxa"/>
            <w:tcBorders>
              <w:top w:val="double" w:sz="4" w:space="0" w:color="auto"/>
              <w:left w:val="nil"/>
              <w:bottom w:val="single" w:sz="4" w:space="0" w:color="auto"/>
              <w:right w:val="nil"/>
            </w:tcBorders>
          </w:tcPr>
          <w:p w14:paraId="1CFB59EA" w14:textId="77777777" w:rsidR="00F74EF5" w:rsidRPr="00A60FD5" w:rsidRDefault="00F74EF5" w:rsidP="001E1CB2">
            <w:pPr>
              <w:spacing w:before="80" w:after="0" w:line="240" w:lineRule="auto"/>
              <w:rPr>
                <w:rFonts w:ascii="Times New Roman" w:hAnsi="Times New Roman" w:cs="Times New Roman"/>
                <w:sz w:val="18"/>
                <w:szCs w:val="18"/>
              </w:rPr>
            </w:pPr>
            <w:r w:rsidRPr="00A60FD5">
              <w:rPr>
                <w:rFonts w:ascii="Times New Roman" w:hAnsi="Times New Roman" w:cs="Times New Roman"/>
                <w:sz w:val="18"/>
                <w:szCs w:val="18"/>
              </w:rPr>
              <w:t>11</w:t>
            </w:r>
          </w:p>
        </w:tc>
        <w:tc>
          <w:tcPr>
            <w:tcW w:w="709" w:type="dxa"/>
            <w:tcBorders>
              <w:top w:val="double" w:sz="4" w:space="0" w:color="auto"/>
              <w:left w:val="nil"/>
              <w:bottom w:val="single" w:sz="4" w:space="0" w:color="auto"/>
              <w:right w:val="nil"/>
            </w:tcBorders>
          </w:tcPr>
          <w:p w14:paraId="71B51BE2" w14:textId="77777777" w:rsidR="00F74EF5" w:rsidRPr="00A60FD5" w:rsidRDefault="00F74EF5" w:rsidP="001E1CB2">
            <w:pPr>
              <w:spacing w:before="80" w:after="0" w:line="240" w:lineRule="auto"/>
              <w:rPr>
                <w:rFonts w:ascii="Times New Roman" w:hAnsi="Times New Roman" w:cs="Times New Roman"/>
                <w:sz w:val="18"/>
                <w:szCs w:val="18"/>
              </w:rPr>
            </w:pPr>
            <w:r w:rsidRPr="00A60FD5">
              <w:rPr>
                <w:rFonts w:ascii="Times New Roman" w:hAnsi="Times New Roman" w:cs="Times New Roman"/>
                <w:sz w:val="18"/>
                <w:szCs w:val="18"/>
              </w:rPr>
              <w:t>12</w:t>
            </w:r>
          </w:p>
        </w:tc>
        <w:tc>
          <w:tcPr>
            <w:tcW w:w="709" w:type="dxa"/>
            <w:tcBorders>
              <w:top w:val="double" w:sz="4" w:space="0" w:color="auto"/>
              <w:left w:val="nil"/>
              <w:bottom w:val="single" w:sz="4" w:space="0" w:color="auto"/>
              <w:right w:val="nil"/>
            </w:tcBorders>
          </w:tcPr>
          <w:p w14:paraId="4BFB8E95" w14:textId="77777777" w:rsidR="00F74EF5" w:rsidRPr="00A60FD5" w:rsidRDefault="00F74EF5" w:rsidP="001E1CB2">
            <w:pPr>
              <w:spacing w:before="80" w:after="0" w:line="240" w:lineRule="auto"/>
              <w:jc w:val="center"/>
              <w:rPr>
                <w:rFonts w:ascii="Times New Roman" w:hAnsi="Times New Roman" w:cs="Times New Roman"/>
                <w:sz w:val="18"/>
                <w:szCs w:val="18"/>
              </w:rPr>
            </w:pPr>
            <w:r w:rsidRPr="00A60FD5">
              <w:rPr>
                <w:rFonts w:ascii="Times New Roman" w:hAnsi="Times New Roman" w:cs="Times New Roman"/>
                <w:sz w:val="18"/>
                <w:szCs w:val="18"/>
              </w:rPr>
              <w:t>13</w:t>
            </w:r>
          </w:p>
        </w:tc>
        <w:tc>
          <w:tcPr>
            <w:tcW w:w="708" w:type="dxa"/>
            <w:tcBorders>
              <w:top w:val="double" w:sz="4" w:space="0" w:color="auto"/>
              <w:left w:val="nil"/>
              <w:bottom w:val="single" w:sz="4" w:space="0" w:color="auto"/>
              <w:right w:val="nil"/>
            </w:tcBorders>
          </w:tcPr>
          <w:p w14:paraId="0C99D01C" w14:textId="77777777" w:rsidR="00F74EF5" w:rsidRPr="00A60FD5" w:rsidRDefault="00F74EF5" w:rsidP="001E1CB2">
            <w:pPr>
              <w:spacing w:before="80" w:after="0" w:line="240" w:lineRule="auto"/>
              <w:jc w:val="center"/>
              <w:rPr>
                <w:rFonts w:ascii="Times New Roman" w:hAnsi="Times New Roman" w:cs="Times New Roman"/>
                <w:sz w:val="18"/>
                <w:szCs w:val="18"/>
              </w:rPr>
            </w:pPr>
            <w:r w:rsidRPr="00A60FD5">
              <w:rPr>
                <w:rFonts w:ascii="Times New Roman" w:hAnsi="Times New Roman" w:cs="Times New Roman"/>
                <w:sz w:val="18"/>
                <w:szCs w:val="18"/>
              </w:rPr>
              <w:t>14</w:t>
            </w:r>
          </w:p>
        </w:tc>
        <w:tc>
          <w:tcPr>
            <w:tcW w:w="709" w:type="dxa"/>
            <w:tcBorders>
              <w:top w:val="double" w:sz="4" w:space="0" w:color="auto"/>
              <w:left w:val="nil"/>
              <w:bottom w:val="single" w:sz="4" w:space="0" w:color="auto"/>
              <w:right w:val="nil"/>
            </w:tcBorders>
          </w:tcPr>
          <w:p w14:paraId="03D17DD2" w14:textId="77777777" w:rsidR="00F74EF5" w:rsidRPr="00A60FD5" w:rsidRDefault="00F74EF5" w:rsidP="001E1CB2">
            <w:pPr>
              <w:spacing w:before="80" w:after="0" w:line="240" w:lineRule="auto"/>
              <w:jc w:val="center"/>
              <w:rPr>
                <w:rFonts w:ascii="Times New Roman" w:hAnsi="Times New Roman" w:cs="Times New Roman"/>
                <w:sz w:val="18"/>
                <w:szCs w:val="18"/>
              </w:rPr>
            </w:pPr>
            <w:r w:rsidRPr="00A60FD5">
              <w:rPr>
                <w:rFonts w:ascii="Times New Roman" w:hAnsi="Times New Roman" w:cs="Times New Roman"/>
                <w:sz w:val="18"/>
                <w:szCs w:val="18"/>
              </w:rPr>
              <w:t>15</w:t>
            </w:r>
          </w:p>
        </w:tc>
        <w:tc>
          <w:tcPr>
            <w:tcW w:w="709" w:type="dxa"/>
            <w:tcBorders>
              <w:top w:val="double" w:sz="4" w:space="0" w:color="auto"/>
              <w:left w:val="nil"/>
              <w:bottom w:val="single" w:sz="4" w:space="0" w:color="auto"/>
              <w:right w:val="nil"/>
            </w:tcBorders>
          </w:tcPr>
          <w:p w14:paraId="16D484E2" w14:textId="77777777" w:rsidR="00F74EF5" w:rsidRPr="00A60FD5" w:rsidRDefault="00F74EF5" w:rsidP="001E1CB2">
            <w:pPr>
              <w:spacing w:before="80" w:after="0" w:line="240" w:lineRule="auto"/>
              <w:jc w:val="center"/>
              <w:rPr>
                <w:rFonts w:ascii="Times New Roman" w:hAnsi="Times New Roman" w:cs="Times New Roman"/>
                <w:sz w:val="18"/>
                <w:szCs w:val="18"/>
              </w:rPr>
            </w:pPr>
            <w:r w:rsidRPr="00A60FD5">
              <w:rPr>
                <w:rFonts w:ascii="Times New Roman" w:hAnsi="Times New Roman" w:cs="Times New Roman"/>
                <w:sz w:val="18"/>
                <w:szCs w:val="18"/>
              </w:rPr>
              <w:t>16</w:t>
            </w:r>
          </w:p>
        </w:tc>
        <w:tc>
          <w:tcPr>
            <w:tcW w:w="567" w:type="dxa"/>
            <w:tcBorders>
              <w:top w:val="double" w:sz="4" w:space="0" w:color="auto"/>
              <w:left w:val="nil"/>
              <w:bottom w:val="single" w:sz="4" w:space="0" w:color="auto"/>
              <w:right w:val="nil"/>
            </w:tcBorders>
          </w:tcPr>
          <w:p w14:paraId="71FA904A" w14:textId="77777777" w:rsidR="00F74EF5" w:rsidRPr="00A60FD5" w:rsidRDefault="00F74EF5" w:rsidP="001E1CB2">
            <w:pPr>
              <w:spacing w:before="80" w:after="0" w:line="240" w:lineRule="auto"/>
              <w:jc w:val="center"/>
              <w:rPr>
                <w:rFonts w:ascii="Times New Roman" w:hAnsi="Times New Roman" w:cs="Times New Roman"/>
                <w:sz w:val="18"/>
                <w:szCs w:val="18"/>
              </w:rPr>
            </w:pPr>
            <w:r w:rsidRPr="00A60FD5">
              <w:rPr>
                <w:rFonts w:ascii="Times New Roman" w:hAnsi="Times New Roman" w:cs="Times New Roman"/>
                <w:sz w:val="18"/>
                <w:szCs w:val="18"/>
              </w:rPr>
              <w:t>17</w:t>
            </w:r>
          </w:p>
        </w:tc>
        <w:tc>
          <w:tcPr>
            <w:tcW w:w="567" w:type="dxa"/>
            <w:tcBorders>
              <w:top w:val="double" w:sz="4" w:space="0" w:color="auto"/>
              <w:left w:val="nil"/>
              <w:bottom w:val="single" w:sz="4" w:space="0" w:color="auto"/>
              <w:right w:val="nil"/>
            </w:tcBorders>
          </w:tcPr>
          <w:p w14:paraId="347E5DF2" w14:textId="77777777" w:rsidR="00F74EF5" w:rsidRPr="00A60FD5" w:rsidRDefault="00F74EF5" w:rsidP="001E1CB2">
            <w:pPr>
              <w:spacing w:before="80" w:after="0" w:line="240" w:lineRule="auto"/>
              <w:jc w:val="center"/>
              <w:rPr>
                <w:rFonts w:ascii="Times New Roman" w:hAnsi="Times New Roman" w:cs="Times New Roman"/>
                <w:sz w:val="18"/>
                <w:szCs w:val="18"/>
              </w:rPr>
            </w:pPr>
            <w:r w:rsidRPr="00A60FD5">
              <w:rPr>
                <w:rFonts w:ascii="Times New Roman" w:hAnsi="Times New Roman" w:cs="Times New Roman"/>
                <w:sz w:val="18"/>
                <w:szCs w:val="18"/>
              </w:rPr>
              <w:t>18</w:t>
            </w:r>
          </w:p>
        </w:tc>
      </w:tr>
      <w:tr w:rsidR="00F74EF5" w:rsidRPr="00A60FD5" w14:paraId="148CCA89" w14:textId="77777777" w:rsidTr="00F74EF5">
        <w:tc>
          <w:tcPr>
            <w:tcW w:w="2377" w:type="dxa"/>
            <w:tcBorders>
              <w:top w:val="single" w:sz="4" w:space="0" w:color="auto"/>
              <w:left w:val="nil"/>
              <w:bottom w:val="nil"/>
              <w:right w:val="nil"/>
            </w:tcBorders>
          </w:tcPr>
          <w:p w14:paraId="290D245C" w14:textId="77777777" w:rsidR="00F74EF5" w:rsidRPr="00A60FD5" w:rsidRDefault="00F74EF5" w:rsidP="001E1CB2">
            <w:pPr>
              <w:spacing w:before="80" w:after="0" w:line="200" w:lineRule="exact"/>
              <w:rPr>
                <w:rFonts w:ascii="Times New Roman" w:hAnsi="Times New Roman" w:cs="Times New Roman"/>
                <w:sz w:val="20"/>
                <w:szCs w:val="20"/>
              </w:rPr>
            </w:pPr>
            <w:r w:rsidRPr="00A60FD5">
              <w:rPr>
                <w:rFonts w:ascii="Times New Roman" w:hAnsi="Times New Roman" w:cs="Times New Roman"/>
                <w:sz w:val="20"/>
                <w:szCs w:val="20"/>
              </w:rPr>
              <w:t>1. Arbitration</w:t>
            </w:r>
          </w:p>
        </w:tc>
        <w:tc>
          <w:tcPr>
            <w:tcW w:w="709" w:type="dxa"/>
            <w:tcBorders>
              <w:top w:val="single" w:sz="4" w:space="0" w:color="auto"/>
              <w:left w:val="nil"/>
              <w:bottom w:val="nil"/>
              <w:right w:val="nil"/>
            </w:tcBorders>
          </w:tcPr>
          <w:p w14:paraId="76EE814D" w14:textId="77777777" w:rsidR="00F74EF5" w:rsidRPr="00A60FD5" w:rsidRDefault="00F74EF5" w:rsidP="001E1CB2">
            <w:pPr>
              <w:spacing w:before="80" w:after="0" w:line="200" w:lineRule="exact"/>
              <w:rPr>
                <w:rFonts w:ascii="Times New Roman" w:hAnsi="Times New Roman" w:cs="Times New Roman"/>
                <w:sz w:val="18"/>
                <w:szCs w:val="18"/>
              </w:rPr>
            </w:pPr>
            <w:r w:rsidRPr="00A60FD5">
              <w:rPr>
                <w:rFonts w:ascii="Times New Roman" w:hAnsi="Times New Roman" w:cs="Times New Roman"/>
                <w:sz w:val="18"/>
                <w:szCs w:val="18"/>
              </w:rPr>
              <w:t>1.00</w:t>
            </w:r>
          </w:p>
        </w:tc>
        <w:tc>
          <w:tcPr>
            <w:tcW w:w="992" w:type="dxa"/>
            <w:tcBorders>
              <w:top w:val="single" w:sz="4" w:space="0" w:color="auto"/>
              <w:left w:val="nil"/>
              <w:bottom w:val="nil"/>
              <w:right w:val="nil"/>
            </w:tcBorders>
          </w:tcPr>
          <w:p w14:paraId="36E36933" w14:textId="77777777" w:rsidR="00F74EF5" w:rsidRPr="00A60FD5" w:rsidRDefault="00F74EF5" w:rsidP="001E1CB2">
            <w:pPr>
              <w:spacing w:before="80" w:after="0" w:line="200" w:lineRule="exact"/>
              <w:rPr>
                <w:rFonts w:ascii="Times New Roman" w:hAnsi="Times New Roman" w:cs="Times New Roman"/>
                <w:sz w:val="18"/>
                <w:szCs w:val="18"/>
              </w:rPr>
            </w:pPr>
          </w:p>
        </w:tc>
        <w:tc>
          <w:tcPr>
            <w:tcW w:w="851" w:type="dxa"/>
            <w:tcBorders>
              <w:top w:val="single" w:sz="4" w:space="0" w:color="auto"/>
              <w:left w:val="nil"/>
              <w:bottom w:val="nil"/>
              <w:right w:val="nil"/>
            </w:tcBorders>
          </w:tcPr>
          <w:p w14:paraId="4D4797AD" w14:textId="77777777" w:rsidR="00F74EF5" w:rsidRPr="00A60FD5" w:rsidRDefault="00F74EF5" w:rsidP="001E1CB2">
            <w:pPr>
              <w:spacing w:before="80" w:after="0" w:line="200" w:lineRule="exact"/>
              <w:rPr>
                <w:rFonts w:ascii="Times New Roman" w:hAnsi="Times New Roman" w:cs="Times New Roman"/>
                <w:sz w:val="18"/>
                <w:szCs w:val="18"/>
              </w:rPr>
            </w:pPr>
          </w:p>
        </w:tc>
        <w:tc>
          <w:tcPr>
            <w:tcW w:w="850" w:type="dxa"/>
            <w:tcBorders>
              <w:top w:val="single" w:sz="4" w:space="0" w:color="auto"/>
              <w:left w:val="nil"/>
              <w:bottom w:val="nil"/>
              <w:right w:val="nil"/>
            </w:tcBorders>
          </w:tcPr>
          <w:p w14:paraId="4E92B2FF" w14:textId="77777777" w:rsidR="00F74EF5" w:rsidRPr="00A60FD5" w:rsidRDefault="00F74EF5" w:rsidP="001E1CB2">
            <w:pPr>
              <w:spacing w:before="80" w:after="0" w:line="200" w:lineRule="exact"/>
              <w:rPr>
                <w:rFonts w:ascii="Times New Roman" w:hAnsi="Times New Roman" w:cs="Times New Roman"/>
                <w:sz w:val="18"/>
                <w:szCs w:val="18"/>
              </w:rPr>
            </w:pPr>
          </w:p>
        </w:tc>
        <w:tc>
          <w:tcPr>
            <w:tcW w:w="851" w:type="dxa"/>
            <w:tcBorders>
              <w:top w:val="single" w:sz="4" w:space="0" w:color="auto"/>
              <w:left w:val="nil"/>
              <w:bottom w:val="nil"/>
              <w:right w:val="nil"/>
            </w:tcBorders>
          </w:tcPr>
          <w:p w14:paraId="6CE9B0BC" w14:textId="77777777" w:rsidR="00F74EF5" w:rsidRPr="00A60FD5" w:rsidRDefault="00F74EF5" w:rsidP="001E1CB2">
            <w:pPr>
              <w:spacing w:before="80" w:after="0" w:line="200" w:lineRule="exact"/>
              <w:rPr>
                <w:rFonts w:ascii="Times New Roman" w:hAnsi="Times New Roman" w:cs="Times New Roman"/>
                <w:sz w:val="18"/>
                <w:szCs w:val="18"/>
              </w:rPr>
            </w:pPr>
          </w:p>
        </w:tc>
        <w:tc>
          <w:tcPr>
            <w:tcW w:w="709" w:type="dxa"/>
            <w:tcBorders>
              <w:top w:val="single" w:sz="4" w:space="0" w:color="auto"/>
              <w:left w:val="nil"/>
              <w:bottom w:val="nil"/>
              <w:right w:val="nil"/>
            </w:tcBorders>
          </w:tcPr>
          <w:p w14:paraId="5C2DFCCE" w14:textId="77777777" w:rsidR="00F74EF5" w:rsidRPr="00A60FD5" w:rsidRDefault="00F74EF5" w:rsidP="001E1CB2">
            <w:pPr>
              <w:spacing w:before="80" w:after="0" w:line="200" w:lineRule="exact"/>
              <w:rPr>
                <w:rFonts w:ascii="Times New Roman" w:hAnsi="Times New Roman" w:cs="Times New Roman"/>
                <w:sz w:val="18"/>
                <w:szCs w:val="18"/>
              </w:rPr>
            </w:pPr>
          </w:p>
        </w:tc>
        <w:tc>
          <w:tcPr>
            <w:tcW w:w="708" w:type="dxa"/>
            <w:tcBorders>
              <w:top w:val="single" w:sz="4" w:space="0" w:color="auto"/>
              <w:left w:val="nil"/>
              <w:bottom w:val="nil"/>
              <w:right w:val="nil"/>
            </w:tcBorders>
          </w:tcPr>
          <w:p w14:paraId="6B4842E0" w14:textId="77777777" w:rsidR="00F74EF5" w:rsidRPr="00A60FD5" w:rsidRDefault="00F74EF5" w:rsidP="001E1CB2">
            <w:pPr>
              <w:spacing w:before="80" w:after="0" w:line="200" w:lineRule="exact"/>
              <w:rPr>
                <w:rFonts w:ascii="Times New Roman" w:hAnsi="Times New Roman" w:cs="Times New Roman"/>
                <w:sz w:val="18"/>
                <w:szCs w:val="18"/>
              </w:rPr>
            </w:pPr>
          </w:p>
        </w:tc>
        <w:tc>
          <w:tcPr>
            <w:tcW w:w="851" w:type="dxa"/>
            <w:tcBorders>
              <w:top w:val="single" w:sz="4" w:space="0" w:color="auto"/>
              <w:left w:val="nil"/>
              <w:bottom w:val="nil"/>
              <w:right w:val="nil"/>
            </w:tcBorders>
          </w:tcPr>
          <w:p w14:paraId="4E3A759F" w14:textId="77777777" w:rsidR="00F74EF5" w:rsidRPr="00A60FD5" w:rsidRDefault="00F74EF5" w:rsidP="001E1CB2">
            <w:pPr>
              <w:spacing w:before="80" w:after="0" w:line="200" w:lineRule="exact"/>
              <w:rPr>
                <w:rFonts w:ascii="Times New Roman" w:hAnsi="Times New Roman" w:cs="Times New Roman"/>
                <w:sz w:val="18"/>
                <w:szCs w:val="18"/>
              </w:rPr>
            </w:pPr>
          </w:p>
        </w:tc>
        <w:tc>
          <w:tcPr>
            <w:tcW w:w="709" w:type="dxa"/>
            <w:tcBorders>
              <w:top w:val="single" w:sz="4" w:space="0" w:color="auto"/>
              <w:left w:val="nil"/>
              <w:bottom w:val="nil"/>
              <w:right w:val="nil"/>
            </w:tcBorders>
          </w:tcPr>
          <w:p w14:paraId="33BF447B" w14:textId="77777777" w:rsidR="00F74EF5" w:rsidRPr="00A60FD5" w:rsidRDefault="00F74EF5" w:rsidP="001E1CB2">
            <w:pPr>
              <w:spacing w:before="80" w:after="0" w:line="200" w:lineRule="exact"/>
              <w:rPr>
                <w:rFonts w:ascii="Times New Roman" w:hAnsi="Times New Roman" w:cs="Times New Roman"/>
                <w:sz w:val="18"/>
                <w:szCs w:val="18"/>
              </w:rPr>
            </w:pPr>
          </w:p>
        </w:tc>
        <w:tc>
          <w:tcPr>
            <w:tcW w:w="708" w:type="dxa"/>
            <w:tcBorders>
              <w:top w:val="single" w:sz="4" w:space="0" w:color="auto"/>
              <w:left w:val="nil"/>
              <w:bottom w:val="nil"/>
              <w:right w:val="nil"/>
            </w:tcBorders>
          </w:tcPr>
          <w:p w14:paraId="4BB2F5DB" w14:textId="77777777" w:rsidR="00F74EF5" w:rsidRPr="00A60FD5" w:rsidRDefault="00F74EF5" w:rsidP="001E1CB2">
            <w:pPr>
              <w:spacing w:before="80" w:after="0" w:line="200" w:lineRule="exact"/>
              <w:rPr>
                <w:rFonts w:ascii="Times New Roman" w:hAnsi="Times New Roman" w:cs="Times New Roman"/>
                <w:sz w:val="18"/>
                <w:szCs w:val="18"/>
              </w:rPr>
            </w:pPr>
          </w:p>
        </w:tc>
        <w:tc>
          <w:tcPr>
            <w:tcW w:w="709" w:type="dxa"/>
            <w:tcBorders>
              <w:top w:val="single" w:sz="4" w:space="0" w:color="auto"/>
              <w:left w:val="nil"/>
              <w:bottom w:val="nil"/>
              <w:right w:val="nil"/>
            </w:tcBorders>
          </w:tcPr>
          <w:p w14:paraId="2B8E9DDD" w14:textId="77777777" w:rsidR="00F74EF5" w:rsidRPr="00A60FD5" w:rsidRDefault="00F74EF5" w:rsidP="001E1CB2">
            <w:pPr>
              <w:spacing w:before="80" w:after="0" w:line="200" w:lineRule="exact"/>
              <w:rPr>
                <w:rFonts w:ascii="Times New Roman" w:hAnsi="Times New Roman" w:cs="Times New Roman"/>
                <w:sz w:val="18"/>
                <w:szCs w:val="18"/>
              </w:rPr>
            </w:pPr>
          </w:p>
        </w:tc>
        <w:tc>
          <w:tcPr>
            <w:tcW w:w="709" w:type="dxa"/>
            <w:tcBorders>
              <w:top w:val="single" w:sz="4" w:space="0" w:color="auto"/>
              <w:left w:val="nil"/>
              <w:bottom w:val="nil"/>
              <w:right w:val="nil"/>
            </w:tcBorders>
          </w:tcPr>
          <w:p w14:paraId="194AEFD2" w14:textId="77777777" w:rsidR="00F74EF5" w:rsidRPr="00A60FD5" w:rsidRDefault="00F74EF5" w:rsidP="001E1CB2">
            <w:pPr>
              <w:spacing w:before="80" w:after="0" w:line="200" w:lineRule="exact"/>
              <w:rPr>
                <w:rFonts w:ascii="Times New Roman" w:hAnsi="Times New Roman" w:cs="Times New Roman"/>
                <w:sz w:val="18"/>
                <w:szCs w:val="18"/>
              </w:rPr>
            </w:pPr>
          </w:p>
        </w:tc>
        <w:tc>
          <w:tcPr>
            <w:tcW w:w="709" w:type="dxa"/>
            <w:tcBorders>
              <w:top w:val="single" w:sz="4" w:space="0" w:color="auto"/>
              <w:left w:val="nil"/>
              <w:bottom w:val="nil"/>
              <w:right w:val="nil"/>
            </w:tcBorders>
          </w:tcPr>
          <w:p w14:paraId="6ADEF82B" w14:textId="77777777" w:rsidR="00F74EF5" w:rsidRPr="00A60FD5" w:rsidRDefault="00F74EF5" w:rsidP="001E1CB2">
            <w:pPr>
              <w:spacing w:before="80" w:after="0" w:line="200" w:lineRule="exact"/>
              <w:rPr>
                <w:rFonts w:ascii="Times New Roman" w:hAnsi="Times New Roman" w:cs="Times New Roman"/>
                <w:sz w:val="18"/>
                <w:szCs w:val="18"/>
              </w:rPr>
            </w:pPr>
          </w:p>
        </w:tc>
        <w:tc>
          <w:tcPr>
            <w:tcW w:w="708" w:type="dxa"/>
            <w:tcBorders>
              <w:top w:val="single" w:sz="4" w:space="0" w:color="auto"/>
              <w:left w:val="nil"/>
              <w:bottom w:val="nil"/>
              <w:right w:val="nil"/>
            </w:tcBorders>
          </w:tcPr>
          <w:p w14:paraId="06E38242" w14:textId="77777777" w:rsidR="00F74EF5" w:rsidRPr="00A60FD5" w:rsidRDefault="00F74EF5" w:rsidP="001E1CB2">
            <w:pPr>
              <w:spacing w:before="80" w:after="0" w:line="200" w:lineRule="exact"/>
              <w:rPr>
                <w:rFonts w:ascii="Times New Roman" w:hAnsi="Times New Roman" w:cs="Times New Roman"/>
                <w:sz w:val="18"/>
                <w:szCs w:val="18"/>
              </w:rPr>
            </w:pPr>
          </w:p>
        </w:tc>
        <w:tc>
          <w:tcPr>
            <w:tcW w:w="709" w:type="dxa"/>
            <w:tcBorders>
              <w:top w:val="single" w:sz="4" w:space="0" w:color="auto"/>
              <w:left w:val="nil"/>
              <w:bottom w:val="nil"/>
              <w:right w:val="nil"/>
            </w:tcBorders>
          </w:tcPr>
          <w:p w14:paraId="6108E289" w14:textId="77777777" w:rsidR="00F74EF5" w:rsidRPr="00A60FD5" w:rsidRDefault="00F74EF5" w:rsidP="001E1CB2">
            <w:pPr>
              <w:spacing w:before="80" w:after="0" w:line="200" w:lineRule="exact"/>
              <w:rPr>
                <w:rFonts w:ascii="Times New Roman" w:hAnsi="Times New Roman" w:cs="Times New Roman"/>
                <w:sz w:val="18"/>
                <w:szCs w:val="18"/>
              </w:rPr>
            </w:pPr>
          </w:p>
        </w:tc>
        <w:tc>
          <w:tcPr>
            <w:tcW w:w="709" w:type="dxa"/>
            <w:tcBorders>
              <w:top w:val="single" w:sz="4" w:space="0" w:color="auto"/>
              <w:left w:val="nil"/>
              <w:bottom w:val="nil"/>
              <w:right w:val="nil"/>
            </w:tcBorders>
          </w:tcPr>
          <w:p w14:paraId="2CE78354" w14:textId="77777777" w:rsidR="00F74EF5" w:rsidRPr="00A60FD5" w:rsidRDefault="00F74EF5" w:rsidP="001E1CB2">
            <w:pPr>
              <w:spacing w:before="80" w:after="0" w:line="200" w:lineRule="exact"/>
              <w:rPr>
                <w:rFonts w:ascii="Times New Roman" w:hAnsi="Times New Roman" w:cs="Times New Roman"/>
                <w:sz w:val="18"/>
                <w:szCs w:val="18"/>
              </w:rPr>
            </w:pPr>
          </w:p>
        </w:tc>
        <w:tc>
          <w:tcPr>
            <w:tcW w:w="567" w:type="dxa"/>
            <w:tcBorders>
              <w:top w:val="single" w:sz="4" w:space="0" w:color="auto"/>
              <w:left w:val="nil"/>
              <w:bottom w:val="nil"/>
              <w:right w:val="nil"/>
            </w:tcBorders>
          </w:tcPr>
          <w:p w14:paraId="48A5F406" w14:textId="77777777" w:rsidR="00F74EF5" w:rsidRPr="00A60FD5" w:rsidRDefault="00F74EF5" w:rsidP="001E1CB2">
            <w:pPr>
              <w:spacing w:before="80" w:after="0" w:line="200" w:lineRule="exact"/>
              <w:rPr>
                <w:rFonts w:ascii="Times New Roman" w:hAnsi="Times New Roman" w:cs="Times New Roman"/>
                <w:sz w:val="18"/>
                <w:szCs w:val="18"/>
              </w:rPr>
            </w:pPr>
          </w:p>
        </w:tc>
        <w:tc>
          <w:tcPr>
            <w:tcW w:w="567" w:type="dxa"/>
            <w:tcBorders>
              <w:top w:val="single" w:sz="4" w:space="0" w:color="auto"/>
              <w:left w:val="nil"/>
              <w:bottom w:val="nil"/>
              <w:right w:val="nil"/>
            </w:tcBorders>
          </w:tcPr>
          <w:p w14:paraId="218F6119" w14:textId="77777777" w:rsidR="00F74EF5" w:rsidRPr="00A60FD5" w:rsidRDefault="00F74EF5" w:rsidP="001E1CB2">
            <w:pPr>
              <w:spacing w:before="80" w:after="0" w:line="200" w:lineRule="exact"/>
              <w:rPr>
                <w:rFonts w:ascii="Times New Roman" w:hAnsi="Times New Roman" w:cs="Times New Roman"/>
                <w:sz w:val="18"/>
                <w:szCs w:val="18"/>
              </w:rPr>
            </w:pPr>
          </w:p>
        </w:tc>
      </w:tr>
      <w:tr w:rsidR="00F74EF5" w:rsidRPr="00A60FD5" w14:paraId="207D5158" w14:textId="77777777" w:rsidTr="00F74EF5">
        <w:tc>
          <w:tcPr>
            <w:tcW w:w="2377" w:type="dxa"/>
            <w:tcBorders>
              <w:top w:val="nil"/>
              <w:left w:val="nil"/>
              <w:bottom w:val="nil"/>
              <w:right w:val="nil"/>
            </w:tcBorders>
          </w:tcPr>
          <w:p w14:paraId="7842A410" w14:textId="77777777" w:rsidR="00F74EF5" w:rsidRPr="00A60FD5" w:rsidRDefault="00F74EF5" w:rsidP="001E1CB2">
            <w:pPr>
              <w:spacing w:before="80" w:after="0" w:line="200" w:lineRule="exact"/>
              <w:rPr>
                <w:rFonts w:ascii="Times New Roman" w:hAnsi="Times New Roman" w:cs="Times New Roman"/>
                <w:sz w:val="20"/>
                <w:szCs w:val="20"/>
              </w:rPr>
            </w:pPr>
            <w:r w:rsidRPr="00A60FD5">
              <w:rPr>
                <w:rFonts w:ascii="Times New Roman" w:hAnsi="Times New Roman" w:cs="Times New Roman"/>
                <w:sz w:val="20"/>
                <w:szCs w:val="20"/>
              </w:rPr>
              <w:t xml:space="preserve">2. Monitoring </w:t>
            </w:r>
          </w:p>
        </w:tc>
        <w:tc>
          <w:tcPr>
            <w:tcW w:w="709" w:type="dxa"/>
            <w:tcBorders>
              <w:top w:val="nil"/>
              <w:left w:val="nil"/>
              <w:bottom w:val="nil"/>
              <w:right w:val="nil"/>
            </w:tcBorders>
          </w:tcPr>
          <w:p w14:paraId="7563E826" w14:textId="77777777" w:rsidR="00F74EF5" w:rsidRPr="00A60FD5" w:rsidRDefault="00F74EF5" w:rsidP="001E1CB2">
            <w:pPr>
              <w:spacing w:before="80" w:after="0" w:line="200" w:lineRule="exact"/>
              <w:rPr>
                <w:rFonts w:ascii="Times New Roman" w:hAnsi="Times New Roman" w:cs="Times New Roman"/>
                <w:sz w:val="18"/>
                <w:szCs w:val="18"/>
              </w:rPr>
            </w:pPr>
            <w:r w:rsidRPr="00A60FD5">
              <w:rPr>
                <w:rFonts w:ascii="Times New Roman" w:hAnsi="Times New Roman" w:cs="Times New Roman"/>
                <w:sz w:val="18"/>
                <w:szCs w:val="18"/>
              </w:rPr>
              <w:t>-0.03</w:t>
            </w:r>
          </w:p>
        </w:tc>
        <w:tc>
          <w:tcPr>
            <w:tcW w:w="992" w:type="dxa"/>
            <w:tcBorders>
              <w:top w:val="nil"/>
              <w:left w:val="nil"/>
              <w:bottom w:val="nil"/>
              <w:right w:val="nil"/>
            </w:tcBorders>
          </w:tcPr>
          <w:p w14:paraId="14CE009B" w14:textId="77777777" w:rsidR="00F74EF5" w:rsidRPr="00A60FD5" w:rsidRDefault="00F74EF5" w:rsidP="001E1CB2">
            <w:pPr>
              <w:spacing w:before="80" w:after="0" w:line="200" w:lineRule="exact"/>
              <w:rPr>
                <w:rFonts w:ascii="Times New Roman" w:hAnsi="Times New Roman" w:cs="Times New Roman"/>
                <w:sz w:val="18"/>
                <w:szCs w:val="18"/>
              </w:rPr>
            </w:pPr>
            <w:r w:rsidRPr="00A60FD5">
              <w:rPr>
                <w:rFonts w:ascii="Times New Roman" w:hAnsi="Times New Roman" w:cs="Times New Roman"/>
                <w:sz w:val="18"/>
                <w:szCs w:val="18"/>
              </w:rPr>
              <w:t>1.00</w:t>
            </w:r>
          </w:p>
        </w:tc>
        <w:tc>
          <w:tcPr>
            <w:tcW w:w="851" w:type="dxa"/>
            <w:tcBorders>
              <w:top w:val="nil"/>
              <w:left w:val="nil"/>
              <w:bottom w:val="nil"/>
              <w:right w:val="nil"/>
            </w:tcBorders>
          </w:tcPr>
          <w:p w14:paraId="3DF9E518" w14:textId="77777777" w:rsidR="00F74EF5" w:rsidRPr="00A60FD5" w:rsidRDefault="00F74EF5" w:rsidP="001E1CB2">
            <w:pPr>
              <w:spacing w:before="80" w:after="0" w:line="200" w:lineRule="exact"/>
              <w:rPr>
                <w:rFonts w:ascii="Times New Roman" w:hAnsi="Times New Roman" w:cs="Times New Roman"/>
                <w:sz w:val="18"/>
                <w:szCs w:val="18"/>
              </w:rPr>
            </w:pPr>
          </w:p>
        </w:tc>
        <w:tc>
          <w:tcPr>
            <w:tcW w:w="850" w:type="dxa"/>
            <w:tcBorders>
              <w:top w:val="nil"/>
              <w:left w:val="nil"/>
              <w:bottom w:val="nil"/>
              <w:right w:val="nil"/>
            </w:tcBorders>
          </w:tcPr>
          <w:p w14:paraId="36D698B2" w14:textId="77777777" w:rsidR="00F74EF5" w:rsidRPr="00A60FD5" w:rsidRDefault="00F74EF5" w:rsidP="001E1CB2">
            <w:pPr>
              <w:spacing w:before="80" w:after="0" w:line="200" w:lineRule="exact"/>
              <w:rPr>
                <w:rFonts w:ascii="Times New Roman" w:hAnsi="Times New Roman" w:cs="Times New Roman"/>
                <w:sz w:val="18"/>
                <w:szCs w:val="18"/>
              </w:rPr>
            </w:pPr>
          </w:p>
        </w:tc>
        <w:tc>
          <w:tcPr>
            <w:tcW w:w="851" w:type="dxa"/>
            <w:tcBorders>
              <w:top w:val="nil"/>
              <w:left w:val="nil"/>
              <w:bottom w:val="nil"/>
              <w:right w:val="nil"/>
            </w:tcBorders>
          </w:tcPr>
          <w:p w14:paraId="61ACA95F" w14:textId="77777777" w:rsidR="00F74EF5" w:rsidRPr="00A60FD5" w:rsidRDefault="00F74EF5" w:rsidP="001E1CB2">
            <w:pPr>
              <w:spacing w:before="80" w:after="0" w:line="200" w:lineRule="exact"/>
              <w:rPr>
                <w:rFonts w:ascii="Times New Roman" w:hAnsi="Times New Roman" w:cs="Times New Roman"/>
                <w:sz w:val="18"/>
                <w:szCs w:val="18"/>
              </w:rPr>
            </w:pPr>
          </w:p>
        </w:tc>
        <w:tc>
          <w:tcPr>
            <w:tcW w:w="709" w:type="dxa"/>
            <w:tcBorders>
              <w:top w:val="nil"/>
              <w:left w:val="nil"/>
              <w:bottom w:val="nil"/>
              <w:right w:val="nil"/>
            </w:tcBorders>
          </w:tcPr>
          <w:p w14:paraId="37EA9101" w14:textId="77777777" w:rsidR="00F74EF5" w:rsidRPr="00A60FD5" w:rsidRDefault="00F74EF5" w:rsidP="001E1CB2">
            <w:pPr>
              <w:spacing w:before="80" w:after="0" w:line="200" w:lineRule="exact"/>
              <w:rPr>
                <w:rFonts w:ascii="Times New Roman" w:hAnsi="Times New Roman" w:cs="Times New Roman"/>
                <w:sz w:val="18"/>
                <w:szCs w:val="18"/>
              </w:rPr>
            </w:pPr>
          </w:p>
        </w:tc>
        <w:tc>
          <w:tcPr>
            <w:tcW w:w="708" w:type="dxa"/>
            <w:tcBorders>
              <w:top w:val="nil"/>
              <w:left w:val="nil"/>
              <w:bottom w:val="nil"/>
              <w:right w:val="nil"/>
            </w:tcBorders>
          </w:tcPr>
          <w:p w14:paraId="3CC9B7FE" w14:textId="77777777" w:rsidR="00F74EF5" w:rsidRPr="00A60FD5" w:rsidRDefault="00F74EF5" w:rsidP="001E1CB2">
            <w:pPr>
              <w:spacing w:before="80" w:after="0" w:line="200" w:lineRule="exact"/>
              <w:rPr>
                <w:rFonts w:ascii="Times New Roman" w:hAnsi="Times New Roman" w:cs="Times New Roman"/>
                <w:sz w:val="18"/>
                <w:szCs w:val="18"/>
              </w:rPr>
            </w:pPr>
          </w:p>
        </w:tc>
        <w:tc>
          <w:tcPr>
            <w:tcW w:w="851" w:type="dxa"/>
            <w:tcBorders>
              <w:top w:val="nil"/>
              <w:left w:val="nil"/>
              <w:bottom w:val="nil"/>
              <w:right w:val="nil"/>
            </w:tcBorders>
          </w:tcPr>
          <w:p w14:paraId="21A462F1" w14:textId="77777777" w:rsidR="00F74EF5" w:rsidRPr="00A60FD5" w:rsidRDefault="00F74EF5" w:rsidP="001E1CB2">
            <w:pPr>
              <w:spacing w:before="80" w:after="0" w:line="200" w:lineRule="exact"/>
              <w:rPr>
                <w:rFonts w:ascii="Times New Roman" w:hAnsi="Times New Roman" w:cs="Times New Roman"/>
                <w:sz w:val="18"/>
                <w:szCs w:val="18"/>
              </w:rPr>
            </w:pPr>
          </w:p>
        </w:tc>
        <w:tc>
          <w:tcPr>
            <w:tcW w:w="709" w:type="dxa"/>
            <w:tcBorders>
              <w:top w:val="nil"/>
              <w:left w:val="nil"/>
              <w:bottom w:val="nil"/>
              <w:right w:val="nil"/>
            </w:tcBorders>
          </w:tcPr>
          <w:p w14:paraId="3A747EF5" w14:textId="77777777" w:rsidR="00F74EF5" w:rsidRPr="00A60FD5" w:rsidRDefault="00F74EF5" w:rsidP="001E1CB2">
            <w:pPr>
              <w:spacing w:before="80" w:after="0" w:line="200" w:lineRule="exact"/>
              <w:rPr>
                <w:rFonts w:ascii="Times New Roman" w:hAnsi="Times New Roman" w:cs="Times New Roman"/>
                <w:sz w:val="18"/>
                <w:szCs w:val="18"/>
              </w:rPr>
            </w:pPr>
          </w:p>
        </w:tc>
        <w:tc>
          <w:tcPr>
            <w:tcW w:w="708" w:type="dxa"/>
            <w:tcBorders>
              <w:top w:val="nil"/>
              <w:left w:val="nil"/>
              <w:bottom w:val="nil"/>
              <w:right w:val="nil"/>
            </w:tcBorders>
          </w:tcPr>
          <w:p w14:paraId="22375AD1" w14:textId="77777777" w:rsidR="00F74EF5" w:rsidRPr="00A60FD5" w:rsidRDefault="00F74EF5" w:rsidP="001E1CB2">
            <w:pPr>
              <w:spacing w:before="80" w:after="0" w:line="200" w:lineRule="exact"/>
              <w:rPr>
                <w:rFonts w:ascii="Times New Roman" w:hAnsi="Times New Roman" w:cs="Times New Roman"/>
                <w:sz w:val="18"/>
                <w:szCs w:val="18"/>
              </w:rPr>
            </w:pPr>
          </w:p>
        </w:tc>
        <w:tc>
          <w:tcPr>
            <w:tcW w:w="709" w:type="dxa"/>
            <w:tcBorders>
              <w:top w:val="nil"/>
              <w:left w:val="nil"/>
              <w:bottom w:val="nil"/>
              <w:right w:val="nil"/>
            </w:tcBorders>
          </w:tcPr>
          <w:p w14:paraId="40A3C749" w14:textId="77777777" w:rsidR="00F74EF5" w:rsidRPr="00A60FD5" w:rsidRDefault="00F74EF5" w:rsidP="001E1CB2">
            <w:pPr>
              <w:spacing w:before="80" w:after="0" w:line="200" w:lineRule="exact"/>
              <w:rPr>
                <w:rFonts w:ascii="Times New Roman" w:hAnsi="Times New Roman" w:cs="Times New Roman"/>
                <w:sz w:val="18"/>
                <w:szCs w:val="18"/>
              </w:rPr>
            </w:pPr>
          </w:p>
        </w:tc>
        <w:tc>
          <w:tcPr>
            <w:tcW w:w="709" w:type="dxa"/>
            <w:tcBorders>
              <w:top w:val="nil"/>
              <w:left w:val="nil"/>
              <w:bottom w:val="nil"/>
              <w:right w:val="nil"/>
            </w:tcBorders>
          </w:tcPr>
          <w:p w14:paraId="662120AC" w14:textId="77777777" w:rsidR="00F74EF5" w:rsidRPr="00A60FD5" w:rsidRDefault="00F74EF5" w:rsidP="001E1CB2">
            <w:pPr>
              <w:spacing w:before="80" w:after="0" w:line="200" w:lineRule="exact"/>
              <w:rPr>
                <w:rFonts w:ascii="Times New Roman" w:hAnsi="Times New Roman" w:cs="Times New Roman"/>
                <w:sz w:val="18"/>
                <w:szCs w:val="18"/>
              </w:rPr>
            </w:pPr>
          </w:p>
        </w:tc>
        <w:tc>
          <w:tcPr>
            <w:tcW w:w="709" w:type="dxa"/>
            <w:tcBorders>
              <w:top w:val="nil"/>
              <w:left w:val="nil"/>
              <w:bottom w:val="nil"/>
              <w:right w:val="nil"/>
            </w:tcBorders>
          </w:tcPr>
          <w:p w14:paraId="1FEF4891" w14:textId="77777777" w:rsidR="00F74EF5" w:rsidRPr="00A60FD5" w:rsidRDefault="00F74EF5" w:rsidP="001E1CB2">
            <w:pPr>
              <w:spacing w:before="80" w:after="0" w:line="200" w:lineRule="exact"/>
              <w:rPr>
                <w:rFonts w:ascii="Times New Roman" w:hAnsi="Times New Roman" w:cs="Times New Roman"/>
                <w:sz w:val="18"/>
                <w:szCs w:val="18"/>
              </w:rPr>
            </w:pPr>
          </w:p>
        </w:tc>
        <w:tc>
          <w:tcPr>
            <w:tcW w:w="708" w:type="dxa"/>
            <w:tcBorders>
              <w:top w:val="nil"/>
              <w:left w:val="nil"/>
              <w:bottom w:val="nil"/>
              <w:right w:val="nil"/>
            </w:tcBorders>
          </w:tcPr>
          <w:p w14:paraId="39BFB399" w14:textId="77777777" w:rsidR="00F74EF5" w:rsidRPr="00A60FD5" w:rsidRDefault="00F74EF5" w:rsidP="001E1CB2">
            <w:pPr>
              <w:spacing w:before="80" w:after="0" w:line="200" w:lineRule="exact"/>
              <w:rPr>
                <w:rFonts w:ascii="Times New Roman" w:hAnsi="Times New Roman" w:cs="Times New Roman"/>
                <w:sz w:val="18"/>
                <w:szCs w:val="18"/>
              </w:rPr>
            </w:pPr>
          </w:p>
        </w:tc>
        <w:tc>
          <w:tcPr>
            <w:tcW w:w="709" w:type="dxa"/>
            <w:tcBorders>
              <w:top w:val="nil"/>
              <w:left w:val="nil"/>
              <w:bottom w:val="nil"/>
              <w:right w:val="nil"/>
            </w:tcBorders>
          </w:tcPr>
          <w:p w14:paraId="0A59D505" w14:textId="77777777" w:rsidR="00F74EF5" w:rsidRPr="00A60FD5" w:rsidRDefault="00F74EF5" w:rsidP="001E1CB2">
            <w:pPr>
              <w:spacing w:before="80" w:after="0" w:line="200" w:lineRule="exact"/>
              <w:rPr>
                <w:rFonts w:ascii="Times New Roman" w:hAnsi="Times New Roman" w:cs="Times New Roman"/>
                <w:sz w:val="18"/>
                <w:szCs w:val="18"/>
              </w:rPr>
            </w:pPr>
          </w:p>
        </w:tc>
        <w:tc>
          <w:tcPr>
            <w:tcW w:w="709" w:type="dxa"/>
            <w:tcBorders>
              <w:top w:val="nil"/>
              <w:left w:val="nil"/>
              <w:bottom w:val="nil"/>
              <w:right w:val="nil"/>
            </w:tcBorders>
          </w:tcPr>
          <w:p w14:paraId="334DCB87" w14:textId="77777777" w:rsidR="00F74EF5" w:rsidRPr="00A60FD5" w:rsidRDefault="00F74EF5" w:rsidP="001E1CB2">
            <w:pPr>
              <w:spacing w:before="80" w:after="0" w:line="200" w:lineRule="exact"/>
              <w:rPr>
                <w:rFonts w:ascii="Times New Roman" w:hAnsi="Times New Roman" w:cs="Times New Roman"/>
                <w:sz w:val="18"/>
                <w:szCs w:val="18"/>
              </w:rPr>
            </w:pPr>
          </w:p>
        </w:tc>
        <w:tc>
          <w:tcPr>
            <w:tcW w:w="567" w:type="dxa"/>
            <w:tcBorders>
              <w:top w:val="nil"/>
              <w:left w:val="nil"/>
              <w:bottom w:val="nil"/>
              <w:right w:val="nil"/>
            </w:tcBorders>
          </w:tcPr>
          <w:p w14:paraId="4A85C20C" w14:textId="77777777" w:rsidR="00F74EF5" w:rsidRPr="00A60FD5" w:rsidRDefault="00F74EF5" w:rsidP="001E1CB2">
            <w:pPr>
              <w:spacing w:before="80" w:after="0" w:line="200" w:lineRule="exact"/>
              <w:rPr>
                <w:rFonts w:ascii="Times New Roman" w:hAnsi="Times New Roman" w:cs="Times New Roman"/>
                <w:sz w:val="18"/>
                <w:szCs w:val="18"/>
              </w:rPr>
            </w:pPr>
          </w:p>
        </w:tc>
        <w:tc>
          <w:tcPr>
            <w:tcW w:w="567" w:type="dxa"/>
            <w:tcBorders>
              <w:top w:val="nil"/>
              <w:left w:val="nil"/>
              <w:bottom w:val="nil"/>
              <w:right w:val="nil"/>
            </w:tcBorders>
          </w:tcPr>
          <w:p w14:paraId="0872358F" w14:textId="77777777" w:rsidR="00F74EF5" w:rsidRPr="00A60FD5" w:rsidRDefault="00F74EF5" w:rsidP="001E1CB2">
            <w:pPr>
              <w:spacing w:before="80" w:after="0" w:line="200" w:lineRule="exact"/>
              <w:rPr>
                <w:rFonts w:ascii="Times New Roman" w:hAnsi="Times New Roman" w:cs="Times New Roman"/>
                <w:sz w:val="18"/>
                <w:szCs w:val="18"/>
              </w:rPr>
            </w:pPr>
          </w:p>
        </w:tc>
      </w:tr>
      <w:tr w:rsidR="00F74EF5" w:rsidRPr="00A60FD5" w14:paraId="2B732BFE" w14:textId="77777777" w:rsidTr="00F74EF5">
        <w:tc>
          <w:tcPr>
            <w:tcW w:w="2377" w:type="dxa"/>
            <w:tcBorders>
              <w:top w:val="nil"/>
              <w:left w:val="nil"/>
              <w:bottom w:val="nil"/>
              <w:right w:val="nil"/>
            </w:tcBorders>
          </w:tcPr>
          <w:p w14:paraId="02A65EC3" w14:textId="77777777" w:rsidR="00F74EF5" w:rsidRPr="00A60FD5" w:rsidRDefault="00F74EF5" w:rsidP="001E1CB2">
            <w:pPr>
              <w:spacing w:before="80" w:after="0" w:line="200" w:lineRule="exact"/>
              <w:rPr>
                <w:rFonts w:ascii="Times New Roman" w:hAnsi="Times New Roman" w:cs="Times New Roman"/>
                <w:sz w:val="20"/>
                <w:szCs w:val="20"/>
              </w:rPr>
            </w:pPr>
            <w:r w:rsidRPr="00A60FD5">
              <w:rPr>
                <w:rFonts w:ascii="Times New Roman" w:hAnsi="Times New Roman" w:cs="Times New Roman"/>
                <w:sz w:val="20"/>
                <w:szCs w:val="20"/>
              </w:rPr>
              <w:t>3. Coordination</w:t>
            </w:r>
          </w:p>
        </w:tc>
        <w:tc>
          <w:tcPr>
            <w:tcW w:w="709" w:type="dxa"/>
            <w:tcBorders>
              <w:top w:val="nil"/>
              <w:left w:val="nil"/>
              <w:bottom w:val="nil"/>
              <w:right w:val="nil"/>
            </w:tcBorders>
          </w:tcPr>
          <w:p w14:paraId="6E2BCB8E" w14:textId="77777777" w:rsidR="00F74EF5" w:rsidRPr="00A60FD5" w:rsidRDefault="00F74EF5" w:rsidP="001E1CB2">
            <w:pPr>
              <w:spacing w:before="80" w:after="0" w:line="200" w:lineRule="exact"/>
              <w:rPr>
                <w:rFonts w:ascii="Times New Roman" w:hAnsi="Times New Roman" w:cs="Times New Roman"/>
                <w:sz w:val="18"/>
                <w:szCs w:val="18"/>
              </w:rPr>
            </w:pPr>
            <w:r w:rsidRPr="00A60FD5">
              <w:rPr>
                <w:rFonts w:ascii="Times New Roman" w:hAnsi="Times New Roman" w:cs="Times New Roman"/>
                <w:sz w:val="18"/>
                <w:szCs w:val="18"/>
              </w:rPr>
              <w:t>0.20*</w:t>
            </w:r>
          </w:p>
        </w:tc>
        <w:tc>
          <w:tcPr>
            <w:tcW w:w="992" w:type="dxa"/>
            <w:tcBorders>
              <w:top w:val="nil"/>
              <w:left w:val="nil"/>
              <w:bottom w:val="nil"/>
              <w:right w:val="nil"/>
            </w:tcBorders>
          </w:tcPr>
          <w:p w14:paraId="212D018C" w14:textId="77777777" w:rsidR="00F74EF5" w:rsidRPr="00A60FD5" w:rsidRDefault="00F74EF5" w:rsidP="001E1CB2">
            <w:pPr>
              <w:spacing w:before="80" w:after="0" w:line="200" w:lineRule="exact"/>
              <w:rPr>
                <w:rFonts w:ascii="Times New Roman" w:hAnsi="Times New Roman" w:cs="Times New Roman"/>
                <w:sz w:val="18"/>
                <w:szCs w:val="18"/>
              </w:rPr>
            </w:pPr>
            <w:r w:rsidRPr="00A60FD5">
              <w:rPr>
                <w:rFonts w:ascii="Times New Roman" w:hAnsi="Times New Roman" w:cs="Times New Roman"/>
                <w:sz w:val="18"/>
                <w:szCs w:val="18"/>
              </w:rPr>
              <w:t>0.29**</w:t>
            </w:r>
          </w:p>
        </w:tc>
        <w:tc>
          <w:tcPr>
            <w:tcW w:w="851" w:type="dxa"/>
            <w:tcBorders>
              <w:top w:val="nil"/>
              <w:left w:val="nil"/>
              <w:bottom w:val="nil"/>
              <w:right w:val="nil"/>
            </w:tcBorders>
          </w:tcPr>
          <w:p w14:paraId="56A10E2E" w14:textId="77777777" w:rsidR="00F74EF5" w:rsidRPr="00A60FD5" w:rsidRDefault="00F74EF5" w:rsidP="001E1CB2">
            <w:pPr>
              <w:spacing w:before="80" w:after="0" w:line="200" w:lineRule="exact"/>
              <w:rPr>
                <w:rFonts w:ascii="Times New Roman" w:hAnsi="Times New Roman" w:cs="Times New Roman"/>
                <w:sz w:val="18"/>
                <w:szCs w:val="18"/>
              </w:rPr>
            </w:pPr>
            <w:r w:rsidRPr="00A60FD5">
              <w:rPr>
                <w:rFonts w:ascii="Times New Roman" w:hAnsi="Times New Roman" w:cs="Times New Roman"/>
                <w:sz w:val="18"/>
                <w:szCs w:val="18"/>
              </w:rPr>
              <w:t>1.00</w:t>
            </w:r>
          </w:p>
        </w:tc>
        <w:tc>
          <w:tcPr>
            <w:tcW w:w="850" w:type="dxa"/>
            <w:tcBorders>
              <w:top w:val="nil"/>
              <w:left w:val="nil"/>
              <w:bottom w:val="nil"/>
              <w:right w:val="nil"/>
            </w:tcBorders>
          </w:tcPr>
          <w:p w14:paraId="7BA9EEFF" w14:textId="77777777" w:rsidR="00F74EF5" w:rsidRPr="00A60FD5" w:rsidRDefault="00F74EF5" w:rsidP="001E1CB2">
            <w:pPr>
              <w:spacing w:before="80" w:after="0" w:line="200" w:lineRule="exact"/>
              <w:rPr>
                <w:rFonts w:ascii="Times New Roman" w:hAnsi="Times New Roman" w:cs="Times New Roman"/>
                <w:sz w:val="18"/>
                <w:szCs w:val="18"/>
              </w:rPr>
            </w:pPr>
          </w:p>
        </w:tc>
        <w:tc>
          <w:tcPr>
            <w:tcW w:w="851" w:type="dxa"/>
            <w:tcBorders>
              <w:top w:val="nil"/>
              <w:left w:val="nil"/>
              <w:bottom w:val="nil"/>
              <w:right w:val="nil"/>
            </w:tcBorders>
          </w:tcPr>
          <w:p w14:paraId="4142A93E" w14:textId="77777777" w:rsidR="00F74EF5" w:rsidRPr="00A60FD5" w:rsidRDefault="00F74EF5" w:rsidP="001E1CB2">
            <w:pPr>
              <w:spacing w:before="80" w:after="0" w:line="200" w:lineRule="exact"/>
              <w:rPr>
                <w:rFonts w:ascii="Times New Roman" w:hAnsi="Times New Roman" w:cs="Times New Roman"/>
                <w:sz w:val="18"/>
                <w:szCs w:val="18"/>
              </w:rPr>
            </w:pPr>
          </w:p>
        </w:tc>
        <w:tc>
          <w:tcPr>
            <w:tcW w:w="709" w:type="dxa"/>
            <w:tcBorders>
              <w:top w:val="nil"/>
              <w:left w:val="nil"/>
              <w:bottom w:val="nil"/>
              <w:right w:val="nil"/>
            </w:tcBorders>
          </w:tcPr>
          <w:p w14:paraId="35638C10" w14:textId="77777777" w:rsidR="00F74EF5" w:rsidRPr="00A60FD5" w:rsidRDefault="00F74EF5" w:rsidP="001E1CB2">
            <w:pPr>
              <w:spacing w:before="80" w:after="0" w:line="200" w:lineRule="exact"/>
              <w:rPr>
                <w:rFonts w:ascii="Times New Roman" w:hAnsi="Times New Roman" w:cs="Times New Roman"/>
                <w:sz w:val="18"/>
                <w:szCs w:val="18"/>
              </w:rPr>
            </w:pPr>
          </w:p>
        </w:tc>
        <w:tc>
          <w:tcPr>
            <w:tcW w:w="708" w:type="dxa"/>
            <w:tcBorders>
              <w:top w:val="nil"/>
              <w:left w:val="nil"/>
              <w:bottom w:val="nil"/>
              <w:right w:val="nil"/>
            </w:tcBorders>
          </w:tcPr>
          <w:p w14:paraId="470101CD" w14:textId="77777777" w:rsidR="00F74EF5" w:rsidRPr="00A60FD5" w:rsidRDefault="00F74EF5" w:rsidP="001E1CB2">
            <w:pPr>
              <w:spacing w:before="80" w:after="0" w:line="200" w:lineRule="exact"/>
              <w:rPr>
                <w:rFonts w:ascii="Times New Roman" w:hAnsi="Times New Roman" w:cs="Times New Roman"/>
                <w:sz w:val="18"/>
                <w:szCs w:val="18"/>
              </w:rPr>
            </w:pPr>
          </w:p>
        </w:tc>
        <w:tc>
          <w:tcPr>
            <w:tcW w:w="851" w:type="dxa"/>
            <w:tcBorders>
              <w:top w:val="nil"/>
              <w:left w:val="nil"/>
              <w:bottom w:val="nil"/>
              <w:right w:val="nil"/>
            </w:tcBorders>
          </w:tcPr>
          <w:p w14:paraId="0CAEF3F6" w14:textId="77777777" w:rsidR="00F74EF5" w:rsidRPr="00A60FD5" w:rsidRDefault="00F74EF5" w:rsidP="001E1CB2">
            <w:pPr>
              <w:spacing w:before="80" w:after="0" w:line="200" w:lineRule="exact"/>
              <w:rPr>
                <w:rFonts w:ascii="Times New Roman" w:hAnsi="Times New Roman" w:cs="Times New Roman"/>
                <w:sz w:val="18"/>
                <w:szCs w:val="18"/>
              </w:rPr>
            </w:pPr>
          </w:p>
        </w:tc>
        <w:tc>
          <w:tcPr>
            <w:tcW w:w="709" w:type="dxa"/>
            <w:tcBorders>
              <w:top w:val="nil"/>
              <w:left w:val="nil"/>
              <w:bottom w:val="nil"/>
              <w:right w:val="nil"/>
            </w:tcBorders>
          </w:tcPr>
          <w:p w14:paraId="2ED1D9B8" w14:textId="77777777" w:rsidR="00F74EF5" w:rsidRPr="00A60FD5" w:rsidRDefault="00F74EF5" w:rsidP="001E1CB2">
            <w:pPr>
              <w:spacing w:before="80" w:after="0" w:line="200" w:lineRule="exact"/>
              <w:rPr>
                <w:rFonts w:ascii="Times New Roman" w:hAnsi="Times New Roman" w:cs="Times New Roman"/>
                <w:sz w:val="18"/>
                <w:szCs w:val="18"/>
              </w:rPr>
            </w:pPr>
          </w:p>
        </w:tc>
        <w:tc>
          <w:tcPr>
            <w:tcW w:w="708" w:type="dxa"/>
            <w:tcBorders>
              <w:top w:val="nil"/>
              <w:left w:val="nil"/>
              <w:bottom w:val="nil"/>
              <w:right w:val="nil"/>
            </w:tcBorders>
          </w:tcPr>
          <w:p w14:paraId="439A27E8" w14:textId="77777777" w:rsidR="00F74EF5" w:rsidRPr="00A60FD5" w:rsidRDefault="00F74EF5" w:rsidP="001E1CB2">
            <w:pPr>
              <w:spacing w:before="80" w:after="0" w:line="200" w:lineRule="exact"/>
              <w:rPr>
                <w:rFonts w:ascii="Times New Roman" w:hAnsi="Times New Roman" w:cs="Times New Roman"/>
                <w:sz w:val="18"/>
                <w:szCs w:val="18"/>
              </w:rPr>
            </w:pPr>
          </w:p>
        </w:tc>
        <w:tc>
          <w:tcPr>
            <w:tcW w:w="709" w:type="dxa"/>
            <w:tcBorders>
              <w:top w:val="nil"/>
              <w:left w:val="nil"/>
              <w:bottom w:val="nil"/>
              <w:right w:val="nil"/>
            </w:tcBorders>
          </w:tcPr>
          <w:p w14:paraId="0BF9D4BD" w14:textId="77777777" w:rsidR="00F74EF5" w:rsidRPr="00A60FD5" w:rsidRDefault="00F74EF5" w:rsidP="001E1CB2">
            <w:pPr>
              <w:spacing w:before="80" w:after="0" w:line="200" w:lineRule="exact"/>
              <w:rPr>
                <w:rFonts w:ascii="Times New Roman" w:hAnsi="Times New Roman" w:cs="Times New Roman"/>
                <w:sz w:val="18"/>
                <w:szCs w:val="18"/>
              </w:rPr>
            </w:pPr>
          </w:p>
        </w:tc>
        <w:tc>
          <w:tcPr>
            <w:tcW w:w="709" w:type="dxa"/>
            <w:tcBorders>
              <w:top w:val="nil"/>
              <w:left w:val="nil"/>
              <w:bottom w:val="nil"/>
              <w:right w:val="nil"/>
            </w:tcBorders>
          </w:tcPr>
          <w:p w14:paraId="0A6307E4" w14:textId="77777777" w:rsidR="00F74EF5" w:rsidRPr="00A60FD5" w:rsidRDefault="00F74EF5" w:rsidP="001E1CB2">
            <w:pPr>
              <w:spacing w:before="80" w:after="0" w:line="200" w:lineRule="exact"/>
              <w:rPr>
                <w:rFonts w:ascii="Times New Roman" w:hAnsi="Times New Roman" w:cs="Times New Roman"/>
                <w:sz w:val="18"/>
                <w:szCs w:val="18"/>
              </w:rPr>
            </w:pPr>
          </w:p>
        </w:tc>
        <w:tc>
          <w:tcPr>
            <w:tcW w:w="709" w:type="dxa"/>
            <w:tcBorders>
              <w:top w:val="nil"/>
              <w:left w:val="nil"/>
              <w:bottom w:val="nil"/>
              <w:right w:val="nil"/>
            </w:tcBorders>
          </w:tcPr>
          <w:p w14:paraId="14327645" w14:textId="77777777" w:rsidR="00F74EF5" w:rsidRPr="00A60FD5" w:rsidRDefault="00F74EF5" w:rsidP="001E1CB2">
            <w:pPr>
              <w:spacing w:before="80" w:after="0" w:line="200" w:lineRule="exact"/>
              <w:rPr>
                <w:rFonts w:ascii="Times New Roman" w:hAnsi="Times New Roman" w:cs="Times New Roman"/>
                <w:sz w:val="18"/>
                <w:szCs w:val="18"/>
              </w:rPr>
            </w:pPr>
          </w:p>
        </w:tc>
        <w:tc>
          <w:tcPr>
            <w:tcW w:w="708" w:type="dxa"/>
            <w:tcBorders>
              <w:top w:val="nil"/>
              <w:left w:val="nil"/>
              <w:bottom w:val="nil"/>
              <w:right w:val="nil"/>
            </w:tcBorders>
          </w:tcPr>
          <w:p w14:paraId="6EEFF0A2" w14:textId="77777777" w:rsidR="00F74EF5" w:rsidRPr="00A60FD5" w:rsidRDefault="00F74EF5" w:rsidP="001E1CB2">
            <w:pPr>
              <w:spacing w:before="80" w:after="0" w:line="200" w:lineRule="exact"/>
              <w:rPr>
                <w:rFonts w:ascii="Times New Roman" w:hAnsi="Times New Roman" w:cs="Times New Roman"/>
                <w:sz w:val="18"/>
                <w:szCs w:val="18"/>
              </w:rPr>
            </w:pPr>
          </w:p>
        </w:tc>
        <w:tc>
          <w:tcPr>
            <w:tcW w:w="709" w:type="dxa"/>
            <w:tcBorders>
              <w:top w:val="nil"/>
              <w:left w:val="nil"/>
              <w:bottom w:val="nil"/>
              <w:right w:val="nil"/>
            </w:tcBorders>
          </w:tcPr>
          <w:p w14:paraId="05EF6034" w14:textId="77777777" w:rsidR="00F74EF5" w:rsidRPr="00A60FD5" w:rsidRDefault="00F74EF5" w:rsidP="001E1CB2">
            <w:pPr>
              <w:spacing w:before="80" w:after="0" w:line="200" w:lineRule="exact"/>
              <w:rPr>
                <w:rFonts w:ascii="Times New Roman" w:hAnsi="Times New Roman" w:cs="Times New Roman"/>
                <w:sz w:val="18"/>
                <w:szCs w:val="18"/>
              </w:rPr>
            </w:pPr>
          </w:p>
        </w:tc>
        <w:tc>
          <w:tcPr>
            <w:tcW w:w="709" w:type="dxa"/>
            <w:tcBorders>
              <w:top w:val="nil"/>
              <w:left w:val="nil"/>
              <w:bottom w:val="nil"/>
              <w:right w:val="nil"/>
            </w:tcBorders>
          </w:tcPr>
          <w:p w14:paraId="4B4A6D5A" w14:textId="77777777" w:rsidR="00F74EF5" w:rsidRPr="00A60FD5" w:rsidRDefault="00F74EF5" w:rsidP="001E1CB2">
            <w:pPr>
              <w:spacing w:before="80" w:after="0" w:line="200" w:lineRule="exact"/>
              <w:rPr>
                <w:rFonts w:ascii="Times New Roman" w:hAnsi="Times New Roman" w:cs="Times New Roman"/>
                <w:sz w:val="18"/>
                <w:szCs w:val="18"/>
              </w:rPr>
            </w:pPr>
          </w:p>
        </w:tc>
        <w:tc>
          <w:tcPr>
            <w:tcW w:w="567" w:type="dxa"/>
            <w:tcBorders>
              <w:top w:val="nil"/>
              <w:left w:val="nil"/>
              <w:bottom w:val="nil"/>
              <w:right w:val="nil"/>
            </w:tcBorders>
          </w:tcPr>
          <w:p w14:paraId="0151F3F6" w14:textId="77777777" w:rsidR="00F74EF5" w:rsidRPr="00A60FD5" w:rsidRDefault="00F74EF5" w:rsidP="001E1CB2">
            <w:pPr>
              <w:spacing w:before="80" w:after="0" w:line="200" w:lineRule="exact"/>
              <w:rPr>
                <w:rFonts w:ascii="Times New Roman" w:hAnsi="Times New Roman" w:cs="Times New Roman"/>
                <w:sz w:val="18"/>
                <w:szCs w:val="18"/>
              </w:rPr>
            </w:pPr>
          </w:p>
        </w:tc>
        <w:tc>
          <w:tcPr>
            <w:tcW w:w="567" w:type="dxa"/>
            <w:tcBorders>
              <w:top w:val="nil"/>
              <w:left w:val="nil"/>
              <w:bottom w:val="nil"/>
              <w:right w:val="nil"/>
            </w:tcBorders>
          </w:tcPr>
          <w:p w14:paraId="4008C4D0" w14:textId="77777777" w:rsidR="00F74EF5" w:rsidRPr="00A60FD5" w:rsidRDefault="00F74EF5" w:rsidP="001E1CB2">
            <w:pPr>
              <w:spacing w:before="80" w:after="0" w:line="200" w:lineRule="exact"/>
              <w:rPr>
                <w:rFonts w:ascii="Times New Roman" w:hAnsi="Times New Roman" w:cs="Times New Roman"/>
                <w:sz w:val="18"/>
                <w:szCs w:val="18"/>
              </w:rPr>
            </w:pPr>
          </w:p>
        </w:tc>
      </w:tr>
      <w:tr w:rsidR="00F74EF5" w:rsidRPr="00A60FD5" w14:paraId="4570CC12" w14:textId="77777777" w:rsidTr="00F74EF5">
        <w:tc>
          <w:tcPr>
            <w:tcW w:w="2377" w:type="dxa"/>
            <w:tcBorders>
              <w:top w:val="nil"/>
              <w:left w:val="nil"/>
              <w:bottom w:val="nil"/>
              <w:right w:val="nil"/>
            </w:tcBorders>
          </w:tcPr>
          <w:p w14:paraId="7C6B78B3" w14:textId="77777777" w:rsidR="00F74EF5" w:rsidRPr="00A60FD5" w:rsidRDefault="00F74EF5" w:rsidP="001E1CB2">
            <w:pPr>
              <w:spacing w:before="80" w:after="0" w:line="200" w:lineRule="exact"/>
              <w:rPr>
                <w:rFonts w:ascii="Times New Roman" w:hAnsi="Times New Roman" w:cs="Times New Roman"/>
                <w:sz w:val="20"/>
                <w:szCs w:val="20"/>
              </w:rPr>
            </w:pPr>
            <w:r w:rsidRPr="00A60FD5">
              <w:rPr>
                <w:rFonts w:ascii="Times New Roman" w:hAnsi="Times New Roman" w:cs="Times New Roman"/>
                <w:sz w:val="20"/>
                <w:szCs w:val="20"/>
              </w:rPr>
              <w:t xml:space="preserve">4. Tacitness </w:t>
            </w:r>
          </w:p>
        </w:tc>
        <w:tc>
          <w:tcPr>
            <w:tcW w:w="709" w:type="dxa"/>
            <w:tcBorders>
              <w:top w:val="nil"/>
              <w:left w:val="nil"/>
              <w:bottom w:val="nil"/>
              <w:right w:val="nil"/>
            </w:tcBorders>
          </w:tcPr>
          <w:p w14:paraId="5406D4A1" w14:textId="77777777" w:rsidR="00F74EF5" w:rsidRPr="00A60FD5" w:rsidRDefault="00F74EF5" w:rsidP="001E1CB2">
            <w:pPr>
              <w:spacing w:before="80" w:after="0" w:line="200" w:lineRule="exact"/>
              <w:rPr>
                <w:rFonts w:ascii="Times New Roman" w:hAnsi="Times New Roman" w:cs="Times New Roman"/>
                <w:sz w:val="18"/>
                <w:szCs w:val="18"/>
              </w:rPr>
            </w:pPr>
            <w:r w:rsidRPr="00A60FD5">
              <w:rPr>
                <w:rFonts w:ascii="Times New Roman" w:hAnsi="Times New Roman" w:cs="Times New Roman"/>
                <w:sz w:val="18"/>
                <w:szCs w:val="18"/>
              </w:rPr>
              <w:t>-0.01</w:t>
            </w:r>
          </w:p>
        </w:tc>
        <w:tc>
          <w:tcPr>
            <w:tcW w:w="992" w:type="dxa"/>
            <w:tcBorders>
              <w:top w:val="nil"/>
              <w:left w:val="nil"/>
              <w:bottom w:val="nil"/>
              <w:right w:val="nil"/>
            </w:tcBorders>
          </w:tcPr>
          <w:p w14:paraId="2518169B" w14:textId="77777777" w:rsidR="00F74EF5" w:rsidRPr="00A60FD5" w:rsidRDefault="00F74EF5" w:rsidP="001E1CB2">
            <w:pPr>
              <w:spacing w:before="80" w:after="0" w:line="200" w:lineRule="exact"/>
              <w:rPr>
                <w:rFonts w:ascii="Times New Roman" w:hAnsi="Times New Roman" w:cs="Times New Roman"/>
                <w:sz w:val="18"/>
                <w:szCs w:val="18"/>
              </w:rPr>
            </w:pPr>
            <w:r w:rsidRPr="00A60FD5">
              <w:rPr>
                <w:rFonts w:ascii="Times New Roman" w:hAnsi="Times New Roman" w:cs="Times New Roman"/>
                <w:sz w:val="18"/>
                <w:szCs w:val="18"/>
              </w:rPr>
              <w:t>0.05</w:t>
            </w:r>
          </w:p>
        </w:tc>
        <w:tc>
          <w:tcPr>
            <w:tcW w:w="851" w:type="dxa"/>
            <w:tcBorders>
              <w:top w:val="nil"/>
              <w:left w:val="nil"/>
              <w:bottom w:val="nil"/>
              <w:right w:val="nil"/>
            </w:tcBorders>
          </w:tcPr>
          <w:p w14:paraId="2828044A" w14:textId="77777777" w:rsidR="00F74EF5" w:rsidRPr="00A60FD5" w:rsidRDefault="00F74EF5" w:rsidP="001E1CB2">
            <w:pPr>
              <w:spacing w:before="80" w:after="0" w:line="200" w:lineRule="exact"/>
              <w:rPr>
                <w:rFonts w:ascii="Times New Roman" w:hAnsi="Times New Roman" w:cs="Times New Roman"/>
                <w:sz w:val="18"/>
                <w:szCs w:val="18"/>
              </w:rPr>
            </w:pPr>
            <w:r w:rsidRPr="00A60FD5">
              <w:rPr>
                <w:rFonts w:ascii="Times New Roman" w:hAnsi="Times New Roman" w:cs="Times New Roman"/>
                <w:sz w:val="18"/>
                <w:szCs w:val="18"/>
              </w:rPr>
              <w:t>-0.16</w:t>
            </w:r>
          </w:p>
        </w:tc>
        <w:tc>
          <w:tcPr>
            <w:tcW w:w="850" w:type="dxa"/>
            <w:tcBorders>
              <w:top w:val="nil"/>
              <w:left w:val="nil"/>
              <w:bottom w:val="nil"/>
              <w:right w:val="nil"/>
            </w:tcBorders>
          </w:tcPr>
          <w:p w14:paraId="22394567" w14:textId="77777777" w:rsidR="00F74EF5" w:rsidRPr="00A60FD5" w:rsidRDefault="00F74EF5" w:rsidP="001E1CB2">
            <w:pPr>
              <w:spacing w:before="80" w:after="0" w:line="200" w:lineRule="exact"/>
              <w:rPr>
                <w:rFonts w:ascii="Times New Roman" w:hAnsi="Times New Roman" w:cs="Times New Roman"/>
                <w:sz w:val="18"/>
                <w:szCs w:val="18"/>
              </w:rPr>
            </w:pPr>
            <w:r w:rsidRPr="00A60FD5">
              <w:rPr>
                <w:rFonts w:ascii="Times New Roman" w:hAnsi="Times New Roman" w:cs="Times New Roman"/>
                <w:sz w:val="18"/>
                <w:szCs w:val="18"/>
              </w:rPr>
              <w:t>1.00</w:t>
            </w:r>
          </w:p>
        </w:tc>
        <w:tc>
          <w:tcPr>
            <w:tcW w:w="851" w:type="dxa"/>
            <w:tcBorders>
              <w:top w:val="nil"/>
              <w:left w:val="nil"/>
              <w:bottom w:val="nil"/>
              <w:right w:val="nil"/>
            </w:tcBorders>
          </w:tcPr>
          <w:p w14:paraId="0A2854F1" w14:textId="77777777" w:rsidR="00F74EF5" w:rsidRPr="00A60FD5" w:rsidRDefault="00F74EF5" w:rsidP="001E1CB2">
            <w:pPr>
              <w:spacing w:before="80" w:after="0" w:line="200" w:lineRule="exact"/>
              <w:rPr>
                <w:rFonts w:ascii="Times New Roman" w:hAnsi="Times New Roman" w:cs="Times New Roman"/>
                <w:sz w:val="18"/>
                <w:szCs w:val="18"/>
              </w:rPr>
            </w:pPr>
          </w:p>
        </w:tc>
        <w:tc>
          <w:tcPr>
            <w:tcW w:w="709" w:type="dxa"/>
            <w:tcBorders>
              <w:top w:val="nil"/>
              <w:left w:val="nil"/>
              <w:bottom w:val="nil"/>
              <w:right w:val="nil"/>
            </w:tcBorders>
          </w:tcPr>
          <w:p w14:paraId="484F50D5" w14:textId="77777777" w:rsidR="00F74EF5" w:rsidRPr="00A60FD5" w:rsidRDefault="00F74EF5" w:rsidP="001E1CB2">
            <w:pPr>
              <w:spacing w:before="80" w:after="0" w:line="200" w:lineRule="exact"/>
              <w:rPr>
                <w:rFonts w:ascii="Times New Roman" w:hAnsi="Times New Roman" w:cs="Times New Roman"/>
                <w:sz w:val="18"/>
                <w:szCs w:val="18"/>
              </w:rPr>
            </w:pPr>
          </w:p>
        </w:tc>
        <w:tc>
          <w:tcPr>
            <w:tcW w:w="708" w:type="dxa"/>
            <w:tcBorders>
              <w:top w:val="nil"/>
              <w:left w:val="nil"/>
              <w:bottom w:val="nil"/>
              <w:right w:val="nil"/>
            </w:tcBorders>
          </w:tcPr>
          <w:p w14:paraId="25DCC675" w14:textId="77777777" w:rsidR="00F74EF5" w:rsidRPr="00A60FD5" w:rsidRDefault="00F74EF5" w:rsidP="001E1CB2">
            <w:pPr>
              <w:spacing w:before="80" w:after="0" w:line="200" w:lineRule="exact"/>
              <w:rPr>
                <w:rFonts w:ascii="Times New Roman" w:hAnsi="Times New Roman" w:cs="Times New Roman"/>
                <w:sz w:val="18"/>
                <w:szCs w:val="18"/>
              </w:rPr>
            </w:pPr>
          </w:p>
        </w:tc>
        <w:tc>
          <w:tcPr>
            <w:tcW w:w="851" w:type="dxa"/>
            <w:tcBorders>
              <w:top w:val="nil"/>
              <w:left w:val="nil"/>
              <w:bottom w:val="nil"/>
              <w:right w:val="nil"/>
            </w:tcBorders>
          </w:tcPr>
          <w:p w14:paraId="21B6507F" w14:textId="77777777" w:rsidR="00F74EF5" w:rsidRPr="00A60FD5" w:rsidRDefault="00F74EF5" w:rsidP="001E1CB2">
            <w:pPr>
              <w:spacing w:before="80" w:after="0" w:line="200" w:lineRule="exact"/>
              <w:rPr>
                <w:rFonts w:ascii="Times New Roman" w:hAnsi="Times New Roman" w:cs="Times New Roman"/>
                <w:sz w:val="18"/>
                <w:szCs w:val="18"/>
              </w:rPr>
            </w:pPr>
          </w:p>
        </w:tc>
        <w:tc>
          <w:tcPr>
            <w:tcW w:w="709" w:type="dxa"/>
            <w:tcBorders>
              <w:top w:val="nil"/>
              <w:left w:val="nil"/>
              <w:bottom w:val="nil"/>
              <w:right w:val="nil"/>
            </w:tcBorders>
          </w:tcPr>
          <w:p w14:paraId="6A3AD161" w14:textId="77777777" w:rsidR="00F74EF5" w:rsidRPr="00A60FD5" w:rsidRDefault="00F74EF5" w:rsidP="001E1CB2">
            <w:pPr>
              <w:spacing w:before="80" w:after="0" w:line="200" w:lineRule="exact"/>
              <w:rPr>
                <w:rFonts w:ascii="Times New Roman" w:hAnsi="Times New Roman" w:cs="Times New Roman"/>
                <w:sz w:val="18"/>
                <w:szCs w:val="18"/>
              </w:rPr>
            </w:pPr>
          </w:p>
        </w:tc>
        <w:tc>
          <w:tcPr>
            <w:tcW w:w="708" w:type="dxa"/>
            <w:tcBorders>
              <w:top w:val="nil"/>
              <w:left w:val="nil"/>
              <w:bottom w:val="nil"/>
              <w:right w:val="nil"/>
            </w:tcBorders>
          </w:tcPr>
          <w:p w14:paraId="6D7F6DBF" w14:textId="77777777" w:rsidR="00F74EF5" w:rsidRPr="00A60FD5" w:rsidRDefault="00F74EF5" w:rsidP="001E1CB2">
            <w:pPr>
              <w:spacing w:before="80" w:after="0" w:line="200" w:lineRule="exact"/>
              <w:rPr>
                <w:rFonts w:ascii="Times New Roman" w:hAnsi="Times New Roman" w:cs="Times New Roman"/>
                <w:sz w:val="18"/>
                <w:szCs w:val="18"/>
              </w:rPr>
            </w:pPr>
          </w:p>
        </w:tc>
        <w:tc>
          <w:tcPr>
            <w:tcW w:w="709" w:type="dxa"/>
            <w:tcBorders>
              <w:top w:val="nil"/>
              <w:left w:val="nil"/>
              <w:bottom w:val="nil"/>
              <w:right w:val="nil"/>
            </w:tcBorders>
          </w:tcPr>
          <w:p w14:paraId="4CA22DB9" w14:textId="77777777" w:rsidR="00F74EF5" w:rsidRPr="00A60FD5" w:rsidRDefault="00F74EF5" w:rsidP="001E1CB2">
            <w:pPr>
              <w:spacing w:before="80" w:after="0" w:line="200" w:lineRule="exact"/>
              <w:rPr>
                <w:rFonts w:ascii="Times New Roman" w:hAnsi="Times New Roman" w:cs="Times New Roman"/>
                <w:sz w:val="18"/>
                <w:szCs w:val="18"/>
              </w:rPr>
            </w:pPr>
          </w:p>
        </w:tc>
        <w:tc>
          <w:tcPr>
            <w:tcW w:w="709" w:type="dxa"/>
            <w:tcBorders>
              <w:top w:val="nil"/>
              <w:left w:val="nil"/>
              <w:bottom w:val="nil"/>
              <w:right w:val="nil"/>
            </w:tcBorders>
          </w:tcPr>
          <w:p w14:paraId="04C0FD6F" w14:textId="77777777" w:rsidR="00F74EF5" w:rsidRPr="00A60FD5" w:rsidRDefault="00F74EF5" w:rsidP="001E1CB2">
            <w:pPr>
              <w:spacing w:before="80" w:after="0" w:line="200" w:lineRule="exact"/>
              <w:rPr>
                <w:rFonts w:ascii="Times New Roman" w:hAnsi="Times New Roman" w:cs="Times New Roman"/>
                <w:sz w:val="18"/>
                <w:szCs w:val="18"/>
              </w:rPr>
            </w:pPr>
          </w:p>
        </w:tc>
        <w:tc>
          <w:tcPr>
            <w:tcW w:w="709" w:type="dxa"/>
            <w:tcBorders>
              <w:top w:val="nil"/>
              <w:left w:val="nil"/>
              <w:bottom w:val="nil"/>
              <w:right w:val="nil"/>
            </w:tcBorders>
          </w:tcPr>
          <w:p w14:paraId="7AC73C06" w14:textId="77777777" w:rsidR="00F74EF5" w:rsidRPr="00A60FD5" w:rsidRDefault="00F74EF5" w:rsidP="001E1CB2">
            <w:pPr>
              <w:spacing w:before="80" w:after="0" w:line="200" w:lineRule="exact"/>
              <w:rPr>
                <w:rFonts w:ascii="Times New Roman" w:hAnsi="Times New Roman" w:cs="Times New Roman"/>
                <w:sz w:val="18"/>
                <w:szCs w:val="18"/>
              </w:rPr>
            </w:pPr>
          </w:p>
        </w:tc>
        <w:tc>
          <w:tcPr>
            <w:tcW w:w="708" w:type="dxa"/>
            <w:tcBorders>
              <w:top w:val="nil"/>
              <w:left w:val="nil"/>
              <w:bottom w:val="nil"/>
              <w:right w:val="nil"/>
            </w:tcBorders>
          </w:tcPr>
          <w:p w14:paraId="4856B4EE" w14:textId="77777777" w:rsidR="00F74EF5" w:rsidRPr="00A60FD5" w:rsidRDefault="00F74EF5" w:rsidP="001E1CB2">
            <w:pPr>
              <w:spacing w:before="80" w:after="0" w:line="200" w:lineRule="exact"/>
              <w:rPr>
                <w:rFonts w:ascii="Times New Roman" w:hAnsi="Times New Roman" w:cs="Times New Roman"/>
                <w:sz w:val="18"/>
                <w:szCs w:val="18"/>
              </w:rPr>
            </w:pPr>
          </w:p>
        </w:tc>
        <w:tc>
          <w:tcPr>
            <w:tcW w:w="709" w:type="dxa"/>
            <w:tcBorders>
              <w:top w:val="nil"/>
              <w:left w:val="nil"/>
              <w:bottom w:val="nil"/>
              <w:right w:val="nil"/>
            </w:tcBorders>
          </w:tcPr>
          <w:p w14:paraId="4167E6F4" w14:textId="77777777" w:rsidR="00F74EF5" w:rsidRPr="00A60FD5" w:rsidRDefault="00F74EF5" w:rsidP="001E1CB2">
            <w:pPr>
              <w:spacing w:before="80" w:after="0" w:line="200" w:lineRule="exact"/>
              <w:rPr>
                <w:rFonts w:ascii="Times New Roman" w:hAnsi="Times New Roman" w:cs="Times New Roman"/>
                <w:sz w:val="18"/>
                <w:szCs w:val="18"/>
              </w:rPr>
            </w:pPr>
          </w:p>
        </w:tc>
        <w:tc>
          <w:tcPr>
            <w:tcW w:w="709" w:type="dxa"/>
            <w:tcBorders>
              <w:top w:val="nil"/>
              <w:left w:val="nil"/>
              <w:bottom w:val="nil"/>
              <w:right w:val="nil"/>
            </w:tcBorders>
          </w:tcPr>
          <w:p w14:paraId="4A13E5F9" w14:textId="77777777" w:rsidR="00F74EF5" w:rsidRPr="00A60FD5" w:rsidRDefault="00F74EF5" w:rsidP="001E1CB2">
            <w:pPr>
              <w:spacing w:before="80" w:after="0" w:line="200" w:lineRule="exact"/>
              <w:rPr>
                <w:rFonts w:ascii="Times New Roman" w:hAnsi="Times New Roman" w:cs="Times New Roman"/>
                <w:sz w:val="18"/>
                <w:szCs w:val="18"/>
              </w:rPr>
            </w:pPr>
          </w:p>
        </w:tc>
        <w:tc>
          <w:tcPr>
            <w:tcW w:w="567" w:type="dxa"/>
            <w:tcBorders>
              <w:top w:val="nil"/>
              <w:left w:val="nil"/>
              <w:bottom w:val="nil"/>
              <w:right w:val="nil"/>
            </w:tcBorders>
          </w:tcPr>
          <w:p w14:paraId="786A584C" w14:textId="77777777" w:rsidR="00F74EF5" w:rsidRPr="00A60FD5" w:rsidRDefault="00F74EF5" w:rsidP="001E1CB2">
            <w:pPr>
              <w:spacing w:before="80" w:after="0" w:line="200" w:lineRule="exact"/>
              <w:rPr>
                <w:rFonts w:ascii="Times New Roman" w:hAnsi="Times New Roman" w:cs="Times New Roman"/>
                <w:sz w:val="18"/>
                <w:szCs w:val="18"/>
              </w:rPr>
            </w:pPr>
          </w:p>
        </w:tc>
        <w:tc>
          <w:tcPr>
            <w:tcW w:w="567" w:type="dxa"/>
            <w:tcBorders>
              <w:top w:val="nil"/>
              <w:left w:val="nil"/>
              <w:bottom w:val="nil"/>
              <w:right w:val="nil"/>
            </w:tcBorders>
          </w:tcPr>
          <w:p w14:paraId="22CA4975" w14:textId="77777777" w:rsidR="00F74EF5" w:rsidRPr="00A60FD5" w:rsidRDefault="00F74EF5" w:rsidP="001E1CB2">
            <w:pPr>
              <w:spacing w:before="80" w:after="0" w:line="200" w:lineRule="exact"/>
              <w:rPr>
                <w:rFonts w:ascii="Times New Roman" w:hAnsi="Times New Roman" w:cs="Times New Roman"/>
                <w:sz w:val="18"/>
                <w:szCs w:val="18"/>
              </w:rPr>
            </w:pPr>
          </w:p>
        </w:tc>
      </w:tr>
      <w:tr w:rsidR="00F74EF5" w:rsidRPr="00A60FD5" w14:paraId="6D3DD301" w14:textId="77777777" w:rsidTr="00F74EF5">
        <w:tc>
          <w:tcPr>
            <w:tcW w:w="2377" w:type="dxa"/>
            <w:tcBorders>
              <w:top w:val="nil"/>
              <w:left w:val="nil"/>
              <w:bottom w:val="nil"/>
              <w:right w:val="nil"/>
            </w:tcBorders>
          </w:tcPr>
          <w:p w14:paraId="13519BB8" w14:textId="77777777" w:rsidR="00F74EF5" w:rsidRPr="00A60FD5" w:rsidRDefault="00F74EF5" w:rsidP="001E1CB2">
            <w:pPr>
              <w:spacing w:before="80" w:after="0" w:line="200" w:lineRule="exact"/>
              <w:rPr>
                <w:rFonts w:ascii="Times New Roman" w:hAnsi="Times New Roman" w:cs="Times New Roman"/>
                <w:sz w:val="20"/>
                <w:szCs w:val="20"/>
              </w:rPr>
            </w:pPr>
            <w:r w:rsidRPr="00A60FD5">
              <w:rPr>
                <w:rFonts w:ascii="Times New Roman" w:hAnsi="Times New Roman" w:cs="Times New Roman"/>
                <w:sz w:val="20"/>
                <w:szCs w:val="20"/>
              </w:rPr>
              <w:t>5.  Specific investment</w:t>
            </w:r>
          </w:p>
        </w:tc>
        <w:tc>
          <w:tcPr>
            <w:tcW w:w="709" w:type="dxa"/>
            <w:tcBorders>
              <w:top w:val="nil"/>
              <w:left w:val="nil"/>
              <w:bottom w:val="nil"/>
              <w:right w:val="nil"/>
            </w:tcBorders>
          </w:tcPr>
          <w:p w14:paraId="28E35B3B" w14:textId="77777777" w:rsidR="00F74EF5" w:rsidRPr="00A60FD5" w:rsidRDefault="00F74EF5" w:rsidP="001E1CB2">
            <w:pPr>
              <w:spacing w:before="80" w:after="0" w:line="200" w:lineRule="exact"/>
              <w:rPr>
                <w:rFonts w:ascii="Times New Roman" w:hAnsi="Times New Roman" w:cs="Times New Roman"/>
                <w:sz w:val="18"/>
                <w:szCs w:val="18"/>
              </w:rPr>
            </w:pPr>
            <w:r w:rsidRPr="00A60FD5">
              <w:rPr>
                <w:rFonts w:ascii="Times New Roman" w:hAnsi="Times New Roman" w:cs="Times New Roman"/>
                <w:sz w:val="18"/>
                <w:szCs w:val="18"/>
              </w:rPr>
              <w:t>0.18</w:t>
            </w:r>
            <w:r w:rsidRPr="00A60FD5">
              <w:rPr>
                <w:rFonts w:ascii="Times New Roman" w:hAnsi="Times New Roman" w:cs="Times New Roman"/>
                <w:sz w:val="18"/>
              </w:rPr>
              <w:t>†</w:t>
            </w:r>
          </w:p>
        </w:tc>
        <w:tc>
          <w:tcPr>
            <w:tcW w:w="992" w:type="dxa"/>
            <w:tcBorders>
              <w:top w:val="nil"/>
              <w:left w:val="nil"/>
              <w:bottom w:val="nil"/>
              <w:right w:val="nil"/>
            </w:tcBorders>
          </w:tcPr>
          <w:p w14:paraId="352F9F88" w14:textId="77777777" w:rsidR="00F74EF5" w:rsidRPr="00A60FD5" w:rsidRDefault="00F74EF5" w:rsidP="001E1CB2">
            <w:pPr>
              <w:spacing w:before="80" w:after="0" w:line="200" w:lineRule="exact"/>
              <w:rPr>
                <w:rFonts w:ascii="Times New Roman" w:hAnsi="Times New Roman" w:cs="Times New Roman"/>
                <w:sz w:val="18"/>
                <w:szCs w:val="18"/>
              </w:rPr>
            </w:pPr>
            <w:r w:rsidRPr="00A60FD5">
              <w:rPr>
                <w:rFonts w:ascii="Times New Roman" w:hAnsi="Times New Roman" w:cs="Times New Roman"/>
                <w:sz w:val="18"/>
                <w:szCs w:val="18"/>
              </w:rPr>
              <w:t>0.08</w:t>
            </w:r>
          </w:p>
        </w:tc>
        <w:tc>
          <w:tcPr>
            <w:tcW w:w="851" w:type="dxa"/>
            <w:tcBorders>
              <w:top w:val="nil"/>
              <w:left w:val="nil"/>
              <w:bottom w:val="nil"/>
              <w:right w:val="nil"/>
            </w:tcBorders>
          </w:tcPr>
          <w:p w14:paraId="7F07FE9E" w14:textId="77777777" w:rsidR="00F74EF5" w:rsidRPr="00A60FD5" w:rsidRDefault="00F74EF5" w:rsidP="001E1CB2">
            <w:pPr>
              <w:spacing w:before="80" w:after="0" w:line="200" w:lineRule="exact"/>
              <w:rPr>
                <w:rFonts w:ascii="Times New Roman" w:hAnsi="Times New Roman" w:cs="Times New Roman"/>
                <w:sz w:val="18"/>
                <w:szCs w:val="18"/>
              </w:rPr>
            </w:pPr>
            <w:r w:rsidRPr="00A60FD5">
              <w:rPr>
                <w:rFonts w:ascii="Times New Roman" w:hAnsi="Times New Roman" w:cs="Times New Roman"/>
                <w:sz w:val="18"/>
                <w:szCs w:val="18"/>
              </w:rPr>
              <w:t>0.28**</w:t>
            </w:r>
          </w:p>
        </w:tc>
        <w:tc>
          <w:tcPr>
            <w:tcW w:w="850" w:type="dxa"/>
            <w:tcBorders>
              <w:top w:val="nil"/>
              <w:left w:val="nil"/>
              <w:bottom w:val="nil"/>
              <w:right w:val="nil"/>
            </w:tcBorders>
          </w:tcPr>
          <w:p w14:paraId="70BFE7E9" w14:textId="77777777" w:rsidR="00F74EF5" w:rsidRPr="00A60FD5" w:rsidRDefault="00F74EF5" w:rsidP="001E1CB2">
            <w:pPr>
              <w:spacing w:before="80" w:after="0" w:line="200" w:lineRule="exact"/>
              <w:rPr>
                <w:rFonts w:ascii="Times New Roman" w:hAnsi="Times New Roman" w:cs="Times New Roman"/>
                <w:sz w:val="18"/>
                <w:szCs w:val="18"/>
              </w:rPr>
            </w:pPr>
            <w:r w:rsidRPr="00A60FD5">
              <w:rPr>
                <w:rFonts w:ascii="Times New Roman" w:hAnsi="Times New Roman" w:cs="Times New Roman"/>
                <w:sz w:val="18"/>
                <w:szCs w:val="18"/>
              </w:rPr>
              <w:t>0.01</w:t>
            </w:r>
          </w:p>
        </w:tc>
        <w:tc>
          <w:tcPr>
            <w:tcW w:w="851" w:type="dxa"/>
            <w:tcBorders>
              <w:top w:val="nil"/>
              <w:left w:val="nil"/>
              <w:bottom w:val="nil"/>
              <w:right w:val="nil"/>
            </w:tcBorders>
          </w:tcPr>
          <w:p w14:paraId="0D30C0DF" w14:textId="77777777" w:rsidR="00F74EF5" w:rsidRPr="00A60FD5" w:rsidRDefault="00F74EF5" w:rsidP="001E1CB2">
            <w:pPr>
              <w:spacing w:before="80" w:after="0" w:line="200" w:lineRule="exact"/>
              <w:rPr>
                <w:rFonts w:ascii="Times New Roman" w:hAnsi="Times New Roman" w:cs="Times New Roman"/>
                <w:sz w:val="18"/>
                <w:szCs w:val="18"/>
              </w:rPr>
            </w:pPr>
            <w:r w:rsidRPr="00A60FD5">
              <w:rPr>
                <w:rFonts w:ascii="Times New Roman" w:hAnsi="Times New Roman" w:cs="Times New Roman"/>
                <w:sz w:val="18"/>
                <w:szCs w:val="18"/>
              </w:rPr>
              <w:t>1.00</w:t>
            </w:r>
          </w:p>
        </w:tc>
        <w:tc>
          <w:tcPr>
            <w:tcW w:w="709" w:type="dxa"/>
            <w:tcBorders>
              <w:top w:val="nil"/>
              <w:left w:val="nil"/>
              <w:bottom w:val="nil"/>
              <w:right w:val="nil"/>
            </w:tcBorders>
          </w:tcPr>
          <w:p w14:paraId="2263DBCB" w14:textId="77777777" w:rsidR="00F74EF5" w:rsidRPr="00A60FD5" w:rsidRDefault="00F74EF5" w:rsidP="001E1CB2">
            <w:pPr>
              <w:spacing w:before="80" w:after="0" w:line="200" w:lineRule="exact"/>
              <w:rPr>
                <w:rFonts w:ascii="Times New Roman" w:hAnsi="Times New Roman" w:cs="Times New Roman"/>
                <w:sz w:val="18"/>
                <w:szCs w:val="18"/>
              </w:rPr>
            </w:pPr>
          </w:p>
        </w:tc>
        <w:tc>
          <w:tcPr>
            <w:tcW w:w="708" w:type="dxa"/>
            <w:tcBorders>
              <w:top w:val="nil"/>
              <w:left w:val="nil"/>
              <w:bottom w:val="nil"/>
              <w:right w:val="nil"/>
            </w:tcBorders>
          </w:tcPr>
          <w:p w14:paraId="6BF3B7BC" w14:textId="77777777" w:rsidR="00F74EF5" w:rsidRPr="00A60FD5" w:rsidRDefault="00F74EF5" w:rsidP="001E1CB2">
            <w:pPr>
              <w:spacing w:before="80" w:after="0" w:line="200" w:lineRule="exact"/>
              <w:rPr>
                <w:rFonts w:ascii="Times New Roman" w:hAnsi="Times New Roman" w:cs="Times New Roman"/>
                <w:sz w:val="18"/>
                <w:szCs w:val="18"/>
              </w:rPr>
            </w:pPr>
          </w:p>
        </w:tc>
        <w:tc>
          <w:tcPr>
            <w:tcW w:w="851" w:type="dxa"/>
            <w:tcBorders>
              <w:top w:val="nil"/>
              <w:left w:val="nil"/>
              <w:bottom w:val="nil"/>
              <w:right w:val="nil"/>
            </w:tcBorders>
          </w:tcPr>
          <w:p w14:paraId="7FDCA1F3" w14:textId="77777777" w:rsidR="00F74EF5" w:rsidRPr="00A60FD5" w:rsidRDefault="00F74EF5" w:rsidP="001E1CB2">
            <w:pPr>
              <w:spacing w:before="80" w:after="0" w:line="200" w:lineRule="exact"/>
              <w:rPr>
                <w:rFonts w:ascii="Times New Roman" w:hAnsi="Times New Roman" w:cs="Times New Roman"/>
                <w:sz w:val="18"/>
                <w:szCs w:val="18"/>
              </w:rPr>
            </w:pPr>
          </w:p>
        </w:tc>
        <w:tc>
          <w:tcPr>
            <w:tcW w:w="709" w:type="dxa"/>
            <w:tcBorders>
              <w:top w:val="nil"/>
              <w:left w:val="nil"/>
              <w:bottom w:val="nil"/>
              <w:right w:val="nil"/>
            </w:tcBorders>
          </w:tcPr>
          <w:p w14:paraId="4E3DF4D1" w14:textId="77777777" w:rsidR="00F74EF5" w:rsidRPr="00A60FD5" w:rsidRDefault="00F74EF5" w:rsidP="001E1CB2">
            <w:pPr>
              <w:spacing w:before="80" w:after="0" w:line="200" w:lineRule="exact"/>
              <w:rPr>
                <w:rFonts w:ascii="Times New Roman" w:hAnsi="Times New Roman" w:cs="Times New Roman"/>
                <w:sz w:val="18"/>
                <w:szCs w:val="18"/>
              </w:rPr>
            </w:pPr>
          </w:p>
        </w:tc>
        <w:tc>
          <w:tcPr>
            <w:tcW w:w="708" w:type="dxa"/>
            <w:tcBorders>
              <w:top w:val="nil"/>
              <w:left w:val="nil"/>
              <w:bottom w:val="nil"/>
              <w:right w:val="nil"/>
            </w:tcBorders>
          </w:tcPr>
          <w:p w14:paraId="39E5D469" w14:textId="77777777" w:rsidR="00F74EF5" w:rsidRPr="00A60FD5" w:rsidRDefault="00F74EF5" w:rsidP="001E1CB2">
            <w:pPr>
              <w:spacing w:before="80" w:after="0" w:line="200" w:lineRule="exact"/>
              <w:rPr>
                <w:rFonts w:ascii="Times New Roman" w:hAnsi="Times New Roman" w:cs="Times New Roman"/>
                <w:sz w:val="18"/>
                <w:szCs w:val="18"/>
              </w:rPr>
            </w:pPr>
          </w:p>
        </w:tc>
        <w:tc>
          <w:tcPr>
            <w:tcW w:w="709" w:type="dxa"/>
            <w:tcBorders>
              <w:top w:val="nil"/>
              <w:left w:val="nil"/>
              <w:bottom w:val="nil"/>
              <w:right w:val="nil"/>
            </w:tcBorders>
          </w:tcPr>
          <w:p w14:paraId="41129BDB" w14:textId="77777777" w:rsidR="00F74EF5" w:rsidRPr="00A60FD5" w:rsidRDefault="00F74EF5" w:rsidP="001E1CB2">
            <w:pPr>
              <w:spacing w:before="80" w:after="0" w:line="200" w:lineRule="exact"/>
              <w:rPr>
                <w:rFonts w:ascii="Times New Roman" w:hAnsi="Times New Roman" w:cs="Times New Roman"/>
                <w:sz w:val="18"/>
                <w:szCs w:val="18"/>
              </w:rPr>
            </w:pPr>
          </w:p>
        </w:tc>
        <w:tc>
          <w:tcPr>
            <w:tcW w:w="709" w:type="dxa"/>
            <w:tcBorders>
              <w:top w:val="nil"/>
              <w:left w:val="nil"/>
              <w:bottom w:val="nil"/>
              <w:right w:val="nil"/>
            </w:tcBorders>
          </w:tcPr>
          <w:p w14:paraId="01F206FD" w14:textId="77777777" w:rsidR="00F74EF5" w:rsidRPr="00A60FD5" w:rsidRDefault="00F74EF5" w:rsidP="001E1CB2">
            <w:pPr>
              <w:spacing w:before="80" w:after="0" w:line="200" w:lineRule="exact"/>
              <w:rPr>
                <w:rFonts w:ascii="Times New Roman" w:hAnsi="Times New Roman" w:cs="Times New Roman"/>
                <w:sz w:val="18"/>
                <w:szCs w:val="18"/>
              </w:rPr>
            </w:pPr>
          </w:p>
        </w:tc>
        <w:tc>
          <w:tcPr>
            <w:tcW w:w="709" w:type="dxa"/>
            <w:tcBorders>
              <w:top w:val="nil"/>
              <w:left w:val="nil"/>
              <w:bottom w:val="nil"/>
              <w:right w:val="nil"/>
            </w:tcBorders>
          </w:tcPr>
          <w:p w14:paraId="3D02D700" w14:textId="77777777" w:rsidR="00F74EF5" w:rsidRPr="00A60FD5" w:rsidRDefault="00F74EF5" w:rsidP="001E1CB2">
            <w:pPr>
              <w:spacing w:before="80" w:after="0" w:line="200" w:lineRule="exact"/>
              <w:rPr>
                <w:rFonts w:ascii="Times New Roman" w:hAnsi="Times New Roman" w:cs="Times New Roman"/>
                <w:sz w:val="18"/>
                <w:szCs w:val="18"/>
              </w:rPr>
            </w:pPr>
          </w:p>
        </w:tc>
        <w:tc>
          <w:tcPr>
            <w:tcW w:w="708" w:type="dxa"/>
            <w:tcBorders>
              <w:top w:val="nil"/>
              <w:left w:val="nil"/>
              <w:bottom w:val="nil"/>
              <w:right w:val="nil"/>
            </w:tcBorders>
          </w:tcPr>
          <w:p w14:paraId="30FEF298" w14:textId="77777777" w:rsidR="00F74EF5" w:rsidRPr="00A60FD5" w:rsidRDefault="00F74EF5" w:rsidP="001E1CB2">
            <w:pPr>
              <w:spacing w:before="80" w:after="0" w:line="200" w:lineRule="exact"/>
              <w:rPr>
                <w:rFonts w:ascii="Times New Roman" w:hAnsi="Times New Roman" w:cs="Times New Roman"/>
                <w:sz w:val="18"/>
                <w:szCs w:val="18"/>
              </w:rPr>
            </w:pPr>
          </w:p>
        </w:tc>
        <w:tc>
          <w:tcPr>
            <w:tcW w:w="709" w:type="dxa"/>
            <w:tcBorders>
              <w:top w:val="nil"/>
              <w:left w:val="nil"/>
              <w:bottom w:val="nil"/>
              <w:right w:val="nil"/>
            </w:tcBorders>
          </w:tcPr>
          <w:p w14:paraId="3FAD88A9" w14:textId="77777777" w:rsidR="00F74EF5" w:rsidRPr="00A60FD5" w:rsidRDefault="00F74EF5" w:rsidP="001E1CB2">
            <w:pPr>
              <w:spacing w:before="80" w:after="0" w:line="200" w:lineRule="exact"/>
              <w:rPr>
                <w:rFonts w:ascii="Times New Roman" w:hAnsi="Times New Roman" w:cs="Times New Roman"/>
                <w:sz w:val="18"/>
                <w:szCs w:val="18"/>
              </w:rPr>
            </w:pPr>
          </w:p>
        </w:tc>
        <w:tc>
          <w:tcPr>
            <w:tcW w:w="709" w:type="dxa"/>
            <w:tcBorders>
              <w:top w:val="nil"/>
              <w:left w:val="nil"/>
              <w:bottom w:val="nil"/>
              <w:right w:val="nil"/>
            </w:tcBorders>
          </w:tcPr>
          <w:p w14:paraId="7F609442" w14:textId="77777777" w:rsidR="00F74EF5" w:rsidRPr="00A60FD5" w:rsidRDefault="00F74EF5" w:rsidP="001E1CB2">
            <w:pPr>
              <w:spacing w:before="80" w:after="0" w:line="200" w:lineRule="exact"/>
              <w:rPr>
                <w:rFonts w:ascii="Times New Roman" w:hAnsi="Times New Roman" w:cs="Times New Roman"/>
                <w:sz w:val="18"/>
                <w:szCs w:val="18"/>
              </w:rPr>
            </w:pPr>
          </w:p>
        </w:tc>
        <w:tc>
          <w:tcPr>
            <w:tcW w:w="567" w:type="dxa"/>
            <w:tcBorders>
              <w:top w:val="nil"/>
              <w:left w:val="nil"/>
              <w:bottom w:val="nil"/>
              <w:right w:val="nil"/>
            </w:tcBorders>
          </w:tcPr>
          <w:p w14:paraId="37249227" w14:textId="77777777" w:rsidR="00F74EF5" w:rsidRPr="00A60FD5" w:rsidRDefault="00F74EF5" w:rsidP="001E1CB2">
            <w:pPr>
              <w:spacing w:before="80" w:after="0" w:line="200" w:lineRule="exact"/>
              <w:rPr>
                <w:rFonts w:ascii="Times New Roman" w:hAnsi="Times New Roman" w:cs="Times New Roman"/>
                <w:sz w:val="18"/>
                <w:szCs w:val="18"/>
              </w:rPr>
            </w:pPr>
          </w:p>
        </w:tc>
        <w:tc>
          <w:tcPr>
            <w:tcW w:w="567" w:type="dxa"/>
            <w:tcBorders>
              <w:top w:val="nil"/>
              <w:left w:val="nil"/>
              <w:bottom w:val="nil"/>
              <w:right w:val="nil"/>
            </w:tcBorders>
          </w:tcPr>
          <w:p w14:paraId="1107A47C" w14:textId="77777777" w:rsidR="00F74EF5" w:rsidRPr="00A60FD5" w:rsidRDefault="00F74EF5" w:rsidP="001E1CB2">
            <w:pPr>
              <w:spacing w:before="80" w:after="0" w:line="200" w:lineRule="exact"/>
              <w:rPr>
                <w:rFonts w:ascii="Times New Roman" w:hAnsi="Times New Roman" w:cs="Times New Roman"/>
                <w:sz w:val="18"/>
                <w:szCs w:val="18"/>
              </w:rPr>
            </w:pPr>
          </w:p>
        </w:tc>
      </w:tr>
      <w:tr w:rsidR="00F74EF5" w:rsidRPr="00A60FD5" w14:paraId="6F75577A" w14:textId="77777777" w:rsidTr="00F74EF5">
        <w:tc>
          <w:tcPr>
            <w:tcW w:w="2377" w:type="dxa"/>
            <w:tcBorders>
              <w:top w:val="nil"/>
              <w:left w:val="nil"/>
              <w:bottom w:val="nil"/>
              <w:right w:val="nil"/>
            </w:tcBorders>
          </w:tcPr>
          <w:p w14:paraId="77D4C2C6" w14:textId="77777777" w:rsidR="00F74EF5" w:rsidRPr="00A60FD5" w:rsidRDefault="00F74EF5" w:rsidP="001E1CB2">
            <w:pPr>
              <w:spacing w:before="80" w:after="0" w:line="200" w:lineRule="exact"/>
              <w:rPr>
                <w:rFonts w:ascii="Times New Roman" w:hAnsi="Times New Roman" w:cs="Times New Roman"/>
                <w:sz w:val="20"/>
                <w:szCs w:val="20"/>
              </w:rPr>
            </w:pPr>
            <w:r w:rsidRPr="00A60FD5">
              <w:rPr>
                <w:rFonts w:ascii="Times New Roman" w:hAnsi="Times New Roman" w:cs="Times New Roman"/>
                <w:sz w:val="20"/>
                <w:szCs w:val="20"/>
              </w:rPr>
              <w:t xml:space="preserve">6. Observability   </w:t>
            </w:r>
          </w:p>
        </w:tc>
        <w:tc>
          <w:tcPr>
            <w:tcW w:w="709" w:type="dxa"/>
            <w:tcBorders>
              <w:top w:val="nil"/>
              <w:left w:val="nil"/>
              <w:bottom w:val="nil"/>
              <w:right w:val="nil"/>
            </w:tcBorders>
          </w:tcPr>
          <w:p w14:paraId="3BCDB3FF" w14:textId="77777777" w:rsidR="00F74EF5" w:rsidRPr="00A60FD5" w:rsidRDefault="00F74EF5" w:rsidP="001E1CB2">
            <w:pPr>
              <w:spacing w:before="80" w:after="0" w:line="200" w:lineRule="exact"/>
              <w:rPr>
                <w:rFonts w:ascii="Times New Roman" w:hAnsi="Times New Roman" w:cs="Times New Roman"/>
                <w:sz w:val="18"/>
                <w:szCs w:val="18"/>
              </w:rPr>
            </w:pPr>
            <w:r w:rsidRPr="00A60FD5">
              <w:rPr>
                <w:rFonts w:ascii="Times New Roman" w:hAnsi="Times New Roman" w:cs="Times New Roman"/>
                <w:sz w:val="18"/>
                <w:szCs w:val="18"/>
              </w:rPr>
              <w:t>0.07</w:t>
            </w:r>
          </w:p>
        </w:tc>
        <w:tc>
          <w:tcPr>
            <w:tcW w:w="992" w:type="dxa"/>
            <w:tcBorders>
              <w:top w:val="nil"/>
              <w:left w:val="nil"/>
              <w:bottom w:val="nil"/>
              <w:right w:val="nil"/>
            </w:tcBorders>
          </w:tcPr>
          <w:p w14:paraId="5D7F0E09" w14:textId="77777777" w:rsidR="00F74EF5" w:rsidRPr="00A60FD5" w:rsidRDefault="00F74EF5" w:rsidP="001E1CB2">
            <w:pPr>
              <w:spacing w:before="80" w:after="0" w:line="200" w:lineRule="exact"/>
              <w:rPr>
                <w:rFonts w:ascii="Times New Roman" w:hAnsi="Times New Roman" w:cs="Times New Roman"/>
                <w:sz w:val="18"/>
                <w:szCs w:val="18"/>
              </w:rPr>
            </w:pPr>
            <w:r w:rsidRPr="00A60FD5">
              <w:rPr>
                <w:rFonts w:ascii="Times New Roman" w:hAnsi="Times New Roman" w:cs="Times New Roman"/>
                <w:sz w:val="18"/>
                <w:szCs w:val="18"/>
              </w:rPr>
              <w:t>0.14</w:t>
            </w:r>
          </w:p>
        </w:tc>
        <w:tc>
          <w:tcPr>
            <w:tcW w:w="851" w:type="dxa"/>
            <w:tcBorders>
              <w:top w:val="nil"/>
              <w:left w:val="nil"/>
              <w:bottom w:val="nil"/>
              <w:right w:val="nil"/>
            </w:tcBorders>
          </w:tcPr>
          <w:p w14:paraId="6E4A4549" w14:textId="77777777" w:rsidR="00F74EF5" w:rsidRPr="00A60FD5" w:rsidRDefault="00F74EF5" w:rsidP="001E1CB2">
            <w:pPr>
              <w:spacing w:before="80" w:after="0" w:line="200" w:lineRule="exact"/>
              <w:rPr>
                <w:rFonts w:ascii="Times New Roman" w:hAnsi="Times New Roman" w:cs="Times New Roman"/>
                <w:sz w:val="18"/>
                <w:szCs w:val="18"/>
              </w:rPr>
            </w:pPr>
            <w:r w:rsidRPr="00A60FD5">
              <w:rPr>
                <w:rFonts w:ascii="Times New Roman" w:hAnsi="Times New Roman" w:cs="Times New Roman"/>
                <w:sz w:val="18"/>
                <w:szCs w:val="18"/>
              </w:rPr>
              <w:t>0.20*</w:t>
            </w:r>
          </w:p>
        </w:tc>
        <w:tc>
          <w:tcPr>
            <w:tcW w:w="850" w:type="dxa"/>
            <w:tcBorders>
              <w:top w:val="nil"/>
              <w:left w:val="nil"/>
              <w:bottom w:val="nil"/>
              <w:right w:val="nil"/>
            </w:tcBorders>
          </w:tcPr>
          <w:p w14:paraId="3250EF71" w14:textId="77777777" w:rsidR="00F74EF5" w:rsidRPr="00A60FD5" w:rsidRDefault="00F74EF5" w:rsidP="001E1CB2">
            <w:pPr>
              <w:spacing w:before="80" w:after="0" w:line="200" w:lineRule="exact"/>
              <w:rPr>
                <w:rFonts w:ascii="Times New Roman" w:hAnsi="Times New Roman" w:cs="Times New Roman"/>
                <w:sz w:val="18"/>
                <w:szCs w:val="18"/>
              </w:rPr>
            </w:pPr>
            <w:r w:rsidRPr="00A60FD5">
              <w:rPr>
                <w:rFonts w:ascii="Times New Roman" w:hAnsi="Times New Roman" w:cs="Times New Roman"/>
                <w:sz w:val="18"/>
                <w:szCs w:val="18"/>
              </w:rPr>
              <w:t>0.17</w:t>
            </w:r>
            <w:r w:rsidRPr="00A60FD5">
              <w:rPr>
                <w:rFonts w:ascii="Times New Roman" w:hAnsi="Times New Roman" w:cs="Times New Roman"/>
                <w:sz w:val="18"/>
              </w:rPr>
              <w:t>†</w:t>
            </w:r>
          </w:p>
        </w:tc>
        <w:tc>
          <w:tcPr>
            <w:tcW w:w="851" w:type="dxa"/>
            <w:tcBorders>
              <w:top w:val="nil"/>
              <w:left w:val="nil"/>
              <w:bottom w:val="nil"/>
              <w:right w:val="nil"/>
            </w:tcBorders>
          </w:tcPr>
          <w:p w14:paraId="65FE8782" w14:textId="77777777" w:rsidR="00F74EF5" w:rsidRPr="00A60FD5" w:rsidRDefault="00F74EF5" w:rsidP="001E1CB2">
            <w:pPr>
              <w:spacing w:before="80" w:after="0" w:line="200" w:lineRule="exact"/>
              <w:rPr>
                <w:rFonts w:ascii="Times New Roman" w:hAnsi="Times New Roman" w:cs="Times New Roman"/>
                <w:sz w:val="18"/>
                <w:szCs w:val="18"/>
              </w:rPr>
            </w:pPr>
            <w:r w:rsidRPr="00A60FD5">
              <w:rPr>
                <w:rFonts w:ascii="Times New Roman" w:hAnsi="Times New Roman" w:cs="Times New Roman"/>
                <w:sz w:val="18"/>
                <w:szCs w:val="18"/>
              </w:rPr>
              <w:t>0.35***</w:t>
            </w:r>
          </w:p>
        </w:tc>
        <w:tc>
          <w:tcPr>
            <w:tcW w:w="709" w:type="dxa"/>
            <w:tcBorders>
              <w:top w:val="nil"/>
              <w:left w:val="nil"/>
              <w:bottom w:val="nil"/>
              <w:right w:val="nil"/>
            </w:tcBorders>
          </w:tcPr>
          <w:p w14:paraId="70A16EAD" w14:textId="77777777" w:rsidR="00F74EF5" w:rsidRPr="00A60FD5" w:rsidRDefault="00F74EF5" w:rsidP="001E1CB2">
            <w:pPr>
              <w:spacing w:before="80" w:after="0" w:line="200" w:lineRule="exact"/>
              <w:rPr>
                <w:rFonts w:ascii="Times New Roman" w:hAnsi="Times New Roman" w:cs="Times New Roman"/>
                <w:sz w:val="18"/>
                <w:szCs w:val="18"/>
              </w:rPr>
            </w:pPr>
            <w:r w:rsidRPr="00A60FD5">
              <w:rPr>
                <w:rFonts w:ascii="Times New Roman" w:hAnsi="Times New Roman" w:cs="Times New Roman"/>
                <w:sz w:val="18"/>
                <w:szCs w:val="18"/>
              </w:rPr>
              <w:t>1.00</w:t>
            </w:r>
          </w:p>
        </w:tc>
        <w:tc>
          <w:tcPr>
            <w:tcW w:w="708" w:type="dxa"/>
            <w:tcBorders>
              <w:top w:val="nil"/>
              <w:left w:val="nil"/>
              <w:bottom w:val="nil"/>
              <w:right w:val="nil"/>
            </w:tcBorders>
          </w:tcPr>
          <w:p w14:paraId="7C1FC4A0" w14:textId="77777777" w:rsidR="00F74EF5" w:rsidRPr="00A60FD5" w:rsidRDefault="00F74EF5" w:rsidP="001E1CB2">
            <w:pPr>
              <w:spacing w:before="80" w:after="0" w:line="200" w:lineRule="exact"/>
              <w:rPr>
                <w:rFonts w:ascii="Times New Roman" w:hAnsi="Times New Roman" w:cs="Times New Roman"/>
                <w:sz w:val="18"/>
                <w:szCs w:val="18"/>
              </w:rPr>
            </w:pPr>
          </w:p>
        </w:tc>
        <w:tc>
          <w:tcPr>
            <w:tcW w:w="851" w:type="dxa"/>
            <w:tcBorders>
              <w:top w:val="nil"/>
              <w:left w:val="nil"/>
              <w:bottom w:val="nil"/>
              <w:right w:val="nil"/>
            </w:tcBorders>
          </w:tcPr>
          <w:p w14:paraId="69C72FF9" w14:textId="77777777" w:rsidR="00F74EF5" w:rsidRPr="00A60FD5" w:rsidRDefault="00F74EF5" w:rsidP="001E1CB2">
            <w:pPr>
              <w:spacing w:before="80" w:after="0" w:line="200" w:lineRule="exact"/>
              <w:rPr>
                <w:rFonts w:ascii="Times New Roman" w:hAnsi="Times New Roman" w:cs="Times New Roman"/>
                <w:sz w:val="18"/>
                <w:szCs w:val="18"/>
              </w:rPr>
            </w:pPr>
          </w:p>
        </w:tc>
        <w:tc>
          <w:tcPr>
            <w:tcW w:w="709" w:type="dxa"/>
            <w:tcBorders>
              <w:top w:val="nil"/>
              <w:left w:val="nil"/>
              <w:bottom w:val="nil"/>
              <w:right w:val="nil"/>
            </w:tcBorders>
          </w:tcPr>
          <w:p w14:paraId="19885B6B" w14:textId="77777777" w:rsidR="00F74EF5" w:rsidRPr="00A60FD5" w:rsidRDefault="00F74EF5" w:rsidP="001E1CB2">
            <w:pPr>
              <w:spacing w:before="80" w:after="0" w:line="200" w:lineRule="exact"/>
              <w:rPr>
                <w:rFonts w:ascii="Times New Roman" w:hAnsi="Times New Roman" w:cs="Times New Roman"/>
                <w:sz w:val="18"/>
                <w:szCs w:val="18"/>
              </w:rPr>
            </w:pPr>
          </w:p>
        </w:tc>
        <w:tc>
          <w:tcPr>
            <w:tcW w:w="708" w:type="dxa"/>
            <w:tcBorders>
              <w:top w:val="nil"/>
              <w:left w:val="nil"/>
              <w:bottom w:val="nil"/>
              <w:right w:val="nil"/>
            </w:tcBorders>
          </w:tcPr>
          <w:p w14:paraId="1F27EA4B" w14:textId="77777777" w:rsidR="00F74EF5" w:rsidRPr="00A60FD5" w:rsidRDefault="00F74EF5" w:rsidP="001E1CB2">
            <w:pPr>
              <w:spacing w:before="80" w:after="0" w:line="200" w:lineRule="exact"/>
              <w:rPr>
                <w:rFonts w:ascii="Times New Roman" w:hAnsi="Times New Roman" w:cs="Times New Roman"/>
                <w:sz w:val="18"/>
                <w:szCs w:val="18"/>
              </w:rPr>
            </w:pPr>
          </w:p>
        </w:tc>
        <w:tc>
          <w:tcPr>
            <w:tcW w:w="709" w:type="dxa"/>
            <w:tcBorders>
              <w:top w:val="nil"/>
              <w:left w:val="nil"/>
              <w:bottom w:val="nil"/>
              <w:right w:val="nil"/>
            </w:tcBorders>
          </w:tcPr>
          <w:p w14:paraId="59541197" w14:textId="77777777" w:rsidR="00F74EF5" w:rsidRPr="00A60FD5" w:rsidRDefault="00F74EF5" w:rsidP="001E1CB2">
            <w:pPr>
              <w:spacing w:before="80" w:after="0" w:line="200" w:lineRule="exact"/>
              <w:rPr>
                <w:rFonts w:ascii="Times New Roman" w:hAnsi="Times New Roman" w:cs="Times New Roman"/>
                <w:sz w:val="18"/>
                <w:szCs w:val="18"/>
              </w:rPr>
            </w:pPr>
          </w:p>
        </w:tc>
        <w:tc>
          <w:tcPr>
            <w:tcW w:w="709" w:type="dxa"/>
            <w:tcBorders>
              <w:top w:val="nil"/>
              <w:left w:val="nil"/>
              <w:bottom w:val="nil"/>
              <w:right w:val="nil"/>
            </w:tcBorders>
          </w:tcPr>
          <w:p w14:paraId="0933BF9A" w14:textId="77777777" w:rsidR="00F74EF5" w:rsidRPr="00A60FD5" w:rsidRDefault="00F74EF5" w:rsidP="001E1CB2">
            <w:pPr>
              <w:spacing w:before="80" w:after="0" w:line="200" w:lineRule="exact"/>
              <w:rPr>
                <w:rFonts w:ascii="Times New Roman" w:hAnsi="Times New Roman" w:cs="Times New Roman"/>
                <w:sz w:val="18"/>
                <w:szCs w:val="18"/>
              </w:rPr>
            </w:pPr>
          </w:p>
        </w:tc>
        <w:tc>
          <w:tcPr>
            <w:tcW w:w="709" w:type="dxa"/>
            <w:tcBorders>
              <w:top w:val="nil"/>
              <w:left w:val="nil"/>
              <w:bottom w:val="nil"/>
              <w:right w:val="nil"/>
            </w:tcBorders>
          </w:tcPr>
          <w:p w14:paraId="214A2015" w14:textId="77777777" w:rsidR="00F74EF5" w:rsidRPr="00A60FD5" w:rsidRDefault="00F74EF5" w:rsidP="001E1CB2">
            <w:pPr>
              <w:spacing w:before="80" w:after="0" w:line="200" w:lineRule="exact"/>
              <w:rPr>
                <w:rFonts w:ascii="Times New Roman" w:hAnsi="Times New Roman" w:cs="Times New Roman"/>
                <w:sz w:val="18"/>
                <w:szCs w:val="18"/>
              </w:rPr>
            </w:pPr>
          </w:p>
        </w:tc>
        <w:tc>
          <w:tcPr>
            <w:tcW w:w="708" w:type="dxa"/>
            <w:tcBorders>
              <w:top w:val="nil"/>
              <w:left w:val="nil"/>
              <w:bottom w:val="nil"/>
              <w:right w:val="nil"/>
            </w:tcBorders>
          </w:tcPr>
          <w:p w14:paraId="33BD94C1" w14:textId="77777777" w:rsidR="00F74EF5" w:rsidRPr="00A60FD5" w:rsidRDefault="00F74EF5" w:rsidP="001E1CB2">
            <w:pPr>
              <w:spacing w:before="80" w:after="0" w:line="200" w:lineRule="exact"/>
              <w:rPr>
                <w:rFonts w:ascii="Times New Roman" w:hAnsi="Times New Roman" w:cs="Times New Roman"/>
                <w:sz w:val="18"/>
                <w:szCs w:val="18"/>
              </w:rPr>
            </w:pPr>
          </w:p>
        </w:tc>
        <w:tc>
          <w:tcPr>
            <w:tcW w:w="709" w:type="dxa"/>
            <w:tcBorders>
              <w:top w:val="nil"/>
              <w:left w:val="nil"/>
              <w:bottom w:val="nil"/>
              <w:right w:val="nil"/>
            </w:tcBorders>
          </w:tcPr>
          <w:p w14:paraId="0B0082C3" w14:textId="77777777" w:rsidR="00F74EF5" w:rsidRPr="00A60FD5" w:rsidRDefault="00F74EF5" w:rsidP="001E1CB2">
            <w:pPr>
              <w:spacing w:before="80" w:after="0" w:line="200" w:lineRule="exact"/>
              <w:rPr>
                <w:rFonts w:ascii="Times New Roman" w:hAnsi="Times New Roman" w:cs="Times New Roman"/>
                <w:sz w:val="18"/>
                <w:szCs w:val="18"/>
              </w:rPr>
            </w:pPr>
          </w:p>
        </w:tc>
        <w:tc>
          <w:tcPr>
            <w:tcW w:w="709" w:type="dxa"/>
            <w:tcBorders>
              <w:top w:val="nil"/>
              <w:left w:val="nil"/>
              <w:bottom w:val="nil"/>
              <w:right w:val="nil"/>
            </w:tcBorders>
          </w:tcPr>
          <w:p w14:paraId="2DA533BB" w14:textId="77777777" w:rsidR="00F74EF5" w:rsidRPr="00A60FD5" w:rsidRDefault="00F74EF5" w:rsidP="001E1CB2">
            <w:pPr>
              <w:spacing w:before="80" w:after="0" w:line="200" w:lineRule="exact"/>
              <w:rPr>
                <w:rFonts w:ascii="Times New Roman" w:hAnsi="Times New Roman" w:cs="Times New Roman"/>
                <w:sz w:val="18"/>
                <w:szCs w:val="18"/>
              </w:rPr>
            </w:pPr>
          </w:p>
        </w:tc>
        <w:tc>
          <w:tcPr>
            <w:tcW w:w="567" w:type="dxa"/>
            <w:tcBorders>
              <w:top w:val="nil"/>
              <w:left w:val="nil"/>
              <w:bottom w:val="nil"/>
              <w:right w:val="nil"/>
            </w:tcBorders>
          </w:tcPr>
          <w:p w14:paraId="35BE4BF3" w14:textId="77777777" w:rsidR="00F74EF5" w:rsidRPr="00A60FD5" w:rsidRDefault="00F74EF5" w:rsidP="001E1CB2">
            <w:pPr>
              <w:spacing w:before="80" w:after="0" w:line="200" w:lineRule="exact"/>
              <w:rPr>
                <w:rFonts w:ascii="Times New Roman" w:hAnsi="Times New Roman" w:cs="Times New Roman"/>
                <w:sz w:val="18"/>
                <w:szCs w:val="18"/>
              </w:rPr>
            </w:pPr>
          </w:p>
        </w:tc>
        <w:tc>
          <w:tcPr>
            <w:tcW w:w="567" w:type="dxa"/>
            <w:tcBorders>
              <w:top w:val="nil"/>
              <w:left w:val="nil"/>
              <w:bottom w:val="nil"/>
              <w:right w:val="nil"/>
            </w:tcBorders>
          </w:tcPr>
          <w:p w14:paraId="607479E6" w14:textId="77777777" w:rsidR="00F74EF5" w:rsidRPr="00A60FD5" w:rsidRDefault="00F74EF5" w:rsidP="001E1CB2">
            <w:pPr>
              <w:spacing w:before="80" w:after="0" w:line="200" w:lineRule="exact"/>
              <w:rPr>
                <w:rFonts w:ascii="Times New Roman" w:hAnsi="Times New Roman" w:cs="Times New Roman"/>
                <w:sz w:val="18"/>
                <w:szCs w:val="18"/>
              </w:rPr>
            </w:pPr>
          </w:p>
        </w:tc>
      </w:tr>
      <w:tr w:rsidR="00F74EF5" w:rsidRPr="00A60FD5" w14:paraId="027DA722" w14:textId="77777777" w:rsidTr="00F74EF5">
        <w:tc>
          <w:tcPr>
            <w:tcW w:w="2377" w:type="dxa"/>
            <w:tcBorders>
              <w:top w:val="nil"/>
              <w:left w:val="nil"/>
              <w:bottom w:val="nil"/>
              <w:right w:val="nil"/>
            </w:tcBorders>
          </w:tcPr>
          <w:p w14:paraId="03A9C4E2" w14:textId="77777777" w:rsidR="00F74EF5" w:rsidRPr="00A60FD5" w:rsidRDefault="00F74EF5" w:rsidP="001E1CB2">
            <w:pPr>
              <w:spacing w:before="80" w:after="0" w:line="200" w:lineRule="exact"/>
              <w:rPr>
                <w:rFonts w:ascii="Times New Roman" w:hAnsi="Times New Roman" w:cs="Times New Roman"/>
                <w:sz w:val="20"/>
                <w:szCs w:val="20"/>
              </w:rPr>
            </w:pPr>
            <w:r w:rsidRPr="00A60FD5">
              <w:rPr>
                <w:rFonts w:ascii="Times New Roman" w:hAnsi="Times New Roman" w:cs="Times New Roman"/>
                <w:sz w:val="20"/>
                <w:szCs w:val="20"/>
              </w:rPr>
              <w:t xml:space="preserve">7. Technological capabilities </w:t>
            </w:r>
          </w:p>
        </w:tc>
        <w:tc>
          <w:tcPr>
            <w:tcW w:w="709" w:type="dxa"/>
            <w:tcBorders>
              <w:top w:val="nil"/>
              <w:left w:val="nil"/>
              <w:bottom w:val="nil"/>
              <w:right w:val="nil"/>
            </w:tcBorders>
          </w:tcPr>
          <w:p w14:paraId="09520E12" w14:textId="77777777" w:rsidR="00F74EF5" w:rsidRPr="00A60FD5" w:rsidRDefault="00F74EF5" w:rsidP="001E1CB2">
            <w:pPr>
              <w:spacing w:before="80" w:after="0" w:line="200" w:lineRule="exact"/>
              <w:rPr>
                <w:rFonts w:ascii="Times New Roman" w:hAnsi="Times New Roman" w:cs="Times New Roman"/>
                <w:sz w:val="18"/>
                <w:szCs w:val="18"/>
              </w:rPr>
            </w:pPr>
            <w:r w:rsidRPr="00A60FD5">
              <w:rPr>
                <w:rFonts w:ascii="Times New Roman" w:hAnsi="Times New Roman" w:cs="Times New Roman"/>
                <w:sz w:val="18"/>
                <w:szCs w:val="18"/>
              </w:rPr>
              <w:t>0.02</w:t>
            </w:r>
          </w:p>
        </w:tc>
        <w:tc>
          <w:tcPr>
            <w:tcW w:w="992" w:type="dxa"/>
            <w:tcBorders>
              <w:top w:val="nil"/>
              <w:left w:val="nil"/>
              <w:bottom w:val="nil"/>
              <w:right w:val="nil"/>
            </w:tcBorders>
          </w:tcPr>
          <w:p w14:paraId="2BF28396" w14:textId="77777777" w:rsidR="00F74EF5" w:rsidRPr="00A60FD5" w:rsidRDefault="00F74EF5" w:rsidP="001E1CB2">
            <w:pPr>
              <w:spacing w:before="80" w:after="0" w:line="200" w:lineRule="exact"/>
              <w:rPr>
                <w:rFonts w:ascii="Times New Roman" w:hAnsi="Times New Roman" w:cs="Times New Roman"/>
                <w:sz w:val="18"/>
                <w:szCs w:val="18"/>
              </w:rPr>
            </w:pPr>
            <w:r w:rsidRPr="00A60FD5">
              <w:rPr>
                <w:rFonts w:ascii="Times New Roman" w:hAnsi="Times New Roman" w:cs="Times New Roman"/>
                <w:sz w:val="18"/>
                <w:szCs w:val="18"/>
              </w:rPr>
              <w:t>0.09</w:t>
            </w:r>
          </w:p>
        </w:tc>
        <w:tc>
          <w:tcPr>
            <w:tcW w:w="851" w:type="dxa"/>
            <w:tcBorders>
              <w:top w:val="nil"/>
              <w:left w:val="nil"/>
              <w:bottom w:val="nil"/>
              <w:right w:val="nil"/>
            </w:tcBorders>
          </w:tcPr>
          <w:p w14:paraId="11AECA11" w14:textId="77777777" w:rsidR="00F74EF5" w:rsidRPr="00A60FD5" w:rsidRDefault="00F74EF5" w:rsidP="001E1CB2">
            <w:pPr>
              <w:spacing w:before="80" w:after="0" w:line="200" w:lineRule="exact"/>
              <w:rPr>
                <w:rFonts w:ascii="Times New Roman" w:hAnsi="Times New Roman" w:cs="Times New Roman"/>
                <w:sz w:val="18"/>
                <w:szCs w:val="18"/>
              </w:rPr>
            </w:pPr>
            <w:r w:rsidRPr="00A60FD5">
              <w:rPr>
                <w:rFonts w:ascii="Times New Roman" w:hAnsi="Times New Roman" w:cs="Times New Roman"/>
                <w:sz w:val="18"/>
                <w:szCs w:val="18"/>
              </w:rPr>
              <w:t>0.21*</w:t>
            </w:r>
          </w:p>
        </w:tc>
        <w:tc>
          <w:tcPr>
            <w:tcW w:w="850" w:type="dxa"/>
            <w:tcBorders>
              <w:top w:val="nil"/>
              <w:left w:val="nil"/>
              <w:bottom w:val="nil"/>
              <w:right w:val="nil"/>
            </w:tcBorders>
          </w:tcPr>
          <w:p w14:paraId="798AA6F8" w14:textId="77777777" w:rsidR="00F74EF5" w:rsidRPr="00A60FD5" w:rsidRDefault="00F74EF5" w:rsidP="001E1CB2">
            <w:pPr>
              <w:spacing w:before="80" w:after="0" w:line="200" w:lineRule="exact"/>
              <w:rPr>
                <w:rFonts w:ascii="Times New Roman" w:hAnsi="Times New Roman" w:cs="Times New Roman"/>
                <w:sz w:val="18"/>
                <w:szCs w:val="18"/>
              </w:rPr>
            </w:pPr>
            <w:r w:rsidRPr="00A60FD5">
              <w:rPr>
                <w:rFonts w:ascii="Times New Roman" w:hAnsi="Times New Roman" w:cs="Times New Roman"/>
                <w:sz w:val="18"/>
                <w:szCs w:val="18"/>
              </w:rPr>
              <w:t>-0.12</w:t>
            </w:r>
          </w:p>
        </w:tc>
        <w:tc>
          <w:tcPr>
            <w:tcW w:w="851" w:type="dxa"/>
            <w:tcBorders>
              <w:top w:val="nil"/>
              <w:left w:val="nil"/>
              <w:bottom w:val="nil"/>
              <w:right w:val="nil"/>
            </w:tcBorders>
          </w:tcPr>
          <w:p w14:paraId="57346C28" w14:textId="77777777" w:rsidR="00F74EF5" w:rsidRPr="00A60FD5" w:rsidRDefault="00F74EF5" w:rsidP="001E1CB2">
            <w:pPr>
              <w:spacing w:before="80" w:after="0" w:line="200" w:lineRule="exact"/>
              <w:rPr>
                <w:rFonts w:ascii="Times New Roman" w:hAnsi="Times New Roman" w:cs="Times New Roman"/>
                <w:sz w:val="18"/>
                <w:szCs w:val="18"/>
              </w:rPr>
            </w:pPr>
            <w:r w:rsidRPr="00A60FD5">
              <w:rPr>
                <w:rFonts w:ascii="Times New Roman" w:hAnsi="Times New Roman" w:cs="Times New Roman"/>
                <w:sz w:val="18"/>
                <w:szCs w:val="18"/>
              </w:rPr>
              <w:t>0.47***</w:t>
            </w:r>
          </w:p>
        </w:tc>
        <w:tc>
          <w:tcPr>
            <w:tcW w:w="709" w:type="dxa"/>
            <w:tcBorders>
              <w:top w:val="nil"/>
              <w:left w:val="nil"/>
              <w:bottom w:val="nil"/>
              <w:right w:val="nil"/>
            </w:tcBorders>
          </w:tcPr>
          <w:p w14:paraId="1126224F" w14:textId="77777777" w:rsidR="00F74EF5" w:rsidRPr="00A60FD5" w:rsidRDefault="00F74EF5" w:rsidP="001E1CB2">
            <w:pPr>
              <w:spacing w:before="80" w:after="0" w:line="200" w:lineRule="exact"/>
              <w:rPr>
                <w:rFonts w:ascii="Times New Roman" w:hAnsi="Times New Roman" w:cs="Times New Roman"/>
                <w:sz w:val="18"/>
                <w:szCs w:val="18"/>
              </w:rPr>
            </w:pPr>
            <w:r w:rsidRPr="00A60FD5">
              <w:rPr>
                <w:rFonts w:ascii="Times New Roman" w:hAnsi="Times New Roman" w:cs="Times New Roman"/>
                <w:sz w:val="18"/>
                <w:szCs w:val="18"/>
              </w:rPr>
              <w:t>0.08</w:t>
            </w:r>
          </w:p>
        </w:tc>
        <w:tc>
          <w:tcPr>
            <w:tcW w:w="708" w:type="dxa"/>
            <w:tcBorders>
              <w:top w:val="nil"/>
              <w:left w:val="nil"/>
              <w:bottom w:val="nil"/>
              <w:right w:val="nil"/>
            </w:tcBorders>
          </w:tcPr>
          <w:p w14:paraId="7EFEFA20" w14:textId="77777777" w:rsidR="00F74EF5" w:rsidRPr="00A60FD5" w:rsidRDefault="00F74EF5" w:rsidP="001E1CB2">
            <w:pPr>
              <w:spacing w:before="80" w:after="0" w:line="200" w:lineRule="exact"/>
              <w:rPr>
                <w:rFonts w:ascii="Times New Roman" w:hAnsi="Times New Roman" w:cs="Times New Roman"/>
                <w:sz w:val="18"/>
                <w:szCs w:val="18"/>
              </w:rPr>
            </w:pPr>
            <w:r w:rsidRPr="00A60FD5">
              <w:rPr>
                <w:rFonts w:ascii="Times New Roman" w:hAnsi="Times New Roman" w:cs="Times New Roman"/>
                <w:sz w:val="18"/>
                <w:szCs w:val="18"/>
              </w:rPr>
              <w:t>1.00</w:t>
            </w:r>
          </w:p>
        </w:tc>
        <w:tc>
          <w:tcPr>
            <w:tcW w:w="851" w:type="dxa"/>
            <w:tcBorders>
              <w:top w:val="nil"/>
              <w:left w:val="nil"/>
              <w:bottom w:val="nil"/>
              <w:right w:val="nil"/>
            </w:tcBorders>
          </w:tcPr>
          <w:p w14:paraId="16CE9E21" w14:textId="77777777" w:rsidR="00F74EF5" w:rsidRPr="00A60FD5" w:rsidRDefault="00F74EF5" w:rsidP="001E1CB2">
            <w:pPr>
              <w:spacing w:before="80" w:after="0" w:line="200" w:lineRule="exact"/>
              <w:rPr>
                <w:rFonts w:ascii="Times New Roman" w:hAnsi="Times New Roman" w:cs="Times New Roman"/>
                <w:sz w:val="18"/>
                <w:szCs w:val="18"/>
              </w:rPr>
            </w:pPr>
          </w:p>
        </w:tc>
        <w:tc>
          <w:tcPr>
            <w:tcW w:w="709" w:type="dxa"/>
            <w:tcBorders>
              <w:top w:val="nil"/>
              <w:left w:val="nil"/>
              <w:bottom w:val="nil"/>
              <w:right w:val="nil"/>
            </w:tcBorders>
          </w:tcPr>
          <w:p w14:paraId="0F951F40" w14:textId="77777777" w:rsidR="00F74EF5" w:rsidRPr="00A60FD5" w:rsidRDefault="00F74EF5" w:rsidP="001E1CB2">
            <w:pPr>
              <w:spacing w:before="80" w:after="0" w:line="200" w:lineRule="exact"/>
              <w:rPr>
                <w:rFonts w:ascii="Times New Roman" w:hAnsi="Times New Roman" w:cs="Times New Roman"/>
                <w:sz w:val="18"/>
                <w:szCs w:val="18"/>
              </w:rPr>
            </w:pPr>
          </w:p>
        </w:tc>
        <w:tc>
          <w:tcPr>
            <w:tcW w:w="708" w:type="dxa"/>
            <w:tcBorders>
              <w:top w:val="nil"/>
              <w:left w:val="nil"/>
              <w:bottom w:val="nil"/>
              <w:right w:val="nil"/>
            </w:tcBorders>
          </w:tcPr>
          <w:p w14:paraId="66DC83C2" w14:textId="77777777" w:rsidR="00F74EF5" w:rsidRPr="00A60FD5" w:rsidRDefault="00F74EF5" w:rsidP="001E1CB2">
            <w:pPr>
              <w:spacing w:before="80" w:after="0" w:line="200" w:lineRule="exact"/>
              <w:rPr>
                <w:rFonts w:ascii="Times New Roman" w:hAnsi="Times New Roman" w:cs="Times New Roman"/>
                <w:sz w:val="18"/>
                <w:szCs w:val="18"/>
              </w:rPr>
            </w:pPr>
          </w:p>
        </w:tc>
        <w:tc>
          <w:tcPr>
            <w:tcW w:w="709" w:type="dxa"/>
            <w:tcBorders>
              <w:top w:val="nil"/>
              <w:left w:val="nil"/>
              <w:bottom w:val="nil"/>
              <w:right w:val="nil"/>
            </w:tcBorders>
          </w:tcPr>
          <w:p w14:paraId="34B79B72" w14:textId="77777777" w:rsidR="00F74EF5" w:rsidRPr="00A60FD5" w:rsidRDefault="00F74EF5" w:rsidP="001E1CB2">
            <w:pPr>
              <w:spacing w:before="80" w:after="0" w:line="200" w:lineRule="exact"/>
              <w:rPr>
                <w:rFonts w:ascii="Times New Roman" w:hAnsi="Times New Roman" w:cs="Times New Roman"/>
                <w:sz w:val="18"/>
                <w:szCs w:val="18"/>
              </w:rPr>
            </w:pPr>
          </w:p>
        </w:tc>
        <w:tc>
          <w:tcPr>
            <w:tcW w:w="709" w:type="dxa"/>
            <w:tcBorders>
              <w:top w:val="nil"/>
              <w:left w:val="nil"/>
              <w:bottom w:val="nil"/>
              <w:right w:val="nil"/>
            </w:tcBorders>
          </w:tcPr>
          <w:p w14:paraId="02D32275" w14:textId="77777777" w:rsidR="00F74EF5" w:rsidRPr="00A60FD5" w:rsidRDefault="00F74EF5" w:rsidP="001E1CB2">
            <w:pPr>
              <w:spacing w:before="80" w:after="0" w:line="200" w:lineRule="exact"/>
              <w:rPr>
                <w:rFonts w:ascii="Times New Roman" w:hAnsi="Times New Roman" w:cs="Times New Roman"/>
                <w:sz w:val="18"/>
                <w:szCs w:val="18"/>
              </w:rPr>
            </w:pPr>
          </w:p>
        </w:tc>
        <w:tc>
          <w:tcPr>
            <w:tcW w:w="709" w:type="dxa"/>
            <w:tcBorders>
              <w:top w:val="nil"/>
              <w:left w:val="nil"/>
              <w:bottom w:val="nil"/>
              <w:right w:val="nil"/>
            </w:tcBorders>
          </w:tcPr>
          <w:p w14:paraId="78DDA543" w14:textId="77777777" w:rsidR="00F74EF5" w:rsidRPr="00A60FD5" w:rsidRDefault="00F74EF5" w:rsidP="001E1CB2">
            <w:pPr>
              <w:spacing w:before="80" w:after="0" w:line="200" w:lineRule="exact"/>
              <w:rPr>
                <w:rFonts w:ascii="Times New Roman" w:hAnsi="Times New Roman" w:cs="Times New Roman"/>
                <w:sz w:val="18"/>
                <w:szCs w:val="18"/>
              </w:rPr>
            </w:pPr>
          </w:p>
        </w:tc>
        <w:tc>
          <w:tcPr>
            <w:tcW w:w="708" w:type="dxa"/>
            <w:tcBorders>
              <w:top w:val="nil"/>
              <w:left w:val="nil"/>
              <w:bottom w:val="nil"/>
              <w:right w:val="nil"/>
            </w:tcBorders>
          </w:tcPr>
          <w:p w14:paraId="6A19F579" w14:textId="77777777" w:rsidR="00F74EF5" w:rsidRPr="00A60FD5" w:rsidRDefault="00F74EF5" w:rsidP="001E1CB2">
            <w:pPr>
              <w:spacing w:before="80" w:after="0" w:line="200" w:lineRule="exact"/>
              <w:rPr>
                <w:rFonts w:ascii="Times New Roman" w:hAnsi="Times New Roman" w:cs="Times New Roman"/>
                <w:sz w:val="18"/>
                <w:szCs w:val="18"/>
              </w:rPr>
            </w:pPr>
          </w:p>
        </w:tc>
        <w:tc>
          <w:tcPr>
            <w:tcW w:w="709" w:type="dxa"/>
            <w:tcBorders>
              <w:top w:val="nil"/>
              <w:left w:val="nil"/>
              <w:bottom w:val="nil"/>
              <w:right w:val="nil"/>
            </w:tcBorders>
          </w:tcPr>
          <w:p w14:paraId="00EB16BA" w14:textId="77777777" w:rsidR="00F74EF5" w:rsidRPr="00A60FD5" w:rsidRDefault="00F74EF5" w:rsidP="001E1CB2">
            <w:pPr>
              <w:spacing w:before="80" w:after="0" w:line="200" w:lineRule="exact"/>
              <w:rPr>
                <w:rFonts w:ascii="Times New Roman" w:hAnsi="Times New Roman" w:cs="Times New Roman"/>
                <w:sz w:val="18"/>
                <w:szCs w:val="18"/>
              </w:rPr>
            </w:pPr>
          </w:p>
        </w:tc>
        <w:tc>
          <w:tcPr>
            <w:tcW w:w="709" w:type="dxa"/>
            <w:tcBorders>
              <w:top w:val="nil"/>
              <w:left w:val="nil"/>
              <w:bottom w:val="nil"/>
              <w:right w:val="nil"/>
            </w:tcBorders>
          </w:tcPr>
          <w:p w14:paraId="55D38309" w14:textId="77777777" w:rsidR="00F74EF5" w:rsidRPr="00A60FD5" w:rsidRDefault="00F74EF5" w:rsidP="001E1CB2">
            <w:pPr>
              <w:spacing w:before="80" w:after="0" w:line="200" w:lineRule="exact"/>
              <w:rPr>
                <w:rFonts w:ascii="Times New Roman" w:hAnsi="Times New Roman" w:cs="Times New Roman"/>
                <w:sz w:val="18"/>
                <w:szCs w:val="18"/>
              </w:rPr>
            </w:pPr>
          </w:p>
        </w:tc>
        <w:tc>
          <w:tcPr>
            <w:tcW w:w="567" w:type="dxa"/>
            <w:tcBorders>
              <w:top w:val="nil"/>
              <w:left w:val="nil"/>
              <w:bottom w:val="nil"/>
              <w:right w:val="nil"/>
            </w:tcBorders>
          </w:tcPr>
          <w:p w14:paraId="2E56C338" w14:textId="77777777" w:rsidR="00F74EF5" w:rsidRPr="00A60FD5" w:rsidRDefault="00F74EF5" w:rsidP="001E1CB2">
            <w:pPr>
              <w:spacing w:before="80" w:after="0" w:line="200" w:lineRule="exact"/>
              <w:rPr>
                <w:rFonts w:ascii="Times New Roman" w:hAnsi="Times New Roman" w:cs="Times New Roman"/>
                <w:sz w:val="18"/>
                <w:szCs w:val="18"/>
              </w:rPr>
            </w:pPr>
          </w:p>
        </w:tc>
        <w:tc>
          <w:tcPr>
            <w:tcW w:w="567" w:type="dxa"/>
            <w:tcBorders>
              <w:top w:val="nil"/>
              <w:left w:val="nil"/>
              <w:bottom w:val="nil"/>
              <w:right w:val="nil"/>
            </w:tcBorders>
          </w:tcPr>
          <w:p w14:paraId="518BFD34" w14:textId="77777777" w:rsidR="00F74EF5" w:rsidRPr="00A60FD5" w:rsidRDefault="00F74EF5" w:rsidP="001E1CB2">
            <w:pPr>
              <w:spacing w:before="80" w:after="0" w:line="200" w:lineRule="exact"/>
              <w:rPr>
                <w:rFonts w:ascii="Times New Roman" w:hAnsi="Times New Roman" w:cs="Times New Roman"/>
                <w:sz w:val="18"/>
                <w:szCs w:val="18"/>
              </w:rPr>
            </w:pPr>
          </w:p>
        </w:tc>
      </w:tr>
      <w:tr w:rsidR="00F74EF5" w:rsidRPr="00A60FD5" w14:paraId="6FC2F0D2" w14:textId="77777777" w:rsidTr="00F74EF5">
        <w:tc>
          <w:tcPr>
            <w:tcW w:w="2377" w:type="dxa"/>
            <w:tcBorders>
              <w:top w:val="nil"/>
              <w:left w:val="nil"/>
              <w:bottom w:val="nil"/>
              <w:right w:val="nil"/>
            </w:tcBorders>
          </w:tcPr>
          <w:p w14:paraId="298184C4" w14:textId="77777777" w:rsidR="00F74EF5" w:rsidRPr="00A60FD5" w:rsidRDefault="00F74EF5" w:rsidP="001E1CB2">
            <w:pPr>
              <w:spacing w:before="80" w:after="0" w:line="200" w:lineRule="exact"/>
              <w:rPr>
                <w:rFonts w:ascii="Times New Roman" w:hAnsi="Times New Roman" w:cs="Times New Roman"/>
                <w:sz w:val="20"/>
                <w:szCs w:val="20"/>
              </w:rPr>
            </w:pPr>
            <w:r w:rsidRPr="00A60FD5">
              <w:rPr>
                <w:rFonts w:ascii="Times New Roman" w:hAnsi="Times New Roman" w:cs="Times New Roman"/>
                <w:sz w:val="20"/>
                <w:szCs w:val="20"/>
              </w:rPr>
              <w:t>8. Exclusivity</w:t>
            </w:r>
          </w:p>
        </w:tc>
        <w:tc>
          <w:tcPr>
            <w:tcW w:w="709" w:type="dxa"/>
            <w:tcBorders>
              <w:top w:val="nil"/>
              <w:left w:val="nil"/>
              <w:bottom w:val="nil"/>
              <w:right w:val="nil"/>
            </w:tcBorders>
          </w:tcPr>
          <w:p w14:paraId="142AEBC1" w14:textId="77777777" w:rsidR="00F74EF5" w:rsidRPr="00A60FD5" w:rsidRDefault="00F74EF5" w:rsidP="001E1CB2">
            <w:pPr>
              <w:spacing w:before="80" w:after="0" w:line="200" w:lineRule="exact"/>
              <w:rPr>
                <w:rFonts w:ascii="Times New Roman" w:hAnsi="Times New Roman" w:cs="Times New Roman"/>
                <w:sz w:val="18"/>
                <w:szCs w:val="18"/>
              </w:rPr>
            </w:pPr>
            <w:r w:rsidRPr="00A60FD5">
              <w:rPr>
                <w:rFonts w:ascii="Times New Roman" w:hAnsi="Times New Roman" w:cs="Times New Roman"/>
                <w:sz w:val="18"/>
                <w:szCs w:val="18"/>
              </w:rPr>
              <w:t>-0.17</w:t>
            </w:r>
            <w:r w:rsidRPr="00A60FD5">
              <w:rPr>
                <w:rFonts w:ascii="Times New Roman" w:hAnsi="Times New Roman" w:cs="Times New Roman"/>
                <w:sz w:val="18"/>
              </w:rPr>
              <w:t>†</w:t>
            </w:r>
          </w:p>
        </w:tc>
        <w:tc>
          <w:tcPr>
            <w:tcW w:w="992" w:type="dxa"/>
            <w:tcBorders>
              <w:top w:val="nil"/>
              <w:left w:val="nil"/>
              <w:bottom w:val="nil"/>
              <w:right w:val="nil"/>
            </w:tcBorders>
          </w:tcPr>
          <w:p w14:paraId="4DA314EB" w14:textId="77777777" w:rsidR="00F74EF5" w:rsidRPr="00A60FD5" w:rsidRDefault="00F74EF5" w:rsidP="001E1CB2">
            <w:pPr>
              <w:spacing w:before="80" w:after="0" w:line="200" w:lineRule="exact"/>
              <w:rPr>
                <w:rFonts w:ascii="Times New Roman" w:hAnsi="Times New Roman" w:cs="Times New Roman"/>
                <w:sz w:val="18"/>
                <w:szCs w:val="18"/>
              </w:rPr>
            </w:pPr>
            <w:r w:rsidRPr="00A60FD5">
              <w:rPr>
                <w:rFonts w:ascii="Times New Roman" w:hAnsi="Times New Roman" w:cs="Times New Roman"/>
                <w:sz w:val="18"/>
                <w:szCs w:val="18"/>
              </w:rPr>
              <w:t>0.01</w:t>
            </w:r>
          </w:p>
        </w:tc>
        <w:tc>
          <w:tcPr>
            <w:tcW w:w="851" w:type="dxa"/>
            <w:tcBorders>
              <w:top w:val="nil"/>
              <w:left w:val="nil"/>
              <w:bottom w:val="nil"/>
              <w:right w:val="nil"/>
            </w:tcBorders>
          </w:tcPr>
          <w:p w14:paraId="046651FE" w14:textId="77777777" w:rsidR="00F74EF5" w:rsidRPr="00A60FD5" w:rsidRDefault="00F74EF5" w:rsidP="001E1CB2">
            <w:pPr>
              <w:spacing w:before="80" w:after="0" w:line="200" w:lineRule="exact"/>
              <w:rPr>
                <w:rFonts w:ascii="Times New Roman" w:hAnsi="Times New Roman" w:cs="Times New Roman"/>
                <w:sz w:val="18"/>
                <w:szCs w:val="18"/>
              </w:rPr>
            </w:pPr>
            <w:r w:rsidRPr="00A60FD5">
              <w:rPr>
                <w:rFonts w:ascii="Times New Roman" w:hAnsi="Times New Roman" w:cs="Times New Roman"/>
                <w:sz w:val="18"/>
                <w:szCs w:val="18"/>
              </w:rPr>
              <w:t>-0.02</w:t>
            </w:r>
          </w:p>
        </w:tc>
        <w:tc>
          <w:tcPr>
            <w:tcW w:w="850" w:type="dxa"/>
            <w:tcBorders>
              <w:top w:val="nil"/>
              <w:left w:val="nil"/>
              <w:bottom w:val="nil"/>
              <w:right w:val="nil"/>
            </w:tcBorders>
          </w:tcPr>
          <w:p w14:paraId="64642FD9" w14:textId="77777777" w:rsidR="00F74EF5" w:rsidRPr="00A60FD5" w:rsidRDefault="00F74EF5" w:rsidP="001E1CB2">
            <w:pPr>
              <w:spacing w:before="80" w:after="0" w:line="200" w:lineRule="exact"/>
              <w:rPr>
                <w:rFonts w:ascii="Times New Roman" w:hAnsi="Times New Roman" w:cs="Times New Roman"/>
                <w:sz w:val="18"/>
                <w:szCs w:val="18"/>
              </w:rPr>
            </w:pPr>
            <w:r w:rsidRPr="00A60FD5">
              <w:rPr>
                <w:rFonts w:ascii="Times New Roman" w:hAnsi="Times New Roman" w:cs="Times New Roman"/>
                <w:sz w:val="18"/>
                <w:szCs w:val="18"/>
              </w:rPr>
              <w:t>-0.01</w:t>
            </w:r>
          </w:p>
        </w:tc>
        <w:tc>
          <w:tcPr>
            <w:tcW w:w="851" w:type="dxa"/>
            <w:tcBorders>
              <w:top w:val="nil"/>
              <w:left w:val="nil"/>
              <w:bottom w:val="nil"/>
              <w:right w:val="nil"/>
            </w:tcBorders>
          </w:tcPr>
          <w:p w14:paraId="728C88F9" w14:textId="77777777" w:rsidR="00F74EF5" w:rsidRPr="00A60FD5" w:rsidRDefault="00F74EF5" w:rsidP="001E1CB2">
            <w:pPr>
              <w:spacing w:before="80" w:after="0" w:line="200" w:lineRule="exact"/>
              <w:rPr>
                <w:rFonts w:ascii="Times New Roman" w:hAnsi="Times New Roman" w:cs="Times New Roman"/>
                <w:sz w:val="18"/>
                <w:szCs w:val="18"/>
              </w:rPr>
            </w:pPr>
            <w:r w:rsidRPr="00A60FD5">
              <w:rPr>
                <w:rFonts w:ascii="Times New Roman" w:hAnsi="Times New Roman" w:cs="Times New Roman"/>
                <w:sz w:val="18"/>
                <w:szCs w:val="18"/>
              </w:rPr>
              <w:t>-0.05</w:t>
            </w:r>
          </w:p>
        </w:tc>
        <w:tc>
          <w:tcPr>
            <w:tcW w:w="709" w:type="dxa"/>
            <w:tcBorders>
              <w:top w:val="nil"/>
              <w:left w:val="nil"/>
              <w:bottom w:val="nil"/>
              <w:right w:val="nil"/>
            </w:tcBorders>
          </w:tcPr>
          <w:p w14:paraId="146F9CF0" w14:textId="77777777" w:rsidR="00F74EF5" w:rsidRPr="00A60FD5" w:rsidRDefault="00F74EF5" w:rsidP="001E1CB2">
            <w:pPr>
              <w:spacing w:before="80" w:after="0" w:line="200" w:lineRule="exact"/>
              <w:rPr>
                <w:rFonts w:ascii="Times New Roman" w:hAnsi="Times New Roman" w:cs="Times New Roman"/>
                <w:sz w:val="18"/>
                <w:szCs w:val="18"/>
              </w:rPr>
            </w:pPr>
            <w:r w:rsidRPr="00A60FD5">
              <w:rPr>
                <w:rFonts w:ascii="Times New Roman" w:hAnsi="Times New Roman" w:cs="Times New Roman"/>
                <w:sz w:val="18"/>
                <w:szCs w:val="18"/>
              </w:rPr>
              <w:t>-0.05</w:t>
            </w:r>
          </w:p>
        </w:tc>
        <w:tc>
          <w:tcPr>
            <w:tcW w:w="708" w:type="dxa"/>
            <w:tcBorders>
              <w:top w:val="nil"/>
              <w:left w:val="nil"/>
              <w:bottom w:val="nil"/>
              <w:right w:val="nil"/>
            </w:tcBorders>
          </w:tcPr>
          <w:p w14:paraId="18E46CFF" w14:textId="77777777" w:rsidR="00F74EF5" w:rsidRPr="00A60FD5" w:rsidRDefault="00F74EF5" w:rsidP="001E1CB2">
            <w:pPr>
              <w:spacing w:before="80" w:after="0" w:line="200" w:lineRule="exact"/>
              <w:rPr>
                <w:rFonts w:ascii="Times New Roman" w:hAnsi="Times New Roman" w:cs="Times New Roman"/>
                <w:sz w:val="18"/>
                <w:szCs w:val="18"/>
              </w:rPr>
            </w:pPr>
            <w:r w:rsidRPr="00A60FD5">
              <w:rPr>
                <w:rFonts w:ascii="Times New Roman" w:hAnsi="Times New Roman" w:cs="Times New Roman"/>
                <w:sz w:val="18"/>
                <w:szCs w:val="18"/>
              </w:rPr>
              <w:t>0.04</w:t>
            </w:r>
          </w:p>
        </w:tc>
        <w:tc>
          <w:tcPr>
            <w:tcW w:w="851" w:type="dxa"/>
            <w:tcBorders>
              <w:top w:val="nil"/>
              <w:left w:val="nil"/>
              <w:bottom w:val="nil"/>
              <w:right w:val="nil"/>
            </w:tcBorders>
          </w:tcPr>
          <w:p w14:paraId="0E3622E5" w14:textId="77777777" w:rsidR="00F74EF5" w:rsidRPr="00A60FD5" w:rsidRDefault="00F74EF5" w:rsidP="001E1CB2">
            <w:pPr>
              <w:spacing w:before="80" w:after="0" w:line="200" w:lineRule="exact"/>
              <w:rPr>
                <w:rFonts w:ascii="Times New Roman" w:hAnsi="Times New Roman" w:cs="Times New Roman"/>
                <w:sz w:val="18"/>
                <w:szCs w:val="18"/>
              </w:rPr>
            </w:pPr>
            <w:r w:rsidRPr="00A60FD5">
              <w:rPr>
                <w:rFonts w:ascii="Times New Roman" w:hAnsi="Times New Roman" w:cs="Times New Roman"/>
                <w:sz w:val="18"/>
                <w:szCs w:val="18"/>
              </w:rPr>
              <w:t>1.00</w:t>
            </w:r>
          </w:p>
        </w:tc>
        <w:tc>
          <w:tcPr>
            <w:tcW w:w="709" w:type="dxa"/>
            <w:tcBorders>
              <w:top w:val="nil"/>
              <w:left w:val="nil"/>
              <w:bottom w:val="nil"/>
              <w:right w:val="nil"/>
            </w:tcBorders>
          </w:tcPr>
          <w:p w14:paraId="4DE55DC4" w14:textId="77777777" w:rsidR="00F74EF5" w:rsidRPr="00A60FD5" w:rsidRDefault="00F74EF5" w:rsidP="001E1CB2">
            <w:pPr>
              <w:spacing w:before="80" w:after="0" w:line="200" w:lineRule="exact"/>
              <w:rPr>
                <w:rFonts w:ascii="Times New Roman" w:hAnsi="Times New Roman" w:cs="Times New Roman"/>
                <w:sz w:val="18"/>
                <w:szCs w:val="18"/>
              </w:rPr>
            </w:pPr>
          </w:p>
        </w:tc>
        <w:tc>
          <w:tcPr>
            <w:tcW w:w="708" w:type="dxa"/>
            <w:tcBorders>
              <w:top w:val="nil"/>
              <w:left w:val="nil"/>
              <w:bottom w:val="nil"/>
              <w:right w:val="nil"/>
            </w:tcBorders>
          </w:tcPr>
          <w:p w14:paraId="734B1958" w14:textId="77777777" w:rsidR="00F74EF5" w:rsidRPr="00A60FD5" w:rsidRDefault="00F74EF5" w:rsidP="001E1CB2">
            <w:pPr>
              <w:spacing w:before="80" w:after="0" w:line="200" w:lineRule="exact"/>
              <w:rPr>
                <w:rFonts w:ascii="Times New Roman" w:hAnsi="Times New Roman" w:cs="Times New Roman"/>
                <w:sz w:val="18"/>
                <w:szCs w:val="18"/>
              </w:rPr>
            </w:pPr>
          </w:p>
        </w:tc>
        <w:tc>
          <w:tcPr>
            <w:tcW w:w="709" w:type="dxa"/>
            <w:tcBorders>
              <w:top w:val="nil"/>
              <w:left w:val="nil"/>
              <w:bottom w:val="nil"/>
              <w:right w:val="nil"/>
            </w:tcBorders>
          </w:tcPr>
          <w:p w14:paraId="23182973" w14:textId="77777777" w:rsidR="00F74EF5" w:rsidRPr="00A60FD5" w:rsidRDefault="00F74EF5" w:rsidP="001E1CB2">
            <w:pPr>
              <w:spacing w:before="80" w:after="0" w:line="200" w:lineRule="exact"/>
              <w:rPr>
                <w:rFonts w:ascii="Times New Roman" w:hAnsi="Times New Roman" w:cs="Times New Roman"/>
                <w:sz w:val="18"/>
                <w:szCs w:val="18"/>
              </w:rPr>
            </w:pPr>
          </w:p>
        </w:tc>
        <w:tc>
          <w:tcPr>
            <w:tcW w:w="709" w:type="dxa"/>
            <w:tcBorders>
              <w:top w:val="nil"/>
              <w:left w:val="nil"/>
              <w:bottom w:val="nil"/>
              <w:right w:val="nil"/>
            </w:tcBorders>
          </w:tcPr>
          <w:p w14:paraId="70FAEA94" w14:textId="77777777" w:rsidR="00F74EF5" w:rsidRPr="00A60FD5" w:rsidRDefault="00F74EF5" w:rsidP="001E1CB2">
            <w:pPr>
              <w:spacing w:before="80" w:after="0" w:line="200" w:lineRule="exact"/>
              <w:rPr>
                <w:rFonts w:ascii="Times New Roman" w:hAnsi="Times New Roman" w:cs="Times New Roman"/>
                <w:sz w:val="18"/>
                <w:szCs w:val="18"/>
              </w:rPr>
            </w:pPr>
          </w:p>
        </w:tc>
        <w:tc>
          <w:tcPr>
            <w:tcW w:w="709" w:type="dxa"/>
            <w:tcBorders>
              <w:top w:val="nil"/>
              <w:left w:val="nil"/>
              <w:bottom w:val="nil"/>
              <w:right w:val="nil"/>
            </w:tcBorders>
          </w:tcPr>
          <w:p w14:paraId="65062CBE" w14:textId="77777777" w:rsidR="00F74EF5" w:rsidRPr="00A60FD5" w:rsidRDefault="00F74EF5" w:rsidP="001E1CB2">
            <w:pPr>
              <w:spacing w:before="80" w:after="0" w:line="200" w:lineRule="exact"/>
              <w:rPr>
                <w:rFonts w:ascii="Times New Roman" w:hAnsi="Times New Roman" w:cs="Times New Roman"/>
                <w:sz w:val="18"/>
                <w:szCs w:val="18"/>
              </w:rPr>
            </w:pPr>
          </w:p>
        </w:tc>
        <w:tc>
          <w:tcPr>
            <w:tcW w:w="708" w:type="dxa"/>
            <w:tcBorders>
              <w:top w:val="nil"/>
              <w:left w:val="nil"/>
              <w:bottom w:val="nil"/>
              <w:right w:val="nil"/>
            </w:tcBorders>
          </w:tcPr>
          <w:p w14:paraId="38EF7454" w14:textId="77777777" w:rsidR="00F74EF5" w:rsidRPr="00A60FD5" w:rsidRDefault="00F74EF5" w:rsidP="001E1CB2">
            <w:pPr>
              <w:spacing w:before="80" w:after="0" w:line="200" w:lineRule="exact"/>
              <w:rPr>
                <w:rFonts w:ascii="Times New Roman" w:hAnsi="Times New Roman" w:cs="Times New Roman"/>
                <w:sz w:val="18"/>
                <w:szCs w:val="18"/>
              </w:rPr>
            </w:pPr>
          </w:p>
        </w:tc>
        <w:tc>
          <w:tcPr>
            <w:tcW w:w="709" w:type="dxa"/>
            <w:tcBorders>
              <w:top w:val="nil"/>
              <w:left w:val="nil"/>
              <w:bottom w:val="nil"/>
              <w:right w:val="nil"/>
            </w:tcBorders>
          </w:tcPr>
          <w:p w14:paraId="554E854B" w14:textId="77777777" w:rsidR="00F74EF5" w:rsidRPr="00A60FD5" w:rsidRDefault="00F74EF5" w:rsidP="001E1CB2">
            <w:pPr>
              <w:spacing w:before="80" w:after="0" w:line="200" w:lineRule="exact"/>
              <w:rPr>
                <w:rFonts w:ascii="Times New Roman" w:hAnsi="Times New Roman" w:cs="Times New Roman"/>
                <w:sz w:val="18"/>
                <w:szCs w:val="18"/>
              </w:rPr>
            </w:pPr>
          </w:p>
        </w:tc>
        <w:tc>
          <w:tcPr>
            <w:tcW w:w="709" w:type="dxa"/>
            <w:tcBorders>
              <w:top w:val="nil"/>
              <w:left w:val="nil"/>
              <w:bottom w:val="nil"/>
              <w:right w:val="nil"/>
            </w:tcBorders>
          </w:tcPr>
          <w:p w14:paraId="405C72BA" w14:textId="77777777" w:rsidR="00F74EF5" w:rsidRPr="00A60FD5" w:rsidRDefault="00F74EF5" w:rsidP="001E1CB2">
            <w:pPr>
              <w:spacing w:before="80" w:after="0" w:line="200" w:lineRule="exact"/>
              <w:rPr>
                <w:rFonts w:ascii="Times New Roman" w:hAnsi="Times New Roman" w:cs="Times New Roman"/>
                <w:sz w:val="18"/>
                <w:szCs w:val="18"/>
              </w:rPr>
            </w:pPr>
          </w:p>
        </w:tc>
        <w:tc>
          <w:tcPr>
            <w:tcW w:w="567" w:type="dxa"/>
            <w:tcBorders>
              <w:top w:val="nil"/>
              <w:left w:val="nil"/>
              <w:bottom w:val="nil"/>
              <w:right w:val="nil"/>
            </w:tcBorders>
          </w:tcPr>
          <w:p w14:paraId="35AA134D" w14:textId="77777777" w:rsidR="00F74EF5" w:rsidRPr="00A60FD5" w:rsidRDefault="00F74EF5" w:rsidP="001E1CB2">
            <w:pPr>
              <w:spacing w:before="80" w:after="0" w:line="200" w:lineRule="exact"/>
              <w:rPr>
                <w:rFonts w:ascii="Times New Roman" w:hAnsi="Times New Roman" w:cs="Times New Roman"/>
                <w:sz w:val="18"/>
                <w:szCs w:val="18"/>
              </w:rPr>
            </w:pPr>
          </w:p>
        </w:tc>
        <w:tc>
          <w:tcPr>
            <w:tcW w:w="567" w:type="dxa"/>
            <w:tcBorders>
              <w:top w:val="nil"/>
              <w:left w:val="nil"/>
              <w:bottom w:val="nil"/>
              <w:right w:val="nil"/>
            </w:tcBorders>
          </w:tcPr>
          <w:p w14:paraId="58B3409F" w14:textId="77777777" w:rsidR="00F74EF5" w:rsidRPr="00A60FD5" w:rsidRDefault="00F74EF5" w:rsidP="001E1CB2">
            <w:pPr>
              <w:spacing w:before="80" w:after="0" w:line="200" w:lineRule="exact"/>
              <w:rPr>
                <w:rFonts w:ascii="Times New Roman" w:hAnsi="Times New Roman" w:cs="Times New Roman"/>
                <w:sz w:val="18"/>
                <w:szCs w:val="18"/>
              </w:rPr>
            </w:pPr>
          </w:p>
        </w:tc>
      </w:tr>
      <w:tr w:rsidR="00F74EF5" w:rsidRPr="00A60FD5" w14:paraId="54CD62F4" w14:textId="77777777" w:rsidTr="00F74EF5">
        <w:tc>
          <w:tcPr>
            <w:tcW w:w="2377" w:type="dxa"/>
            <w:tcBorders>
              <w:top w:val="nil"/>
              <w:left w:val="nil"/>
              <w:bottom w:val="nil"/>
              <w:right w:val="nil"/>
            </w:tcBorders>
          </w:tcPr>
          <w:p w14:paraId="249D990F" w14:textId="77777777" w:rsidR="00F74EF5" w:rsidRPr="00A60FD5" w:rsidRDefault="00F74EF5" w:rsidP="001E1CB2">
            <w:pPr>
              <w:spacing w:before="80" w:after="0" w:line="200" w:lineRule="exact"/>
              <w:rPr>
                <w:rFonts w:ascii="Times New Roman" w:hAnsi="Times New Roman" w:cs="Times New Roman"/>
                <w:sz w:val="20"/>
                <w:szCs w:val="20"/>
              </w:rPr>
            </w:pPr>
            <w:r w:rsidRPr="00A60FD5">
              <w:rPr>
                <w:rFonts w:ascii="Times New Roman" w:hAnsi="Times New Roman" w:cs="Times New Roman"/>
                <w:sz w:val="20"/>
                <w:szCs w:val="20"/>
              </w:rPr>
              <w:t>9. License’s Scope</w:t>
            </w:r>
          </w:p>
        </w:tc>
        <w:tc>
          <w:tcPr>
            <w:tcW w:w="709" w:type="dxa"/>
            <w:tcBorders>
              <w:top w:val="nil"/>
              <w:left w:val="nil"/>
              <w:bottom w:val="nil"/>
              <w:right w:val="nil"/>
            </w:tcBorders>
          </w:tcPr>
          <w:p w14:paraId="479BD62F" w14:textId="77777777" w:rsidR="00F74EF5" w:rsidRPr="00A60FD5" w:rsidRDefault="00F74EF5" w:rsidP="001E1CB2">
            <w:pPr>
              <w:spacing w:before="80" w:after="0" w:line="200" w:lineRule="exact"/>
              <w:rPr>
                <w:rFonts w:ascii="Times New Roman" w:hAnsi="Times New Roman" w:cs="Times New Roman"/>
                <w:sz w:val="18"/>
                <w:szCs w:val="18"/>
              </w:rPr>
            </w:pPr>
            <w:r w:rsidRPr="00A60FD5">
              <w:rPr>
                <w:rFonts w:ascii="Times New Roman" w:hAnsi="Times New Roman" w:cs="Times New Roman"/>
                <w:sz w:val="18"/>
                <w:szCs w:val="18"/>
              </w:rPr>
              <w:t>0.12</w:t>
            </w:r>
          </w:p>
        </w:tc>
        <w:tc>
          <w:tcPr>
            <w:tcW w:w="992" w:type="dxa"/>
            <w:tcBorders>
              <w:top w:val="nil"/>
              <w:left w:val="nil"/>
              <w:bottom w:val="nil"/>
              <w:right w:val="nil"/>
            </w:tcBorders>
          </w:tcPr>
          <w:p w14:paraId="407491C1" w14:textId="77777777" w:rsidR="00F74EF5" w:rsidRPr="00A60FD5" w:rsidRDefault="00F74EF5" w:rsidP="001E1CB2">
            <w:pPr>
              <w:spacing w:before="80" w:after="0" w:line="200" w:lineRule="exact"/>
              <w:rPr>
                <w:rFonts w:ascii="Times New Roman" w:hAnsi="Times New Roman" w:cs="Times New Roman"/>
                <w:sz w:val="18"/>
                <w:szCs w:val="18"/>
              </w:rPr>
            </w:pPr>
            <w:r w:rsidRPr="00A60FD5">
              <w:rPr>
                <w:rFonts w:ascii="Times New Roman" w:hAnsi="Times New Roman" w:cs="Times New Roman"/>
                <w:sz w:val="18"/>
                <w:szCs w:val="18"/>
              </w:rPr>
              <w:t>0.09</w:t>
            </w:r>
          </w:p>
        </w:tc>
        <w:tc>
          <w:tcPr>
            <w:tcW w:w="851" w:type="dxa"/>
            <w:tcBorders>
              <w:top w:val="nil"/>
              <w:left w:val="nil"/>
              <w:bottom w:val="nil"/>
              <w:right w:val="nil"/>
            </w:tcBorders>
          </w:tcPr>
          <w:p w14:paraId="53087A4B" w14:textId="77777777" w:rsidR="00F74EF5" w:rsidRPr="00A60FD5" w:rsidRDefault="00F74EF5" w:rsidP="001E1CB2">
            <w:pPr>
              <w:spacing w:before="80" w:after="0" w:line="200" w:lineRule="exact"/>
              <w:rPr>
                <w:rFonts w:ascii="Times New Roman" w:hAnsi="Times New Roman" w:cs="Times New Roman"/>
                <w:sz w:val="18"/>
                <w:szCs w:val="18"/>
              </w:rPr>
            </w:pPr>
            <w:r w:rsidRPr="00A60FD5">
              <w:rPr>
                <w:rFonts w:ascii="Times New Roman" w:hAnsi="Times New Roman" w:cs="Times New Roman"/>
                <w:sz w:val="18"/>
                <w:szCs w:val="18"/>
              </w:rPr>
              <w:t>0.42***</w:t>
            </w:r>
          </w:p>
        </w:tc>
        <w:tc>
          <w:tcPr>
            <w:tcW w:w="850" w:type="dxa"/>
            <w:tcBorders>
              <w:top w:val="nil"/>
              <w:left w:val="nil"/>
              <w:bottom w:val="nil"/>
              <w:right w:val="nil"/>
            </w:tcBorders>
          </w:tcPr>
          <w:p w14:paraId="07487FA4" w14:textId="77777777" w:rsidR="00F74EF5" w:rsidRPr="00A60FD5" w:rsidRDefault="00F74EF5" w:rsidP="001E1CB2">
            <w:pPr>
              <w:spacing w:before="80" w:after="0" w:line="200" w:lineRule="exact"/>
              <w:rPr>
                <w:rFonts w:ascii="Times New Roman" w:hAnsi="Times New Roman" w:cs="Times New Roman"/>
                <w:sz w:val="18"/>
                <w:szCs w:val="18"/>
              </w:rPr>
            </w:pPr>
            <w:r w:rsidRPr="00A60FD5">
              <w:rPr>
                <w:rFonts w:ascii="Times New Roman" w:hAnsi="Times New Roman" w:cs="Times New Roman"/>
                <w:sz w:val="18"/>
                <w:szCs w:val="18"/>
              </w:rPr>
              <w:t>-0.22*</w:t>
            </w:r>
          </w:p>
        </w:tc>
        <w:tc>
          <w:tcPr>
            <w:tcW w:w="851" w:type="dxa"/>
            <w:tcBorders>
              <w:top w:val="nil"/>
              <w:left w:val="nil"/>
              <w:bottom w:val="nil"/>
              <w:right w:val="nil"/>
            </w:tcBorders>
          </w:tcPr>
          <w:p w14:paraId="03557BBE" w14:textId="77777777" w:rsidR="00F74EF5" w:rsidRPr="00A60FD5" w:rsidRDefault="00F74EF5" w:rsidP="001E1CB2">
            <w:pPr>
              <w:spacing w:before="80" w:after="0" w:line="200" w:lineRule="exact"/>
              <w:rPr>
                <w:rFonts w:ascii="Times New Roman" w:hAnsi="Times New Roman" w:cs="Times New Roman"/>
                <w:sz w:val="18"/>
                <w:szCs w:val="18"/>
              </w:rPr>
            </w:pPr>
            <w:r w:rsidRPr="00A60FD5">
              <w:rPr>
                <w:rFonts w:ascii="Times New Roman" w:hAnsi="Times New Roman" w:cs="Times New Roman"/>
                <w:sz w:val="18"/>
                <w:szCs w:val="18"/>
              </w:rPr>
              <w:t>0.25*</w:t>
            </w:r>
          </w:p>
        </w:tc>
        <w:tc>
          <w:tcPr>
            <w:tcW w:w="709" w:type="dxa"/>
            <w:tcBorders>
              <w:top w:val="nil"/>
              <w:left w:val="nil"/>
              <w:bottom w:val="nil"/>
              <w:right w:val="nil"/>
            </w:tcBorders>
          </w:tcPr>
          <w:p w14:paraId="0178CE3E" w14:textId="77777777" w:rsidR="00F74EF5" w:rsidRPr="00A60FD5" w:rsidRDefault="00F74EF5" w:rsidP="001E1CB2">
            <w:pPr>
              <w:spacing w:before="80" w:after="0" w:line="200" w:lineRule="exact"/>
              <w:rPr>
                <w:rFonts w:ascii="Times New Roman" w:hAnsi="Times New Roman" w:cs="Times New Roman"/>
                <w:sz w:val="18"/>
                <w:szCs w:val="18"/>
              </w:rPr>
            </w:pPr>
            <w:r w:rsidRPr="00A60FD5">
              <w:rPr>
                <w:rFonts w:ascii="Times New Roman" w:hAnsi="Times New Roman" w:cs="Times New Roman"/>
                <w:sz w:val="18"/>
                <w:szCs w:val="18"/>
              </w:rPr>
              <w:t>0.16</w:t>
            </w:r>
            <w:r w:rsidRPr="00A60FD5">
              <w:rPr>
                <w:rFonts w:ascii="Times New Roman" w:hAnsi="Times New Roman" w:cs="Times New Roman"/>
                <w:sz w:val="18"/>
              </w:rPr>
              <w:t>†</w:t>
            </w:r>
          </w:p>
        </w:tc>
        <w:tc>
          <w:tcPr>
            <w:tcW w:w="708" w:type="dxa"/>
            <w:tcBorders>
              <w:top w:val="nil"/>
              <w:left w:val="nil"/>
              <w:bottom w:val="nil"/>
              <w:right w:val="nil"/>
            </w:tcBorders>
          </w:tcPr>
          <w:p w14:paraId="128CC611" w14:textId="77777777" w:rsidR="00F74EF5" w:rsidRPr="00A60FD5" w:rsidRDefault="00F74EF5" w:rsidP="001E1CB2">
            <w:pPr>
              <w:spacing w:before="80" w:after="0" w:line="200" w:lineRule="exact"/>
              <w:rPr>
                <w:rFonts w:ascii="Times New Roman" w:hAnsi="Times New Roman" w:cs="Times New Roman"/>
                <w:sz w:val="18"/>
                <w:szCs w:val="18"/>
              </w:rPr>
            </w:pPr>
            <w:r w:rsidRPr="00A60FD5">
              <w:rPr>
                <w:rFonts w:ascii="Times New Roman" w:hAnsi="Times New Roman" w:cs="Times New Roman"/>
                <w:sz w:val="18"/>
                <w:szCs w:val="18"/>
              </w:rPr>
              <w:t>0.22*</w:t>
            </w:r>
          </w:p>
        </w:tc>
        <w:tc>
          <w:tcPr>
            <w:tcW w:w="851" w:type="dxa"/>
            <w:tcBorders>
              <w:top w:val="nil"/>
              <w:left w:val="nil"/>
              <w:bottom w:val="nil"/>
              <w:right w:val="nil"/>
            </w:tcBorders>
          </w:tcPr>
          <w:p w14:paraId="3D972DBA" w14:textId="77777777" w:rsidR="00F74EF5" w:rsidRPr="00A60FD5" w:rsidRDefault="00F74EF5" w:rsidP="001E1CB2">
            <w:pPr>
              <w:spacing w:before="80" w:after="0" w:line="200" w:lineRule="exact"/>
              <w:rPr>
                <w:rFonts w:ascii="Times New Roman" w:hAnsi="Times New Roman" w:cs="Times New Roman"/>
                <w:sz w:val="18"/>
                <w:szCs w:val="18"/>
              </w:rPr>
            </w:pPr>
            <w:r w:rsidRPr="00A60FD5">
              <w:rPr>
                <w:rFonts w:ascii="Times New Roman" w:hAnsi="Times New Roman" w:cs="Times New Roman"/>
                <w:sz w:val="18"/>
                <w:szCs w:val="18"/>
              </w:rPr>
              <w:t>-0.03</w:t>
            </w:r>
          </w:p>
        </w:tc>
        <w:tc>
          <w:tcPr>
            <w:tcW w:w="709" w:type="dxa"/>
            <w:tcBorders>
              <w:top w:val="nil"/>
              <w:left w:val="nil"/>
              <w:bottom w:val="nil"/>
              <w:right w:val="nil"/>
            </w:tcBorders>
          </w:tcPr>
          <w:p w14:paraId="6BC21CB6" w14:textId="77777777" w:rsidR="00F74EF5" w:rsidRPr="00A60FD5" w:rsidRDefault="00F74EF5" w:rsidP="001E1CB2">
            <w:pPr>
              <w:spacing w:before="80" w:after="0" w:line="200" w:lineRule="exact"/>
              <w:rPr>
                <w:rFonts w:ascii="Times New Roman" w:hAnsi="Times New Roman" w:cs="Times New Roman"/>
                <w:sz w:val="18"/>
                <w:szCs w:val="18"/>
              </w:rPr>
            </w:pPr>
            <w:r w:rsidRPr="00A60FD5">
              <w:rPr>
                <w:rFonts w:ascii="Times New Roman" w:hAnsi="Times New Roman" w:cs="Times New Roman"/>
                <w:sz w:val="18"/>
                <w:szCs w:val="18"/>
              </w:rPr>
              <w:t>1.00</w:t>
            </w:r>
          </w:p>
        </w:tc>
        <w:tc>
          <w:tcPr>
            <w:tcW w:w="708" w:type="dxa"/>
            <w:tcBorders>
              <w:top w:val="nil"/>
              <w:left w:val="nil"/>
              <w:bottom w:val="nil"/>
              <w:right w:val="nil"/>
            </w:tcBorders>
          </w:tcPr>
          <w:p w14:paraId="10D45613" w14:textId="77777777" w:rsidR="00F74EF5" w:rsidRPr="00A60FD5" w:rsidRDefault="00F74EF5" w:rsidP="001E1CB2">
            <w:pPr>
              <w:spacing w:before="80" w:after="0" w:line="200" w:lineRule="exact"/>
              <w:rPr>
                <w:rFonts w:ascii="Times New Roman" w:hAnsi="Times New Roman" w:cs="Times New Roman"/>
                <w:sz w:val="18"/>
                <w:szCs w:val="18"/>
              </w:rPr>
            </w:pPr>
          </w:p>
        </w:tc>
        <w:tc>
          <w:tcPr>
            <w:tcW w:w="709" w:type="dxa"/>
            <w:tcBorders>
              <w:top w:val="nil"/>
              <w:left w:val="nil"/>
              <w:bottom w:val="nil"/>
              <w:right w:val="nil"/>
            </w:tcBorders>
          </w:tcPr>
          <w:p w14:paraId="3CF6D65E" w14:textId="77777777" w:rsidR="00F74EF5" w:rsidRPr="00A60FD5" w:rsidRDefault="00F74EF5" w:rsidP="001E1CB2">
            <w:pPr>
              <w:spacing w:before="80" w:after="0" w:line="200" w:lineRule="exact"/>
              <w:rPr>
                <w:rFonts w:ascii="Times New Roman" w:hAnsi="Times New Roman" w:cs="Times New Roman"/>
                <w:sz w:val="18"/>
                <w:szCs w:val="18"/>
              </w:rPr>
            </w:pPr>
          </w:p>
        </w:tc>
        <w:tc>
          <w:tcPr>
            <w:tcW w:w="709" w:type="dxa"/>
            <w:tcBorders>
              <w:top w:val="nil"/>
              <w:left w:val="nil"/>
              <w:bottom w:val="nil"/>
              <w:right w:val="nil"/>
            </w:tcBorders>
          </w:tcPr>
          <w:p w14:paraId="648AA837" w14:textId="77777777" w:rsidR="00F74EF5" w:rsidRPr="00A60FD5" w:rsidRDefault="00F74EF5" w:rsidP="001E1CB2">
            <w:pPr>
              <w:spacing w:before="80" w:after="0" w:line="200" w:lineRule="exact"/>
              <w:rPr>
                <w:rFonts w:ascii="Times New Roman" w:hAnsi="Times New Roman" w:cs="Times New Roman"/>
                <w:sz w:val="18"/>
                <w:szCs w:val="18"/>
              </w:rPr>
            </w:pPr>
          </w:p>
        </w:tc>
        <w:tc>
          <w:tcPr>
            <w:tcW w:w="709" w:type="dxa"/>
            <w:tcBorders>
              <w:top w:val="nil"/>
              <w:left w:val="nil"/>
              <w:bottom w:val="nil"/>
              <w:right w:val="nil"/>
            </w:tcBorders>
          </w:tcPr>
          <w:p w14:paraId="36643E8A" w14:textId="77777777" w:rsidR="00F74EF5" w:rsidRPr="00A60FD5" w:rsidRDefault="00F74EF5" w:rsidP="001E1CB2">
            <w:pPr>
              <w:spacing w:before="80" w:after="0" w:line="200" w:lineRule="exact"/>
              <w:rPr>
                <w:rFonts w:ascii="Times New Roman" w:hAnsi="Times New Roman" w:cs="Times New Roman"/>
                <w:sz w:val="18"/>
                <w:szCs w:val="18"/>
              </w:rPr>
            </w:pPr>
          </w:p>
        </w:tc>
        <w:tc>
          <w:tcPr>
            <w:tcW w:w="708" w:type="dxa"/>
            <w:tcBorders>
              <w:top w:val="nil"/>
              <w:left w:val="nil"/>
              <w:bottom w:val="nil"/>
              <w:right w:val="nil"/>
            </w:tcBorders>
          </w:tcPr>
          <w:p w14:paraId="3EC017F0" w14:textId="77777777" w:rsidR="00F74EF5" w:rsidRPr="00A60FD5" w:rsidRDefault="00F74EF5" w:rsidP="001E1CB2">
            <w:pPr>
              <w:spacing w:before="80" w:after="0" w:line="200" w:lineRule="exact"/>
              <w:rPr>
                <w:rFonts w:ascii="Times New Roman" w:hAnsi="Times New Roman" w:cs="Times New Roman"/>
                <w:sz w:val="18"/>
                <w:szCs w:val="18"/>
              </w:rPr>
            </w:pPr>
          </w:p>
        </w:tc>
        <w:tc>
          <w:tcPr>
            <w:tcW w:w="709" w:type="dxa"/>
            <w:tcBorders>
              <w:top w:val="nil"/>
              <w:left w:val="nil"/>
              <w:bottom w:val="nil"/>
              <w:right w:val="nil"/>
            </w:tcBorders>
          </w:tcPr>
          <w:p w14:paraId="6A6329ED" w14:textId="77777777" w:rsidR="00F74EF5" w:rsidRPr="00A60FD5" w:rsidRDefault="00F74EF5" w:rsidP="001E1CB2">
            <w:pPr>
              <w:spacing w:before="80" w:after="0" w:line="200" w:lineRule="exact"/>
              <w:rPr>
                <w:rFonts w:ascii="Times New Roman" w:hAnsi="Times New Roman" w:cs="Times New Roman"/>
                <w:sz w:val="18"/>
                <w:szCs w:val="18"/>
              </w:rPr>
            </w:pPr>
          </w:p>
        </w:tc>
        <w:tc>
          <w:tcPr>
            <w:tcW w:w="709" w:type="dxa"/>
            <w:tcBorders>
              <w:top w:val="nil"/>
              <w:left w:val="nil"/>
              <w:bottom w:val="nil"/>
              <w:right w:val="nil"/>
            </w:tcBorders>
          </w:tcPr>
          <w:p w14:paraId="794C5DD5" w14:textId="77777777" w:rsidR="00F74EF5" w:rsidRPr="00A60FD5" w:rsidRDefault="00F74EF5" w:rsidP="001E1CB2">
            <w:pPr>
              <w:spacing w:before="80" w:after="0" w:line="200" w:lineRule="exact"/>
              <w:rPr>
                <w:rFonts w:ascii="Times New Roman" w:hAnsi="Times New Roman" w:cs="Times New Roman"/>
                <w:sz w:val="18"/>
                <w:szCs w:val="18"/>
              </w:rPr>
            </w:pPr>
          </w:p>
        </w:tc>
        <w:tc>
          <w:tcPr>
            <w:tcW w:w="567" w:type="dxa"/>
            <w:tcBorders>
              <w:top w:val="nil"/>
              <w:left w:val="nil"/>
              <w:bottom w:val="nil"/>
              <w:right w:val="nil"/>
            </w:tcBorders>
          </w:tcPr>
          <w:p w14:paraId="01B8B46F" w14:textId="77777777" w:rsidR="00F74EF5" w:rsidRPr="00A60FD5" w:rsidRDefault="00F74EF5" w:rsidP="001E1CB2">
            <w:pPr>
              <w:spacing w:before="80" w:after="0" w:line="200" w:lineRule="exact"/>
              <w:rPr>
                <w:rFonts w:ascii="Times New Roman" w:hAnsi="Times New Roman" w:cs="Times New Roman"/>
                <w:sz w:val="18"/>
                <w:szCs w:val="18"/>
              </w:rPr>
            </w:pPr>
          </w:p>
        </w:tc>
        <w:tc>
          <w:tcPr>
            <w:tcW w:w="567" w:type="dxa"/>
            <w:tcBorders>
              <w:top w:val="nil"/>
              <w:left w:val="nil"/>
              <w:bottom w:val="nil"/>
              <w:right w:val="nil"/>
            </w:tcBorders>
          </w:tcPr>
          <w:p w14:paraId="25EECA23" w14:textId="77777777" w:rsidR="00F74EF5" w:rsidRPr="00A60FD5" w:rsidRDefault="00F74EF5" w:rsidP="001E1CB2">
            <w:pPr>
              <w:spacing w:before="80" w:after="0" w:line="200" w:lineRule="exact"/>
              <w:rPr>
                <w:rFonts w:ascii="Times New Roman" w:hAnsi="Times New Roman" w:cs="Times New Roman"/>
                <w:sz w:val="18"/>
                <w:szCs w:val="18"/>
              </w:rPr>
            </w:pPr>
          </w:p>
        </w:tc>
      </w:tr>
      <w:tr w:rsidR="00F74EF5" w:rsidRPr="00A60FD5" w14:paraId="15EF4BFC" w14:textId="77777777" w:rsidTr="00F74EF5">
        <w:tc>
          <w:tcPr>
            <w:tcW w:w="2377" w:type="dxa"/>
            <w:tcBorders>
              <w:top w:val="nil"/>
              <w:left w:val="nil"/>
              <w:bottom w:val="nil"/>
              <w:right w:val="nil"/>
            </w:tcBorders>
          </w:tcPr>
          <w:p w14:paraId="665A0AFF" w14:textId="77777777" w:rsidR="00F74EF5" w:rsidRPr="00A60FD5" w:rsidRDefault="00F74EF5" w:rsidP="001E1CB2">
            <w:pPr>
              <w:spacing w:before="80" w:after="0" w:line="200" w:lineRule="exact"/>
              <w:rPr>
                <w:rFonts w:ascii="Times New Roman" w:hAnsi="Times New Roman" w:cs="Times New Roman"/>
                <w:sz w:val="20"/>
                <w:szCs w:val="20"/>
              </w:rPr>
            </w:pPr>
            <w:r w:rsidRPr="00A60FD5">
              <w:rPr>
                <w:rFonts w:ascii="Times New Roman" w:hAnsi="Times New Roman" w:cs="Times New Roman"/>
                <w:sz w:val="20"/>
                <w:szCs w:val="20"/>
              </w:rPr>
              <w:t>10. Patent-rights index</w:t>
            </w:r>
          </w:p>
        </w:tc>
        <w:tc>
          <w:tcPr>
            <w:tcW w:w="709" w:type="dxa"/>
            <w:tcBorders>
              <w:top w:val="nil"/>
              <w:left w:val="nil"/>
              <w:bottom w:val="nil"/>
              <w:right w:val="nil"/>
            </w:tcBorders>
          </w:tcPr>
          <w:p w14:paraId="3DBFABA5" w14:textId="77777777" w:rsidR="00F74EF5" w:rsidRPr="00A60FD5" w:rsidRDefault="00F74EF5" w:rsidP="001E1CB2">
            <w:pPr>
              <w:spacing w:before="80" w:after="0" w:line="200" w:lineRule="exact"/>
              <w:rPr>
                <w:rFonts w:ascii="Times New Roman" w:hAnsi="Times New Roman" w:cs="Times New Roman"/>
                <w:sz w:val="18"/>
                <w:szCs w:val="18"/>
              </w:rPr>
            </w:pPr>
            <w:r w:rsidRPr="00A60FD5">
              <w:rPr>
                <w:rFonts w:ascii="Times New Roman" w:hAnsi="Times New Roman" w:cs="Times New Roman"/>
                <w:sz w:val="18"/>
                <w:szCs w:val="18"/>
              </w:rPr>
              <w:t>-0.01</w:t>
            </w:r>
          </w:p>
        </w:tc>
        <w:tc>
          <w:tcPr>
            <w:tcW w:w="992" w:type="dxa"/>
            <w:tcBorders>
              <w:top w:val="nil"/>
              <w:left w:val="nil"/>
              <w:bottom w:val="nil"/>
              <w:right w:val="nil"/>
            </w:tcBorders>
          </w:tcPr>
          <w:p w14:paraId="7D28A537" w14:textId="77777777" w:rsidR="00F74EF5" w:rsidRPr="00A60FD5" w:rsidRDefault="00F74EF5" w:rsidP="001E1CB2">
            <w:pPr>
              <w:spacing w:before="80" w:after="0" w:line="200" w:lineRule="exact"/>
              <w:rPr>
                <w:rFonts w:ascii="Times New Roman" w:hAnsi="Times New Roman" w:cs="Times New Roman"/>
                <w:sz w:val="18"/>
                <w:szCs w:val="18"/>
              </w:rPr>
            </w:pPr>
            <w:r w:rsidRPr="00A60FD5">
              <w:rPr>
                <w:rFonts w:ascii="Times New Roman" w:hAnsi="Times New Roman" w:cs="Times New Roman"/>
                <w:sz w:val="18"/>
                <w:szCs w:val="18"/>
              </w:rPr>
              <w:t>-0.40***</w:t>
            </w:r>
          </w:p>
        </w:tc>
        <w:tc>
          <w:tcPr>
            <w:tcW w:w="851" w:type="dxa"/>
            <w:tcBorders>
              <w:top w:val="nil"/>
              <w:left w:val="nil"/>
              <w:bottom w:val="nil"/>
              <w:right w:val="nil"/>
            </w:tcBorders>
          </w:tcPr>
          <w:p w14:paraId="1B572BBD" w14:textId="77777777" w:rsidR="00F74EF5" w:rsidRPr="00A60FD5" w:rsidRDefault="00F74EF5" w:rsidP="001E1CB2">
            <w:pPr>
              <w:spacing w:before="80" w:after="0" w:line="200" w:lineRule="exact"/>
              <w:rPr>
                <w:rFonts w:ascii="Times New Roman" w:hAnsi="Times New Roman" w:cs="Times New Roman"/>
                <w:sz w:val="18"/>
                <w:szCs w:val="18"/>
              </w:rPr>
            </w:pPr>
            <w:r w:rsidRPr="00A60FD5">
              <w:rPr>
                <w:rFonts w:ascii="Times New Roman" w:hAnsi="Times New Roman" w:cs="Times New Roman"/>
                <w:sz w:val="18"/>
                <w:szCs w:val="18"/>
              </w:rPr>
              <w:t>-0.14</w:t>
            </w:r>
          </w:p>
        </w:tc>
        <w:tc>
          <w:tcPr>
            <w:tcW w:w="850" w:type="dxa"/>
            <w:tcBorders>
              <w:top w:val="nil"/>
              <w:left w:val="nil"/>
              <w:bottom w:val="nil"/>
              <w:right w:val="nil"/>
            </w:tcBorders>
          </w:tcPr>
          <w:p w14:paraId="7A35B5C4" w14:textId="77777777" w:rsidR="00F74EF5" w:rsidRPr="00A60FD5" w:rsidRDefault="00F74EF5" w:rsidP="001E1CB2">
            <w:pPr>
              <w:spacing w:before="80" w:after="0" w:line="200" w:lineRule="exact"/>
              <w:rPr>
                <w:rFonts w:ascii="Times New Roman" w:hAnsi="Times New Roman" w:cs="Times New Roman"/>
                <w:sz w:val="18"/>
                <w:szCs w:val="18"/>
              </w:rPr>
            </w:pPr>
            <w:r w:rsidRPr="00A60FD5">
              <w:rPr>
                <w:rFonts w:ascii="Times New Roman" w:hAnsi="Times New Roman" w:cs="Times New Roman"/>
                <w:sz w:val="18"/>
                <w:szCs w:val="18"/>
              </w:rPr>
              <w:t>0.08</w:t>
            </w:r>
          </w:p>
        </w:tc>
        <w:tc>
          <w:tcPr>
            <w:tcW w:w="851" w:type="dxa"/>
            <w:tcBorders>
              <w:top w:val="nil"/>
              <w:left w:val="nil"/>
              <w:bottom w:val="nil"/>
              <w:right w:val="nil"/>
            </w:tcBorders>
          </w:tcPr>
          <w:p w14:paraId="798B24AC" w14:textId="77777777" w:rsidR="00F74EF5" w:rsidRPr="00A60FD5" w:rsidRDefault="00F74EF5" w:rsidP="001E1CB2">
            <w:pPr>
              <w:spacing w:before="80" w:after="0" w:line="200" w:lineRule="exact"/>
              <w:rPr>
                <w:rFonts w:ascii="Times New Roman" w:hAnsi="Times New Roman" w:cs="Times New Roman"/>
                <w:sz w:val="18"/>
                <w:szCs w:val="18"/>
              </w:rPr>
            </w:pPr>
            <w:r w:rsidRPr="00A60FD5">
              <w:rPr>
                <w:rFonts w:ascii="Times New Roman" w:hAnsi="Times New Roman" w:cs="Times New Roman"/>
                <w:sz w:val="18"/>
                <w:szCs w:val="18"/>
              </w:rPr>
              <w:t>0.02</w:t>
            </w:r>
          </w:p>
        </w:tc>
        <w:tc>
          <w:tcPr>
            <w:tcW w:w="709" w:type="dxa"/>
            <w:tcBorders>
              <w:top w:val="nil"/>
              <w:left w:val="nil"/>
              <w:bottom w:val="nil"/>
              <w:right w:val="nil"/>
            </w:tcBorders>
          </w:tcPr>
          <w:p w14:paraId="6A0AE014" w14:textId="77777777" w:rsidR="00F74EF5" w:rsidRPr="00A60FD5" w:rsidRDefault="00F74EF5" w:rsidP="001E1CB2">
            <w:pPr>
              <w:spacing w:before="80" w:after="0" w:line="200" w:lineRule="exact"/>
              <w:rPr>
                <w:rFonts w:ascii="Times New Roman" w:hAnsi="Times New Roman" w:cs="Times New Roman"/>
                <w:sz w:val="18"/>
                <w:szCs w:val="18"/>
              </w:rPr>
            </w:pPr>
            <w:r w:rsidRPr="00A60FD5">
              <w:rPr>
                <w:rFonts w:ascii="Times New Roman" w:hAnsi="Times New Roman" w:cs="Times New Roman"/>
                <w:sz w:val="18"/>
                <w:szCs w:val="18"/>
              </w:rPr>
              <w:t>-0.05</w:t>
            </w:r>
          </w:p>
        </w:tc>
        <w:tc>
          <w:tcPr>
            <w:tcW w:w="708" w:type="dxa"/>
            <w:tcBorders>
              <w:top w:val="nil"/>
              <w:left w:val="nil"/>
              <w:bottom w:val="nil"/>
              <w:right w:val="nil"/>
            </w:tcBorders>
          </w:tcPr>
          <w:p w14:paraId="3E435A60" w14:textId="77777777" w:rsidR="00F74EF5" w:rsidRPr="00A60FD5" w:rsidRDefault="00F74EF5" w:rsidP="001E1CB2">
            <w:pPr>
              <w:spacing w:before="80" w:after="0" w:line="200" w:lineRule="exact"/>
              <w:rPr>
                <w:rFonts w:ascii="Times New Roman" w:hAnsi="Times New Roman" w:cs="Times New Roman"/>
                <w:sz w:val="18"/>
                <w:szCs w:val="18"/>
              </w:rPr>
            </w:pPr>
            <w:r w:rsidRPr="00A60FD5">
              <w:rPr>
                <w:rFonts w:ascii="Times New Roman" w:hAnsi="Times New Roman" w:cs="Times New Roman"/>
                <w:sz w:val="18"/>
                <w:szCs w:val="18"/>
              </w:rPr>
              <w:t>0.17</w:t>
            </w:r>
            <w:r w:rsidRPr="00A60FD5">
              <w:rPr>
                <w:rFonts w:ascii="Times New Roman" w:hAnsi="Times New Roman" w:cs="Times New Roman"/>
                <w:sz w:val="18"/>
              </w:rPr>
              <w:t>†</w:t>
            </w:r>
          </w:p>
        </w:tc>
        <w:tc>
          <w:tcPr>
            <w:tcW w:w="851" w:type="dxa"/>
            <w:tcBorders>
              <w:top w:val="nil"/>
              <w:left w:val="nil"/>
              <w:bottom w:val="nil"/>
              <w:right w:val="nil"/>
            </w:tcBorders>
          </w:tcPr>
          <w:p w14:paraId="38EED90F" w14:textId="77777777" w:rsidR="00F74EF5" w:rsidRPr="00A60FD5" w:rsidRDefault="00F74EF5" w:rsidP="001E1CB2">
            <w:pPr>
              <w:spacing w:before="80" w:after="0" w:line="200" w:lineRule="exact"/>
              <w:rPr>
                <w:rFonts w:ascii="Times New Roman" w:hAnsi="Times New Roman" w:cs="Times New Roman"/>
                <w:sz w:val="18"/>
                <w:szCs w:val="18"/>
              </w:rPr>
            </w:pPr>
            <w:r w:rsidRPr="00A60FD5">
              <w:rPr>
                <w:rFonts w:ascii="Times New Roman" w:hAnsi="Times New Roman" w:cs="Times New Roman"/>
                <w:sz w:val="18"/>
                <w:szCs w:val="18"/>
              </w:rPr>
              <w:t>-0.07</w:t>
            </w:r>
          </w:p>
        </w:tc>
        <w:tc>
          <w:tcPr>
            <w:tcW w:w="709" w:type="dxa"/>
            <w:tcBorders>
              <w:top w:val="nil"/>
              <w:left w:val="nil"/>
              <w:bottom w:val="nil"/>
              <w:right w:val="nil"/>
            </w:tcBorders>
          </w:tcPr>
          <w:p w14:paraId="3E09F987" w14:textId="77777777" w:rsidR="00F74EF5" w:rsidRPr="00A60FD5" w:rsidRDefault="00F74EF5" w:rsidP="001E1CB2">
            <w:pPr>
              <w:spacing w:before="80" w:after="0" w:line="200" w:lineRule="exact"/>
              <w:rPr>
                <w:rFonts w:ascii="Times New Roman" w:hAnsi="Times New Roman" w:cs="Times New Roman"/>
                <w:sz w:val="18"/>
                <w:szCs w:val="18"/>
              </w:rPr>
            </w:pPr>
            <w:r w:rsidRPr="00A60FD5">
              <w:rPr>
                <w:rFonts w:ascii="Times New Roman" w:hAnsi="Times New Roman" w:cs="Times New Roman"/>
                <w:sz w:val="18"/>
                <w:szCs w:val="18"/>
              </w:rPr>
              <w:t>-0.03</w:t>
            </w:r>
          </w:p>
        </w:tc>
        <w:tc>
          <w:tcPr>
            <w:tcW w:w="708" w:type="dxa"/>
            <w:tcBorders>
              <w:top w:val="nil"/>
              <w:left w:val="nil"/>
              <w:bottom w:val="nil"/>
              <w:right w:val="nil"/>
            </w:tcBorders>
          </w:tcPr>
          <w:p w14:paraId="1FB68B28" w14:textId="77777777" w:rsidR="00F74EF5" w:rsidRPr="00A60FD5" w:rsidRDefault="00F74EF5" w:rsidP="001E1CB2">
            <w:pPr>
              <w:spacing w:before="80" w:after="0" w:line="200" w:lineRule="exact"/>
              <w:rPr>
                <w:rFonts w:ascii="Times New Roman" w:hAnsi="Times New Roman" w:cs="Times New Roman"/>
                <w:sz w:val="18"/>
                <w:szCs w:val="18"/>
              </w:rPr>
            </w:pPr>
            <w:r w:rsidRPr="00A60FD5">
              <w:rPr>
                <w:rFonts w:ascii="Times New Roman" w:hAnsi="Times New Roman" w:cs="Times New Roman"/>
                <w:sz w:val="18"/>
                <w:szCs w:val="18"/>
              </w:rPr>
              <w:t>1.00</w:t>
            </w:r>
          </w:p>
        </w:tc>
        <w:tc>
          <w:tcPr>
            <w:tcW w:w="709" w:type="dxa"/>
            <w:tcBorders>
              <w:top w:val="nil"/>
              <w:left w:val="nil"/>
              <w:bottom w:val="nil"/>
              <w:right w:val="nil"/>
            </w:tcBorders>
          </w:tcPr>
          <w:p w14:paraId="39055293" w14:textId="77777777" w:rsidR="00F74EF5" w:rsidRPr="00A60FD5" w:rsidRDefault="00F74EF5" w:rsidP="001E1CB2">
            <w:pPr>
              <w:spacing w:before="80" w:after="0" w:line="200" w:lineRule="exact"/>
              <w:rPr>
                <w:rFonts w:ascii="Times New Roman" w:hAnsi="Times New Roman" w:cs="Times New Roman"/>
                <w:sz w:val="18"/>
                <w:szCs w:val="18"/>
              </w:rPr>
            </w:pPr>
          </w:p>
        </w:tc>
        <w:tc>
          <w:tcPr>
            <w:tcW w:w="709" w:type="dxa"/>
            <w:tcBorders>
              <w:top w:val="nil"/>
              <w:left w:val="nil"/>
              <w:bottom w:val="nil"/>
              <w:right w:val="nil"/>
            </w:tcBorders>
          </w:tcPr>
          <w:p w14:paraId="1C3DB177" w14:textId="77777777" w:rsidR="00F74EF5" w:rsidRPr="00A60FD5" w:rsidRDefault="00F74EF5" w:rsidP="001E1CB2">
            <w:pPr>
              <w:spacing w:before="80" w:after="0" w:line="200" w:lineRule="exact"/>
              <w:rPr>
                <w:rFonts w:ascii="Times New Roman" w:hAnsi="Times New Roman" w:cs="Times New Roman"/>
                <w:sz w:val="18"/>
                <w:szCs w:val="18"/>
              </w:rPr>
            </w:pPr>
          </w:p>
        </w:tc>
        <w:tc>
          <w:tcPr>
            <w:tcW w:w="709" w:type="dxa"/>
            <w:tcBorders>
              <w:top w:val="nil"/>
              <w:left w:val="nil"/>
              <w:bottom w:val="nil"/>
              <w:right w:val="nil"/>
            </w:tcBorders>
          </w:tcPr>
          <w:p w14:paraId="05CDD077" w14:textId="77777777" w:rsidR="00F74EF5" w:rsidRPr="00A60FD5" w:rsidRDefault="00F74EF5" w:rsidP="001E1CB2">
            <w:pPr>
              <w:spacing w:before="80" w:after="0" w:line="200" w:lineRule="exact"/>
              <w:rPr>
                <w:rFonts w:ascii="Times New Roman" w:hAnsi="Times New Roman" w:cs="Times New Roman"/>
                <w:sz w:val="18"/>
                <w:szCs w:val="18"/>
              </w:rPr>
            </w:pPr>
          </w:p>
        </w:tc>
        <w:tc>
          <w:tcPr>
            <w:tcW w:w="708" w:type="dxa"/>
            <w:tcBorders>
              <w:top w:val="nil"/>
              <w:left w:val="nil"/>
              <w:bottom w:val="nil"/>
              <w:right w:val="nil"/>
            </w:tcBorders>
          </w:tcPr>
          <w:p w14:paraId="43C31B7B" w14:textId="77777777" w:rsidR="00F74EF5" w:rsidRPr="00A60FD5" w:rsidRDefault="00F74EF5" w:rsidP="001E1CB2">
            <w:pPr>
              <w:spacing w:before="80" w:after="0" w:line="200" w:lineRule="exact"/>
              <w:rPr>
                <w:rFonts w:ascii="Times New Roman" w:hAnsi="Times New Roman" w:cs="Times New Roman"/>
                <w:sz w:val="18"/>
                <w:szCs w:val="18"/>
              </w:rPr>
            </w:pPr>
          </w:p>
        </w:tc>
        <w:tc>
          <w:tcPr>
            <w:tcW w:w="709" w:type="dxa"/>
            <w:tcBorders>
              <w:top w:val="nil"/>
              <w:left w:val="nil"/>
              <w:bottom w:val="nil"/>
              <w:right w:val="nil"/>
            </w:tcBorders>
          </w:tcPr>
          <w:p w14:paraId="2F0204A4" w14:textId="77777777" w:rsidR="00F74EF5" w:rsidRPr="00A60FD5" w:rsidRDefault="00F74EF5" w:rsidP="001E1CB2">
            <w:pPr>
              <w:spacing w:before="80" w:after="0" w:line="200" w:lineRule="exact"/>
              <w:rPr>
                <w:rFonts w:ascii="Times New Roman" w:hAnsi="Times New Roman" w:cs="Times New Roman"/>
                <w:sz w:val="18"/>
                <w:szCs w:val="18"/>
              </w:rPr>
            </w:pPr>
          </w:p>
        </w:tc>
        <w:tc>
          <w:tcPr>
            <w:tcW w:w="709" w:type="dxa"/>
            <w:tcBorders>
              <w:top w:val="nil"/>
              <w:left w:val="nil"/>
              <w:bottom w:val="nil"/>
              <w:right w:val="nil"/>
            </w:tcBorders>
          </w:tcPr>
          <w:p w14:paraId="7B78E1F0" w14:textId="77777777" w:rsidR="00F74EF5" w:rsidRPr="00A60FD5" w:rsidRDefault="00F74EF5" w:rsidP="001E1CB2">
            <w:pPr>
              <w:spacing w:before="80" w:after="0" w:line="200" w:lineRule="exact"/>
              <w:rPr>
                <w:rFonts w:ascii="Times New Roman" w:hAnsi="Times New Roman" w:cs="Times New Roman"/>
                <w:sz w:val="18"/>
                <w:szCs w:val="18"/>
              </w:rPr>
            </w:pPr>
          </w:p>
        </w:tc>
        <w:tc>
          <w:tcPr>
            <w:tcW w:w="567" w:type="dxa"/>
            <w:tcBorders>
              <w:top w:val="nil"/>
              <w:left w:val="nil"/>
              <w:bottom w:val="nil"/>
              <w:right w:val="nil"/>
            </w:tcBorders>
          </w:tcPr>
          <w:p w14:paraId="6780B6A3" w14:textId="77777777" w:rsidR="00F74EF5" w:rsidRPr="00A60FD5" w:rsidRDefault="00F74EF5" w:rsidP="001E1CB2">
            <w:pPr>
              <w:spacing w:before="80" w:after="0" w:line="200" w:lineRule="exact"/>
              <w:rPr>
                <w:rFonts w:ascii="Times New Roman" w:hAnsi="Times New Roman" w:cs="Times New Roman"/>
                <w:sz w:val="18"/>
                <w:szCs w:val="18"/>
              </w:rPr>
            </w:pPr>
          </w:p>
        </w:tc>
        <w:tc>
          <w:tcPr>
            <w:tcW w:w="567" w:type="dxa"/>
            <w:tcBorders>
              <w:top w:val="nil"/>
              <w:left w:val="nil"/>
              <w:bottom w:val="nil"/>
              <w:right w:val="nil"/>
            </w:tcBorders>
          </w:tcPr>
          <w:p w14:paraId="4FEB6E32" w14:textId="77777777" w:rsidR="00F74EF5" w:rsidRPr="00A60FD5" w:rsidRDefault="00F74EF5" w:rsidP="001E1CB2">
            <w:pPr>
              <w:spacing w:before="80" w:after="0" w:line="200" w:lineRule="exact"/>
              <w:rPr>
                <w:rFonts w:ascii="Times New Roman" w:hAnsi="Times New Roman" w:cs="Times New Roman"/>
                <w:sz w:val="18"/>
                <w:szCs w:val="18"/>
              </w:rPr>
            </w:pPr>
          </w:p>
        </w:tc>
      </w:tr>
      <w:tr w:rsidR="00F74EF5" w:rsidRPr="00A60FD5" w14:paraId="2AD46855" w14:textId="77777777" w:rsidTr="00F74EF5">
        <w:tc>
          <w:tcPr>
            <w:tcW w:w="2377" w:type="dxa"/>
            <w:tcBorders>
              <w:top w:val="nil"/>
              <w:left w:val="nil"/>
              <w:bottom w:val="nil"/>
              <w:right w:val="nil"/>
            </w:tcBorders>
          </w:tcPr>
          <w:p w14:paraId="1842B188" w14:textId="77777777" w:rsidR="00F74EF5" w:rsidRPr="00A60FD5" w:rsidRDefault="00F74EF5" w:rsidP="001E1CB2">
            <w:pPr>
              <w:spacing w:before="80" w:after="0" w:line="200" w:lineRule="exact"/>
              <w:rPr>
                <w:rFonts w:ascii="Times New Roman" w:hAnsi="Times New Roman" w:cs="Times New Roman"/>
                <w:sz w:val="20"/>
                <w:szCs w:val="20"/>
              </w:rPr>
            </w:pPr>
            <w:r w:rsidRPr="00A60FD5">
              <w:rPr>
                <w:rFonts w:ascii="Times New Roman" w:hAnsi="Times New Roman" w:cs="Times New Roman"/>
                <w:sz w:val="20"/>
                <w:szCs w:val="20"/>
              </w:rPr>
              <w:t>11. Prior ties</w:t>
            </w:r>
          </w:p>
        </w:tc>
        <w:tc>
          <w:tcPr>
            <w:tcW w:w="709" w:type="dxa"/>
            <w:tcBorders>
              <w:top w:val="nil"/>
              <w:left w:val="nil"/>
              <w:bottom w:val="nil"/>
              <w:right w:val="nil"/>
            </w:tcBorders>
          </w:tcPr>
          <w:p w14:paraId="76BEAD8C" w14:textId="77777777" w:rsidR="00F74EF5" w:rsidRPr="00A60FD5" w:rsidRDefault="00F74EF5" w:rsidP="001E1CB2">
            <w:pPr>
              <w:spacing w:before="80" w:after="0" w:line="200" w:lineRule="exact"/>
              <w:rPr>
                <w:rFonts w:ascii="Times New Roman" w:hAnsi="Times New Roman" w:cs="Times New Roman"/>
                <w:sz w:val="18"/>
                <w:szCs w:val="18"/>
              </w:rPr>
            </w:pPr>
            <w:r w:rsidRPr="00A60FD5">
              <w:rPr>
                <w:rFonts w:ascii="Times New Roman" w:hAnsi="Times New Roman" w:cs="Times New Roman"/>
                <w:sz w:val="18"/>
                <w:szCs w:val="18"/>
              </w:rPr>
              <w:t>-0.21*</w:t>
            </w:r>
          </w:p>
        </w:tc>
        <w:tc>
          <w:tcPr>
            <w:tcW w:w="992" w:type="dxa"/>
            <w:tcBorders>
              <w:top w:val="nil"/>
              <w:left w:val="nil"/>
              <w:bottom w:val="nil"/>
              <w:right w:val="nil"/>
            </w:tcBorders>
          </w:tcPr>
          <w:p w14:paraId="0C14D976" w14:textId="77777777" w:rsidR="00F74EF5" w:rsidRPr="00A60FD5" w:rsidRDefault="00F74EF5" w:rsidP="001E1CB2">
            <w:pPr>
              <w:spacing w:before="80" w:after="0" w:line="200" w:lineRule="exact"/>
              <w:rPr>
                <w:rFonts w:ascii="Times New Roman" w:hAnsi="Times New Roman" w:cs="Times New Roman"/>
                <w:sz w:val="18"/>
                <w:szCs w:val="18"/>
              </w:rPr>
            </w:pPr>
            <w:r w:rsidRPr="00A60FD5">
              <w:rPr>
                <w:rFonts w:ascii="Times New Roman" w:hAnsi="Times New Roman" w:cs="Times New Roman"/>
                <w:sz w:val="18"/>
                <w:szCs w:val="18"/>
              </w:rPr>
              <w:t>0.14</w:t>
            </w:r>
          </w:p>
        </w:tc>
        <w:tc>
          <w:tcPr>
            <w:tcW w:w="851" w:type="dxa"/>
            <w:tcBorders>
              <w:top w:val="nil"/>
              <w:left w:val="nil"/>
              <w:bottom w:val="nil"/>
              <w:right w:val="nil"/>
            </w:tcBorders>
          </w:tcPr>
          <w:p w14:paraId="16E73240" w14:textId="77777777" w:rsidR="00F74EF5" w:rsidRPr="00A60FD5" w:rsidRDefault="00F74EF5" w:rsidP="001E1CB2">
            <w:pPr>
              <w:spacing w:before="80" w:after="0" w:line="200" w:lineRule="exact"/>
              <w:rPr>
                <w:rFonts w:ascii="Times New Roman" w:hAnsi="Times New Roman" w:cs="Times New Roman"/>
                <w:sz w:val="18"/>
                <w:szCs w:val="18"/>
              </w:rPr>
            </w:pPr>
            <w:r w:rsidRPr="00A60FD5">
              <w:rPr>
                <w:rFonts w:ascii="Times New Roman" w:hAnsi="Times New Roman" w:cs="Times New Roman"/>
                <w:sz w:val="18"/>
                <w:szCs w:val="18"/>
              </w:rPr>
              <w:t>-0.08</w:t>
            </w:r>
          </w:p>
        </w:tc>
        <w:tc>
          <w:tcPr>
            <w:tcW w:w="850" w:type="dxa"/>
            <w:tcBorders>
              <w:top w:val="nil"/>
              <w:left w:val="nil"/>
              <w:bottom w:val="nil"/>
              <w:right w:val="nil"/>
            </w:tcBorders>
          </w:tcPr>
          <w:p w14:paraId="3E7F856F" w14:textId="77777777" w:rsidR="00F74EF5" w:rsidRPr="00A60FD5" w:rsidRDefault="00F74EF5" w:rsidP="001E1CB2">
            <w:pPr>
              <w:spacing w:before="80" w:after="0" w:line="200" w:lineRule="exact"/>
              <w:rPr>
                <w:rFonts w:ascii="Times New Roman" w:hAnsi="Times New Roman" w:cs="Times New Roman"/>
                <w:sz w:val="18"/>
                <w:szCs w:val="18"/>
              </w:rPr>
            </w:pPr>
            <w:r w:rsidRPr="00A60FD5">
              <w:rPr>
                <w:rFonts w:ascii="Times New Roman" w:hAnsi="Times New Roman" w:cs="Times New Roman"/>
                <w:sz w:val="18"/>
                <w:szCs w:val="18"/>
              </w:rPr>
              <w:t>0.21*</w:t>
            </w:r>
          </w:p>
        </w:tc>
        <w:tc>
          <w:tcPr>
            <w:tcW w:w="851" w:type="dxa"/>
            <w:tcBorders>
              <w:top w:val="nil"/>
              <w:left w:val="nil"/>
              <w:bottom w:val="nil"/>
              <w:right w:val="nil"/>
            </w:tcBorders>
          </w:tcPr>
          <w:p w14:paraId="3D2ED867" w14:textId="77777777" w:rsidR="00F74EF5" w:rsidRPr="00A60FD5" w:rsidRDefault="00F74EF5" w:rsidP="001E1CB2">
            <w:pPr>
              <w:spacing w:before="80" w:after="0" w:line="200" w:lineRule="exact"/>
              <w:rPr>
                <w:rFonts w:ascii="Times New Roman" w:hAnsi="Times New Roman" w:cs="Times New Roman"/>
                <w:sz w:val="18"/>
                <w:szCs w:val="18"/>
              </w:rPr>
            </w:pPr>
            <w:r w:rsidRPr="00A60FD5">
              <w:rPr>
                <w:rFonts w:ascii="Times New Roman" w:hAnsi="Times New Roman" w:cs="Times New Roman"/>
                <w:sz w:val="18"/>
                <w:szCs w:val="18"/>
              </w:rPr>
              <w:t>0.04</w:t>
            </w:r>
          </w:p>
        </w:tc>
        <w:tc>
          <w:tcPr>
            <w:tcW w:w="709" w:type="dxa"/>
            <w:tcBorders>
              <w:top w:val="nil"/>
              <w:left w:val="nil"/>
              <w:bottom w:val="nil"/>
              <w:right w:val="nil"/>
            </w:tcBorders>
          </w:tcPr>
          <w:p w14:paraId="4930C288" w14:textId="77777777" w:rsidR="00F74EF5" w:rsidRPr="00A60FD5" w:rsidRDefault="00F74EF5" w:rsidP="001E1CB2">
            <w:pPr>
              <w:spacing w:before="80" w:after="0" w:line="200" w:lineRule="exact"/>
              <w:rPr>
                <w:rFonts w:ascii="Times New Roman" w:hAnsi="Times New Roman" w:cs="Times New Roman"/>
                <w:sz w:val="18"/>
                <w:szCs w:val="18"/>
              </w:rPr>
            </w:pPr>
            <w:r w:rsidRPr="00A60FD5">
              <w:rPr>
                <w:rFonts w:ascii="Times New Roman" w:hAnsi="Times New Roman" w:cs="Times New Roman"/>
                <w:sz w:val="18"/>
                <w:szCs w:val="18"/>
              </w:rPr>
              <w:t>0.07</w:t>
            </w:r>
          </w:p>
        </w:tc>
        <w:tc>
          <w:tcPr>
            <w:tcW w:w="708" w:type="dxa"/>
            <w:tcBorders>
              <w:top w:val="nil"/>
              <w:left w:val="nil"/>
              <w:bottom w:val="nil"/>
              <w:right w:val="nil"/>
            </w:tcBorders>
          </w:tcPr>
          <w:p w14:paraId="6EA3B073" w14:textId="77777777" w:rsidR="00F74EF5" w:rsidRPr="00A60FD5" w:rsidRDefault="00F74EF5" w:rsidP="001E1CB2">
            <w:pPr>
              <w:spacing w:before="80" w:after="0" w:line="200" w:lineRule="exact"/>
              <w:rPr>
                <w:rFonts w:ascii="Times New Roman" w:hAnsi="Times New Roman" w:cs="Times New Roman"/>
                <w:sz w:val="18"/>
                <w:szCs w:val="18"/>
              </w:rPr>
            </w:pPr>
            <w:r w:rsidRPr="00A60FD5">
              <w:rPr>
                <w:rFonts w:ascii="Times New Roman" w:hAnsi="Times New Roman" w:cs="Times New Roman"/>
                <w:sz w:val="18"/>
                <w:szCs w:val="18"/>
              </w:rPr>
              <w:t>-0.14</w:t>
            </w:r>
          </w:p>
        </w:tc>
        <w:tc>
          <w:tcPr>
            <w:tcW w:w="851" w:type="dxa"/>
            <w:tcBorders>
              <w:top w:val="nil"/>
              <w:left w:val="nil"/>
              <w:bottom w:val="nil"/>
              <w:right w:val="nil"/>
            </w:tcBorders>
          </w:tcPr>
          <w:p w14:paraId="18B50BD7" w14:textId="77777777" w:rsidR="00F74EF5" w:rsidRPr="00A60FD5" w:rsidRDefault="00F74EF5" w:rsidP="001E1CB2">
            <w:pPr>
              <w:spacing w:before="80" w:after="0" w:line="200" w:lineRule="exact"/>
              <w:rPr>
                <w:rFonts w:ascii="Times New Roman" w:hAnsi="Times New Roman" w:cs="Times New Roman"/>
                <w:sz w:val="18"/>
                <w:szCs w:val="18"/>
              </w:rPr>
            </w:pPr>
            <w:r w:rsidRPr="00A60FD5">
              <w:rPr>
                <w:rFonts w:ascii="Times New Roman" w:hAnsi="Times New Roman" w:cs="Times New Roman"/>
                <w:sz w:val="18"/>
                <w:szCs w:val="18"/>
              </w:rPr>
              <w:t>-0.04</w:t>
            </w:r>
          </w:p>
        </w:tc>
        <w:tc>
          <w:tcPr>
            <w:tcW w:w="709" w:type="dxa"/>
            <w:tcBorders>
              <w:top w:val="nil"/>
              <w:left w:val="nil"/>
              <w:bottom w:val="nil"/>
              <w:right w:val="nil"/>
            </w:tcBorders>
          </w:tcPr>
          <w:p w14:paraId="7493E57C" w14:textId="77777777" w:rsidR="00F74EF5" w:rsidRPr="00A60FD5" w:rsidRDefault="00F74EF5" w:rsidP="001E1CB2">
            <w:pPr>
              <w:spacing w:before="80" w:after="0" w:line="200" w:lineRule="exact"/>
              <w:rPr>
                <w:rFonts w:ascii="Times New Roman" w:hAnsi="Times New Roman" w:cs="Times New Roman"/>
                <w:sz w:val="18"/>
                <w:szCs w:val="18"/>
              </w:rPr>
            </w:pPr>
            <w:r w:rsidRPr="00A60FD5">
              <w:rPr>
                <w:rFonts w:ascii="Times New Roman" w:hAnsi="Times New Roman" w:cs="Times New Roman"/>
                <w:sz w:val="18"/>
                <w:szCs w:val="18"/>
              </w:rPr>
              <w:t>-0.01</w:t>
            </w:r>
          </w:p>
        </w:tc>
        <w:tc>
          <w:tcPr>
            <w:tcW w:w="708" w:type="dxa"/>
            <w:tcBorders>
              <w:top w:val="nil"/>
              <w:left w:val="nil"/>
              <w:bottom w:val="nil"/>
              <w:right w:val="nil"/>
            </w:tcBorders>
          </w:tcPr>
          <w:p w14:paraId="68D7B098" w14:textId="77777777" w:rsidR="00F74EF5" w:rsidRPr="00A60FD5" w:rsidRDefault="00F74EF5" w:rsidP="001E1CB2">
            <w:pPr>
              <w:spacing w:before="80" w:after="0" w:line="200" w:lineRule="exact"/>
              <w:rPr>
                <w:rFonts w:ascii="Times New Roman" w:hAnsi="Times New Roman" w:cs="Times New Roman"/>
                <w:sz w:val="18"/>
                <w:szCs w:val="18"/>
              </w:rPr>
            </w:pPr>
            <w:r w:rsidRPr="00A60FD5">
              <w:rPr>
                <w:rFonts w:ascii="Times New Roman" w:hAnsi="Times New Roman" w:cs="Times New Roman"/>
                <w:sz w:val="18"/>
                <w:szCs w:val="18"/>
              </w:rPr>
              <w:t>-0.13</w:t>
            </w:r>
          </w:p>
        </w:tc>
        <w:tc>
          <w:tcPr>
            <w:tcW w:w="709" w:type="dxa"/>
            <w:tcBorders>
              <w:top w:val="nil"/>
              <w:left w:val="nil"/>
              <w:bottom w:val="nil"/>
              <w:right w:val="nil"/>
            </w:tcBorders>
          </w:tcPr>
          <w:p w14:paraId="359E9C73" w14:textId="77777777" w:rsidR="00F74EF5" w:rsidRPr="00A60FD5" w:rsidRDefault="00F74EF5" w:rsidP="001E1CB2">
            <w:pPr>
              <w:spacing w:before="80" w:after="0" w:line="200" w:lineRule="exact"/>
              <w:rPr>
                <w:rFonts w:ascii="Times New Roman" w:hAnsi="Times New Roman" w:cs="Times New Roman"/>
                <w:sz w:val="18"/>
                <w:szCs w:val="18"/>
              </w:rPr>
            </w:pPr>
            <w:r w:rsidRPr="00A60FD5">
              <w:rPr>
                <w:rFonts w:ascii="Times New Roman" w:hAnsi="Times New Roman" w:cs="Times New Roman"/>
                <w:sz w:val="18"/>
                <w:szCs w:val="18"/>
              </w:rPr>
              <w:t>1.00</w:t>
            </w:r>
          </w:p>
        </w:tc>
        <w:tc>
          <w:tcPr>
            <w:tcW w:w="709" w:type="dxa"/>
            <w:tcBorders>
              <w:top w:val="nil"/>
              <w:left w:val="nil"/>
              <w:bottom w:val="nil"/>
              <w:right w:val="nil"/>
            </w:tcBorders>
          </w:tcPr>
          <w:p w14:paraId="20E4AA77" w14:textId="77777777" w:rsidR="00F74EF5" w:rsidRPr="00A60FD5" w:rsidRDefault="00F74EF5" w:rsidP="001E1CB2">
            <w:pPr>
              <w:spacing w:before="80" w:after="0" w:line="200" w:lineRule="exact"/>
              <w:rPr>
                <w:rFonts w:ascii="Times New Roman" w:hAnsi="Times New Roman" w:cs="Times New Roman"/>
                <w:sz w:val="18"/>
                <w:szCs w:val="18"/>
              </w:rPr>
            </w:pPr>
          </w:p>
        </w:tc>
        <w:tc>
          <w:tcPr>
            <w:tcW w:w="709" w:type="dxa"/>
            <w:tcBorders>
              <w:top w:val="nil"/>
              <w:left w:val="nil"/>
              <w:bottom w:val="nil"/>
              <w:right w:val="nil"/>
            </w:tcBorders>
          </w:tcPr>
          <w:p w14:paraId="7F6C6407" w14:textId="77777777" w:rsidR="00F74EF5" w:rsidRPr="00A60FD5" w:rsidRDefault="00F74EF5" w:rsidP="001E1CB2">
            <w:pPr>
              <w:spacing w:before="80" w:after="0" w:line="200" w:lineRule="exact"/>
              <w:rPr>
                <w:rFonts w:ascii="Times New Roman" w:hAnsi="Times New Roman" w:cs="Times New Roman"/>
                <w:sz w:val="18"/>
                <w:szCs w:val="18"/>
              </w:rPr>
            </w:pPr>
          </w:p>
        </w:tc>
        <w:tc>
          <w:tcPr>
            <w:tcW w:w="708" w:type="dxa"/>
            <w:tcBorders>
              <w:top w:val="nil"/>
              <w:left w:val="nil"/>
              <w:bottom w:val="nil"/>
              <w:right w:val="nil"/>
            </w:tcBorders>
          </w:tcPr>
          <w:p w14:paraId="7C4667B6" w14:textId="77777777" w:rsidR="00F74EF5" w:rsidRPr="00A60FD5" w:rsidRDefault="00F74EF5" w:rsidP="001E1CB2">
            <w:pPr>
              <w:spacing w:before="80" w:after="0" w:line="200" w:lineRule="exact"/>
              <w:rPr>
                <w:rFonts w:ascii="Times New Roman" w:hAnsi="Times New Roman" w:cs="Times New Roman"/>
                <w:sz w:val="18"/>
                <w:szCs w:val="18"/>
              </w:rPr>
            </w:pPr>
          </w:p>
        </w:tc>
        <w:tc>
          <w:tcPr>
            <w:tcW w:w="709" w:type="dxa"/>
            <w:tcBorders>
              <w:top w:val="nil"/>
              <w:left w:val="nil"/>
              <w:bottom w:val="nil"/>
              <w:right w:val="nil"/>
            </w:tcBorders>
          </w:tcPr>
          <w:p w14:paraId="3405A508" w14:textId="77777777" w:rsidR="00F74EF5" w:rsidRPr="00A60FD5" w:rsidRDefault="00F74EF5" w:rsidP="001E1CB2">
            <w:pPr>
              <w:spacing w:before="80" w:after="0" w:line="200" w:lineRule="exact"/>
              <w:rPr>
                <w:rFonts w:ascii="Times New Roman" w:hAnsi="Times New Roman" w:cs="Times New Roman"/>
                <w:sz w:val="18"/>
                <w:szCs w:val="18"/>
              </w:rPr>
            </w:pPr>
          </w:p>
        </w:tc>
        <w:tc>
          <w:tcPr>
            <w:tcW w:w="709" w:type="dxa"/>
            <w:tcBorders>
              <w:top w:val="nil"/>
              <w:left w:val="nil"/>
              <w:bottom w:val="nil"/>
              <w:right w:val="nil"/>
            </w:tcBorders>
          </w:tcPr>
          <w:p w14:paraId="5798FDBF" w14:textId="77777777" w:rsidR="00F74EF5" w:rsidRPr="00A60FD5" w:rsidRDefault="00F74EF5" w:rsidP="001E1CB2">
            <w:pPr>
              <w:spacing w:before="80" w:after="0" w:line="200" w:lineRule="exact"/>
              <w:rPr>
                <w:rFonts w:ascii="Times New Roman" w:hAnsi="Times New Roman" w:cs="Times New Roman"/>
                <w:sz w:val="18"/>
                <w:szCs w:val="18"/>
              </w:rPr>
            </w:pPr>
          </w:p>
        </w:tc>
        <w:tc>
          <w:tcPr>
            <w:tcW w:w="567" w:type="dxa"/>
            <w:tcBorders>
              <w:top w:val="nil"/>
              <w:left w:val="nil"/>
              <w:bottom w:val="nil"/>
              <w:right w:val="nil"/>
            </w:tcBorders>
          </w:tcPr>
          <w:p w14:paraId="234B5A10" w14:textId="77777777" w:rsidR="00F74EF5" w:rsidRPr="00A60FD5" w:rsidRDefault="00F74EF5" w:rsidP="001E1CB2">
            <w:pPr>
              <w:spacing w:before="80" w:after="0" w:line="200" w:lineRule="exact"/>
              <w:rPr>
                <w:rFonts w:ascii="Times New Roman" w:hAnsi="Times New Roman" w:cs="Times New Roman"/>
                <w:sz w:val="18"/>
                <w:szCs w:val="18"/>
              </w:rPr>
            </w:pPr>
          </w:p>
        </w:tc>
        <w:tc>
          <w:tcPr>
            <w:tcW w:w="567" w:type="dxa"/>
            <w:tcBorders>
              <w:top w:val="nil"/>
              <w:left w:val="nil"/>
              <w:bottom w:val="nil"/>
              <w:right w:val="nil"/>
            </w:tcBorders>
          </w:tcPr>
          <w:p w14:paraId="1CCACAD7" w14:textId="77777777" w:rsidR="00F74EF5" w:rsidRPr="00A60FD5" w:rsidRDefault="00F74EF5" w:rsidP="001E1CB2">
            <w:pPr>
              <w:spacing w:before="80" w:after="0" w:line="200" w:lineRule="exact"/>
              <w:rPr>
                <w:rFonts w:ascii="Times New Roman" w:hAnsi="Times New Roman" w:cs="Times New Roman"/>
                <w:sz w:val="18"/>
                <w:szCs w:val="18"/>
              </w:rPr>
            </w:pPr>
          </w:p>
        </w:tc>
      </w:tr>
      <w:tr w:rsidR="00F74EF5" w:rsidRPr="00A60FD5" w14:paraId="65A840AE" w14:textId="77777777" w:rsidTr="00F74EF5">
        <w:tc>
          <w:tcPr>
            <w:tcW w:w="2377" w:type="dxa"/>
            <w:tcBorders>
              <w:top w:val="nil"/>
              <w:left w:val="nil"/>
              <w:bottom w:val="nil"/>
              <w:right w:val="nil"/>
            </w:tcBorders>
          </w:tcPr>
          <w:p w14:paraId="31B350A2" w14:textId="77777777" w:rsidR="00F74EF5" w:rsidRPr="00A60FD5" w:rsidRDefault="00F74EF5" w:rsidP="001E1CB2">
            <w:pPr>
              <w:spacing w:before="80" w:after="0" w:line="200" w:lineRule="exact"/>
              <w:rPr>
                <w:rFonts w:ascii="Times New Roman" w:hAnsi="Times New Roman" w:cs="Times New Roman"/>
                <w:sz w:val="20"/>
                <w:szCs w:val="20"/>
              </w:rPr>
            </w:pPr>
            <w:r w:rsidRPr="00A60FD5">
              <w:rPr>
                <w:rFonts w:ascii="Times New Roman" w:hAnsi="Times New Roman" w:cs="Times New Roman"/>
                <w:sz w:val="20"/>
                <w:szCs w:val="20"/>
              </w:rPr>
              <w:t>12. Same sector</w:t>
            </w:r>
          </w:p>
        </w:tc>
        <w:tc>
          <w:tcPr>
            <w:tcW w:w="709" w:type="dxa"/>
            <w:tcBorders>
              <w:top w:val="nil"/>
              <w:left w:val="nil"/>
              <w:bottom w:val="nil"/>
              <w:right w:val="nil"/>
            </w:tcBorders>
          </w:tcPr>
          <w:p w14:paraId="364AEF13" w14:textId="77777777" w:rsidR="00F74EF5" w:rsidRPr="00A60FD5" w:rsidRDefault="00F74EF5" w:rsidP="001E1CB2">
            <w:pPr>
              <w:spacing w:before="80" w:after="0" w:line="200" w:lineRule="exact"/>
              <w:rPr>
                <w:rFonts w:ascii="Times New Roman" w:hAnsi="Times New Roman" w:cs="Times New Roman"/>
                <w:sz w:val="18"/>
                <w:szCs w:val="18"/>
              </w:rPr>
            </w:pPr>
            <w:r w:rsidRPr="00A60FD5">
              <w:rPr>
                <w:rFonts w:ascii="Times New Roman" w:hAnsi="Times New Roman" w:cs="Times New Roman"/>
                <w:sz w:val="18"/>
                <w:szCs w:val="18"/>
              </w:rPr>
              <w:t>-0.02</w:t>
            </w:r>
          </w:p>
        </w:tc>
        <w:tc>
          <w:tcPr>
            <w:tcW w:w="992" w:type="dxa"/>
            <w:tcBorders>
              <w:top w:val="nil"/>
              <w:left w:val="nil"/>
              <w:bottom w:val="nil"/>
              <w:right w:val="nil"/>
            </w:tcBorders>
          </w:tcPr>
          <w:p w14:paraId="73C2818B" w14:textId="77777777" w:rsidR="00F74EF5" w:rsidRPr="00A60FD5" w:rsidRDefault="00F74EF5" w:rsidP="001E1CB2">
            <w:pPr>
              <w:spacing w:before="80" w:after="0" w:line="200" w:lineRule="exact"/>
              <w:rPr>
                <w:rFonts w:ascii="Times New Roman" w:hAnsi="Times New Roman" w:cs="Times New Roman"/>
                <w:sz w:val="18"/>
                <w:szCs w:val="18"/>
              </w:rPr>
            </w:pPr>
            <w:r w:rsidRPr="00A60FD5">
              <w:rPr>
                <w:rFonts w:ascii="Times New Roman" w:hAnsi="Times New Roman" w:cs="Times New Roman"/>
                <w:sz w:val="18"/>
                <w:szCs w:val="18"/>
              </w:rPr>
              <w:t>0.05</w:t>
            </w:r>
          </w:p>
        </w:tc>
        <w:tc>
          <w:tcPr>
            <w:tcW w:w="851" w:type="dxa"/>
            <w:tcBorders>
              <w:top w:val="nil"/>
              <w:left w:val="nil"/>
              <w:bottom w:val="nil"/>
              <w:right w:val="nil"/>
            </w:tcBorders>
          </w:tcPr>
          <w:p w14:paraId="07F0A2F1" w14:textId="77777777" w:rsidR="00F74EF5" w:rsidRPr="00A60FD5" w:rsidRDefault="00F74EF5" w:rsidP="001E1CB2">
            <w:pPr>
              <w:spacing w:before="80" w:after="0" w:line="200" w:lineRule="exact"/>
              <w:rPr>
                <w:rFonts w:ascii="Times New Roman" w:hAnsi="Times New Roman" w:cs="Times New Roman"/>
                <w:sz w:val="18"/>
                <w:szCs w:val="18"/>
              </w:rPr>
            </w:pPr>
            <w:r w:rsidRPr="00A60FD5">
              <w:rPr>
                <w:rFonts w:ascii="Times New Roman" w:hAnsi="Times New Roman" w:cs="Times New Roman"/>
                <w:sz w:val="18"/>
                <w:szCs w:val="18"/>
              </w:rPr>
              <w:t>0.26**</w:t>
            </w:r>
          </w:p>
        </w:tc>
        <w:tc>
          <w:tcPr>
            <w:tcW w:w="850" w:type="dxa"/>
            <w:tcBorders>
              <w:top w:val="nil"/>
              <w:left w:val="nil"/>
              <w:bottom w:val="nil"/>
              <w:right w:val="nil"/>
            </w:tcBorders>
          </w:tcPr>
          <w:p w14:paraId="35A7AB54" w14:textId="77777777" w:rsidR="00F74EF5" w:rsidRPr="00A60FD5" w:rsidRDefault="00F74EF5" w:rsidP="001E1CB2">
            <w:pPr>
              <w:spacing w:before="80" w:after="0" w:line="200" w:lineRule="exact"/>
              <w:rPr>
                <w:rFonts w:ascii="Times New Roman" w:hAnsi="Times New Roman" w:cs="Times New Roman"/>
                <w:sz w:val="18"/>
                <w:szCs w:val="18"/>
              </w:rPr>
            </w:pPr>
            <w:r w:rsidRPr="00A60FD5">
              <w:rPr>
                <w:rFonts w:ascii="Times New Roman" w:hAnsi="Times New Roman" w:cs="Times New Roman"/>
                <w:sz w:val="18"/>
                <w:szCs w:val="18"/>
              </w:rPr>
              <w:t>-0.01</w:t>
            </w:r>
          </w:p>
        </w:tc>
        <w:tc>
          <w:tcPr>
            <w:tcW w:w="851" w:type="dxa"/>
            <w:tcBorders>
              <w:top w:val="nil"/>
              <w:left w:val="nil"/>
              <w:bottom w:val="nil"/>
              <w:right w:val="nil"/>
            </w:tcBorders>
          </w:tcPr>
          <w:p w14:paraId="7C647CB2" w14:textId="77777777" w:rsidR="00F74EF5" w:rsidRPr="00A60FD5" w:rsidRDefault="00F74EF5" w:rsidP="001E1CB2">
            <w:pPr>
              <w:spacing w:before="80" w:after="0" w:line="200" w:lineRule="exact"/>
              <w:rPr>
                <w:rFonts w:ascii="Times New Roman" w:hAnsi="Times New Roman" w:cs="Times New Roman"/>
                <w:sz w:val="18"/>
                <w:szCs w:val="18"/>
              </w:rPr>
            </w:pPr>
            <w:r w:rsidRPr="00A60FD5">
              <w:rPr>
                <w:rFonts w:ascii="Times New Roman" w:hAnsi="Times New Roman" w:cs="Times New Roman"/>
                <w:sz w:val="18"/>
                <w:szCs w:val="18"/>
              </w:rPr>
              <w:t>0.15</w:t>
            </w:r>
          </w:p>
        </w:tc>
        <w:tc>
          <w:tcPr>
            <w:tcW w:w="709" w:type="dxa"/>
            <w:tcBorders>
              <w:top w:val="nil"/>
              <w:left w:val="nil"/>
              <w:bottom w:val="nil"/>
              <w:right w:val="nil"/>
            </w:tcBorders>
          </w:tcPr>
          <w:p w14:paraId="3610A7EF" w14:textId="77777777" w:rsidR="00F74EF5" w:rsidRPr="00A60FD5" w:rsidRDefault="00F74EF5" w:rsidP="001E1CB2">
            <w:pPr>
              <w:spacing w:before="80" w:after="0" w:line="200" w:lineRule="exact"/>
              <w:rPr>
                <w:rFonts w:ascii="Times New Roman" w:hAnsi="Times New Roman" w:cs="Times New Roman"/>
                <w:sz w:val="18"/>
                <w:szCs w:val="18"/>
              </w:rPr>
            </w:pPr>
            <w:r w:rsidRPr="00A60FD5">
              <w:rPr>
                <w:rFonts w:ascii="Times New Roman" w:hAnsi="Times New Roman" w:cs="Times New Roman"/>
                <w:sz w:val="18"/>
                <w:szCs w:val="18"/>
              </w:rPr>
              <w:t>0.01</w:t>
            </w:r>
          </w:p>
        </w:tc>
        <w:tc>
          <w:tcPr>
            <w:tcW w:w="708" w:type="dxa"/>
            <w:tcBorders>
              <w:top w:val="nil"/>
              <w:left w:val="nil"/>
              <w:bottom w:val="nil"/>
              <w:right w:val="nil"/>
            </w:tcBorders>
          </w:tcPr>
          <w:p w14:paraId="38074BA0" w14:textId="77777777" w:rsidR="00F74EF5" w:rsidRPr="00A60FD5" w:rsidRDefault="00F74EF5" w:rsidP="001E1CB2">
            <w:pPr>
              <w:spacing w:before="80" w:after="0" w:line="200" w:lineRule="exact"/>
              <w:rPr>
                <w:rFonts w:ascii="Times New Roman" w:hAnsi="Times New Roman" w:cs="Times New Roman"/>
                <w:sz w:val="18"/>
                <w:szCs w:val="18"/>
              </w:rPr>
            </w:pPr>
            <w:r w:rsidRPr="00A60FD5">
              <w:rPr>
                <w:rFonts w:ascii="Times New Roman" w:hAnsi="Times New Roman" w:cs="Times New Roman"/>
                <w:sz w:val="18"/>
                <w:szCs w:val="18"/>
              </w:rPr>
              <w:t>0.14</w:t>
            </w:r>
          </w:p>
        </w:tc>
        <w:tc>
          <w:tcPr>
            <w:tcW w:w="851" w:type="dxa"/>
            <w:tcBorders>
              <w:top w:val="nil"/>
              <w:left w:val="nil"/>
              <w:bottom w:val="nil"/>
              <w:right w:val="nil"/>
            </w:tcBorders>
          </w:tcPr>
          <w:p w14:paraId="0AECFDC3" w14:textId="77777777" w:rsidR="00F74EF5" w:rsidRPr="00A60FD5" w:rsidRDefault="00F74EF5" w:rsidP="001E1CB2">
            <w:pPr>
              <w:spacing w:before="80" w:after="0" w:line="200" w:lineRule="exact"/>
              <w:rPr>
                <w:rFonts w:ascii="Times New Roman" w:hAnsi="Times New Roman" w:cs="Times New Roman"/>
                <w:sz w:val="18"/>
                <w:szCs w:val="18"/>
              </w:rPr>
            </w:pPr>
            <w:r w:rsidRPr="00A60FD5">
              <w:rPr>
                <w:rFonts w:ascii="Times New Roman" w:hAnsi="Times New Roman" w:cs="Times New Roman"/>
                <w:sz w:val="18"/>
                <w:szCs w:val="18"/>
              </w:rPr>
              <w:t>0.02</w:t>
            </w:r>
          </w:p>
        </w:tc>
        <w:tc>
          <w:tcPr>
            <w:tcW w:w="709" w:type="dxa"/>
            <w:tcBorders>
              <w:top w:val="nil"/>
              <w:left w:val="nil"/>
              <w:bottom w:val="nil"/>
              <w:right w:val="nil"/>
            </w:tcBorders>
          </w:tcPr>
          <w:p w14:paraId="40CFE400" w14:textId="77777777" w:rsidR="00F74EF5" w:rsidRPr="00A60FD5" w:rsidRDefault="00F74EF5" w:rsidP="001E1CB2">
            <w:pPr>
              <w:spacing w:before="80" w:after="0" w:line="200" w:lineRule="exact"/>
              <w:rPr>
                <w:rFonts w:ascii="Times New Roman" w:hAnsi="Times New Roman" w:cs="Times New Roman"/>
                <w:sz w:val="18"/>
                <w:szCs w:val="18"/>
              </w:rPr>
            </w:pPr>
            <w:r w:rsidRPr="00A60FD5">
              <w:rPr>
                <w:rFonts w:ascii="Times New Roman" w:hAnsi="Times New Roman" w:cs="Times New Roman"/>
                <w:sz w:val="18"/>
                <w:szCs w:val="18"/>
              </w:rPr>
              <w:t>0.21*</w:t>
            </w:r>
          </w:p>
        </w:tc>
        <w:tc>
          <w:tcPr>
            <w:tcW w:w="708" w:type="dxa"/>
            <w:tcBorders>
              <w:top w:val="nil"/>
              <w:left w:val="nil"/>
              <w:bottom w:val="nil"/>
              <w:right w:val="nil"/>
            </w:tcBorders>
          </w:tcPr>
          <w:p w14:paraId="026ABCC1" w14:textId="77777777" w:rsidR="00F74EF5" w:rsidRPr="00A60FD5" w:rsidRDefault="00F74EF5" w:rsidP="001E1CB2">
            <w:pPr>
              <w:spacing w:before="80" w:after="0" w:line="200" w:lineRule="exact"/>
              <w:rPr>
                <w:rFonts w:ascii="Times New Roman" w:hAnsi="Times New Roman" w:cs="Times New Roman"/>
                <w:sz w:val="18"/>
                <w:szCs w:val="18"/>
              </w:rPr>
            </w:pPr>
            <w:r w:rsidRPr="00A60FD5">
              <w:rPr>
                <w:rFonts w:ascii="Times New Roman" w:hAnsi="Times New Roman" w:cs="Times New Roman"/>
                <w:sz w:val="18"/>
                <w:szCs w:val="18"/>
              </w:rPr>
              <w:t>-0.05</w:t>
            </w:r>
          </w:p>
        </w:tc>
        <w:tc>
          <w:tcPr>
            <w:tcW w:w="709" w:type="dxa"/>
            <w:tcBorders>
              <w:top w:val="nil"/>
              <w:left w:val="nil"/>
              <w:bottom w:val="nil"/>
              <w:right w:val="nil"/>
            </w:tcBorders>
          </w:tcPr>
          <w:p w14:paraId="53D7E90A" w14:textId="77777777" w:rsidR="00F74EF5" w:rsidRPr="00A60FD5" w:rsidRDefault="00F74EF5" w:rsidP="001E1CB2">
            <w:pPr>
              <w:spacing w:before="80" w:after="0" w:line="200" w:lineRule="exact"/>
              <w:rPr>
                <w:rFonts w:ascii="Times New Roman" w:hAnsi="Times New Roman" w:cs="Times New Roman"/>
                <w:sz w:val="18"/>
                <w:szCs w:val="18"/>
              </w:rPr>
            </w:pPr>
            <w:r w:rsidRPr="00A60FD5">
              <w:rPr>
                <w:rFonts w:ascii="Times New Roman" w:hAnsi="Times New Roman" w:cs="Times New Roman"/>
                <w:sz w:val="18"/>
                <w:szCs w:val="18"/>
              </w:rPr>
              <w:t>0.03</w:t>
            </w:r>
          </w:p>
        </w:tc>
        <w:tc>
          <w:tcPr>
            <w:tcW w:w="709" w:type="dxa"/>
            <w:tcBorders>
              <w:top w:val="nil"/>
              <w:left w:val="nil"/>
              <w:bottom w:val="nil"/>
              <w:right w:val="nil"/>
            </w:tcBorders>
          </w:tcPr>
          <w:p w14:paraId="1D1415EE" w14:textId="77777777" w:rsidR="00F74EF5" w:rsidRPr="00A60FD5" w:rsidRDefault="00F74EF5" w:rsidP="001E1CB2">
            <w:pPr>
              <w:spacing w:before="80" w:after="0" w:line="200" w:lineRule="exact"/>
              <w:rPr>
                <w:rFonts w:ascii="Times New Roman" w:hAnsi="Times New Roman" w:cs="Times New Roman"/>
                <w:sz w:val="18"/>
                <w:szCs w:val="18"/>
              </w:rPr>
            </w:pPr>
            <w:r w:rsidRPr="00A60FD5">
              <w:rPr>
                <w:rFonts w:ascii="Times New Roman" w:hAnsi="Times New Roman" w:cs="Times New Roman"/>
                <w:sz w:val="18"/>
                <w:szCs w:val="18"/>
              </w:rPr>
              <w:t>1.00</w:t>
            </w:r>
          </w:p>
        </w:tc>
        <w:tc>
          <w:tcPr>
            <w:tcW w:w="709" w:type="dxa"/>
            <w:tcBorders>
              <w:top w:val="nil"/>
              <w:left w:val="nil"/>
              <w:bottom w:val="nil"/>
              <w:right w:val="nil"/>
            </w:tcBorders>
          </w:tcPr>
          <w:p w14:paraId="269A0828" w14:textId="77777777" w:rsidR="00F74EF5" w:rsidRPr="00A60FD5" w:rsidRDefault="00F74EF5" w:rsidP="001E1CB2">
            <w:pPr>
              <w:spacing w:before="80" w:after="0" w:line="200" w:lineRule="exact"/>
              <w:rPr>
                <w:rFonts w:ascii="Times New Roman" w:hAnsi="Times New Roman" w:cs="Times New Roman"/>
                <w:sz w:val="18"/>
                <w:szCs w:val="18"/>
              </w:rPr>
            </w:pPr>
          </w:p>
        </w:tc>
        <w:tc>
          <w:tcPr>
            <w:tcW w:w="708" w:type="dxa"/>
            <w:tcBorders>
              <w:top w:val="nil"/>
              <w:left w:val="nil"/>
              <w:bottom w:val="nil"/>
              <w:right w:val="nil"/>
            </w:tcBorders>
          </w:tcPr>
          <w:p w14:paraId="7E379EF3" w14:textId="77777777" w:rsidR="00F74EF5" w:rsidRPr="00A60FD5" w:rsidRDefault="00F74EF5" w:rsidP="001E1CB2">
            <w:pPr>
              <w:spacing w:before="80" w:after="0" w:line="200" w:lineRule="exact"/>
              <w:rPr>
                <w:rFonts w:ascii="Times New Roman" w:hAnsi="Times New Roman" w:cs="Times New Roman"/>
                <w:sz w:val="18"/>
                <w:szCs w:val="18"/>
              </w:rPr>
            </w:pPr>
          </w:p>
        </w:tc>
        <w:tc>
          <w:tcPr>
            <w:tcW w:w="709" w:type="dxa"/>
            <w:tcBorders>
              <w:top w:val="nil"/>
              <w:left w:val="nil"/>
              <w:bottom w:val="nil"/>
              <w:right w:val="nil"/>
            </w:tcBorders>
          </w:tcPr>
          <w:p w14:paraId="36D9C7DD" w14:textId="77777777" w:rsidR="00F74EF5" w:rsidRPr="00A60FD5" w:rsidRDefault="00F74EF5" w:rsidP="001E1CB2">
            <w:pPr>
              <w:spacing w:before="80" w:after="0" w:line="200" w:lineRule="exact"/>
              <w:rPr>
                <w:rFonts w:ascii="Times New Roman" w:hAnsi="Times New Roman" w:cs="Times New Roman"/>
                <w:sz w:val="18"/>
                <w:szCs w:val="18"/>
              </w:rPr>
            </w:pPr>
          </w:p>
        </w:tc>
        <w:tc>
          <w:tcPr>
            <w:tcW w:w="709" w:type="dxa"/>
            <w:tcBorders>
              <w:top w:val="nil"/>
              <w:left w:val="nil"/>
              <w:bottom w:val="nil"/>
              <w:right w:val="nil"/>
            </w:tcBorders>
          </w:tcPr>
          <w:p w14:paraId="5BD53F3A" w14:textId="77777777" w:rsidR="00F74EF5" w:rsidRPr="00A60FD5" w:rsidRDefault="00F74EF5" w:rsidP="001E1CB2">
            <w:pPr>
              <w:spacing w:before="80" w:after="0" w:line="200" w:lineRule="exact"/>
              <w:rPr>
                <w:rFonts w:ascii="Times New Roman" w:hAnsi="Times New Roman" w:cs="Times New Roman"/>
                <w:sz w:val="18"/>
                <w:szCs w:val="18"/>
              </w:rPr>
            </w:pPr>
          </w:p>
        </w:tc>
        <w:tc>
          <w:tcPr>
            <w:tcW w:w="567" w:type="dxa"/>
            <w:tcBorders>
              <w:top w:val="nil"/>
              <w:left w:val="nil"/>
              <w:bottom w:val="nil"/>
              <w:right w:val="nil"/>
            </w:tcBorders>
          </w:tcPr>
          <w:p w14:paraId="1EE77B06" w14:textId="77777777" w:rsidR="00F74EF5" w:rsidRPr="00A60FD5" w:rsidRDefault="00F74EF5" w:rsidP="001E1CB2">
            <w:pPr>
              <w:spacing w:before="80" w:after="0" w:line="200" w:lineRule="exact"/>
              <w:rPr>
                <w:rFonts w:ascii="Times New Roman" w:hAnsi="Times New Roman" w:cs="Times New Roman"/>
                <w:sz w:val="18"/>
                <w:szCs w:val="18"/>
              </w:rPr>
            </w:pPr>
          </w:p>
        </w:tc>
        <w:tc>
          <w:tcPr>
            <w:tcW w:w="567" w:type="dxa"/>
            <w:tcBorders>
              <w:top w:val="nil"/>
              <w:left w:val="nil"/>
              <w:bottom w:val="nil"/>
              <w:right w:val="nil"/>
            </w:tcBorders>
          </w:tcPr>
          <w:p w14:paraId="31675EB0" w14:textId="77777777" w:rsidR="00F74EF5" w:rsidRPr="00A60FD5" w:rsidRDefault="00F74EF5" w:rsidP="001E1CB2">
            <w:pPr>
              <w:spacing w:before="80" w:after="0" w:line="200" w:lineRule="exact"/>
              <w:rPr>
                <w:rFonts w:ascii="Times New Roman" w:hAnsi="Times New Roman" w:cs="Times New Roman"/>
                <w:sz w:val="18"/>
                <w:szCs w:val="18"/>
              </w:rPr>
            </w:pPr>
          </w:p>
        </w:tc>
      </w:tr>
      <w:tr w:rsidR="00F74EF5" w:rsidRPr="00A60FD5" w14:paraId="09FD404D" w14:textId="77777777" w:rsidTr="00F74EF5">
        <w:tc>
          <w:tcPr>
            <w:tcW w:w="2377" w:type="dxa"/>
            <w:tcBorders>
              <w:top w:val="nil"/>
              <w:left w:val="nil"/>
              <w:bottom w:val="nil"/>
              <w:right w:val="nil"/>
            </w:tcBorders>
          </w:tcPr>
          <w:p w14:paraId="02C63CA4" w14:textId="77777777" w:rsidR="00F74EF5" w:rsidRPr="00A60FD5" w:rsidRDefault="00F74EF5" w:rsidP="001E1CB2">
            <w:pPr>
              <w:spacing w:before="80" w:after="0" w:line="200" w:lineRule="exact"/>
              <w:rPr>
                <w:rFonts w:ascii="Times New Roman" w:hAnsi="Times New Roman" w:cs="Times New Roman"/>
                <w:sz w:val="20"/>
                <w:szCs w:val="20"/>
              </w:rPr>
            </w:pPr>
            <w:r w:rsidRPr="00A60FD5">
              <w:rPr>
                <w:rFonts w:ascii="Times New Roman" w:hAnsi="Times New Roman" w:cs="Times New Roman"/>
                <w:sz w:val="20"/>
                <w:szCs w:val="20"/>
              </w:rPr>
              <w:t>13. Legal assistance</w:t>
            </w:r>
          </w:p>
        </w:tc>
        <w:tc>
          <w:tcPr>
            <w:tcW w:w="709" w:type="dxa"/>
            <w:tcBorders>
              <w:top w:val="nil"/>
              <w:left w:val="nil"/>
              <w:bottom w:val="nil"/>
              <w:right w:val="nil"/>
            </w:tcBorders>
          </w:tcPr>
          <w:p w14:paraId="22F68606" w14:textId="77777777" w:rsidR="00F74EF5" w:rsidRPr="00A60FD5" w:rsidRDefault="00F74EF5" w:rsidP="001E1CB2">
            <w:pPr>
              <w:spacing w:before="80" w:after="0" w:line="200" w:lineRule="exact"/>
              <w:rPr>
                <w:rFonts w:ascii="Times New Roman" w:hAnsi="Times New Roman" w:cs="Times New Roman"/>
                <w:sz w:val="18"/>
                <w:szCs w:val="18"/>
              </w:rPr>
            </w:pPr>
            <w:r w:rsidRPr="00A60FD5">
              <w:rPr>
                <w:rFonts w:ascii="Times New Roman" w:hAnsi="Times New Roman" w:cs="Times New Roman"/>
                <w:sz w:val="18"/>
                <w:szCs w:val="18"/>
              </w:rPr>
              <w:t>0.13</w:t>
            </w:r>
          </w:p>
        </w:tc>
        <w:tc>
          <w:tcPr>
            <w:tcW w:w="992" w:type="dxa"/>
            <w:tcBorders>
              <w:top w:val="nil"/>
              <w:left w:val="nil"/>
              <w:bottom w:val="nil"/>
              <w:right w:val="nil"/>
            </w:tcBorders>
          </w:tcPr>
          <w:p w14:paraId="66806A58" w14:textId="77777777" w:rsidR="00F74EF5" w:rsidRPr="00A60FD5" w:rsidRDefault="00F74EF5" w:rsidP="001E1CB2">
            <w:pPr>
              <w:spacing w:before="80" w:after="0" w:line="200" w:lineRule="exact"/>
              <w:rPr>
                <w:rFonts w:ascii="Times New Roman" w:hAnsi="Times New Roman" w:cs="Times New Roman"/>
                <w:sz w:val="18"/>
                <w:szCs w:val="18"/>
              </w:rPr>
            </w:pPr>
            <w:r w:rsidRPr="00A60FD5">
              <w:rPr>
                <w:rFonts w:ascii="Times New Roman" w:hAnsi="Times New Roman" w:cs="Times New Roman"/>
                <w:sz w:val="18"/>
                <w:szCs w:val="18"/>
              </w:rPr>
              <w:t>-0.06</w:t>
            </w:r>
          </w:p>
        </w:tc>
        <w:tc>
          <w:tcPr>
            <w:tcW w:w="851" w:type="dxa"/>
            <w:tcBorders>
              <w:top w:val="nil"/>
              <w:left w:val="nil"/>
              <w:bottom w:val="nil"/>
              <w:right w:val="nil"/>
            </w:tcBorders>
          </w:tcPr>
          <w:p w14:paraId="677CADD3" w14:textId="77777777" w:rsidR="00F74EF5" w:rsidRPr="00A60FD5" w:rsidRDefault="00F74EF5" w:rsidP="001E1CB2">
            <w:pPr>
              <w:spacing w:before="80" w:after="0" w:line="200" w:lineRule="exact"/>
              <w:rPr>
                <w:rFonts w:ascii="Times New Roman" w:hAnsi="Times New Roman" w:cs="Times New Roman"/>
                <w:sz w:val="18"/>
                <w:szCs w:val="18"/>
              </w:rPr>
            </w:pPr>
            <w:r w:rsidRPr="00A60FD5">
              <w:rPr>
                <w:rFonts w:ascii="Times New Roman" w:hAnsi="Times New Roman" w:cs="Times New Roman"/>
                <w:sz w:val="18"/>
                <w:szCs w:val="18"/>
              </w:rPr>
              <w:t>-0.05</w:t>
            </w:r>
          </w:p>
        </w:tc>
        <w:tc>
          <w:tcPr>
            <w:tcW w:w="850" w:type="dxa"/>
            <w:tcBorders>
              <w:top w:val="nil"/>
              <w:left w:val="nil"/>
              <w:bottom w:val="nil"/>
              <w:right w:val="nil"/>
            </w:tcBorders>
          </w:tcPr>
          <w:p w14:paraId="35255B28" w14:textId="77777777" w:rsidR="00F74EF5" w:rsidRPr="00A60FD5" w:rsidRDefault="00F74EF5" w:rsidP="001E1CB2">
            <w:pPr>
              <w:spacing w:before="80" w:after="0" w:line="200" w:lineRule="exact"/>
              <w:rPr>
                <w:rFonts w:ascii="Times New Roman" w:hAnsi="Times New Roman" w:cs="Times New Roman"/>
                <w:sz w:val="18"/>
                <w:szCs w:val="18"/>
              </w:rPr>
            </w:pPr>
            <w:r w:rsidRPr="00A60FD5">
              <w:rPr>
                <w:rFonts w:ascii="Times New Roman" w:hAnsi="Times New Roman" w:cs="Times New Roman"/>
                <w:sz w:val="18"/>
                <w:szCs w:val="18"/>
              </w:rPr>
              <w:t>0.17</w:t>
            </w:r>
            <w:r w:rsidRPr="00A60FD5">
              <w:rPr>
                <w:rFonts w:ascii="Times New Roman" w:hAnsi="Times New Roman" w:cs="Times New Roman"/>
                <w:sz w:val="18"/>
              </w:rPr>
              <w:t>†</w:t>
            </w:r>
          </w:p>
        </w:tc>
        <w:tc>
          <w:tcPr>
            <w:tcW w:w="851" w:type="dxa"/>
            <w:tcBorders>
              <w:top w:val="nil"/>
              <w:left w:val="nil"/>
              <w:bottom w:val="nil"/>
              <w:right w:val="nil"/>
            </w:tcBorders>
          </w:tcPr>
          <w:p w14:paraId="7526EFC2" w14:textId="77777777" w:rsidR="00F74EF5" w:rsidRPr="00A60FD5" w:rsidRDefault="00F74EF5" w:rsidP="001E1CB2">
            <w:pPr>
              <w:spacing w:before="80" w:after="0" w:line="200" w:lineRule="exact"/>
              <w:rPr>
                <w:rFonts w:ascii="Times New Roman" w:hAnsi="Times New Roman" w:cs="Times New Roman"/>
                <w:sz w:val="18"/>
                <w:szCs w:val="18"/>
              </w:rPr>
            </w:pPr>
            <w:r w:rsidRPr="00A60FD5">
              <w:rPr>
                <w:rFonts w:ascii="Times New Roman" w:hAnsi="Times New Roman" w:cs="Times New Roman"/>
                <w:sz w:val="18"/>
                <w:szCs w:val="18"/>
              </w:rPr>
              <w:t>0.03</w:t>
            </w:r>
          </w:p>
        </w:tc>
        <w:tc>
          <w:tcPr>
            <w:tcW w:w="709" w:type="dxa"/>
            <w:tcBorders>
              <w:top w:val="nil"/>
              <w:left w:val="nil"/>
              <w:bottom w:val="nil"/>
              <w:right w:val="nil"/>
            </w:tcBorders>
          </w:tcPr>
          <w:p w14:paraId="71C8EAB2" w14:textId="77777777" w:rsidR="00F74EF5" w:rsidRPr="00A60FD5" w:rsidRDefault="00F74EF5" w:rsidP="001E1CB2">
            <w:pPr>
              <w:spacing w:before="80" w:after="0" w:line="200" w:lineRule="exact"/>
              <w:rPr>
                <w:rFonts w:ascii="Times New Roman" w:hAnsi="Times New Roman" w:cs="Times New Roman"/>
                <w:sz w:val="18"/>
                <w:szCs w:val="18"/>
              </w:rPr>
            </w:pPr>
            <w:r w:rsidRPr="00A60FD5">
              <w:rPr>
                <w:rFonts w:ascii="Times New Roman" w:hAnsi="Times New Roman" w:cs="Times New Roman"/>
                <w:sz w:val="18"/>
                <w:szCs w:val="18"/>
              </w:rPr>
              <w:t>0.22*</w:t>
            </w:r>
          </w:p>
        </w:tc>
        <w:tc>
          <w:tcPr>
            <w:tcW w:w="708" w:type="dxa"/>
            <w:tcBorders>
              <w:top w:val="nil"/>
              <w:left w:val="nil"/>
              <w:bottom w:val="nil"/>
              <w:right w:val="nil"/>
            </w:tcBorders>
          </w:tcPr>
          <w:p w14:paraId="43E0AD5E" w14:textId="77777777" w:rsidR="00F74EF5" w:rsidRPr="00A60FD5" w:rsidRDefault="00F74EF5" w:rsidP="001E1CB2">
            <w:pPr>
              <w:spacing w:before="80" w:after="0" w:line="200" w:lineRule="exact"/>
              <w:rPr>
                <w:rFonts w:ascii="Times New Roman" w:hAnsi="Times New Roman" w:cs="Times New Roman"/>
                <w:sz w:val="18"/>
                <w:szCs w:val="18"/>
              </w:rPr>
            </w:pPr>
            <w:r w:rsidRPr="00A60FD5">
              <w:rPr>
                <w:rFonts w:ascii="Times New Roman" w:hAnsi="Times New Roman" w:cs="Times New Roman"/>
                <w:sz w:val="18"/>
                <w:szCs w:val="18"/>
              </w:rPr>
              <w:t>-0.08</w:t>
            </w:r>
          </w:p>
        </w:tc>
        <w:tc>
          <w:tcPr>
            <w:tcW w:w="851" w:type="dxa"/>
            <w:tcBorders>
              <w:top w:val="nil"/>
              <w:left w:val="nil"/>
              <w:bottom w:val="nil"/>
              <w:right w:val="nil"/>
            </w:tcBorders>
          </w:tcPr>
          <w:p w14:paraId="1D67CEFC" w14:textId="77777777" w:rsidR="00F74EF5" w:rsidRPr="00A60FD5" w:rsidRDefault="00F74EF5" w:rsidP="001E1CB2">
            <w:pPr>
              <w:spacing w:before="80" w:after="0" w:line="200" w:lineRule="exact"/>
              <w:rPr>
                <w:rFonts w:ascii="Times New Roman" w:hAnsi="Times New Roman" w:cs="Times New Roman"/>
                <w:sz w:val="18"/>
                <w:szCs w:val="18"/>
              </w:rPr>
            </w:pPr>
            <w:r w:rsidRPr="00A60FD5">
              <w:rPr>
                <w:rFonts w:ascii="Times New Roman" w:hAnsi="Times New Roman" w:cs="Times New Roman"/>
                <w:sz w:val="18"/>
                <w:szCs w:val="18"/>
              </w:rPr>
              <w:t>0.27**</w:t>
            </w:r>
          </w:p>
        </w:tc>
        <w:tc>
          <w:tcPr>
            <w:tcW w:w="709" w:type="dxa"/>
            <w:tcBorders>
              <w:top w:val="nil"/>
              <w:left w:val="nil"/>
              <w:bottom w:val="nil"/>
              <w:right w:val="nil"/>
            </w:tcBorders>
          </w:tcPr>
          <w:p w14:paraId="327C593D" w14:textId="77777777" w:rsidR="00F74EF5" w:rsidRPr="00A60FD5" w:rsidRDefault="00F74EF5" w:rsidP="001E1CB2">
            <w:pPr>
              <w:spacing w:before="80" w:after="0" w:line="200" w:lineRule="exact"/>
              <w:rPr>
                <w:rFonts w:ascii="Times New Roman" w:hAnsi="Times New Roman" w:cs="Times New Roman"/>
                <w:sz w:val="18"/>
                <w:szCs w:val="18"/>
              </w:rPr>
            </w:pPr>
            <w:r w:rsidRPr="00A60FD5">
              <w:rPr>
                <w:rFonts w:ascii="Times New Roman" w:hAnsi="Times New Roman" w:cs="Times New Roman"/>
                <w:sz w:val="18"/>
                <w:szCs w:val="18"/>
              </w:rPr>
              <w:t>0.08</w:t>
            </w:r>
          </w:p>
        </w:tc>
        <w:tc>
          <w:tcPr>
            <w:tcW w:w="708" w:type="dxa"/>
            <w:tcBorders>
              <w:top w:val="nil"/>
              <w:left w:val="nil"/>
              <w:bottom w:val="nil"/>
              <w:right w:val="nil"/>
            </w:tcBorders>
          </w:tcPr>
          <w:p w14:paraId="67783BC5" w14:textId="77777777" w:rsidR="00F74EF5" w:rsidRPr="00A60FD5" w:rsidRDefault="00F74EF5" w:rsidP="001E1CB2">
            <w:pPr>
              <w:spacing w:before="80" w:after="0" w:line="200" w:lineRule="exact"/>
              <w:rPr>
                <w:rFonts w:ascii="Times New Roman" w:hAnsi="Times New Roman" w:cs="Times New Roman"/>
                <w:sz w:val="18"/>
                <w:szCs w:val="18"/>
              </w:rPr>
            </w:pPr>
            <w:r w:rsidRPr="00A60FD5">
              <w:rPr>
                <w:rFonts w:ascii="Times New Roman" w:hAnsi="Times New Roman" w:cs="Times New Roman"/>
                <w:sz w:val="18"/>
                <w:szCs w:val="18"/>
              </w:rPr>
              <w:t>-0.08</w:t>
            </w:r>
          </w:p>
        </w:tc>
        <w:tc>
          <w:tcPr>
            <w:tcW w:w="709" w:type="dxa"/>
            <w:tcBorders>
              <w:top w:val="nil"/>
              <w:left w:val="nil"/>
              <w:bottom w:val="nil"/>
              <w:right w:val="nil"/>
            </w:tcBorders>
          </w:tcPr>
          <w:p w14:paraId="0A99E0C4" w14:textId="77777777" w:rsidR="00F74EF5" w:rsidRPr="00A60FD5" w:rsidRDefault="00F74EF5" w:rsidP="001E1CB2">
            <w:pPr>
              <w:spacing w:before="80" w:after="0" w:line="200" w:lineRule="exact"/>
              <w:rPr>
                <w:rFonts w:ascii="Times New Roman" w:hAnsi="Times New Roman" w:cs="Times New Roman"/>
                <w:sz w:val="18"/>
                <w:szCs w:val="18"/>
              </w:rPr>
            </w:pPr>
            <w:r w:rsidRPr="00A60FD5">
              <w:rPr>
                <w:rFonts w:ascii="Times New Roman" w:hAnsi="Times New Roman" w:cs="Times New Roman"/>
                <w:sz w:val="18"/>
                <w:szCs w:val="18"/>
              </w:rPr>
              <w:t>0.11</w:t>
            </w:r>
          </w:p>
        </w:tc>
        <w:tc>
          <w:tcPr>
            <w:tcW w:w="709" w:type="dxa"/>
            <w:tcBorders>
              <w:top w:val="nil"/>
              <w:left w:val="nil"/>
              <w:bottom w:val="nil"/>
              <w:right w:val="nil"/>
            </w:tcBorders>
          </w:tcPr>
          <w:p w14:paraId="4C507DC5" w14:textId="77777777" w:rsidR="00F74EF5" w:rsidRPr="00A60FD5" w:rsidRDefault="00F74EF5" w:rsidP="001E1CB2">
            <w:pPr>
              <w:spacing w:before="80" w:after="0" w:line="200" w:lineRule="exact"/>
              <w:rPr>
                <w:rFonts w:ascii="Times New Roman" w:hAnsi="Times New Roman" w:cs="Times New Roman"/>
                <w:sz w:val="18"/>
                <w:szCs w:val="18"/>
              </w:rPr>
            </w:pPr>
            <w:r w:rsidRPr="00A60FD5">
              <w:rPr>
                <w:rFonts w:ascii="Times New Roman" w:hAnsi="Times New Roman" w:cs="Times New Roman"/>
                <w:sz w:val="18"/>
                <w:szCs w:val="18"/>
              </w:rPr>
              <w:t>-0.01</w:t>
            </w:r>
          </w:p>
        </w:tc>
        <w:tc>
          <w:tcPr>
            <w:tcW w:w="709" w:type="dxa"/>
            <w:tcBorders>
              <w:top w:val="nil"/>
              <w:left w:val="nil"/>
              <w:bottom w:val="nil"/>
              <w:right w:val="nil"/>
            </w:tcBorders>
          </w:tcPr>
          <w:p w14:paraId="46F5BBBE" w14:textId="77777777" w:rsidR="00F74EF5" w:rsidRPr="00A60FD5" w:rsidRDefault="00F74EF5" w:rsidP="001E1CB2">
            <w:pPr>
              <w:spacing w:before="80" w:after="0" w:line="200" w:lineRule="exact"/>
              <w:rPr>
                <w:rFonts w:ascii="Times New Roman" w:hAnsi="Times New Roman" w:cs="Times New Roman"/>
                <w:sz w:val="18"/>
                <w:szCs w:val="18"/>
              </w:rPr>
            </w:pPr>
            <w:r w:rsidRPr="00A60FD5">
              <w:rPr>
                <w:rFonts w:ascii="Times New Roman" w:hAnsi="Times New Roman" w:cs="Times New Roman"/>
                <w:sz w:val="18"/>
                <w:szCs w:val="18"/>
              </w:rPr>
              <w:t>1.00</w:t>
            </w:r>
          </w:p>
        </w:tc>
        <w:tc>
          <w:tcPr>
            <w:tcW w:w="708" w:type="dxa"/>
            <w:tcBorders>
              <w:top w:val="nil"/>
              <w:left w:val="nil"/>
              <w:bottom w:val="nil"/>
              <w:right w:val="nil"/>
            </w:tcBorders>
          </w:tcPr>
          <w:p w14:paraId="5C30454F" w14:textId="77777777" w:rsidR="00F74EF5" w:rsidRPr="00A60FD5" w:rsidRDefault="00F74EF5" w:rsidP="001E1CB2">
            <w:pPr>
              <w:spacing w:before="80" w:after="0" w:line="200" w:lineRule="exact"/>
              <w:rPr>
                <w:rFonts w:ascii="Times New Roman" w:hAnsi="Times New Roman" w:cs="Times New Roman"/>
                <w:sz w:val="18"/>
                <w:szCs w:val="18"/>
              </w:rPr>
            </w:pPr>
          </w:p>
        </w:tc>
        <w:tc>
          <w:tcPr>
            <w:tcW w:w="709" w:type="dxa"/>
            <w:tcBorders>
              <w:top w:val="nil"/>
              <w:left w:val="nil"/>
              <w:bottom w:val="nil"/>
              <w:right w:val="nil"/>
            </w:tcBorders>
          </w:tcPr>
          <w:p w14:paraId="42DFC702" w14:textId="77777777" w:rsidR="00F74EF5" w:rsidRPr="00A60FD5" w:rsidRDefault="00F74EF5" w:rsidP="001E1CB2">
            <w:pPr>
              <w:spacing w:before="80" w:after="0" w:line="200" w:lineRule="exact"/>
              <w:rPr>
                <w:rFonts w:ascii="Times New Roman" w:hAnsi="Times New Roman" w:cs="Times New Roman"/>
                <w:sz w:val="18"/>
                <w:szCs w:val="18"/>
              </w:rPr>
            </w:pPr>
          </w:p>
        </w:tc>
        <w:tc>
          <w:tcPr>
            <w:tcW w:w="709" w:type="dxa"/>
            <w:tcBorders>
              <w:top w:val="nil"/>
              <w:left w:val="nil"/>
              <w:bottom w:val="nil"/>
              <w:right w:val="nil"/>
            </w:tcBorders>
          </w:tcPr>
          <w:p w14:paraId="1DE2735E" w14:textId="77777777" w:rsidR="00F74EF5" w:rsidRPr="00A60FD5" w:rsidRDefault="00F74EF5" w:rsidP="001E1CB2">
            <w:pPr>
              <w:spacing w:before="80" w:after="0" w:line="200" w:lineRule="exact"/>
              <w:rPr>
                <w:rFonts w:ascii="Times New Roman" w:hAnsi="Times New Roman" w:cs="Times New Roman"/>
                <w:sz w:val="18"/>
                <w:szCs w:val="18"/>
              </w:rPr>
            </w:pPr>
          </w:p>
        </w:tc>
        <w:tc>
          <w:tcPr>
            <w:tcW w:w="567" w:type="dxa"/>
            <w:tcBorders>
              <w:top w:val="nil"/>
              <w:left w:val="nil"/>
              <w:bottom w:val="nil"/>
              <w:right w:val="nil"/>
            </w:tcBorders>
          </w:tcPr>
          <w:p w14:paraId="1370963F" w14:textId="77777777" w:rsidR="00F74EF5" w:rsidRPr="00A60FD5" w:rsidRDefault="00F74EF5" w:rsidP="001E1CB2">
            <w:pPr>
              <w:spacing w:before="80" w:after="0" w:line="200" w:lineRule="exact"/>
              <w:rPr>
                <w:rFonts w:ascii="Times New Roman" w:hAnsi="Times New Roman" w:cs="Times New Roman"/>
                <w:sz w:val="18"/>
                <w:szCs w:val="18"/>
              </w:rPr>
            </w:pPr>
          </w:p>
        </w:tc>
        <w:tc>
          <w:tcPr>
            <w:tcW w:w="567" w:type="dxa"/>
            <w:tcBorders>
              <w:top w:val="nil"/>
              <w:left w:val="nil"/>
              <w:bottom w:val="nil"/>
              <w:right w:val="nil"/>
            </w:tcBorders>
          </w:tcPr>
          <w:p w14:paraId="6140B218" w14:textId="77777777" w:rsidR="00F74EF5" w:rsidRPr="00A60FD5" w:rsidRDefault="00F74EF5" w:rsidP="001E1CB2">
            <w:pPr>
              <w:spacing w:before="80" w:after="0" w:line="200" w:lineRule="exact"/>
              <w:rPr>
                <w:rFonts w:ascii="Times New Roman" w:hAnsi="Times New Roman" w:cs="Times New Roman"/>
                <w:sz w:val="18"/>
                <w:szCs w:val="18"/>
              </w:rPr>
            </w:pPr>
          </w:p>
        </w:tc>
      </w:tr>
      <w:tr w:rsidR="00F74EF5" w:rsidRPr="00A60FD5" w14:paraId="2149FD8E" w14:textId="77777777" w:rsidTr="00F74EF5">
        <w:tc>
          <w:tcPr>
            <w:tcW w:w="2377" w:type="dxa"/>
            <w:tcBorders>
              <w:top w:val="nil"/>
              <w:left w:val="nil"/>
              <w:bottom w:val="nil"/>
              <w:right w:val="nil"/>
            </w:tcBorders>
          </w:tcPr>
          <w:p w14:paraId="53988DEF" w14:textId="77777777" w:rsidR="00F74EF5" w:rsidRPr="00A60FD5" w:rsidRDefault="00F74EF5" w:rsidP="001E1CB2">
            <w:pPr>
              <w:spacing w:before="80" w:after="0" w:line="200" w:lineRule="exact"/>
              <w:rPr>
                <w:rFonts w:ascii="Times New Roman" w:hAnsi="Times New Roman" w:cs="Times New Roman"/>
                <w:sz w:val="20"/>
                <w:szCs w:val="20"/>
              </w:rPr>
            </w:pPr>
            <w:r w:rsidRPr="00A60FD5">
              <w:rPr>
                <w:rFonts w:ascii="Times New Roman" w:hAnsi="Times New Roman" w:cs="Times New Roman"/>
                <w:sz w:val="20"/>
                <w:szCs w:val="20"/>
              </w:rPr>
              <w:t>14. Licensor’s size</w:t>
            </w:r>
          </w:p>
        </w:tc>
        <w:tc>
          <w:tcPr>
            <w:tcW w:w="709" w:type="dxa"/>
            <w:tcBorders>
              <w:top w:val="nil"/>
              <w:left w:val="nil"/>
              <w:bottom w:val="nil"/>
              <w:right w:val="nil"/>
            </w:tcBorders>
          </w:tcPr>
          <w:p w14:paraId="39877375" w14:textId="77777777" w:rsidR="00F74EF5" w:rsidRPr="00A60FD5" w:rsidRDefault="00F74EF5" w:rsidP="001E1CB2">
            <w:pPr>
              <w:spacing w:before="80" w:after="0" w:line="200" w:lineRule="exact"/>
              <w:rPr>
                <w:rFonts w:ascii="Times New Roman" w:hAnsi="Times New Roman" w:cs="Times New Roman"/>
                <w:sz w:val="18"/>
                <w:szCs w:val="18"/>
              </w:rPr>
            </w:pPr>
            <w:r w:rsidRPr="00A60FD5">
              <w:rPr>
                <w:rFonts w:ascii="Times New Roman" w:hAnsi="Times New Roman" w:cs="Times New Roman"/>
                <w:sz w:val="18"/>
                <w:szCs w:val="18"/>
              </w:rPr>
              <w:t>-0.09</w:t>
            </w:r>
          </w:p>
        </w:tc>
        <w:tc>
          <w:tcPr>
            <w:tcW w:w="992" w:type="dxa"/>
            <w:tcBorders>
              <w:top w:val="nil"/>
              <w:left w:val="nil"/>
              <w:bottom w:val="nil"/>
              <w:right w:val="nil"/>
            </w:tcBorders>
          </w:tcPr>
          <w:p w14:paraId="1C6513C4" w14:textId="77777777" w:rsidR="00F74EF5" w:rsidRPr="00A60FD5" w:rsidRDefault="00F74EF5" w:rsidP="001E1CB2">
            <w:pPr>
              <w:spacing w:before="80" w:after="0" w:line="200" w:lineRule="exact"/>
              <w:rPr>
                <w:rFonts w:ascii="Times New Roman" w:hAnsi="Times New Roman" w:cs="Times New Roman"/>
                <w:sz w:val="18"/>
                <w:szCs w:val="18"/>
              </w:rPr>
            </w:pPr>
            <w:r w:rsidRPr="00A60FD5">
              <w:rPr>
                <w:rFonts w:ascii="Times New Roman" w:hAnsi="Times New Roman" w:cs="Times New Roman"/>
                <w:sz w:val="18"/>
                <w:szCs w:val="18"/>
              </w:rPr>
              <w:t>-0.07</w:t>
            </w:r>
          </w:p>
        </w:tc>
        <w:tc>
          <w:tcPr>
            <w:tcW w:w="851" w:type="dxa"/>
            <w:tcBorders>
              <w:top w:val="nil"/>
              <w:left w:val="nil"/>
              <w:bottom w:val="nil"/>
              <w:right w:val="nil"/>
            </w:tcBorders>
          </w:tcPr>
          <w:p w14:paraId="6CB40BE2" w14:textId="77777777" w:rsidR="00F74EF5" w:rsidRPr="00A60FD5" w:rsidRDefault="00F74EF5" w:rsidP="001E1CB2">
            <w:pPr>
              <w:spacing w:before="80" w:after="0" w:line="200" w:lineRule="exact"/>
              <w:rPr>
                <w:rFonts w:ascii="Times New Roman" w:hAnsi="Times New Roman" w:cs="Times New Roman"/>
                <w:sz w:val="18"/>
                <w:szCs w:val="18"/>
              </w:rPr>
            </w:pPr>
            <w:r w:rsidRPr="00A60FD5">
              <w:rPr>
                <w:rFonts w:ascii="Times New Roman" w:hAnsi="Times New Roman" w:cs="Times New Roman"/>
                <w:sz w:val="18"/>
                <w:szCs w:val="18"/>
              </w:rPr>
              <w:t>0.02</w:t>
            </w:r>
          </w:p>
        </w:tc>
        <w:tc>
          <w:tcPr>
            <w:tcW w:w="850" w:type="dxa"/>
            <w:tcBorders>
              <w:top w:val="nil"/>
              <w:left w:val="nil"/>
              <w:bottom w:val="nil"/>
              <w:right w:val="nil"/>
            </w:tcBorders>
          </w:tcPr>
          <w:p w14:paraId="5238DA75" w14:textId="77777777" w:rsidR="00F74EF5" w:rsidRPr="00A60FD5" w:rsidRDefault="00F74EF5" w:rsidP="001E1CB2">
            <w:pPr>
              <w:spacing w:before="80" w:after="0" w:line="200" w:lineRule="exact"/>
              <w:rPr>
                <w:rFonts w:ascii="Times New Roman" w:hAnsi="Times New Roman" w:cs="Times New Roman"/>
                <w:sz w:val="18"/>
                <w:szCs w:val="18"/>
              </w:rPr>
            </w:pPr>
            <w:r w:rsidRPr="00A60FD5">
              <w:rPr>
                <w:rFonts w:ascii="Times New Roman" w:hAnsi="Times New Roman" w:cs="Times New Roman"/>
                <w:sz w:val="18"/>
                <w:szCs w:val="18"/>
              </w:rPr>
              <w:t>0.08</w:t>
            </w:r>
          </w:p>
        </w:tc>
        <w:tc>
          <w:tcPr>
            <w:tcW w:w="851" w:type="dxa"/>
            <w:tcBorders>
              <w:top w:val="nil"/>
              <w:left w:val="nil"/>
              <w:bottom w:val="nil"/>
              <w:right w:val="nil"/>
            </w:tcBorders>
          </w:tcPr>
          <w:p w14:paraId="6A218FFF" w14:textId="77777777" w:rsidR="00F74EF5" w:rsidRPr="00A60FD5" w:rsidRDefault="00F74EF5" w:rsidP="001E1CB2">
            <w:pPr>
              <w:spacing w:before="80" w:after="0" w:line="200" w:lineRule="exact"/>
              <w:rPr>
                <w:rFonts w:ascii="Times New Roman" w:hAnsi="Times New Roman" w:cs="Times New Roman"/>
                <w:sz w:val="18"/>
                <w:szCs w:val="18"/>
              </w:rPr>
            </w:pPr>
            <w:r w:rsidRPr="00A60FD5">
              <w:rPr>
                <w:rFonts w:ascii="Times New Roman" w:hAnsi="Times New Roman" w:cs="Times New Roman"/>
                <w:sz w:val="18"/>
                <w:szCs w:val="18"/>
              </w:rPr>
              <w:t>0.03</w:t>
            </w:r>
          </w:p>
        </w:tc>
        <w:tc>
          <w:tcPr>
            <w:tcW w:w="709" w:type="dxa"/>
            <w:tcBorders>
              <w:top w:val="nil"/>
              <w:left w:val="nil"/>
              <w:bottom w:val="nil"/>
              <w:right w:val="nil"/>
            </w:tcBorders>
          </w:tcPr>
          <w:p w14:paraId="249E0D25" w14:textId="77777777" w:rsidR="00F74EF5" w:rsidRPr="00A60FD5" w:rsidRDefault="00F74EF5" w:rsidP="001E1CB2">
            <w:pPr>
              <w:spacing w:before="80" w:after="0" w:line="200" w:lineRule="exact"/>
              <w:rPr>
                <w:rFonts w:ascii="Times New Roman" w:hAnsi="Times New Roman" w:cs="Times New Roman"/>
                <w:sz w:val="18"/>
                <w:szCs w:val="18"/>
              </w:rPr>
            </w:pPr>
            <w:r w:rsidRPr="00A60FD5">
              <w:rPr>
                <w:rFonts w:ascii="Times New Roman" w:hAnsi="Times New Roman" w:cs="Times New Roman"/>
                <w:sz w:val="18"/>
                <w:szCs w:val="18"/>
              </w:rPr>
              <w:t>0.10</w:t>
            </w:r>
          </w:p>
        </w:tc>
        <w:tc>
          <w:tcPr>
            <w:tcW w:w="708" w:type="dxa"/>
            <w:tcBorders>
              <w:top w:val="nil"/>
              <w:left w:val="nil"/>
              <w:bottom w:val="nil"/>
              <w:right w:val="nil"/>
            </w:tcBorders>
          </w:tcPr>
          <w:p w14:paraId="5E6B004F" w14:textId="77777777" w:rsidR="00F74EF5" w:rsidRPr="00A60FD5" w:rsidRDefault="00F74EF5" w:rsidP="001E1CB2">
            <w:pPr>
              <w:spacing w:before="80" w:after="0" w:line="200" w:lineRule="exact"/>
              <w:rPr>
                <w:rFonts w:ascii="Times New Roman" w:hAnsi="Times New Roman" w:cs="Times New Roman"/>
                <w:sz w:val="18"/>
                <w:szCs w:val="18"/>
              </w:rPr>
            </w:pPr>
            <w:r w:rsidRPr="00A60FD5">
              <w:rPr>
                <w:rFonts w:ascii="Times New Roman" w:hAnsi="Times New Roman" w:cs="Times New Roman"/>
                <w:sz w:val="18"/>
                <w:szCs w:val="18"/>
              </w:rPr>
              <w:t>0.11</w:t>
            </w:r>
          </w:p>
        </w:tc>
        <w:tc>
          <w:tcPr>
            <w:tcW w:w="851" w:type="dxa"/>
            <w:tcBorders>
              <w:top w:val="nil"/>
              <w:left w:val="nil"/>
              <w:bottom w:val="nil"/>
              <w:right w:val="nil"/>
            </w:tcBorders>
          </w:tcPr>
          <w:p w14:paraId="49F7B58F" w14:textId="77777777" w:rsidR="00F74EF5" w:rsidRPr="00A60FD5" w:rsidRDefault="00F74EF5" w:rsidP="001E1CB2">
            <w:pPr>
              <w:spacing w:before="80" w:after="0" w:line="200" w:lineRule="exact"/>
              <w:rPr>
                <w:rFonts w:ascii="Times New Roman" w:hAnsi="Times New Roman" w:cs="Times New Roman"/>
                <w:sz w:val="18"/>
                <w:szCs w:val="18"/>
              </w:rPr>
            </w:pPr>
            <w:r w:rsidRPr="00A60FD5">
              <w:rPr>
                <w:rFonts w:ascii="Times New Roman" w:hAnsi="Times New Roman" w:cs="Times New Roman"/>
                <w:sz w:val="18"/>
                <w:szCs w:val="18"/>
              </w:rPr>
              <w:t>-0.80*</w:t>
            </w:r>
          </w:p>
        </w:tc>
        <w:tc>
          <w:tcPr>
            <w:tcW w:w="709" w:type="dxa"/>
            <w:tcBorders>
              <w:top w:val="nil"/>
              <w:left w:val="nil"/>
              <w:bottom w:val="nil"/>
              <w:right w:val="nil"/>
            </w:tcBorders>
          </w:tcPr>
          <w:p w14:paraId="3EFD0724" w14:textId="77777777" w:rsidR="00F74EF5" w:rsidRPr="00A60FD5" w:rsidRDefault="00F74EF5" w:rsidP="001E1CB2">
            <w:pPr>
              <w:spacing w:before="80" w:after="0" w:line="200" w:lineRule="exact"/>
              <w:rPr>
                <w:rFonts w:ascii="Times New Roman" w:hAnsi="Times New Roman" w:cs="Times New Roman"/>
                <w:sz w:val="18"/>
                <w:szCs w:val="18"/>
              </w:rPr>
            </w:pPr>
            <w:r w:rsidRPr="00A60FD5">
              <w:rPr>
                <w:rFonts w:ascii="Times New Roman" w:hAnsi="Times New Roman" w:cs="Times New Roman"/>
                <w:sz w:val="18"/>
                <w:szCs w:val="18"/>
              </w:rPr>
              <w:t>0.04</w:t>
            </w:r>
          </w:p>
        </w:tc>
        <w:tc>
          <w:tcPr>
            <w:tcW w:w="708" w:type="dxa"/>
            <w:tcBorders>
              <w:top w:val="nil"/>
              <w:left w:val="nil"/>
              <w:bottom w:val="nil"/>
              <w:right w:val="nil"/>
            </w:tcBorders>
          </w:tcPr>
          <w:p w14:paraId="0C07C1E7" w14:textId="77777777" w:rsidR="00F74EF5" w:rsidRPr="00A60FD5" w:rsidRDefault="00F74EF5" w:rsidP="001E1CB2">
            <w:pPr>
              <w:spacing w:before="80" w:after="0" w:line="200" w:lineRule="exact"/>
              <w:rPr>
                <w:rFonts w:ascii="Times New Roman" w:hAnsi="Times New Roman" w:cs="Times New Roman"/>
                <w:sz w:val="18"/>
                <w:szCs w:val="18"/>
              </w:rPr>
            </w:pPr>
            <w:r w:rsidRPr="00A60FD5">
              <w:rPr>
                <w:rFonts w:ascii="Times New Roman" w:hAnsi="Times New Roman" w:cs="Times New Roman"/>
                <w:sz w:val="18"/>
                <w:szCs w:val="18"/>
              </w:rPr>
              <w:t>0.10</w:t>
            </w:r>
          </w:p>
        </w:tc>
        <w:tc>
          <w:tcPr>
            <w:tcW w:w="709" w:type="dxa"/>
            <w:tcBorders>
              <w:top w:val="nil"/>
              <w:left w:val="nil"/>
              <w:bottom w:val="nil"/>
              <w:right w:val="nil"/>
            </w:tcBorders>
          </w:tcPr>
          <w:p w14:paraId="20A67BE2" w14:textId="77777777" w:rsidR="00F74EF5" w:rsidRPr="00A60FD5" w:rsidRDefault="00F74EF5" w:rsidP="001E1CB2">
            <w:pPr>
              <w:spacing w:before="80" w:after="0" w:line="200" w:lineRule="exact"/>
              <w:rPr>
                <w:rFonts w:ascii="Times New Roman" w:hAnsi="Times New Roman" w:cs="Times New Roman"/>
                <w:sz w:val="18"/>
                <w:szCs w:val="18"/>
              </w:rPr>
            </w:pPr>
            <w:r w:rsidRPr="00A60FD5">
              <w:rPr>
                <w:rFonts w:ascii="Times New Roman" w:hAnsi="Times New Roman" w:cs="Times New Roman"/>
                <w:sz w:val="18"/>
                <w:szCs w:val="18"/>
              </w:rPr>
              <w:t>0.07</w:t>
            </w:r>
          </w:p>
        </w:tc>
        <w:tc>
          <w:tcPr>
            <w:tcW w:w="709" w:type="dxa"/>
            <w:tcBorders>
              <w:top w:val="nil"/>
              <w:left w:val="nil"/>
              <w:bottom w:val="nil"/>
              <w:right w:val="nil"/>
            </w:tcBorders>
          </w:tcPr>
          <w:p w14:paraId="2DEB5316" w14:textId="77777777" w:rsidR="00F74EF5" w:rsidRPr="00A60FD5" w:rsidRDefault="00F74EF5" w:rsidP="001E1CB2">
            <w:pPr>
              <w:spacing w:before="80" w:after="0" w:line="200" w:lineRule="exact"/>
              <w:rPr>
                <w:rFonts w:ascii="Times New Roman" w:hAnsi="Times New Roman" w:cs="Times New Roman"/>
                <w:sz w:val="18"/>
                <w:szCs w:val="18"/>
              </w:rPr>
            </w:pPr>
            <w:r w:rsidRPr="00A60FD5">
              <w:rPr>
                <w:rFonts w:ascii="Times New Roman" w:hAnsi="Times New Roman" w:cs="Times New Roman"/>
                <w:sz w:val="18"/>
                <w:szCs w:val="18"/>
              </w:rPr>
              <w:t>0.10</w:t>
            </w:r>
          </w:p>
        </w:tc>
        <w:tc>
          <w:tcPr>
            <w:tcW w:w="709" w:type="dxa"/>
            <w:tcBorders>
              <w:top w:val="nil"/>
              <w:left w:val="nil"/>
              <w:bottom w:val="nil"/>
              <w:right w:val="nil"/>
            </w:tcBorders>
          </w:tcPr>
          <w:p w14:paraId="37DF3F7F" w14:textId="77777777" w:rsidR="00F74EF5" w:rsidRPr="00A60FD5" w:rsidRDefault="00F74EF5" w:rsidP="001E1CB2">
            <w:pPr>
              <w:spacing w:before="80" w:after="0" w:line="200" w:lineRule="exact"/>
              <w:rPr>
                <w:rFonts w:ascii="Times New Roman" w:hAnsi="Times New Roman" w:cs="Times New Roman"/>
                <w:sz w:val="18"/>
                <w:szCs w:val="18"/>
              </w:rPr>
            </w:pPr>
            <w:r w:rsidRPr="00A60FD5">
              <w:rPr>
                <w:rFonts w:ascii="Times New Roman" w:hAnsi="Times New Roman" w:cs="Times New Roman"/>
                <w:sz w:val="18"/>
                <w:szCs w:val="18"/>
              </w:rPr>
              <w:t>-0.10</w:t>
            </w:r>
          </w:p>
        </w:tc>
        <w:tc>
          <w:tcPr>
            <w:tcW w:w="708" w:type="dxa"/>
            <w:tcBorders>
              <w:top w:val="nil"/>
              <w:left w:val="nil"/>
              <w:bottom w:val="nil"/>
              <w:right w:val="nil"/>
            </w:tcBorders>
          </w:tcPr>
          <w:p w14:paraId="0A93B013" w14:textId="77777777" w:rsidR="00F74EF5" w:rsidRPr="00A60FD5" w:rsidRDefault="00F74EF5" w:rsidP="001E1CB2">
            <w:pPr>
              <w:spacing w:before="80" w:after="0" w:line="200" w:lineRule="exact"/>
              <w:rPr>
                <w:rFonts w:ascii="Times New Roman" w:hAnsi="Times New Roman" w:cs="Times New Roman"/>
                <w:sz w:val="18"/>
                <w:szCs w:val="18"/>
              </w:rPr>
            </w:pPr>
            <w:r w:rsidRPr="00A60FD5">
              <w:rPr>
                <w:rFonts w:ascii="Times New Roman" w:hAnsi="Times New Roman" w:cs="Times New Roman"/>
                <w:sz w:val="18"/>
                <w:szCs w:val="18"/>
              </w:rPr>
              <w:t>1.00</w:t>
            </w:r>
          </w:p>
        </w:tc>
        <w:tc>
          <w:tcPr>
            <w:tcW w:w="709" w:type="dxa"/>
            <w:tcBorders>
              <w:top w:val="nil"/>
              <w:left w:val="nil"/>
              <w:bottom w:val="nil"/>
              <w:right w:val="nil"/>
            </w:tcBorders>
          </w:tcPr>
          <w:p w14:paraId="5ED68093" w14:textId="77777777" w:rsidR="00F74EF5" w:rsidRPr="00A60FD5" w:rsidRDefault="00F74EF5" w:rsidP="001E1CB2">
            <w:pPr>
              <w:spacing w:before="80" w:after="0" w:line="200" w:lineRule="exact"/>
              <w:rPr>
                <w:rFonts w:ascii="Times New Roman" w:hAnsi="Times New Roman" w:cs="Times New Roman"/>
                <w:sz w:val="18"/>
                <w:szCs w:val="18"/>
              </w:rPr>
            </w:pPr>
          </w:p>
        </w:tc>
        <w:tc>
          <w:tcPr>
            <w:tcW w:w="709" w:type="dxa"/>
            <w:tcBorders>
              <w:top w:val="nil"/>
              <w:left w:val="nil"/>
              <w:bottom w:val="nil"/>
              <w:right w:val="nil"/>
            </w:tcBorders>
          </w:tcPr>
          <w:p w14:paraId="660F5FAA" w14:textId="77777777" w:rsidR="00F74EF5" w:rsidRPr="00A60FD5" w:rsidRDefault="00F74EF5" w:rsidP="001E1CB2">
            <w:pPr>
              <w:spacing w:before="80" w:after="0" w:line="200" w:lineRule="exact"/>
              <w:rPr>
                <w:rFonts w:ascii="Times New Roman" w:hAnsi="Times New Roman" w:cs="Times New Roman"/>
                <w:sz w:val="18"/>
                <w:szCs w:val="18"/>
              </w:rPr>
            </w:pPr>
          </w:p>
        </w:tc>
        <w:tc>
          <w:tcPr>
            <w:tcW w:w="567" w:type="dxa"/>
            <w:tcBorders>
              <w:top w:val="nil"/>
              <w:left w:val="nil"/>
              <w:bottom w:val="nil"/>
              <w:right w:val="nil"/>
            </w:tcBorders>
          </w:tcPr>
          <w:p w14:paraId="76D5FBE8" w14:textId="77777777" w:rsidR="00F74EF5" w:rsidRPr="00A60FD5" w:rsidRDefault="00F74EF5" w:rsidP="001E1CB2">
            <w:pPr>
              <w:spacing w:before="80" w:after="0" w:line="200" w:lineRule="exact"/>
              <w:rPr>
                <w:rFonts w:ascii="Times New Roman" w:hAnsi="Times New Roman" w:cs="Times New Roman"/>
                <w:sz w:val="18"/>
                <w:szCs w:val="18"/>
              </w:rPr>
            </w:pPr>
          </w:p>
        </w:tc>
        <w:tc>
          <w:tcPr>
            <w:tcW w:w="567" w:type="dxa"/>
            <w:tcBorders>
              <w:top w:val="nil"/>
              <w:left w:val="nil"/>
              <w:bottom w:val="nil"/>
              <w:right w:val="nil"/>
            </w:tcBorders>
          </w:tcPr>
          <w:p w14:paraId="0A2DFCDA" w14:textId="77777777" w:rsidR="00F74EF5" w:rsidRPr="00A60FD5" w:rsidRDefault="00F74EF5" w:rsidP="001E1CB2">
            <w:pPr>
              <w:spacing w:before="80" w:after="0" w:line="200" w:lineRule="exact"/>
              <w:rPr>
                <w:rFonts w:ascii="Times New Roman" w:hAnsi="Times New Roman" w:cs="Times New Roman"/>
                <w:sz w:val="18"/>
                <w:szCs w:val="18"/>
              </w:rPr>
            </w:pPr>
          </w:p>
        </w:tc>
      </w:tr>
      <w:tr w:rsidR="00F74EF5" w:rsidRPr="00A60FD5" w14:paraId="3C99E9E2" w14:textId="77777777" w:rsidTr="00F74EF5">
        <w:tc>
          <w:tcPr>
            <w:tcW w:w="2377" w:type="dxa"/>
            <w:tcBorders>
              <w:top w:val="nil"/>
              <w:left w:val="nil"/>
              <w:bottom w:val="nil"/>
              <w:right w:val="nil"/>
            </w:tcBorders>
          </w:tcPr>
          <w:p w14:paraId="2E90F991" w14:textId="77777777" w:rsidR="00F74EF5" w:rsidRPr="00A60FD5" w:rsidRDefault="00F74EF5" w:rsidP="001E1CB2">
            <w:pPr>
              <w:spacing w:before="80" w:after="0" w:line="200" w:lineRule="exact"/>
              <w:rPr>
                <w:rFonts w:ascii="Times New Roman" w:hAnsi="Times New Roman" w:cs="Times New Roman"/>
                <w:sz w:val="20"/>
                <w:szCs w:val="20"/>
              </w:rPr>
            </w:pPr>
            <w:r w:rsidRPr="00A60FD5">
              <w:rPr>
                <w:rFonts w:ascii="Times New Roman" w:hAnsi="Times New Roman" w:cs="Times New Roman"/>
                <w:sz w:val="20"/>
                <w:szCs w:val="20"/>
              </w:rPr>
              <w:t>15. License age</w:t>
            </w:r>
          </w:p>
        </w:tc>
        <w:tc>
          <w:tcPr>
            <w:tcW w:w="709" w:type="dxa"/>
            <w:tcBorders>
              <w:top w:val="nil"/>
              <w:left w:val="nil"/>
              <w:bottom w:val="nil"/>
              <w:right w:val="nil"/>
            </w:tcBorders>
          </w:tcPr>
          <w:p w14:paraId="5CEC1A1B" w14:textId="77777777" w:rsidR="00F74EF5" w:rsidRPr="00A60FD5" w:rsidRDefault="00F74EF5" w:rsidP="001E1CB2">
            <w:pPr>
              <w:spacing w:before="80" w:after="0" w:line="200" w:lineRule="exact"/>
              <w:rPr>
                <w:rFonts w:ascii="Times New Roman" w:hAnsi="Times New Roman" w:cs="Times New Roman"/>
                <w:sz w:val="18"/>
                <w:szCs w:val="18"/>
              </w:rPr>
            </w:pPr>
            <w:r w:rsidRPr="00A60FD5">
              <w:rPr>
                <w:rFonts w:ascii="Times New Roman" w:hAnsi="Times New Roman" w:cs="Times New Roman"/>
                <w:sz w:val="18"/>
                <w:szCs w:val="18"/>
              </w:rPr>
              <w:t>-0.09</w:t>
            </w:r>
          </w:p>
        </w:tc>
        <w:tc>
          <w:tcPr>
            <w:tcW w:w="992" w:type="dxa"/>
            <w:tcBorders>
              <w:top w:val="nil"/>
              <w:left w:val="nil"/>
              <w:bottom w:val="nil"/>
              <w:right w:val="nil"/>
            </w:tcBorders>
          </w:tcPr>
          <w:p w14:paraId="68B262BC" w14:textId="77777777" w:rsidR="00F74EF5" w:rsidRPr="00A60FD5" w:rsidRDefault="00F74EF5" w:rsidP="001E1CB2">
            <w:pPr>
              <w:spacing w:before="80" w:after="0" w:line="200" w:lineRule="exact"/>
              <w:rPr>
                <w:rFonts w:ascii="Times New Roman" w:hAnsi="Times New Roman" w:cs="Times New Roman"/>
                <w:sz w:val="18"/>
                <w:szCs w:val="18"/>
              </w:rPr>
            </w:pPr>
            <w:r w:rsidRPr="00A60FD5">
              <w:rPr>
                <w:rFonts w:ascii="Times New Roman" w:hAnsi="Times New Roman" w:cs="Times New Roman"/>
                <w:sz w:val="18"/>
                <w:szCs w:val="18"/>
              </w:rPr>
              <w:t>0.09</w:t>
            </w:r>
          </w:p>
        </w:tc>
        <w:tc>
          <w:tcPr>
            <w:tcW w:w="851" w:type="dxa"/>
            <w:tcBorders>
              <w:top w:val="nil"/>
              <w:left w:val="nil"/>
              <w:bottom w:val="nil"/>
              <w:right w:val="nil"/>
            </w:tcBorders>
          </w:tcPr>
          <w:p w14:paraId="1E82B9D7" w14:textId="77777777" w:rsidR="00F74EF5" w:rsidRPr="00A60FD5" w:rsidRDefault="00F74EF5" w:rsidP="001E1CB2">
            <w:pPr>
              <w:spacing w:before="80" w:after="0" w:line="200" w:lineRule="exact"/>
              <w:rPr>
                <w:rFonts w:ascii="Times New Roman" w:hAnsi="Times New Roman" w:cs="Times New Roman"/>
                <w:sz w:val="18"/>
                <w:szCs w:val="18"/>
              </w:rPr>
            </w:pPr>
            <w:r w:rsidRPr="00A60FD5">
              <w:rPr>
                <w:rFonts w:ascii="Times New Roman" w:hAnsi="Times New Roman" w:cs="Times New Roman"/>
                <w:sz w:val="18"/>
                <w:szCs w:val="18"/>
              </w:rPr>
              <w:t>-0.02</w:t>
            </w:r>
          </w:p>
        </w:tc>
        <w:tc>
          <w:tcPr>
            <w:tcW w:w="850" w:type="dxa"/>
            <w:tcBorders>
              <w:top w:val="nil"/>
              <w:left w:val="nil"/>
              <w:bottom w:val="nil"/>
              <w:right w:val="nil"/>
            </w:tcBorders>
          </w:tcPr>
          <w:p w14:paraId="18202408" w14:textId="77777777" w:rsidR="00F74EF5" w:rsidRPr="00A60FD5" w:rsidRDefault="00F74EF5" w:rsidP="001E1CB2">
            <w:pPr>
              <w:spacing w:before="80" w:after="0" w:line="200" w:lineRule="exact"/>
              <w:rPr>
                <w:rFonts w:ascii="Times New Roman" w:hAnsi="Times New Roman" w:cs="Times New Roman"/>
                <w:sz w:val="18"/>
                <w:szCs w:val="18"/>
              </w:rPr>
            </w:pPr>
            <w:r w:rsidRPr="00A60FD5">
              <w:rPr>
                <w:rFonts w:ascii="Times New Roman" w:hAnsi="Times New Roman" w:cs="Times New Roman"/>
                <w:sz w:val="18"/>
                <w:szCs w:val="18"/>
              </w:rPr>
              <w:t>0.24*</w:t>
            </w:r>
          </w:p>
        </w:tc>
        <w:tc>
          <w:tcPr>
            <w:tcW w:w="851" w:type="dxa"/>
            <w:tcBorders>
              <w:top w:val="nil"/>
              <w:left w:val="nil"/>
              <w:bottom w:val="nil"/>
              <w:right w:val="nil"/>
            </w:tcBorders>
          </w:tcPr>
          <w:p w14:paraId="2412FFDB" w14:textId="77777777" w:rsidR="00F74EF5" w:rsidRPr="00A60FD5" w:rsidRDefault="00F74EF5" w:rsidP="001E1CB2">
            <w:pPr>
              <w:spacing w:before="80" w:after="0" w:line="200" w:lineRule="exact"/>
              <w:rPr>
                <w:rFonts w:ascii="Times New Roman" w:hAnsi="Times New Roman" w:cs="Times New Roman"/>
                <w:sz w:val="18"/>
                <w:szCs w:val="18"/>
              </w:rPr>
            </w:pPr>
            <w:r w:rsidRPr="00A60FD5">
              <w:rPr>
                <w:rFonts w:ascii="Times New Roman" w:hAnsi="Times New Roman" w:cs="Times New Roman"/>
                <w:sz w:val="18"/>
                <w:szCs w:val="18"/>
              </w:rPr>
              <w:t>-0.05</w:t>
            </w:r>
          </w:p>
        </w:tc>
        <w:tc>
          <w:tcPr>
            <w:tcW w:w="709" w:type="dxa"/>
            <w:tcBorders>
              <w:top w:val="nil"/>
              <w:left w:val="nil"/>
              <w:bottom w:val="nil"/>
              <w:right w:val="nil"/>
            </w:tcBorders>
          </w:tcPr>
          <w:p w14:paraId="07EE29D6" w14:textId="77777777" w:rsidR="00F74EF5" w:rsidRPr="00A60FD5" w:rsidRDefault="00F74EF5" w:rsidP="001E1CB2">
            <w:pPr>
              <w:spacing w:before="80" w:after="0" w:line="200" w:lineRule="exact"/>
              <w:rPr>
                <w:rFonts w:ascii="Times New Roman" w:hAnsi="Times New Roman" w:cs="Times New Roman"/>
                <w:sz w:val="18"/>
                <w:szCs w:val="18"/>
              </w:rPr>
            </w:pPr>
            <w:r w:rsidRPr="00A60FD5">
              <w:rPr>
                <w:rFonts w:ascii="Times New Roman" w:hAnsi="Times New Roman" w:cs="Times New Roman"/>
                <w:sz w:val="18"/>
                <w:szCs w:val="18"/>
              </w:rPr>
              <w:t>-0.11</w:t>
            </w:r>
          </w:p>
        </w:tc>
        <w:tc>
          <w:tcPr>
            <w:tcW w:w="708" w:type="dxa"/>
            <w:tcBorders>
              <w:top w:val="nil"/>
              <w:left w:val="nil"/>
              <w:bottom w:val="nil"/>
              <w:right w:val="nil"/>
            </w:tcBorders>
          </w:tcPr>
          <w:p w14:paraId="56C7AFD6" w14:textId="77777777" w:rsidR="00F74EF5" w:rsidRPr="00A60FD5" w:rsidRDefault="00F74EF5" w:rsidP="001E1CB2">
            <w:pPr>
              <w:spacing w:before="80" w:after="0" w:line="200" w:lineRule="exact"/>
              <w:rPr>
                <w:rFonts w:ascii="Times New Roman" w:hAnsi="Times New Roman" w:cs="Times New Roman"/>
                <w:sz w:val="18"/>
                <w:szCs w:val="18"/>
              </w:rPr>
            </w:pPr>
            <w:r w:rsidRPr="00A60FD5">
              <w:rPr>
                <w:rFonts w:ascii="Times New Roman" w:hAnsi="Times New Roman" w:cs="Times New Roman"/>
                <w:sz w:val="18"/>
                <w:szCs w:val="18"/>
              </w:rPr>
              <w:t>-0.02</w:t>
            </w:r>
          </w:p>
        </w:tc>
        <w:tc>
          <w:tcPr>
            <w:tcW w:w="851" w:type="dxa"/>
            <w:tcBorders>
              <w:top w:val="nil"/>
              <w:left w:val="nil"/>
              <w:bottom w:val="nil"/>
              <w:right w:val="nil"/>
            </w:tcBorders>
          </w:tcPr>
          <w:p w14:paraId="45B18E51" w14:textId="77777777" w:rsidR="00F74EF5" w:rsidRPr="00A60FD5" w:rsidRDefault="00F74EF5" w:rsidP="001E1CB2">
            <w:pPr>
              <w:spacing w:before="80" w:after="0" w:line="200" w:lineRule="exact"/>
              <w:rPr>
                <w:rFonts w:ascii="Times New Roman" w:hAnsi="Times New Roman" w:cs="Times New Roman"/>
                <w:sz w:val="18"/>
                <w:szCs w:val="18"/>
              </w:rPr>
            </w:pPr>
            <w:r w:rsidRPr="00A60FD5">
              <w:rPr>
                <w:rFonts w:ascii="Times New Roman" w:hAnsi="Times New Roman" w:cs="Times New Roman"/>
                <w:sz w:val="18"/>
                <w:szCs w:val="18"/>
              </w:rPr>
              <w:t>0.07</w:t>
            </w:r>
          </w:p>
        </w:tc>
        <w:tc>
          <w:tcPr>
            <w:tcW w:w="709" w:type="dxa"/>
            <w:tcBorders>
              <w:top w:val="nil"/>
              <w:left w:val="nil"/>
              <w:bottom w:val="nil"/>
              <w:right w:val="nil"/>
            </w:tcBorders>
          </w:tcPr>
          <w:p w14:paraId="47AD90A4" w14:textId="77777777" w:rsidR="00F74EF5" w:rsidRPr="00A60FD5" w:rsidRDefault="00F74EF5" w:rsidP="001E1CB2">
            <w:pPr>
              <w:spacing w:before="80" w:after="0" w:line="200" w:lineRule="exact"/>
              <w:rPr>
                <w:rFonts w:ascii="Times New Roman" w:hAnsi="Times New Roman" w:cs="Times New Roman"/>
                <w:sz w:val="18"/>
                <w:szCs w:val="18"/>
              </w:rPr>
            </w:pPr>
            <w:r w:rsidRPr="00A60FD5">
              <w:rPr>
                <w:rFonts w:ascii="Times New Roman" w:hAnsi="Times New Roman" w:cs="Times New Roman"/>
                <w:sz w:val="18"/>
                <w:szCs w:val="18"/>
              </w:rPr>
              <w:t>-0.01</w:t>
            </w:r>
          </w:p>
        </w:tc>
        <w:tc>
          <w:tcPr>
            <w:tcW w:w="708" w:type="dxa"/>
            <w:tcBorders>
              <w:top w:val="nil"/>
              <w:left w:val="nil"/>
              <w:bottom w:val="nil"/>
              <w:right w:val="nil"/>
            </w:tcBorders>
          </w:tcPr>
          <w:p w14:paraId="6892CDE6" w14:textId="77777777" w:rsidR="00F74EF5" w:rsidRPr="00A60FD5" w:rsidRDefault="00F74EF5" w:rsidP="001E1CB2">
            <w:pPr>
              <w:spacing w:before="80" w:after="0" w:line="200" w:lineRule="exact"/>
              <w:rPr>
                <w:rFonts w:ascii="Times New Roman" w:hAnsi="Times New Roman" w:cs="Times New Roman"/>
                <w:sz w:val="18"/>
                <w:szCs w:val="18"/>
              </w:rPr>
            </w:pPr>
            <w:r w:rsidRPr="00A60FD5">
              <w:rPr>
                <w:rFonts w:ascii="Times New Roman" w:hAnsi="Times New Roman" w:cs="Times New Roman"/>
                <w:sz w:val="18"/>
                <w:szCs w:val="18"/>
              </w:rPr>
              <w:t>-0.08</w:t>
            </w:r>
          </w:p>
        </w:tc>
        <w:tc>
          <w:tcPr>
            <w:tcW w:w="709" w:type="dxa"/>
            <w:tcBorders>
              <w:top w:val="nil"/>
              <w:left w:val="nil"/>
              <w:bottom w:val="nil"/>
              <w:right w:val="nil"/>
            </w:tcBorders>
          </w:tcPr>
          <w:p w14:paraId="62F1E717" w14:textId="77777777" w:rsidR="00F74EF5" w:rsidRPr="00A60FD5" w:rsidRDefault="00F74EF5" w:rsidP="001E1CB2">
            <w:pPr>
              <w:spacing w:before="80" w:after="0" w:line="200" w:lineRule="exact"/>
              <w:rPr>
                <w:rFonts w:ascii="Times New Roman" w:hAnsi="Times New Roman" w:cs="Times New Roman"/>
                <w:sz w:val="18"/>
                <w:szCs w:val="18"/>
              </w:rPr>
            </w:pPr>
            <w:r w:rsidRPr="00A60FD5">
              <w:rPr>
                <w:rFonts w:ascii="Times New Roman" w:hAnsi="Times New Roman" w:cs="Times New Roman"/>
                <w:sz w:val="18"/>
                <w:szCs w:val="18"/>
              </w:rPr>
              <w:t>-0.15</w:t>
            </w:r>
          </w:p>
        </w:tc>
        <w:tc>
          <w:tcPr>
            <w:tcW w:w="709" w:type="dxa"/>
            <w:tcBorders>
              <w:top w:val="nil"/>
              <w:left w:val="nil"/>
              <w:bottom w:val="nil"/>
              <w:right w:val="nil"/>
            </w:tcBorders>
          </w:tcPr>
          <w:p w14:paraId="753B44D4" w14:textId="77777777" w:rsidR="00F74EF5" w:rsidRPr="00A60FD5" w:rsidRDefault="00F74EF5" w:rsidP="001E1CB2">
            <w:pPr>
              <w:spacing w:before="80" w:after="0" w:line="200" w:lineRule="exact"/>
              <w:rPr>
                <w:rFonts w:ascii="Times New Roman" w:hAnsi="Times New Roman" w:cs="Times New Roman"/>
                <w:sz w:val="18"/>
                <w:szCs w:val="18"/>
              </w:rPr>
            </w:pPr>
            <w:r w:rsidRPr="00A60FD5">
              <w:rPr>
                <w:rFonts w:ascii="Times New Roman" w:hAnsi="Times New Roman" w:cs="Times New Roman"/>
                <w:sz w:val="18"/>
                <w:szCs w:val="18"/>
              </w:rPr>
              <w:t>0.03</w:t>
            </w:r>
          </w:p>
        </w:tc>
        <w:tc>
          <w:tcPr>
            <w:tcW w:w="709" w:type="dxa"/>
            <w:tcBorders>
              <w:top w:val="nil"/>
              <w:left w:val="nil"/>
              <w:bottom w:val="nil"/>
              <w:right w:val="nil"/>
            </w:tcBorders>
          </w:tcPr>
          <w:p w14:paraId="7DCC734C" w14:textId="77777777" w:rsidR="00F74EF5" w:rsidRPr="00A60FD5" w:rsidRDefault="00F74EF5" w:rsidP="001E1CB2">
            <w:pPr>
              <w:spacing w:before="80" w:after="0" w:line="200" w:lineRule="exact"/>
              <w:rPr>
                <w:rFonts w:ascii="Times New Roman" w:hAnsi="Times New Roman" w:cs="Times New Roman"/>
                <w:sz w:val="18"/>
                <w:szCs w:val="18"/>
              </w:rPr>
            </w:pPr>
            <w:r w:rsidRPr="00A60FD5">
              <w:rPr>
                <w:rFonts w:ascii="Times New Roman" w:hAnsi="Times New Roman" w:cs="Times New Roman"/>
                <w:sz w:val="18"/>
                <w:szCs w:val="18"/>
              </w:rPr>
              <w:t>-0.07</w:t>
            </w:r>
          </w:p>
        </w:tc>
        <w:tc>
          <w:tcPr>
            <w:tcW w:w="708" w:type="dxa"/>
            <w:tcBorders>
              <w:top w:val="nil"/>
              <w:left w:val="nil"/>
              <w:bottom w:val="nil"/>
              <w:right w:val="nil"/>
            </w:tcBorders>
          </w:tcPr>
          <w:p w14:paraId="2770153C" w14:textId="77777777" w:rsidR="00F74EF5" w:rsidRPr="00A60FD5" w:rsidRDefault="00F74EF5" w:rsidP="001E1CB2">
            <w:pPr>
              <w:spacing w:before="80" w:after="0" w:line="200" w:lineRule="exact"/>
              <w:rPr>
                <w:rFonts w:ascii="Times New Roman" w:hAnsi="Times New Roman" w:cs="Times New Roman"/>
                <w:sz w:val="18"/>
                <w:szCs w:val="18"/>
              </w:rPr>
            </w:pPr>
            <w:r w:rsidRPr="00A60FD5">
              <w:rPr>
                <w:rFonts w:ascii="Times New Roman" w:hAnsi="Times New Roman" w:cs="Times New Roman"/>
                <w:sz w:val="18"/>
                <w:szCs w:val="18"/>
              </w:rPr>
              <w:t>0.07</w:t>
            </w:r>
          </w:p>
        </w:tc>
        <w:tc>
          <w:tcPr>
            <w:tcW w:w="709" w:type="dxa"/>
            <w:tcBorders>
              <w:top w:val="nil"/>
              <w:left w:val="nil"/>
              <w:bottom w:val="nil"/>
              <w:right w:val="nil"/>
            </w:tcBorders>
          </w:tcPr>
          <w:p w14:paraId="11EB648F" w14:textId="77777777" w:rsidR="00F74EF5" w:rsidRPr="00A60FD5" w:rsidRDefault="00F74EF5" w:rsidP="001E1CB2">
            <w:pPr>
              <w:spacing w:before="80" w:after="0" w:line="200" w:lineRule="exact"/>
              <w:rPr>
                <w:rFonts w:ascii="Times New Roman" w:hAnsi="Times New Roman" w:cs="Times New Roman"/>
                <w:sz w:val="18"/>
                <w:szCs w:val="18"/>
              </w:rPr>
            </w:pPr>
            <w:r w:rsidRPr="00A60FD5">
              <w:rPr>
                <w:rFonts w:ascii="Times New Roman" w:hAnsi="Times New Roman" w:cs="Times New Roman"/>
                <w:sz w:val="18"/>
                <w:szCs w:val="18"/>
              </w:rPr>
              <w:t>1.00</w:t>
            </w:r>
          </w:p>
        </w:tc>
        <w:tc>
          <w:tcPr>
            <w:tcW w:w="709" w:type="dxa"/>
            <w:tcBorders>
              <w:top w:val="nil"/>
              <w:left w:val="nil"/>
              <w:bottom w:val="nil"/>
              <w:right w:val="nil"/>
            </w:tcBorders>
          </w:tcPr>
          <w:p w14:paraId="0E7D798D" w14:textId="77777777" w:rsidR="00F74EF5" w:rsidRPr="00A60FD5" w:rsidRDefault="00F74EF5" w:rsidP="001E1CB2">
            <w:pPr>
              <w:spacing w:before="80" w:after="0" w:line="200" w:lineRule="exact"/>
              <w:rPr>
                <w:rFonts w:ascii="Times New Roman" w:hAnsi="Times New Roman" w:cs="Times New Roman"/>
                <w:sz w:val="18"/>
                <w:szCs w:val="18"/>
              </w:rPr>
            </w:pPr>
          </w:p>
        </w:tc>
        <w:tc>
          <w:tcPr>
            <w:tcW w:w="567" w:type="dxa"/>
            <w:tcBorders>
              <w:top w:val="nil"/>
              <w:left w:val="nil"/>
              <w:bottom w:val="nil"/>
              <w:right w:val="nil"/>
            </w:tcBorders>
          </w:tcPr>
          <w:p w14:paraId="7EACC127" w14:textId="77777777" w:rsidR="00F74EF5" w:rsidRPr="00A60FD5" w:rsidRDefault="00F74EF5" w:rsidP="001E1CB2">
            <w:pPr>
              <w:spacing w:before="80" w:after="0" w:line="200" w:lineRule="exact"/>
              <w:rPr>
                <w:rFonts w:ascii="Times New Roman" w:hAnsi="Times New Roman" w:cs="Times New Roman"/>
                <w:sz w:val="18"/>
                <w:szCs w:val="18"/>
              </w:rPr>
            </w:pPr>
          </w:p>
        </w:tc>
        <w:tc>
          <w:tcPr>
            <w:tcW w:w="567" w:type="dxa"/>
            <w:tcBorders>
              <w:top w:val="nil"/>
              <w:left w:val="nil"/>
              <w:bottom w:val="nil"/>
              <w:right w:val="nil"/>
            </w:tcBorders>
          </w:tcPr>
          <w:p w14:paraId="447AF871" w14:textId="77777777" w:rsidR="00F74EF5" w:rsidRPr="00A60FD5" w:rsidRDefault="00F74EF5" w:rsidP="001E1CB2">
            <w:pPr>
              <w:spacing w:before="80" w:after="0" w:line="200" w:lineRule="exact"/>
              <w:rPr>
                <w:rFonts w:ascii="Times New Roman" w:hAnsi="Times New Roman" w:cs="Times New Roman"/>
                <w:sz w:val="18"/>
                <w:szCs w:val="18"/>
              </w:rPr>
            </w:pPr>
          </w:p>
        </w:tc>
      </w:tr>
      <w:tr w:rsidR="00F74EF5" w:rsidRPr="00A60FD5" w14:paraId="5B23C9A4" w14:textId="77777777" w:rsidTr="00F74EF5">
        <w:tc>
          <w:tcPr>
            <w:tcW w:w="2377" w:type="dxa"/>
            <w:tcBorders>
              <w:top w:val="nil"/>
              <w:left w:val="nil"/>
              <w:bottom w:val="nil"/>
              <w:right w:val="nil"/>
            </w:tcBorders>
          </w:tcPr>
          <w:p w14:paraId="77AE4CFA" w14:textId="77777777" w:rsidR="00F74EF5" w:rsidRPr="00A60FD5" w:rsidRDefault="00F74EF5" w:rsidP="001E1CB2">
            <w:pPr>
              <w:spacing w:before="80" w:after="0" w:line="200" w:lineRule="exact"/>
              <w:rPr>
                <w:rFonts w:ascii="Times New Roman" w:hAnsi="Times New Roman" w:cs="Times New Roman"/>
                <w:sz w:val="20"/>
                <w:szCs w:val="20"/>
              </w:rPr>
            </w:pPr>
            <w:r w:rsidRPr="00A60FD5">
              <w:rPr>
                <w:rFonts w:ascii="Times New Roman" w:hAnsi="Times New Roman" w:cs="Times New Roman"/>
                <w:sz w:val="20"/>
                <w:szCs w:val="20"/>
              </w:rPr>
              <w:t>16. Arm's-length licensing</w:t>
            </w:r>
            <w:r w:rsidRPr="00A60FD5" w:rsidDel="001A2465">
              <w:rPr>
                <w:rFonts w:ascii="Times New Roman" w:hAnsi="Times New Roman" w:cs="Times New Roman"/>
                <w:sz w:val="20"/>
                <w:szCs w:val="20"/>
              </w:rPr>
              <w:t xml:space="preserve"> </w:t>
            </w:r>
          </w:p>
        </w:tc>
        <w:tc>
          <w:tcPr>
            <w:tcW w:w="709" w:type="dxa"/>
            <w:tcBorders>
              <w:top w:val="nil"/>
              <w:left w:val="nil"/>
              <w:bottom w:val="nil"/>
              <w:right w:val="nil"/>
            </w:tcBorders>
          </w:tcPr>
          <w:p w14:paraId="0D587911" w14:textId="77777777" w:rsidR="00F74EF5" w:rsidRPr="00A60FD5" w:rsidRDefault="00F74EF5" w:rsidP="001E1CB2">
            <w:pPr>
              <w:spacing w:before="80" w:after="0" w:line="200" w:lineRule="exact"/>
              <w:rPr>
                <w:rFonts w:ascii="Times New Roman" w:hAnsi="Times New Roman" w:cs="Times New Roman"/>
                <w:sz w:val="18"/>
                <w:szCs w:val="18"/>
              </w:rPr>
            </w:pPr>
            <w:r w:rsidRPr="00A60FD5">
              <w:rPr>
                <w:rFonts w:ascii="Times New Roman" w:hAnsi="Times New Roman" w:cs="Times New Roman"/>
                <w:sz w:val="18"/>
                <w:szCs w:val="18"/>
              </w:rPr>
              <w:t>-0.02</w:t>
            </w:r>
          </w:p>
        </w:tc>
        <w:tc>
          <w:tcPr>
            <w:tcW w:w="992" w:type="dxa"/>
            <w:tcBorders>
              <w:top w:val="nil"/>
              <w:left w:val="nil"/>
              <w:bottom w:val="nil"/>
              <w:right w:val="nil"/>
            </w:tcBorders>
          </w:tcPr>
          <w:p w14:paraId="16293E9F" w14:textId="77777777" w:rsidR="00F74EF5" w:rsidRPr="00A60FD5" w:rsidRDefault="00F74EF5" w:rsidP="001E1CB2">
            <w:pPr>
              <w:spacing w:before="80" w:after="0" w:line="200" w:lineRule="exact"/>
              <w:rPr>
                <w:rFonts w:ascii="Times New Roman" w:hAnsi="Times New Roman" w:cs="Times New Roman"/>
                <w:sz w:val="18"/>
                <w:szCs w:val="18"/>
              </w:rPr>
            </w:pPr>
            <w:r w:rsidRPr="00A60FD5">
              <w:rPr>
                <w:rFonts w:ascii="Times New Roman" w:hAnsi="Times New Roman" w:cs="Times New Roman"/>
                <w:sz w:val="18"/>
                <w:szCs w:val="18"/>
              </w:rPr>
              <w:t>-0.20*</w:t>
            </w:r>
          </w:p>
        </w:tc>
        <w:tc>
          <w:tcPr>
            <w:tcW w:w="851" w:type="dxa"/>
            <w:tcBorders>
              <w:top w:val="nil"/>
              <w:left w:val="nil"/>
              <w:bottom w:val="nil"/>
              <w:right w:val="nil"/>
            </w:tcBorders>
          </w:tcPr>
          <w:p w14:paraId="47540B24" w14:textId="77777777" w:rsidR="00F74EF5" w:rsidRPr="00A60FD5" w:rsidRDefault="00F74EF5" w:rsidP="001E1CB2">
            <w:pPr>
              <w:spacing w:before="80" w:after="0" w:line="200" w:lineRule="exact"/>
              <w:rPr>
                <w:rFonts w:ascii="Times New Roman" w:hAnsi="Times New Roman" w:cs="Times New Roman"/>
                <w:sz w:val="18"/>
                <w:szCs w:val="18"/>
              </w:rPr>
            </w:pPr>
            <w:r w:rsidRPr="00A60FD5">
              <w:rPr>
                <w:rFonts w:ascii="Times New Roman" w:hAnsi="Times New Roman" w:cs="Times New Roman"/>
                <w:sz w:val="18"/>
                <w:szCs w:val="18"/>
              </w:rPr>
              <w:t>-0.11</w:t>
            </w:r>
          </w:p>
        </w:tc>
        <w:tc>
          <w:tcPr>
            <w:tcW w:w="850" w:type="dxa"/>
            <w:tcBorders>
              <w:top w:val="nil"/>
              <w:left w:val="nil"/>
              <w:bottom w:val="nil"/>
              <w:right w:val="nil"/>
            </w:tcBorders>
          </w:tcPr>
          <w:p w14:paraId="7E3C3273" w14:textId="77777777" w:rsidR="00F74EF5" w:rsidRPr="00A60FD5" w:rsidRDefault="00F74EF5" w:rsidP="001E1CB2">
            <w:pPr>
              <w:spacing w:before="80" w:after="0" w:line="200" w:lineRule="exact"/>
              <w:rPr>
                <w:rFonts w:ascii="Times New Roman" w:hAnsi="Times New Roman" w:cs="Times New Roman"/>
                <w:sz w:val="18"/>
                <w:szCs w:val="18"/>
              </w:rPr>
            </w:pPr>
            <w:r w:rsidRPr="00A60FD5">
              <w:rPr>
                <w:rFonts w:ascii="Times New Roman" w:hAnsi="Times New Roman" w:cs="Times New Roman"/>
                <w:sz w:val="18"/>
                <w:szCs w:val="18"/>
              </w:rPr>
              <w:t>0.08</w:t>
            </w:r>
          </w:p>
        </w:tc>
        <w:tc>
          <w:tcPr>
            <w:tcW w:w="851" w:type="dxa"/>
            <w:tcBorders>
              <w:top w:val="nil"/>
              <w:left w:val="nil"/>
              <w:bottom w:val="nil"/>
              <w:right w:val="nil"/>
            </w:tcBorders>
          </w:tcPr>
          <w:p w14:paraId="666865D4" w14:textId="77777777" w:rsidR="00F74EF5" w:rsidRPr="00A60FD5" w:rsidRDefault="00F74EF5" w:rsidP="001E1CB2">
            <w:pPr>
              <w:spacing w:before="80" w:after="0" w:line="200" w:lineRule="exact"/>
              <w:rPr>
                <w:rFonts w:ascii="Times New Roman" w:hAnsi="Times New Roman" w:cs="Times New Roman"/>
                <w:sz w:val="18"/>
                <w:szCs w:val="18"/>
              </w:rPr>
            </w:pPr>
            <w:r w:rsidRPr="00A60FD5">
              <w:rPr>
                <w:rFonts w:ascii="Times New Roman" w:hAnsi="Times New Roman" w:cs="Times New Roman"/>
                <w:sz w:val="18"/>
                <w:szCs w:val="18"/>
              </w:rPr>
              <w:t>0.12</w:t>
            </w:r>
          </w:p>
        </w:tc>
        <w:tc>
          <w:tcPr>
            <w:tcW w:w="709" w:type="dxa"/>
            <w:tcBorders>
              <w:top w:val="nil"/>
              <w:left w:val="nil"/>
              <w:bottom w:val="nil"/>
              <w:right w:val="nil"/>
            </w:tcBorders>
          </w:tcPr>
          <w:p w14:paraId="4E176030" w14:textId="77777777" w:rsidR="00F74EF5" w:rsidRPr="00A60FD5" w:rsidRDefault="00F74EF5" w:rsidP="001E1CB2">
            <w:pPr>
              <w:spacing w:before="80" w:after="0" w:line="200" w:lineRule="exact"/>
              <w:rPr>
                <w:rFonts w:ascii="Times New Roman" w:hAnsi="Times New Roman" w:cs="Times New Roman"/>
                <w:sz w:val="18"/>
                <w:szCs w:val="18"/>
              </w:rPr>
            </w:pPr>
            <w:r w:rsidRPr="00A60FD5">
              <w:rPr>
                <w:rFonts w:ascii="Times New Roman" w:hAnsi="Times New Roman" w:cs="Times New Roman"/>
                <w:sz w:val="18"/>
                <w:szCs w:val="18"/>
              </w:rPr>
              <w:t>0.21*</w:t>
            </w:r>
          </w:p>
        </w:tc>
        <w:tc>
          <w:tcPr>
            <w:tcW w:w="708" w:type="dxa"/>
            <w:tcBorders>
              <w:top w:val="nil"/>
              <w:left w:val="nil"/>
              <w:bottom w:val="nil"/>
              <w:right w:val="nil"/>
            </w:tcBorders>
          </w:tcPr>
          <w:p w14:paraId="71D1FA09" w14:textId="77777777" w:rsidR="00F74EF5" w:rsidRPr="00A60FD5" w:rsidRDefault="00F74EF5" w:rsidP="001E1CB2">
            <w:pPr>
              <w:spacing w:before="80" w:after="0" w:line="200" w:lineRule="exact"/>
              <w:rPr>
                <w:rFonts w:ascii="Times New Roman" w:hAnsi="Times New Roman" w:cs="Times New Roman"/>
                <w:sz w:val="18"/>
                <w:szCs w:val="18"/>
              </w:rPr>
            </w:pPr>
            <w:r w:rsidRPr="00A60FD5">
              <w:rPr>
                <w:rFonts w:ascii="Times New Roman" w:hAnsi="Times New Roman" w:cs="Times New Roman"/>
                <w:sz w:val="18"/>
                <w:szCs w:val="18"/>
              </w:rPr>
              <w:t>0.03</w:t>
            </w:r>
          </w:p>
        </w:tc>
        <w:tc>
          <w:tcPr>
            <w:tcW w:w="851" w:type="dxa"/>
            <w:tcBorders>
              <w:top w:val="nil"/>
              <w:left w:val="nil"/>
              <w:bottom w:val="nil"/>
              <w:right w:val="nil"/>
            </w:tcBorders>
          </w:tcPr>
          <w:p w14:paraId="1F721AFD" w14:textId="77777777" w:rsidR="00F74EF5" w:rsidRPr="00A60FD5" w:rsidRDefault="00F74EF5" w:rsidP="001E1CB2">
            <w:pPr>
              <w:spacing w:before="80" w:after="0" w:line="200" w:lineRule="exact"/>
              <w:rPr>
                <w:rFonts w:ascii="Times New Roman" w:hAnsi="Times New Roman" w:cs="Times New Roman"/>
                <w:sz w:val="18"/>
                <w:szCs w:val="18"/>
              </w:rPr>
            </w:pPr>
            <w:r w:rsidRPr="00A60FD5">
              <w:rPr>
                <w:rFonts w:ascii="Times New Roman" w:hAnsi="Times New Roman" w:cs="Times New Roman"/>
                <w:sz w:val="18"/>
                <w:szCs w:val="18"/>
              </w:rPr>
              <w:t>0.09</w:t>
            </w:r>
          </w:p>
        </w:tc>
        <w:tc>
          <w:tcPr>
            <w:tcW w:w="709" w:type="dxa"/>
            <w:tcBorders>
              <w:top w:val="nil"/>
              <w:left w:val="nil"/>
              <w:bottom w:val="nil"/>
              <w:right w:val="nil"/>
            </w:tcBorders>
          </w:tcPr>
          <w:p w14:paraId="77822F27" w14:textId="77777777" w:rsidR="00F74EF5" w:rsidRPr="00A60FD5" w:rsidRDefault="00F74EF5" w:rsidP="001E1CB2">
            <w:pPr>
              <w:spacing w:before="80" w:after="0" w:line="200" w:lineRule="exact"/>
              <w:rPr>
                <w:rFonts w:ascii="Times New Roman" w:hAnsi="Times New Roman" w:cs="Times New Roman"/>
                <w:sz w:val="18"/>
                <w:szCs w:val="18"/>
              </w:rPr>
            </w:pPr>
            <w:r w:rsidRPr="00A60FD5">
              <w:rPr>
                <w:rFonts w:ascii="Times New Roman" w:hAnsi="Times New Roman" w:cs="Times New Roman"/>
                <w:sz w:val="18"/>
                <w:szCs w:val="18"/>
              </w:rPr>
              <w:t>0.11</w:t>
            </w:r>
          </w:p>
        </w:tc>
        <w:tc>
          <w:tcPr>
            <w:tcW w:w="708" w:type="dxa"/>
            <w:tcBorders>
              <w:top w:val="nil"/>
              <w:left w:val="nil"/>
              <w:bottom w:val="nil"/>
              <w:right w:val="nil"/>
            </w:tcBorders>
          </w:tcPr>
          <w:p w14:paraId="5857E3CD" w14:textId="77777777" w:rsidR="00F74EF5" w:rsidRPr="00A60FD5" w:rsidRDefault="00F74EF5" w:rsidP="001E1CB2">
            <w:pPr>
              <w:spacing w:before="80" w:after="0" w:line="200" w:lineRule="exact"/>
              <w:rPr>
                <w:rFonts w:ascii="Times New Roman" w:hAnsi="Times New Roman" w:cs="Times New Roman"/>
                <w:sz w:val="18"/>
                <w:szCs w:val="18"/>
              </w:rPr>
            </w:pPr>
            <w:r w:rsidRPr="00A60FD5">
              <w:rPr>
                <w:rFonts w:ascii="Times New Roman" w:hAnsi="Times New Roman" w:cs="Times New Roman"/>
                <w:sz w:val="18"/>
                <w:szCs w:val="18"/>
              </w:rPr>
              <w:t>0.13</w:t>
            </w:r>
          </w:p>
        </w:tc>
        <w:tc>
          <w:tcPr>
            <w:tcW w:w="709" w:type="dxa"/>
            <w:tcBorders>
              <w:top w:val="nil"/>
              <w:left w:val="nil"/>
              <w:bottom w:val="nil"/>
              <w:right w:val="nil"/>
            </w:tcBorders>
          </w:tcPr>
          <w:p w14:paraId="3ECB1A65" w14:textId="77777777" w:rsidR="00F74EF5" w:rsidRPr="00A60FD5" w:rsidRDefault="00F74EF5" w:rsidP="001E1CB2">
            <w:pPr>
              <w:spacing w:before="80" w:after="0" w:line="200" w:lineRule="exact"/>
              <w:rPr>
                <w:rFonts w:ascii="Times New Roman" w:hAnsi="Times New Roman" w:cs="Times New Roman"/>
                <w:sz w:val="18"/>
                <w:szCs w:val="18"/>
              </w:rPr>
            </w:pPr>
            <w:r w:rsidRPr="00A60FD5">
              <w:rPr>
                <w:rFonts w:ascii="Times New Roman" w:hAnsi="Times New Roman" w:cs="Times New Roman"/>
                <w:sz w:val="18"/>
                <w:szCs w:val="18"/>
              </w:rPr>
              <w:t>0.17</w:t>
            </w:r>
            <w:r w:rsidRPr="00A60FD5">
              <w:rPr>
                <w:rFonts w:ascii="Times New Roman" w:hAnsi="Times New Roman" w:cs="Times New Roman"/>
                <w:sz w:val="18"/>
              </w:rPr>
              <w:t>†</w:t>
            </w:r>
          </w:p>
        </w:tc>
        <w:tc>
          <w:tcPr>
            <w:tcW w:w="709" w:type="dxa"/>
            <w:tcBorders>
              <w:top w:val="nil"/>
              <w:left w:val="nil"/>
              <w:bottom w:val="nil"/>
              <w:right w:val="nil"/>
            </w:tcBorders>
          </w:tcPr>
          <w:p w14:paraId="10C07640" w14:textId="77777777" w:rsidR="00F74EF5" w:rsidRPr="00A60FD5" w:rsidRDefault="00F74EF5" w:rsidP="001E1CB2">
            <w:pPr>
              <w:spacing w:before="80" w:after="0" w:line="200" w:lineRule="exact"/>
              <w:rPr>
                <w:rFonts w:ascii="Times New Roman" w:hAnsi="Times New Roman" w:cs="Times New Roman"/>
                <w:sz w:val="18"/>
                <w:szCs w:val="18"/>
              </w:rPr>
            </w:pPr>
            <w:r w:rsidRPr="00A60FD5">
              <w:rPr>
                <w:rFonts w:ascii="Times New Roman" w:hAnsi="Times New Roman" w:cs="Times New Roman"/>
                <w:sz w:val="18"/>
                <w:szCs w:val="18"/>
              </w:rPr>
              <w:t>-0.17</w:t>
            </w:r>
            <w:r w:rsidRPr="00A60FD5">
              <w:rPr>
                <w:rFonts w:ascii="Times New Roman" w:hAnsi="Times New Roman" w:cs="Times New Roman"/>
                <w:sz w:val="18"/>
              </w:rPr>
              <w:t>†</w:t>
            </w:r>
          </w:p>
        </w:tc>
        <w:tc>
          <w:tcPr>
            <w:tcW w:w="709" w:type="dxa"/>
            <w:tcBorders>
              <w:top w:val="nil"/>
              <w:left w:val="nil"/>
              <w:bottom w:val="nil"/>
              <w:right w:val="nil"/>
            </w:tcBorders>
          </w:tcPr>
          <w:p w14:paraId="42853BC2" w14:textId="77777777" w:rsidR="00F74EF5" w:rsidRPr="00A60FD5" w:rsidRDefault="00F74EF5" w:rsidP="001E1CB2">
            <w:pPr>
              <w:spacing w:before="80" w:after="0" w:line="200" w:lineRule="exact"/>
              <w:rPr>
                <w:rFonts w:ascii="Times New Roman" w:hAnsi="Times New Roman" w:cs="Times New Roman"/>
                <w:sz w:val="18"/>
                <w:szCs w:val="18"/>
              </w:rPr>
            </w:pPr>
            <w:r w:rsidRPr="00A60FD5">
              <w:rPr>
                <w:rFonts w:ascii="Times New Roman" w:hAnsi="Times New Roman" w:cs="Times New Roman"/>
                <w:sz w:val="18"/>
                <w:szCs w:val="18"/>
              </w:rPr>
              <w:t>0.19*</w:t>
            </w:r>
          </w:p>
        </w:tc>
        <w:tc>
          <w:tcPr>
            <w:tcW w:w="708" w:type="dxa"/>
            <w:tcBorders>
              <w:top w:val="nil"/>
              <w:left w:val="nil"/>
              <w:bottom w:val="nil"/>
              <w:right w:val="nil"/>
            </w:tcBorders>
          </w:tcPr>
          <w:p w14:paraId="0C525866" w14:textId="77777777" w:rsidR="00F74EF5" w:rsidRPr="00A60FD5" w:rsidRDefault="00F74EF5" w:rsidP="001E1CB2">
            <w:pPr>
              <w:spacing w:before="80" w:after="0" w:line="200" w:lineRule="exact"/>
              <w:rPr>
                <w:rFonts w:ascii="Times New Roman" w:hAnsi="Times New Roman" w:cs="Times New Roman"/>
                <w:sz w:val="18"/>
                <w:szCs w:val="18"/>
              </w:rPr>
            </w:pPr>
            <w:r w:rsidRPr="00A60FD5">
              <w:rPr>
                <w:rFonts w:ascii="Times New Roman" w:hAnsi="Times New Roman" w:cs="Times New Roman"/>
                <w:sz w:val="18"/>
                <w:szCs w:val="18"/>
              </w:rPr>
              <w:t>-0.07</w:t>
            </w:r>
          </w:p>
        </w:tc>
        <w:tc>
          <w:tcPr>
            <w:tcW w:w="709" w:type="dxa"/>
            <w:tcBorders>
              <w:top w:val="nil"/>
              <w:left w:val="nil"/>
              <w:bottom w:val="nil"/>
              <w:right w:val="nil"/>
            </w:tcBorders>
          </w:tcPr>
          <w:p w14:paraId="4E15E924" w14:textId="77777777" w:rsidR="00F74EF5" w:rsidRPr="00A60FD5" w:rsidRDefault="00F74EF5" w:rsidP="001E1CB2">
            <w:pPr>
              <w:spacing w:before="80" w:after="0" w:line="200" w:lineRule="exact"/>
              <w:rPr>
                <w:rFonts w:ascii="Times New Roman" w:hAnsi="Times New Roman" w:cs="Times New Roman"/>
                <w:sz w:val="18"/>
                <w:szCs w:val="18"/>
              </w:rPr>
            </w:pPr>
            <w:r w:rsidRPr="00A60FD5">
              <w:rPr>
                <w:rFonts w:ascii="Times New Roman" w:hAnsi="Times New Roman" w:cs="Times New Roman"/>
                <w:sz w:val="18"/>
                <w:szCs w:val="18"/>
              </w:rPr>
              <w:t>-0.21*</w:t>
            </w:r>
          </w:p>
        </w:tc>
        <w:tc>
          <w:tcPr>
            <w:tcW w:w="709" w:type="dxa"/>
            <w:tcBorders>
              <w:top w:val="nil"/>
              <w:left w:val="nil"/>
              <w:bottom w:val="nil"/>
              <w:right w:val="nil"/>
            </w:tcBorders>
          </w:tcPr>
          <w:p w14:paraId="399DEABD" w14:textId="77777777" w:rsidR="00F74EF5" w:rsidRPr="00A60FD5" w:rsidRDefault="00F74EF5" w:rsidP="001E1CB2">
            <w:pPr>
              <w:spacing w:before="80" w:after="0" w:line="200" w:lineRule="exact"/>
              <w:rPr>
                <w:rFonts w:ascii="Times New Roman" w:hAnsi="Times New Roman" w:cs="Times New Roman"/>
                <w:sz w:val="18"/>
                <w:szCs w:val="18"/>
              </w:rPr>
            </w:pPr>
            <w:r w:rsidRPr="00A60FD5">
              <w:rPr>
                <w:rFonts w:ascii="Times New Roman" w:hAnsi="Times New Roman" w:cs="Times New Roman"/>
                <w:sz w:val="18"/>
                <w:szCs w:val="18"/>
              </w:rPr>
              <w:t>1.00</w:t>
            </w:r>
          </w:p>
        </w:tc>
        <w:tc>
          <w:tcPr>
            <w:tcW w:w="567" w:type="dxa"/>
            <w:tcBorders>
              <w:top w:val="nil"/>
              <w:left w:val="nil"/>
              <w:bottom w:val="nil"/>
              <w:right w:val="nil"/>
            </w:tcBorders>
          </w:tcPr>
          <w:p w14:paraId="7A431445" w14:textId="77777777" w:rsidR="00F74EF5" w:rsidRPr="00A60FD5" w:rsidRDefault="00F74EF5" w:rsidP="001E1CB2">
            <w:pPr>
              <w:spacing w:before="80" w:after="0" w:line="200" w:lineRule="exact"/>
              <w:rPr>
                <w:rFonts w:ascii="Times New Roman" w:hAnsi="Times New Roman" w:cs="Times New Roman"/>
                <w:sz w:val="18"/>
                <w:szCs w:val="18"/>
              </w:rPr>
            </w:pPr>
          </w:p>
        </w:tc>
        <w:tc>
          <w:tcPr>
            <w:tcW w:w="567" w:type="dxa"/>
            <w:tcBorders>
              <w:top w:val="nil"/>
              <w:left w:val="nil"/>
              <w:bottom w:val="nil"/>
              <w:right w:val="nil"/>
            </w:tcBorders>
          </w:tcPr>
          <w:p w14:paraId="7A6DA36F" w14:textId="77777777" w:rsidR="00F74EF5" w:rsidRPr="00A60FD5" w:rsidRDefault="00F74EF5" w:rsidP="001E1CB2">
            <w:pPr>
              <w:spacing w:before="80" w:after="0" w:line="200" w:lineRule="exact"/>
              <w:rPr>
                <w:rFonts w:ascii="Times New Roman" w:hAnsi="Times New Roman" w:cs="Times New Roman"/>
                <w:sz w:val="18"/>
                <w:szCs w:val="18"/>
              </w:rPr>
            </w:pPr>
          </w:p>
        </w:tc>
      </w:tr>
      <w:tr w:rsidR="00F74EF5" w:rsidRPr="00A60FD5" w14:paraId="7FC47E9B" w14:textId="77777777" w:rsidTr="00F74EF5">
        <w:tc>
          <w:tcPr>
            <w:tcW w:w="2377" w:type="dxa"/>
            <w:tcBorders>
              <w:top w:val="nil"/>
              <w:left w:val="nil"/>
              <w:bottom w:val="nil"/>
              <w:right w:val="nil"/>
            </w:tcBorders>
          </w:tcPr>
          <w:p w14:paraId="06FB7D36" w14:textId="77777777" w:rsidR="00F74EF5" w:rsidRPr="00A60FD5" w:rsidRDefault="00F74EF5" w:rsidP="001E1CB2">
            <w:pPr>
              <w:spacing w:before="80" w:after="0" w:line="200" w:lineRule="exact"/>
              <w:rPr>
                <w:rFonts w:ascii="Times New Roman" w:hAnsi="Times New Roman" w:cs="Times New Roman"/>
                <w:sz w:val="20"/>
                <w:szCs w:val="20"/>
              </w:rPr>
            </w:pPr>
            <w:r w:rsidRPr="00A60FD5">
              <w:rPr>
                <w:rFonts w:ascii="Times New Roman" w:hAnsi="Times New Roman" w:cs="Times New Roman"/>
                <w:sz w:val="20"/>
                <w:szCs w:val="20"/>
              </w:rPr>
              <w:t xml:space="preserve">17. Technology intensity </w:t>
            </w:r>
          </w:p>
        </w:tc>
        <w:tc>
          <w:tcPr>
            <w:tcW w:w="709" w:type="dxa"/>
            <w:tcBorders>
              <w:top w:val="nil"/>
              <w:left w:val="nil"/>
              <w:bottom w:val="nil"/>
              <w:right w:val="nil"/>
            </w:tcBorders>
          </w:tcPr>
          <w:p w14:paraId="17982CF7" w14:textId="77777777" w:rsidR="00F74EF5" w:rsidRPr="00A60FD5" w:rsidRDefault="00F74EF5" w:rsidP="001E1CB2">
            <w:pPr>
              <w:spacing w:before="80" w:after="0" w:line="200" w:lineRule="exact"/>
              <w:rPr>
                <w:rFonts w:ascii="Times New Roman" w:hAnsi="Times New Roman" w:cs="Times New Roman"/>
                <w:sz w:val="18"/>
                <w:szCs w:val="18"/>
              </w:rPr>
            </w:pPr>
            <w:r w:rsidRPr="00A60FD5">
              <w:rPr>
                <w:rFonts w:ascii="Times New Roman" w:hAnsi="Times New Roman" w:cs="Times New Roman"/>
                <w:sz w:val="18"/>
                <w:szCs w:val="18"/>
              </w:rPr>
              <w:t>-0.06</w:t>
            </w:r>
          </w:p>
        </w:tc>
        <w:tc>
          <w:tcPr>
            <w:tcW w:w="992" w:type="dxa"/>
            <w:tcBorders>
              <w:top w:val="nil"/>
              <w:left w:val="nil"/>
              <w:bottom w:val="nil"/>
              <w:right w:val="nil"/>
            </w:tcBorders>
          </w:tcPr>
          <w:p w14:paraId="4401CA22" w14:textId="77777777" w:rsidR="00F74EF5" w:rsidRPr="00A60FD5" w:rsidRDefault="00F74EF5" w:rsidP="001E1CB2">
            <w:pPr>
              <w:spacing w:before="80" w:after="0" w:line="200" w:lineRule="exact"/>
              <w:rPr>
                <w:rFonts w:ascii="Times New Roman" w:hAnsi="Times New Roman" w:cs="Times New Roman"/>
                <w:sz w:val="18"/>
                <w:szCs w:val="18"/>
              </w:rPr>
            </w:pPr>
            <w:r w:rsidRPr="00A60FD5">
              <w:rPr>
                <w:rFonts w:ascii="Times New Roman" w:hAnsi="Times New Roman" w:cs="Times New Roman"/>
                <w:sz w:val="18"/>
                <w:szCs w:val="18"/>
              </w:rPr>
              <w:t>-0.07</w:t>
            </w:r>
          </w:p>
        </w:tc>
        <w:tc>
          <w:tcPr>
            <w:tcW w:w="851" w:type="dxa"/>
            <w:tcBorders>
              <w:top w:val="nil"/>
              <w:left w:val="nil"/>
              <w:bottom w:val="nil"/>
              <w:right w:val="nil"/>
            </w:tcBorders>
          </w:tcPr>
          <w:p w14:paraId="13B4625B" w14:textId="77777777" w:rsidR="00F74EF5" w:rsidRPr="00A60FD5" w:rsidRDefault="00F74EF5" w:rsidP="001E1CB2">
            <w:pPr>
              <w:spacing w:before="80" w:after="0" w:line="200" w:lineRule="exact"/>
              <w:rPr>
                <w:rFonts w:ascii="Times New Roman" w:hAnsi="Times New Roman" w:cs="Times New Roman"/>
                <w:sz w:val="18"/>
                <w:szCs w:val="18"/>
              </w:rPr>
            </w:pPr>
            <w:r w:rsidRPr="00A60FD5">
              <w:rPr>
                <w:rFonts w:ascii="Times New Roman" w:hAnsi="Times New Roman" w:cs="Times New Roman"/>
                <w:sz w:val="18"/>
                <w:szCs w:val="18"/>
              </w:rPr>
              <w:t>-0.30**</w:t>
            </w:r>
          </w:p>
        </w:tc>
        <w:tc>
          <w:tcPr>
            <w:tcW w:w="850" w:type="dxa"/>
            <w:tcBorders>
              <w:top w:val="nil"/>
              <w:left w:val="nil"/>
              <w:bottom w:val="nil"/>
              <w:right w:val="nil"/>
            </w:tcBorders>
          </w:tcPr>
          <w:p w14:paraId="0A2DF509" w14:textId="77777777" w:rsidR="00F74EF5" w:rsidRPr="00A60FD5" w:rsidRDefault="00F74EF5" w:rsidP="001E1CB2">
            <w:pPr>
              <w:spacing w:before="80" w:after="0" w:line="200" w:lineRule="exact"/>
              <w:rPr>
                <w:rFonts w:ascii="Times New Roman" w:hAnsi="Times New Roman" w:cs="Times New Roman"/>
                <w:sz w:val="18"/>
                <w:szCs w:val="18"/>
              </w:rPr>
            </w:pPr>
            <w:r w:rsidRPr="00A60FD5">
              <w:rPr>
                <w:rFonts w:ascii="Times New Roman" w:hAnsi="Times New Roman" w:cs="Times New Roman"/>
                <w:sz w:val="18"/>
                <w:szCs w:val="18"/>
              </w:rPr>
              <w:t>-0.09</w:t>
            </w:r>
          </w:p>
        </w:tc>
        <w:tc>
          <w:tcPr>
            <w:tcW w:w="851" w:type="dxa"/>
            <w:tcBorders>
              <w:top w:val="nil"/>
              <w:left w:val="nil"/>
              <w:bottom w:val="nil"/>
              <w:right w:val="nil"/>
            </w:tcBorders>
          </w:tcPr>
          <w:p w14:paraId="201E01AF" w14:textId="77777777" w:rsidR="00F74EF5" w:rsidRPr="00A60FD5" w:rsidRDefault="00F74EF5" w:rsidP="001E1CB2">
            <w:pPr>
              <w:spacing w:before="80" w:after="0" w:line="200" w:lineRule="exact"/>
              <w:rPr>
                <w:rFonts w:ascii="Times New Roman" w:hAnsi="Times New Roman" w:cs="Times New Roman"/>
                <w:sz w:val="18"/>
                <w:szCs w:val="18"/>
              </w:rPr>
            </w:pPr>
            <w:r w:rsidRPr="00A60FD5">
              <w:rPr>
                <w:rFonts w:ascii="Times New Roman" w:hAnsi="Times New Roman" w:cs="Times New Roman"/>
                <w:sz w:val="18"/>
                <w:szCs w:val="18"/>
              </w:rPr>
              <w:t>0.08</w:t>
            </w:r>
          </w:p>
        </w:tc>
        <w:tc>
          <w:tcPr>
            <w:tcW w:w="709" w:type="dxa"/>
            <w:tcBorders>
              <w:top w:val="nil"/>
              <w:left w:val="nil"/>
              <w:bottom w:val="nil"/>
              <w:right w:val="nil"/>
            </w:tcBorders>
          </w:tcPr>
          <w:p w14:paraId="3A335EE1" w14:textId="77777777" w:rsidR="00F74EF5" w:rsidRPr="00A60FD5" w:rsidRDefault="00F74EF5" w:rsidP="001E1CB2">
            <w:pPr>
              <w:spacing w:before="80" w:after="0" w:line="200" w:lineRule="exact"/>
              <w:rPr>
                <w:rFonts w:ascii="Times New Roman" w:hAnsi="Times New Roman" w:cs="Times New Roman"/>
                <w:sz w:val="18"/>
                <w:szCs w:val="18"/>
              </w:rPr>
            </w:pPr>
            <w:r w:rsidRPr="00A60FD5">
              <w:rPr>
                <w:rFonts w:ascii="Times New Roman" w:hAnsi="Times New Roman" w:cs="Times New Roman"/>
                <w:sz w:val="18"/>
                <w:szCs w:val="18"/>
              </w:rPr>
              <w:t>-0.06</w:t>
            </w:r>
          </w:p>
        </w:tc>
        <w:tc>
          <w:tcPr>
            <w:tcW w:w="708" w:type="dxa"/>
            <w:tcBorders>
              <w:top w:val="nil"/>
              <w:left w:val="nil"/>
              <w:bottom w:val="nil"/>
              <w:right w:val="nil"/>
            </w:tcBorders>
          </w:tcPr>
          <w:p w14:paraId="5FCBC271" w14:textId="77777777" w:rsidR="00F74EF5" w:rsidRPr="00A60FD5" w:rsidRDefault="00F74EF5" w:rsidP="001E1CB2">
            <w:pPr>
              <w:spacing w:before="80" w:after="0" w:line="200" w:lineRule="exact"/>
              <w:rPr>
                <w:rFonts w:ascii="Times New Roman" w:hAnsi="Times New Roman" w:cs="Times New Roman"/>
                <w:sz w:val="18"/>
                <w:szCs w:val="18"/>
              </w:rPr>
            </w:pPr>
            <w:r w:rsidRPr="00A60FD5">
              <w:rPr>
                <w:rFonts w:ascii="Times New Roman" w:hAnsi="Times New Roman" w:cs="Times New Roman"/>
                <w:sz w:val="18"/>
                <w:szCs w:val="18"/>
              </w:rPr>
              <w:t>-0.17</w:t>
            </w:r>
            <w:r w:rsidRPr="00A60FD5">
              <w:rPr>
                <w:rFonts w:ascii="Times New Roman" w:hAnsi="Times New Roman" w:cs="Times New Roman"/>
                <w:sz w:val="18"/>
              </w:rPr>
              <w:t>†</w:t>
            </w:r>
          </w:p>
        </w:tc>
        <w:tc>
          <w:tcPr>
            <w:tcW w:w="851" w:type="dxa"/>
            <w:tcBorders>
              <w:top w:val="nil"/>
              <w:left w:val="nil"/>
              <w:bottom w:val="nil"/>
              <w:right w:val="nil"/>
            </w:tcBorders>
          </w:tcPr>
          <w:p w14:paraId="26EF47B0" w14:textId="77777777" w:rsidR="00F74EF5" w:rsidRPr="00A60FD5" w:rsidRDefault="00F74EF5" w:rsidP="001E1CB2">
            <w:pPr>
              <w:spacing w:before="80" w:after="0" w:line="200" w:lineRule="exact"/>
              <w:rPr>
                <w:rFonts w:ascii="Times New Roman" w:hAnsi="Times New Roman" w:cs="Times New Roman"/>
                <w:sz w:val="18"/>
                <w:szCs w:val="18"/>
              </w:rPr>
            </w:pPr>
            <w:r w:rsidRPr="00A60FD5">
              <w:rPr>
                <w:rFonts w:ascii="Times New Roman" w:hAnsi="Times New Roman" w:cs="Times New Roman"/>
                <w:sz w:val="18"/>
                <w:szCs w:val="18"/>
              </w:rPr>
              <w:t>0.18</w:t>
            </w:r>
            <w:r w:rsidRPr="00A60FD5">
              <w:rPr>
                <w:rFonts w:ascii="Times New Roman" w:hAnsi="Times New Roman" w:cs="Times New Roman"/>
                <w:sz w:val="18"/>
              </w:rPr>
              <w:t>†</w:t>
            </w:r>
          </w:p>
        </w:tc>
        <w:tc>
          <w:tcPr>
            <w:tcW w:w="709" w:type="dxa"/>
            <w:tcBorders>
              <w:top w:val="nil"/>
              <w:left w:val="nil"/>
              <w:bottom w:val="nil"/>
              <w:right w:val="nil"/>
            </w:tcBorders>
          </w:tcPr>
          <w:p w14:paraId="449DEE39" w14:textId="77777777" w:rsidR="00F74EF5" w:rsidRPr="00A60FD5" w:rsidRDefault="00F74EF5" w:rsidP="001E1CB2">
            <w:pPr>
              <w:spacing w:before="80" w:after="0" w:line="200" w:lineRule="exact"/>
              <w:rPr>
                <w:rFonts w:ascii="Times New Roman" w:hAnsi="Times New Roman" w:cs="Times New Roman"/>
                <w:sz w:val="18"/>
                <w:szCs w:val="18"/>
              </w:rPr>
            </w:pPr>
            <w:r w:rsidRPr="00A60FD5">
              <w:rPr>
                <w:rFonts w:ascii="Times New Roman" w:hAnsi="Times New Roman" w:cs="Times New Roman"/>
                <w:sz w:val="18"/>
                <w:szCs w:val="18"/>
              </w:rPr>
              <w:t>-0.14</w:t>
            </w:r>
          </w:p>
        </w:tc>
        <w:tc>
          <w:tcPr>
            <w:tcW w:w="708" w:type="dxa"/>
            <w:tcBorders>
              <w:top w:val="nil"/>
              <w:left w:val="nil"/>
              <w:bottom w:val="nil"/>
              <w:right w:val="nil"/>
            </w:tcBorders>
          </w:tcPr>
          <w:p w14:paraId="79C8DEE4" w14:textId="77777777" w:rsidR="00F74EF5" w:rsidRPr="00A60FD5" w:rsidRDefault="00F74EF5" w:rsidP="001E1CB2">
            <w:pPr>
              <w:spacing w:before="80" w:after="0" w:line="200" w:lineRule="exact"/>
              <w:rPr>
                <w:rFonts w:ascii="Times New Roman" w:hAnsi="Times New Roman" w:cs="Times New Roman"/>
                <w:sz w:val="18"/>
                <w:szCs w:val="18"/>
              </w:rPr>
            </w:pPr>
            <w:r w:rsidRPr="00A60FD5">
              <w:rPr>
                <w:rFonts w:ascii="Times New Roman" w:hAnsi="Times New Roman" w:cs="Times New Roman"/>
                <w:sz w:val="18"/>
                <w:szCs w:val="18"/>
              </w:rPr>
              <w:t>-0.13</w:t>
            </w:r>
          </w:p>
        </w:tc>
        <w:tc>
          <w:tcPr>
            <w:tcW w:w="709" w:type="dxa"/>
            <w:tcBorders>
              <w:top w:val="nil"/>
              <w:left w:val="nil"/>
              <w:bottom w:val="nil"/>
              <w:right w:val="nil"/>
            </w:tcBorders>
          </w:tcPr>
          <w:p w14:paraId="2A1BB708" w14:textId="77777777" w:rsidR="00F74EF5" w:rsidRPr="00A60FD5" w:rsidRDefault="00F74EF5" w:rsidP="001E1CB2">
            <w:pPr>
              <w:spacing w:before="80" w:after="0" w:line="200" w:lineRule="exact"/>
              <w:rPr>
                <w:rFonts w:ascii="Times New Roman" w:hAnsi="Times New Roman" w:cs="Times New Roman"/>
                <w:sz w:val="18"/>
                <w:szCs w:val="18"/>
              </w:rPr>
            </w:pPr>
            <w:r w:rsidRPr="00A60FD5">
              <w:rPr>
                <w:rFonts w:ascii="Times New Roman" w:hAnsi="Times New Roman" w:cs="Times New Roman"/>
                <w:sz w:val="18"/>
                <w:szCs w:val="18"/>
              </w:rPr>
              <w:t>0.01</w:t>
            </w:r>
          </w:p>
        </w:tc>
        <w:tc>
          <w:tcPr>
            <w:tcW w:w="709" w:type="dxa"/>
            <w:tcBorders>
              <w:top w:val="nil"/>
              <w:left w:val="nil"/>
              <w:bottom w:val="nil"/>
              <w:right w:val="nil"/>
            </w:tcBorders>
          </w:tcPr>
          <w:p w14:paraId="04497E75" w14:textId="77777777" w:rsidR="00F74EF5" w:rsidRPr="00A60FD5" w:rsidRDefault="00F74EF5" w:rsidP="001E1CB2">
            <w:pPr>
              <w:spacing w:before="80" w:after="0" w:line="200" w:lineRule="exact"/>
              <w:rPr>
                <w:rFonts w:ascii="Times New Roman" w:hAnsi="Times New Roman" w:cs="Times New Roman"/>
                <w:sz w:val="18"/>
                <w:szCs w:val="18"/>
              </w:rPr>
            </w:pPr>
            <w:r w:rsidRPr="00A60FD5">
              <w:rPr>
                <w:rFonts w:ascii="Times New Roman" w:hAnsi="Times New Roman" w:cs="Times New Roman"/>
                <w:sz w:val="18"/>
                <w:szCs w:val="18"/>
              </w:rPr>
              <w:t>0.03</w:t>
            </w:r>
          </w:p>
        </w:tc>
        <w:tc>
          <w:tcPr>
            <w:tcW w:w="709" w:type="dxa"/>
            <w:tcBorders>
              <w:top w:val="nil"/>
              <w:left w:val="nil"/>
              <w:bottom w:val="nil"/>
              <w:right w:val="nil"/>
            </w:tcBorders>
          </w:tcPr>
          <w:p w14:paraId="12850C19" w14:textId="77777777" w:rsidR="00F74EF5" w:rsidRPr="00A60FD5" w:rsidRDefault="00F74EF5" w:rsidP="001E1CB2">
            <w:pPr>
              <w:spacing w:before="80" w:after="0" w:line="200" w:lineRule="exact"/>
              <w:rPr>
                <w:rFonts w:ascii="Times New Roman" w:hAnsi="Times New Roman" w:cs="Times New Roman"/>
                <w:sz w:val="18"/>
                <w:szCs w:val="18"/>
              </w:rPr>
            </w:pPr>
            <w:r w:rsidRPr="00A60FD5">
              <w:rPr>
                <w:rFonts w:ascii="Times New Roman" w:hAnsi="Times New Roman" w:cs="Times New Roman"/>
                <w:sz w:val="18"/>
                <w:szCs w:val="18"/>
              </w:rPr>
              <w:t>0.14</w:t>
            </w:r>
          </w:p>
        </w:tc>
        <w:tc>
          <w:tcPr>
            <w:tcW w:w="708" w:type="dxa"/>
            <w:tcBorders>
              <w:top w:val="nil"/>
              <w:left w:val="nil"/>
              <w:bottom w:val="nil"/>
              <w:right w:val="nil"/>
            </w:tcBorders>
          </w:tcPr>
          <w:p w14:paraId="152DDA66" w14:textId="77777777" w:rsidR="00F74EF5" w:rsidRPr="00A60FD5" w:rsidRDefault="00F74EF5" w:rsidP="001E1CB2">
            <w:pPr>
              <w:spacing w:before="80" w:after="0" w:line="200" w:lineRule="exact"/>
              <w:rPr>
                <w:rFonts w:ascii="Times New Roman" w:hAnsi="Times New Roman" w:cs="Times New Roman"/>
                <w:sz w:val="18"/>
                <w:szCs w:val="18"/>
              </w:rPr>
            </w:pPr>
            <w:r w:rsidRPr="00A60FD5">
              <w:rPr>
                <w:rFonts w:ascii="Times New Roman" w:hAnsi="Times New Roman" w:cs="Times New Roman"/>
                <w:sz w:val="18"/>
                <w:szCs w:val="18"/>
              </w:rPr>
              <w:t>-0.16</w:t>
            </w:r>
          </w:p>
        </w:tc>
        <w:tc>
          <w:tcPr>
            <w:tcW w:w="709" w:type="dxa"/>
            <w:tcBorders>
              <w:top w:val="nil"/>
              <w:left w:val="nil"/>
              <w:bottom w:val="nil"/>
              <w:right w:val="nil"/>
            </w:tcBorders>
          </w:tcPr>
          <w:p w14:paraId="1B204131" w14:textId="77777777" w:rsidR="00F74EF5" w:rsidRPr="00A60FD5" w:rsidRDefault="00F74EF5" w:rsidP="001E1CB2">
            <w:pPr>
              <w:spacing w:before="80" w:after="0" w:line="200" w:lineRule="exact"/>
              <w:rPr>
                <w:rFonts w:ascii="Times New Roman" w:hAnsi="Times New Roman" w:cs="Times New Roman"/>
                <w:sz w:val="18"/>
                <w:szCs w:val="18"/>
              </w:rPr>
            </w:pPr>
            <w:r w:rsidRPr="00A60FD5">
              <w:rPr>
                <w:rFonts w:ascii="Times New Roman" w:hAnsi="Times New Roman" w:cs="Times New Roman"/>
                <w:sz w:val="18"/>
                <w:szCs w:val="18"/>
              </w:rPr>
              <w:t>0.21*</w:t>
            </w:r>
          </w:p>
        </w:tc>
        <w:tc>
          <w:tcPr>
            <w:tcW w:w="709" w:type="dxa"/>
            <w:tcBorders>
              <w:top w:val="nil"/>
              <w:left w:val="nil"/>
              <w:bottom w:val="nil"/>
              <w:right w:val="nil"/>
            </w:tcBorders>
          </w:tcPr>
          <w:p w14:paraId="3F71A8E0" w14:textId="77777777" w:rsidR="00F74EF5" w:rsidRPr="00A60FD5" w:rsidRDefault="00F74EF5" w:rsidP="001E1CB2">
            <w:pPr>
              <w:spacing w:before="80" w:after="0" w:line="200" w:lineRule="exact"/>
              <w:rPr>
                <w:rFonts w:ascii="Times New Roman" w:hAnsi="Times New Roman" w:cs="Times New Roman"/>
                <w:sz w:val="18"/>
                <w:szCs w:val="18"/>
              </w:rPr>
            </w:pPr>
            <w:r w:rsidRPr="00A60FD5">
              <w:rPr>
                <w:rFonts w:ascii="Times New Roman" w:hAnsi="Times New Roman" w:cs="Times New Roman"/>
                <w:sz w:val="18"/>
                <w:szCs w:val="18"/>
              </w:rPr>
              <w:t>-0.10</w:t>
            </w:r>
          </w:p>
        </w:tc>
        <w:tc>
          <w:tcPr>
            <w:tcW w:w="567" w:type="dxa"/>
            <w:tcBorders>
              <w:top w:val="nil"/>
              <w:left w:val="nil"/>
              <w:bottom w:val="nil"/>
              <w:right w:val="nil"/>
            </w:tcBorders>
          </w:tcPr>
          <w:p w14:paraId="06687C6F" w14:textId="77777777" w:rsidR="00F74EF5" w:rsidRPr="00A60FD5" w:rsidRDefault="00F74EF5" w:rsidP="001E1CB2">
            <w:pPr>
              <w:spacing w:before="80" w:after="0" w:line="200" w:lineRule="exact"/>
              <w:rPr>
                <w:rFonts w:ascii="Times New Roman" w:hAnsi="Times New Roman" w:cs="Times New Roman"/>
                <w:sz w:val="18"/>
                <w:szCs w:val="18"/>
              </w:rPr>
            </w:pPr>
            <w:r w:rsidRPr="00A60FD5">
              <w:rPr>
                <w:rFonts w:ascii="Times New Roman" w:hAnsi="Times New Roman" w:cs="Times New Roman"/>
                <w:sz w:val="18"/>
                <w:szCs w:val="18"/>
              </w:rPr>
              <w:t>1.00</w:t>
            </w:r>
          </w:p>
        </w:tc>
        <w:tc>
          <w:tcPr>
            <w:tcW w:w="567" w:type="dxa"/>
            <w:tcBorders>
              <w:top w:val="nil"/>
              <w:left w:val="nil"/>
              <w:bottom w:val="nil"/>
              <w:right w:val="nil"/>
            </w:tcBorders>
          </w:tcPr>
          <w:p w14:paraId="717A66BE" w14:textId="77777777" w:rsidR="00F74EF5" w:rsidRPr="00A60FD5" w:rsidRDefault="00F74EF5" w:rsidP="001E1CB2">
            <w:pPr>
              <w:spacing w:before="80" w:after="0" w:line="200" w:lineRule="exact"/>
              <w:rPr>
                <w:rFonts w:ascii="Times New Roman" w:hAnsi="Times New Roman" w:cs="Times New Roman"/>
                <w:sz w:val="18"/>
                <w:szCs w:val="18"/>
              </w:rPr>
            </w:pPr>
          </w:p>
        </w:tc>
      </w:tr>
      <w:tr w:rsidR="00F74EF5" w:rsidRPr="00A60FD5" w14:paraId="0966E8CF" w14:textId="77777777" w:rsidTr="00F74EF5">
        <w:tc>
          <w:tcPr>
            <w:tcW w:w="2377" w:type="dxa"/>
            <w:tcBorders>
              <w:top w:val="nil"/>
              <w:left w:val="nil"/>
              <w:bottom w:val="double" w:sz="4" w:space="0" w:color="auto"/>
              <w:right w:val="nil"/>
            </w:tcBorders>
          </w:tcPr>
          <w:p w14:paraId="3039FC9E" w14:textId="77777777" w:rsidR="00F74EF5" w:rsidRPr="00A60FD5" w:rsidRDefault="00F74EF5" w:rsidP="001E1CB2">
            <w:pPr>
              <w:spacing w:before="80" w:after="0" w:line="200" w:lineRule="exact"/>
              <w:rPr>
                <w:rFonts w:ascii="Times New Roman" w:hAnsi="Times New Roman" w:cs="Times New Roman"/>
                <w:sz w:val="20"/>
                <w:szCs w:val="20"/>
              </w:rPr>
            </w:pPr>
            <w:r w:rsidRPr="00A60FD5">
              <w:rPr>
                <w:rFonts w:ascii="Times New Roman" w:hAnsi="Times New Roman" w:cs="Times New Roman"/>
                <w:sz w:val="20"/>
                <w:szCs w:val="20"/>
              </w:rPr>
              <w:t>18. Third assistance</w:t>
            </w:r>
          </w:p>
        </w:tc>
        <w:tc>
          <w:tcPr>
            <w:tcW w:w="709" w:type="dxa"/>
            <w:tcBorders>
              <w:top w:val="nil"/>
              <w:left w:val="nil"/>
              <w:bottom w:val="double" w:sz="4" w:space="0" w:color="auto"/>
              <w:right w:val="nil"/>
            </w:tcBorders>
          </w:tcPr>
          <w:p w14:paraId="6A74B581" w14:textId="77777777" w:rsidR="00F74EF5" w:rsidRPr="00A60FD5" w:rsidRDefault="00F74EF5" w:rsidP="001E1CB2">
            <w:pPr>
              <w:spacing w:before="80" w:after="0" w:line="200" w:lineRule="exact"/>
              <w:rPr>
                <w:rFonts w:ascii="Times New Roman" w:hAnsi="Times New Roman" w:cs="Times New Roman"/>
                <w:sz w:val="18"/>
                <w:szCs w:val="18"/>
              </w:rPr>
            </w:pPr>
            <w:r w:rsidRPr="00A60FD5">
              <w:rPr>
                <w:rFonts w:ascii="Times New Roman" w:hAnsi="Times New Roman" w:cs="Times New Roman"/>
                <w:sz w:val="18"/>
                <w:szCs w:val="18"/>
              </w:rPr>
              <w:t>0.15</w:t>
            </w:r>
          </w:p>
        </w:tc>
        <w:tc>
          <w:tcPr>
            <w:tcW w:w="992" w:type="dxa"/>
            <w:tcBorders>
              <w:top w:val="nil"/>
              <w:left w:val="nil"/>
              <w:bottom w:val="double" w:sz="4" w:space="0" w:color="auto"/>
              <w:right w:val="nil"/>
            </w:tcBorders>
          </w:tcPr>
          <w:p w14:paraId="1A63FFAA" w14:textId="77777777" w:rsidR="00F74EF5" w:rsidRPr="00A60FD5" w:rsidRDefault="00F74EF5" w:rsidP="001E1CB2">
            <w:pPr>
              <w:spacing w:before="80" w:after="0" w:line="200" w:lineRule="exact"/>
              <w:rPr>
                <w:rFonts w:ascii="Times New Roman" w:hAnsi="Times New Roman" w:cs="Times New Roman"/>
                <w:sz w:val="18"/>
                <w:szCs w:val="18"/>
              </w:rPr>
            </w:pPr>
            <w:r w:rsidRPr="00A60FD5">
              <w:rPr>
                <w:rFonts w:ascii="Times New Roman" w:hAnsi="Times New Roman" w:cs="Times New Roman"/>
                <w:sz w:val="18"/>
                <w:szCs w:val="18"/>
              </w:rPr>
              <w:t>-0.00</w:t>
            </w:r>
          </w:p>
        </w:tc>
        <w:tc>
          <w:tcPr>
            <w:tcW w:w="851" w:type="dxa"/>
            <w:tcBorders>
              <w:top w:val="nil"/>
              <w:left w:val="nil"/>
              <w:bottom w:val="double" w:sz="4" w:space="0" w:color="auto"/>
              <w:right w:val="nil"/>
            </w:tcBorders>
          </w:tcPr>
          <w:p w14:paraId="0953E285" w14:textId="77777777" w:rsidR="00F74EF5" w:rsidRPr="00A60FD5" w:rsidRDefault="00F74EF5" w:rsidP="001E1CB2">
            <w:pPr>
              <w:spacing w:before="80" w:after="0" w:line="200" w:lineRule="exact"/>
              <w:rPr>
                <w:rFonts w:ascii="Times New Roman" w:hAnsi="Times New Roman" w:cs="Times New Roman"/>
                <w:sz w:val="18"/>
                <w:szCs w:val="18"/>
              </w:rPr>
            </w:pPr>
            <w:r w:rsidRPr="00A60FD5">
              <w:rPr>
                <w:rFonts w:ascii="Times New Roman" w:hAnsi="Times New Roman" w:cs="Times New Roman"/>
                <w:sz w:val="18"/>
                <w:szCs w:val="18"/>
              </w:rPr>
              <w:t>0.20*</w:t>
            </w:r>
          </w:p>
        </w:tc>
        <w:tc>
          <w:tcPr>
            <w:tcW w:w="850" w:type="dxa"/>
            <w:tcBorders>
              <w:top w:val="nil"/>
              <w:left w:val="nil"/>
              <w:bottom w:val="double" w:sz="4" w:space="0" w:color="auto"/>
              <w:right w:val="nil"/>
            </w:tcBorders>
          </w:tcPr>
          <w:p w14:paraId="7225BFE9" w14:textId="77777777" w:rsidR="00F74EF5" w:rsidRPr="00A60FD5" w:rsidRDefault="00F74EF5" w:rsidP="001E1CB2">
            <w:pPr>
              <w:spacing w:before="80" w:after="0" w:line="200" w:lineRule="exact"/>
              <w:rPr>
                <w:rFonts w:ascii="Times New Roman" w:hAnsi="Times New Roman" w:cs="Times New Roman"/>
                <w:sz w:val="18"/>
                <w:szCs w:val="18"/>
              </w:rPr>
            </w:pPr>
            <w:r w:rsidRPr="00A60FD5">
              <w:rPr>
                <w:rFonts w:ascii="Times New Roman" w:hAnsi="Times New Roman" w:cs="Times New Roman"/>
                <w:sz w:val="18"/>
                <w:szCs w:val="18"/>
              </w:rPr>
              <w:t>-0.04</w:t>
            </w:r>
          </w:p>
        </w:tc>
        <w:tc>
          <w:tcPr>
            <w:tcW w:w="851" w:type="dxa"/>
            <w:tcBorders>
              <w:top w:val="nil"/>
              <w:left w:val="nil"/>
              <w:bottom w:val="double" w:sz="4" w:space="0" w:color="auto"/>
              <w:right w:val="nil"/>
            </w:tcBorders>
          </w:tcPr>
          <w:p w14:paraId="2D40454E" w14:textId="77777777" w:rsidR="00F74EF5" w:rsidRPr="00A60FD5" w:rsidRDefault="00F74EF5" w:rsidP="001E1CB2">
            <w:pPr>
              <w:spacing w:before="80" w:after="0" w:line="200" w:lineRule="exact"/>
              <w:rPr>
                <w:rFonts w:ascii="Times New Roman" w:hAnsi="Times New Roman" w:cs="Times New Roman"/>
                <w:sz w:val="18"/>
                <w:szCs w:val="18"/>
              </w:rPr>
            </w:pPr>
            <w:r w:rsidRPr="00A60FD5">
              <w:rPr>
                <w:rFonts w:ascii="Times New Roman" w:hAnsi="Times New Roman" w:cs="Times New Roman"/>
                <w:sz w:val="18"/>
                <w:szCs w:val="18"/>
              </w:rPr>
              <w:t>0.12</w:t>
            </w:r>
          </w:p>
        </w:tc>
        <w:tc>
          <w:tcPr>
            <w:tcW w:w="709" w:type="dxa"/>
            <w:tcBorders>
              <w:top w:val="nil"/>
              <w:left w:val="nil"/>
              <w:bottom w:val="double" w:sz="4" w:space="0" w:color="auto"/>
              <w:right w:val="nil"/>
            </w:tcBorders>
          </w:tcPr>
          <w:p w14:paraId="15AF9E53" w14:textId="77777777" w:rsidR="00F74EF5" w:rsidRPr="00A60FD5" w:rsidRDefault="00F74EF5" w:rsidP="001E1CB2">
            <w:pPr>
              <w:spacing w:before="80" w:after="0" w:line="200" w:lineRule="exact"/>
              <w:rPr>
                <w:rFonts w:ascii="Times New Roman" w:hAnsi="Times New Roman" w:cs="Times New Roman"/>
                <w:sz w:val="18"/>
                <w:szCs w:val="18"/>
              </w:rPr>
            </w:pPr>
            <w:r w:rsidRPr="00A60FD5">
              <w:rPr>
                <w:rFonts w:ascii="Times New Roman" w:hAnsi="Times New Roman" w:cs="Times New Roman"/>
                <w:sz w:val="18"/>
                <w:szCs w:val="18"/>
              </w:rPr>
              <w:t>0.11</w:t>
            </w:r>
          </w:p>
        </w:tc>
        <w:tc>
          <w:tcPr>
            <w:tcW w:w="708" w:type="dxa"/>
            <w:tcBorders>
              <w:top w:val="nil"/>
              <w:left w:val="nil"/>
              <w:bottom w:val="double" w:sz="4" w:space="0" w:color="auto"/>
              <w:right w:val="nil"/>
            </w:tcBorders>
          </w:tcPr>
          <w:p w14:paraId="0D599997" w14:textId="77777777" w:rsidR="00F74EF5" w:rsidRPr="00A60FD5" w:rsidRDefault="00F74EF5" w:rsidP="001E1CB2">
            <w:pPr>
              <w:spacing w:before="80" w:after="0" w:line="200" w:lineRule="exact"/>
              <w:rPr>
                <w:rFonts w:ascii="Times New Roman" w:hAnsi="Times New Roman" w:cs="Times New Roman"/>
                <w:sz w:val="18"/>
                <w:szCs w:val="18"/>
              </w:rPr>
            </w:pPr>
            <w:r w:rsidRPr="00A60FD5">
              <w:rPr>
                <w:rFonts w:ascii="Times New Roman" w:hAnsi="Times New Roman" w:cs="Times New Roman"/>
                <w:sz w:val="18"/>
                <w:szCs w:val="18"/>
              </w:rPr>
              <w:t>0.02</w:t>
            </w:r>
          </w:p>
        </w:tc>
        <w:tc>
          <w:tcPr>
            <w:tcW w:w="851" w:type="dxa"/>
            <w:tcBorders>
              <w:top w:val="nil"/>
              <w:left w:val="nil"/>
              <w:bottom w:val="double" w:sz="4" w:space="0" w:color="auto"/>
              <w:right w:val="nil"/>
            </w:tcBorders>
          </w:tcPr>
          <w:p w14:paraId="4165FB9D" w14:textId="77777777" w:rsidR="00F74EF5" w:rsidRPr="00A60FD5" w:rsidRDefault="00F74EF5" w:rsidP="001E1CB2">
            <w:pPr>
              <w:spacing w:before="80" w:after="0" w:line="200" w:lineRule="exact"/>
              <w:rPr>
                <w:rFonts w:ascii="Times New Roman" w:hAnsi="Times New Roman" w:cs="Times New Roman"/>
                <w:sz w:val="18"/>
                <w:szCs w:val="18"/>
              </w:rPr>
            </w:pPr>
            <w:r w:rsidRPr="00A60FD5">
              <w:rPr>
                <w:rFonts w:ascii="Times New Roman" w:hAnsi="Times New Roman" w:cs="Times New Roman"/>
                <w:sz w:val="18"/>
                <w:szCs w:val="18"/>
              </w:rPr>
              <w:t>0.17</w:t>
            </w:r>
            <w:r w:rsidRPr="00A60FD5">
              <w:rPr>
                <w:rFonts w:ascii="Times New Roman" w:hAnsi="Times New Roman" w:cs="Times New Roman"/>
                <w:sz w:val="18"/>
              </w:rPr>
              <w:t>†</w:t>
            </w:r>
          </w:p>
        </w:tc>
        <w:tc>
          <w:tcPr>
            <w:tcW w:w="709" w:type="dxa"/>
            <w:tcBorders>
              <w:top w:val="nil"/>
              <w:left w:val="nil"/>
              <w:bottom w:val="double" w:sz="4" w:space="0" w:color="auto"/>
              <w:right w:val="nil"/>
            </w:tcBorders>
          </w:tcPr>
          <w:p w14:paraId="00729400" w14:textId="77777777" w:rsidR="00F74EF5" w:rsidRPr="00A60FD5" w:rsidRDefault="00F74EF5" w:rsidP="001E1CB2">
            <w:pPr>
              <w:spacing w:before="80" w:after="0" w:line="200" w:lineRule="exact"/>
              <w:rPr>
                <w:rFonts w:ascii="Times New Roman" w:hAnsi="Times New Roman" w:cs="Times New Roman"/>
                <w:sz w:val="18"/>
                <w:szCs w:val="18"/>
              </w:rPr>
            </w:pPr>
            <w:r w:rsidRPr="00A60FD5">
              <w:rPr>
                <w:rFonts w:ascii="Times New Roman" w:hAnsi="Times New Roman" w:cs="Times New Roman"/>
                <w:sz w:val="18"/>
                <w:szCs w:val="18"/>
              </w:rPr>
              <w:t>0.07</w:t>
            </w:r>
          </w:p>
        </w:tc>
        <w:tc>
          <w:tcPr>
            <w:tcW w:w="708" w:type="dxa"/>
            <w:tcBorders>
              <w:top w:val="nil"/>
              <w:left w:val="nil"/>
              <w:bottom w:val="double" w:sz="4" w:space="0" w:color="auto"/>
              <w:right w:val="nil"/>
            </w:tcBorders>
          </w:tcPr>
          <w:p w14:paraId="46A46EEF" w14:textId="77777777" w:rsidR="00F74EF5" w:rsidRPr="00A60FD5" w:rsidRDefault="00F74EF5" w:rsidP="001E1CB2">
            <w:pPr>
              <w:spacing w:before="80" w:after="0" w:line="200" w:lineRule="exact"/>
              <w:rPr>
                <w:rFonts w:ascii="Times New Roman" w:hAnsi="Times New Roman" w:cs="Times New Roman"/>
                <w:sz w:val="18"/>
                <w:szCs w:val="18"/>
              </w:rPr>
            </w:pPr>
            <w:r w:rsidRPr="00A60FD5">
              <w:rPr>
                <w:rFonts w:ascii="Times New Roman" w:hAnsi="Times New Roman" w:cs="Times New Roman"/>
                <w:sz w:val="18"/>
                <w:szCs w:val="18"/>
              </w:rPr>
              <w:t>-0.21*</w:t>
            </w:r>
          </w:p>
        </w:tc>
        <w:tc>
          <w:tcPr>
            <w:tcW w:w="709" w:type="dxa"/>
            <w:tcBorders>
              <w:top w:val="nil"/>
              <w:left w:val="nil"/>
              <w:bottom w:val="double" w:sz="4" w:space="0" w:color="auto"/>
              <w:right w:val="nil"/>
            </w:tcBorders>
          </w:tcPr>
          <w:p w14:paraId="2D40A3BD" w14:textId="77777777" w:rsidR="00F74EF5" w:rsidRPr="00A60FD5" w:rsidRDefault="00F74EF5" w:rsidP="001E1CB2">
            <w:pPr>
              <w:spacing w:before="80" w:after="0" w:line="200" w:lineRule="exact"/>
              <w:rPr>
                <w:rFonts w:ascii="Times New Roman" w:hAnsi="Times New Roman" w:cs="Times New Roman"/>
                <w:sz w:val="18"/>
                <w:szCs w:val="18"/>
              </w:rPr>
            </w:pPr>
            <w:r w:rsidRPr="00A60FD5">
              <w:rPr>
                <w:rFonts w:ascii="Times New Roman" w:hAnsi="Times New Roman" w:cs="Times New Roman"/>
                <w:sz w:val="18"/>
                <w:szCs w:val="18"/>
              </w:rPr>
              <w:t>0.07</w:t>
            </w:r>
          </w:p>
        </w:tc>
        <w:tc>
          <w:tcPr>
            <w:tcW w:w="709" w:type="dxa"/>
            <w:tcBorders>
              <w:top w:val="nil"/>
              <w:left w:val="nil"/>
              <w:bottom w:val="double" w:sz="4" w:space="0" w:color="auto"/>
              <w:right w:val="nil"/>
            </w:tcBorders>
          </w:tcPr>
          <w:p w14:paraId="23D65198" w14:textId="77777777" w:rsidR="00F74EF5" w:rsidRPr="00A60FD5" w:rsidRDefault="00F74EF5" w:rsidP="001E1CB2">
            <w:pPr>
              <w:spacing w:before="80" w:after="0" w:line="200" w:lineRule="exact"/>
              <w:rPr>
                <w:rFonts w:ascii="Times New Roman" w:hAnsi="Times New Roman" w:cs="Times New Roman"/>
                <w:sz w:val="18"/>
                <w:szCs w:val="18"/>
              </w:rPr>
            </w:pPr>
            <w:r w:rsidRPr="00A60FD5">
              <w:rPr>
                <w:rFonts w:ascii="Times New Roman" w:hAnsi="Times New Roman" w:cs="Times New Roman"/>
                <w:sz w:val="18"/>
                <w:szCs w:val="18"/>
              </w:rPr>
              <w:t>0.01</w:t>
            </w:r>
          </w:p>
        </w:tc>
        <w:tc>
          <w:tcPr>
            <w:tcW w:w="709" w:type="dxa"/>
            <w:tcBorders>
              <w:top w:val="nil"/>
              <w:left w:val="nil"/>
              <w:bottom w:val="double" w:sz="4" w:space="0" w:color="auto"/>
              <w:right w:val="nil"/>
            </w:tcBorders>
          </w:tcPr>
          <w:p w14:paraId="7004F614" w14:textId="77777777" w:rsidR="00F74EF5" w:rsidRPr="00A60FD5" w:rsidRDefault="00F74EF5" w:rsidP="001E1CB2">
            <w:pPr>
              <w:spacing w:before="80" w:after="0" w:line="200" w:lineRule="exact"/>
              <w:rPr>
                <w:rFonts w:ascii="Times New Roman" w:hAnsi="Times New Roman" w:cs="Times New Roman"/>
                <w:sz w:val="18"/>
                <w:szCs w:val="18"/>
              </w:rPr>
            </w:pPr>
            <w:r w:rsidRPr="00A60FD5">
              <w:rPr>
                <w:rFonts w:ascii="Times New Roman" w:hAnsi="Times New Roman" w:cs="Times New Roman"/>
                <w:sz w:val="18"/>
                <w:szCs w:val="18"/>
              </w:rPr>
              <w:t>0.24*</w:t>
            </w:r>
          </w:p>
        </w:tc>
        <w:tc>
          <w:tcPr>
            <w:tcW w:w="708" w:type="dxa"/>
            <w:tcBorders>
              <w:top w:val="nil"/>
              <w:left w:val="nil"/>
              <w:bottom w:val="double" w:sz="4" w:space="0" w:color="auto"/>
              <w:right w:val="nil"/>
            </w:tcBorders>
          </w:tcPr>
          <w:p w14:paraId="09615082" w14:textId="77777777" w:rsidR="00F74EF5" w:rsidRPr="00A60FD5" w:rsidRDefault="00F74EF5" w:rsidP="001E1CB2">
            <w:pPr>
              <w:spacing w:before="80" w:after="0" w:line="200" w:lineRule="exact"/>
              <w:rPr>
                <w:rFonts w:ascii="Times New Roman" w:hAnsi="Times New Roman" w:cs="Times New Roman"/>
                <w:sz w:val="18"/>
                <w:szCs w:val="18"/>
              </w:rPr>
            </w:pPr>
            <w:r w:rsidRPr="00A60FD5">
              <w:rPr>
                <w:rFonts w:ascii="Times New Roman" w:hAnsi="Times New Roman" w:cs="Times New Roman"/>
                <w:sz w:val="18"/>
                <w:szCs w:val="18"/>
              </w:rPr>
              <w:t>-0.16</w:t>
            </w:r>
            <w:r w:rsidRPr="00A60FD5">
              <w:rPr>
                <w:rFonts w:ascii="Times New Roman" w:hAnsi="Times New Roman" w:cs="Times New Roman"/>
                <w:sz w:val="18"/>
              </w:rPr>
              <w:t>†</w:t>
            </w:r>
          </w:p>
        </w:tc>
        <w:tc>
          <w:tcPr>
            <w:tcW w:w="709" w:type="dxa"/>
            <w:tcBorders>
              <w:top w:val="nil"/>
              <w:left w:val="nil"/>
              <w:bottom w:val="double" w:sz="4" w:space="0" w:color="auto"/>
              <w:right w:val="nil"/>
            </w:tcBorders>
          </w:tcPr>
          <w:p w14:paraId="755A4CC9" w14:textId="77777777" w:rsidR="00F74EF5" w:rsidRPr="00A60FD5" w:rsidRDefault="00F74EF5" w:rsidP="001E1CB2">
            <w:pPr>
              <w:spacing w:before="80" w:after="0" w:line="200" w:lineRule="exact"/>
              <w:rPr>
                <w:rFonts w:ascii="Times New Roman" w:hAnsi="Times New Roman" w:cs="Times New Roman"/>
                <w:sz w:val="18"/>
                <w:szCs w:val="18"/>
              </w:rPr>
            </w:pPr>
            <w:r w:rsidRPr="00A60FD5">
              <w:rPr>
                <w:rFonts w:ascii="Times New Roman" w:hAnsi="Times New Roman" w:cs="Times New Roman"/>
                <w:sz w:val="18"/>
                <w:szCs w:val="18"/>
              </w:rPr>
              <w:t>0.08</w:t>
            </w:r>
          </w:p>
        </w:tc>
        <w:tc>
          <w:tcPr>
            <w:tcW w:w="709" w:type="dxa"/>
            <w:tcBorders>
              <w:top w:val="nil"/>
              <w:left w:val="nil"/>
              <w:bottom w:val="double" w:sz="4" w:space="0" w:color="auto"/>
              <w:right w:val="nil"/>
            </w:tcBorders>
          </w:tcPr>
          <w:p w14:paraId="2440B8C0" w14:textId="77777777" w:rsidR="00F74EF5" w:rsidRPr="00A60FD5" w:rsidRDefault="00F74EF5" w:rsidP="001E1CB2">
            <w:pPr>
              <w:spacing w:before="80" w:after="0" w:line="200" w:lineRule="exact"/>
              <w:rPr>
                <w:rFonts w:ascii="Times New Roman" w:hAnsi="Times New Roman" w:cs="Times New Roman"/>
                <w:sz w:val="18"/>
                <w:szCs w:val="18"/>
              </w:rPr>
            </w:pPr>
            <w:r w:rsidRPr="00A60FD5">
              <w:rPr>
                <w:rFonts w:ascii="Times New Roman" w:hAnsi="Times New Roman" w:cs="Times New Roman"/>
                <w:sz w:val="18"/>
                <w:szCs w:val="18"/>
              </w:rPr>
              <w:t>-0.02</w:t>
            </w:r>
          </w:p>
        </w:tc>
        <w:tc>
          <w:tcPr>
            <w:tcW w:w="567" w:type="dxa"/>
            <w:tcBorders>
              <w:top w:val="nil"/>
              <w:left w:val="nil"/>
              <w:bottom w:val="double" w:sz="4" w:space="0" w:color="auto"/>
              <w:right w:val="nil"/>
            </w:tcBorders>
          </w:tcPr>
          <w:p w14:paraId="61FC6FCB" w14:textId="77777777" w:rsidR="00F74EF5" w:rsidRPr="00A60FD5" w:rsidRDefault="00F74EF5" w:rsidP="001E1CB2">
            <w:pPr>
              <w:spacing w:before="80" w:after="0" w:line="200" w:lineRule="exact"/>
              <w:rPr>
                <w:rFonts w:ascii="Times New Roman" w:hAnsi="Times New Roman" w:cs="Times New Roman"/>
                <w:sz w:val="18"/>
                <w:szCs w:val="18"/>
              </w:rPr>
            </w:pPr>
            <w:r w:rsidRPr="00A60FD5">
              <w:rPr>
                <w:rFonts w:ascii="Times New Roman" w:hAnsi="Times New Roman" w:cs="Times New Roman"/>
                <w:sz w:val="18"/>
                <w:szCs w:val="18"/>
              </w:rPr>
              <w:t>0.13</w:t>
            </w:r>
          </w:p>
        </w:tc>
        <w:tc>
          <w:tcPr>
            <w:tcW w:w="567" w:type="dxa"/>
            <w:tcBorders>
              <w:top w:val="nil"/>
              <w:left w:val="nil"/>
              <w:bottom w:val="double" w:sz="4" w:space="0" w:color="auto"/>
              <w:right w:val="nil"/>
            </w:tcBorders>
          </w:tcPr>
          <w:p w14:paraId="2C59BAFB" w14:textId="77777777" w:rsidR="00F74EF5" w:rsidRPr="00A60FD5" w:rsidRDefault="00F74EF5" w:rsidP="001E1CB2">
            <w:pPr>
              <w:spacing w:before="80" w:after="0" w:line="200" w:lineRule="exact"/>
              <w:rPr>
                <w:rFonts w:ascii="Times New Roman" w:hAnsi="Times New Roman" w:cs="Times New Roman"/>
                <w:sz w:val="18"/>
                <w:szCs w:val="18"/>
              </w:rPr>
            </w:pPr>
            <w:r w:rsidRPr="00A60FD5">
              <w:rPr>
                <w:rFonts w:ascii="Times New Roman" w:hAnsi="Times New Roman" w:cs="Times New Roman"/>
                <w:sz w:val="18"/>
                <w:szCs w:val="18"/>
              </w:rPr>
              <w:t>1.00</w:t>
            </w:r>
          </w:p>
        </w:tc>
      </w:tr>
    </w:tbl>
    <w:p w14:paraId="4BFDF476" w14:textId="77777777" w:rsidR="00F74EF5" w:rsidRPr="00A60FD5" w:rsidRDefault="00F74EF5" w:rsidP="00F74EF5">
      <w:pPr>
        <w:spacing w:after="0" w:line="240" w:lineRule="auto"/>
        <w:rPr>
          <w:rFonts w:ascii="Times New Roman" w:hAnsi="Times New Roman" w:cs="Times New Roman"/>
          <w:sz w:val="18"/>
          <w:szCs w:val="24"/>
        </w:rPr>
      </w:pPr>
      <w:r w:rsidRPr="00A60FD5">
        <w:rPr>
          <w:rFonts w:ascii="Times New Roman" w:hAnsi="Times New Roman" w:cs="Times New Roman"/>
          <w:sz w:val="18"/>
          <w:vertAlign w:val="superscript"/>
        </w:rPr>
        <w:t xml:space="preserve">   a</w:t>
      </w:r>
      <w:r w:rsidRPr="00A60FD5">
        <w:rPr>
          <w:rFonts w:ascii="Times New Roman" w:hAnsi="Times New Roman" w:cs="Times New Roman"/>
          <w:sz w:val="18"/>
        </w:rPr>
        <w:t xml:space="preserve"> N = 106. † p &lt; 0.10; </w:t>
      </w:r>
      <w:r w:rsidRPr="00A60FD5">
        <w:rPr>
          <w:rFonts w:ascii="Cambria Math" w:hAnsi="Cambria Math" w:cs="Cambria Math"/>
          <w:position w:val="8"/>
          <w:sz w:val="18"/>
        </w:rPr>
        <w:t>∗</w:t>
      </w:r>
      <w:r w:rsidRPr="00A60FD5">
        <w:rPr>
          <w:rFonts w:ascii="Times New Roman" w:hAnsi="Times New Roman" w:cs="Times New Roman"/>
          <w:sz w:val="18"/>
          <w:szCs w:val="24"/>
        </w:rPr>
        <w:t xml:space="preserve">p &lt; 0.05; </w:t>
      </w:r>
      <w:r w:rsidRPr="00A60FD5">
        <w:rPr>
          <w:rFonts w:ascii="Cambria Math" w:hAnsi="Cambria Math" w:cs="Cambria Math"/>
          <w:position w:val="8"/>
          <w:sz w:val="18"/>
          <w:szCs w:val="24"/>
        </w:rPr>
        <w:t>∗∗</w:t>
      </w:r>
      <w:r w:rsidRPr="00A60FD5">
        <w:rPr>
          <w:rFonts w:ascii="Times New Roman" w:hAnsi="Times New Roman" w:cs="Times New Roman"/>
          <w:position w:val="8"/>
          <w:sz w:val="18"/>
          <w:szCs w:val="24"/>
        </w:rPr>
        <w:t xml:space="preserve"> </w:t>
      </w:r>
      <w:r w:rsidRPr="00A60FD5">
        <w:rPr>
          <w:rFonts w:ascii="Times New Roman" w:hAnsi="Times New Roman" w:cs="Times New Roman"/>
          <w:sz w:val="18"/>
          <w:szCs w:val="24"/>
        </w:rPr>
        <w:t xml:space="preserve">p &lt; 0.01; </w:t>
      </w:r>
      <w:r w:rsidRPr="00A60FD5">
        <w:rPr>
          <w:rFonts w:ascii="Cambria Math" w:hAnsi="Cambria Math" w:cs="Cambria Math"/>
          <w:position w:val="8"/>
          <w:sz w:val="18"/>
          <w:szCs w:val="24"/>
        </w:rPr>
        <w:t>∗∗∗</w:t>
      </w:r>
      <w:r w:rsidRPr="00A60FD5">
        <w:rPr>
          <w:rFonts w:ascii="Times New Roman" w:hAnsi="Times New Roman" w:cs="Times New Roman"/>
          <w:position w:val="8"/>
          <w:sz w:val="18"/>
          <w:szCs w:val="24"/>
        </w:rPr>
        <w:t xml:space="preserve"> </w:t>
      </w:r>
      <w:r w:rsidRPr="00A60FD5">
        <w:rPr>
          <w:rFonts w:ascii="Times New Roman" w:hAnsi="Times New Roman" w:cs="Times New Roman"/>
          <w:sz w:val="18"/>
          <w:szCs w:val="24"/>
        </w:rPr>
        <w:t>p &lt; 0.001.</w:t>
      </w:r>
    </w:p>
    <w:p w14:paraId="77A90064" w14:textId="77777777" w:rsidR="00802D47" w:rsidRPr="00A60FD5" w:rsidRDefault="00802D47" w:rsidP="00F74EF5">
      <w:pPr>
        <w:spacing w:after="0" w:line="240" w:lineRule="auto"/>
        <w:rPr>
          <w:rFonts w:ascii="Times New Roman" w:hAnsi="Times New Roman" w:cs="Times New Roman"/>
          <w:sz w:val="18"/>
          <w:szCs w:val="24"/>
        </w:rPr>
      </w:pPr>
    </w:p>
    <w:p w14:paraId="29810380" w14:textId="77777777" w:rsidR="00802D47" w:rsidRPr="00A60FD5" w:rsidRDefault="00802D47" w:rsidP="00F74EF5">
      <w:pPr>
        <w:spacing w:after="0" w:line="240" w:lineRule="auto"/>
        <w:rPr>
          <w:rFonts w:ascii="Times New Roman" w:hAnsi="Times New Roman" w:cs="Times New Roman"/>
          <w:sz w:val="18"/>
          <w:szCs w:val="24"/>
        </w:rPr>
      </w:pPr>
    </w:p>
    <w:p w14:paraId="1C279461" w14:textId="77777777" w:rsidR="00802D47" w:rsidRPr="00A60FD5" w:rsidRDefault="00802D47" w:rsidP="00F74EF5">
      <w:pPr>
        <w:spacing w:after="0" w:line="240" w:lineRule="auto"/>
        <w:rPr>
          <w:rFonts w:ascii="Times New Roman" w:hAnsi="Times New Roman" w:cs="Times New Roman"/>
          <w:sz w:val="18"/>
          <w:szCs w:val="24"/>
        </w:rPr>
        <w:sectPr w:rsidR="00802D47" w:rsidRPr="00A60FD5" w:rsidSect="00802D47">
          <w:pgSz w:w="16838" w:h="11906" w:orient="landscape" w:code="9"/>
          <w:pgMar w:top="1418" w:right="1418" w:bottom="1418" w:left="1418" w:header="709" w:footer="709" w:gutter="0"/>
          <w:cols w:space="708"/>
          <w:docGrid w:linePitch="360"/>
        </w:sectPr>
      </w:pPr>
    </w:p>
    <w:p w14:paraId="672590BC" w14:textId="72D320B8" w:rsidR="00417594" w:rsidRPr="00A60FD5" w:rsidRDefault="00F74EF5" w:rsidP="00F74EF5">
      <w:pPr>
        <w:jc w:val="center"/>
        <w:rPr>
          <w:rFonts w:ascii="Times New Roman" w:hAnsi="Times New Roman"/>
          <w:b/>
          <w:sz w:val="24"/>
          <w:szCs w:val="20"/>
          <w:vertAlign w:val="superscript"/>
        </w:rPr>
      </w:pPr>
      <w:r w:rsidRPr="00A60FD5">
        <w:rPr>
          <w:rFonts w:ascii="Times New Roman" w:hAnsi="Times New Roman"/>
          <w:b/>
          <w:sz w:val="24"/>
          <w:szCs w:val="24"/>
        </w:rPr>
        <w:lastRenderedPageBreak/>
        <w:t xml:space="preserve"> </w:t>
      </w:r>
      <w:r w:rsidR="00417594" w:rsidRPr="00A60FD5">
        <w:rPr>
          <w:rFonts w:ascii="Times New Roman" w:hAnsi="Times New Roman"/>
          <w:b/>
          <w:sz w:val="24"/>
          <w:szCs w:val="18"/>
        </w:rPr>
        <w:t xml:space="preserve">TABLE </w:t>
      </w:r>
      <w:r w:rsidR="006F129E" w:rsidRPr="00A60FD5">
        <w:rPr>
          <w:rFonts w:ascii="Times New Roman" w:hAnsi="Times New Roman"/>
          <w:b/>
          <w:sz w:val="24"/>
          <w:szCs w:val="18"/>
        </w:rPr>
        <w:t>4</w:t>
      </w:r>
      <w:r w:rsidR="00A6616B" w:rsidRPr="00A60FD5">
        <w:rPr>
          <w:rFonts w:ascii="Times New Roman" w:hAnsi="Times New Roman"/>
          <w:b/>
          <w:sz w:val="24"/>
          <w:szCs w:val="18"/>
        </w:rPr>
        <w:t xml:space="preserve"> (first part)</w:t>
      </w:r>
      <w:r w:rsidR="00417594" w:rsidRPr="00A60FD5">
        <w:rPr>
          <w:rFonts w:ascii="Times New Roman" w:hAnsi="Times New Roman"/>
          <w:b/>
          <w:sz w:val="24"/>
          <w:szCs w:val="18"/>
        </w:rPr>
        <w:t>: Determinants of arbitration provision (CMP regression</w:t>
      </w:r>
      <w:r w:rsidR="00777208" w:rsidRPr="00A60FD5">
        <w:rPr>
          <w:rFonts w:ascii="Times New Roman" w:hAnsi="Times New Roman"/>
          <w:b/>
          <w:sz w:val="24"/>
          <w:szCs w:val="18"/>
        </w:rPr>
        <w:t xml:space="preserve"> model</w:t>
      </w:r>
      <w:r w:rsidR="00417594" w:rsidRPr="00A60FD5">
        <w:rPr>
          <w:rFonts w:ascii="Times New Roman" w:hAnsi="Times New Roman"/>
          <w:b/>
          <w:sz w:val="24"/>
          <w:szCs w:val="18"/>
        </w:rPr>
        <w:t>s)</w:t>
      </w:r>
      <w:r w:rsidR="00417594" w:rsidRPr="00A60FD5">
        <w:rPr>
          <w:rFonts w:ascii="Times New Roman" w:hAnsi="Times New Roman"/>
          <w:b/>
          <w:sz w:val="24"/>
          <w:szCs w:val="20"/>
          <w:vertAlign w:val="superscript"/>
        </w:rPr>
        <w:t>a</w:t>
      </w:r>
    </w:p>
    <w:p w14:paraId="272E747C" w14:textId="77777777" w:rsidR="00417594" w:rsidRPr="00A60FD5" w:rsidRDefault="00417594" w:rsidP="00417594">
      <w:pPr>
        <w:spacing w:after="0" w:line="240" w:lineRule="auto"/>
        <w:jc w:val="center"/>
        <w:rPr>
          <w:rFonts w:ascii="Times New Roman" w:hAnsi="Times New Roman"/>
          <w:b/>
          <w:sz w:val="24"/>
          <w:szCs w:val="20"/>
          <w:vertAlign w:val="superscript"/>
        </w:rPr>
      </w:pPr>
    </w:p>
    <w:tbl>
      <w:tblPr>
        <w:tblW w:w="11624"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850"/>
        <w:gridCol w:w="851"/>
        <w:gridCol w:w="992"/>
        <w:gridCol w:w="992"/>
        <w:gridCol w:w="851"/>
        <w:gridCol w:w="850"/>
        <w:gridCol w:w="1134"/>
        <w:gridCol w:w="851"/>
        <w:gridCol w:w="992"/>
      </w:tblGrid>
      <w:tr w:rsidR="00DE0D97" w:rsidRPr="00A60FD5" w14:paraId="57680314" w14:textId="77777777" w:rsidTr="00EB08AC">
        <w:trPr>
          <w:trHeight w:val="144"/>
        </w:trPr>
        <w:tc>
          <w:tcPr>
            <w:tcW w:w="3261" w:type="dxa"/>
            <w:tcBorders>
              <w:top w:val="double" w:sz="4" w:space="0" w:color="auto"/>
              <w:left w:val="nil"/>
              <w:bottom w:val="nil"/>
              <w:right w:val="nil"/>
            </w:tcBorders>
          </w:tcPr>
          <w:p w14:paraId="138C15C6" w14:textId="77777777" w:rsidR="00E126F7" w:rsidRPr="00A60FD5" w:rsidRDefault="00E126F7" w:rsidP="004143A0">
            <w:pPr>
              <w:spacing w:after="0" w:line="240" w:lineRule="auto"/>
              <w:rPr>
                <w:rFonts w:ascii="Times New Roman" w:hAnsi="Times New Roman" w:cs="Times New Roman"/>
                <w:sz w:val="18"/>
                <w:szCs w:val="18"/>
              </w:rPr>
            </w:pPr>
          </w:p>
        </w:tc>
        <w:tc>
          <w:tcPr>
            <w:tcW w:w="2693" w:type="dxa"/>
            <w:gridSpan w:val="3"/>
            <w:tcBorders>
              <w:top w:val="double" w:sz="4" w:space="0" w:color="auto"/>
              <w:left w:val="nil"/>
              <w:bottom w:val="nil"/>
              <w:right w:val="dotted" w:sz="4" w:space="0" w:color="auto"/>
            </w:tcBorders>
          </w:tcPr>
          <w:p w14:paraId="002BF732" w14:textId="0CC6A3A8" w:rsidR="00E126F7" w:rsidRPr="00A60FD5" w:rsidRDefault="00E126F7" w:rsidP="004143A0">
            <w:pPr>
              <w:spacing w:after="0" w:line="240" w:lineRule="auto"/>
              <w:jc w:val="center"/>
              <w:rPr>
                <w:rFonts w:ascii="Times New Roman" w:hAnsi="Times New Roman" w:cs="Times New Roman"/>
                <w:sz w:val="18"/>
                <w:szCs w:val="18"/>
              </w:rPr>
            </w:pPr>
            <w:r w:rsidRPr="00A60FD5">
              <w:rPr>
                <w:rFonts w:ascii="Times New Roman" w:hAnsi="Times New Roman" w:cs="Times New Roman"/>
                <w:sz w:val="18"/>
                <w:szCs w:val="18"/>
              </w:rPr>
              <w:t>I</w:t>
            </w:r>
          </w:p>
        </w:tc>
        <w:tc>
          <w:tcPr>
            <w:tcW w:w="2693" w:type="dxa"/>
            <w:gridSpan w:val="3"/>
            <w:tcBorders>
              <w:top w:val="double" w:sz="4" w:space="0" w:color="auto"/>
              <w:left w:val="dotted" w:sz="4" w:space="0" w:color="auto"/>
              <w:bottom w:val="nil"/>
              <w:right w:val="dotted" w:sz="4" w:space="0" w:color="auto"/>
            </w:tcBorders>
          </w:tcPr>
          <w:p w14:paraId="31B6D75D" w14:textId="609B1CFA" w:rsidR="00E126F7" w:rsidRPr="00A60FD5" w:rsidRDefault="00E126F7" w:rsidP="004143A0">
            <w:pPr>
              <w:spacing w:after="0" w:line="240" w:lineRule="auto"/>
              <w:jc w:val="center"/>
              <w:rPr>
                <w:rFonts w:ascii="Times New Roman" w:hAnsi="Times New Roman" w:cs="Times New Roman"/>
                <w:sz w:val="18"/>
                <w:szCs w:val="18"/>
              </w:rPr>
            </w:pPr>
            <w:r w:rsidRPr="00A60FD5">
              <w:rPr>
                <w:rFonts w:ascii="Times New Roman" w:hAnsi="Times New Roman" w:cs="Times New Roman"/>
                <w:sz w:val="18"/>
                <w:szCs w:val="18"/>
              </w:rPr>
              <w:t>II</w:t>
            </w:r>
          </w:p>
        </w:tc>
        <w:tc>
          <w:tcPr>
            <w:tcW w:w="2977" w:type="dxa"/>
            <w:gridSpan w:val="3"/>
            <w:tcBorders>
              <w:top w:val="double" w:sz="4" w:space="0" w:color="auto"/>
              <w:left w:val="dotted" w:sz="4" w:space="0" w:color="auto"/>
              <w:bottom w:val="nil"/>
              <w:right w:val="nil"/>
            </w:tcBorders>
          </w:tcPr>
          <w:p w14:paraId="4E70C5FB" w14:textId="2461969C" w:rsidR="00E126F7" w:rsidRPr="00A60FD5" w:rsidRDefault="00E126F7" w:rsidP="004143A0">
            <w:pPr>
              <w:spacing w:after="0" w:line="240" w:lineRule="auto"/>
              <w:jc w:val="center"/>
              <w:rPr>
                <w:rFonts w:ascii="Times New Roman" w:hAnsi="Times New Roman" w:cs="Times New Roman"/>
                <w:sz w:val="18"/>
                <w:szCs w:val="18"/>
              </w:rPr>
            </w:pPr>
            <w:r w:rsidRPr="00A60FD5">
              <w:rPr>
                <w:rFonts w:ascii="Times New Roman" w:hAnsi="Times New Roman" w:cs="Times New Roman"/>
                <w:sz w:val="18"/>
                <w:szCs w:val="18"/>
              </w:rPr>
              <w:t>III</w:t>
            </w:r>
          </w:p>
        </w:tc>
      </w:tr>
      <w:tr w:rsidR="00DE0D97" w:rsidRPr="00A60FD5" w14:paraId="7D6BA85C" w14:textId="77777777" w:rsidTr="00EB08AC">
        <w:trPr>
          <w:trHeight w:val="144"/>
        </w:trPr>
        <w:tc>
          <w:tcPr>
            <w:tcW w:w="3261" w:type="dxa"/>
            <w:tcBorders>
              <w:top w:val="nil"/>
              <w:left w:val="nil"/>
              <w:bottom w:val="single" w:sz="4" w:space="0" w:color="auto"/>
              <w:right w:val="nil"/>
            </w:tcBorders>
          </w:tcPr>
          <w:p w14:paraId="4C4AE863" w14:textId="77777777" w:rsidR="00E126F7" w:rsidRPr="00A60FD5" w:rsidRDefault="00E126F7" w:rsidP="004143A0">
            <w:pPr>
              <w:spacing w:after="0" w:line="240" w:lineRule="auto"/>
              <w:rPr>
                <w:rFonts w:ascii="Times New Roman" w:hAnsi="Times New Roman" w:cs="Times New Roman"/>
                <w:sz w:val="18"/>
                <w:szCs w:val="18"/>
              </w:rPr>
            </w:pPr>
          </w:p>
        </w:tc>
        <w:tc>
          <w:tcPr>
            <w:tcW w:w="850" w:type="dxa"/>
            <w:tcBorders>
              <w:top w:val="nil"/>
              <w:left w:val="nil"/>
              <w:bottom w:val="single" w:sz="4" w:space="0" w:color="auto"/>
              <w:right w:val="nil"/>
            </w:tcBorders>
          </w:tcPr>
          <w:p w14:paraId="70C1FACC" w14:textId="5668EED4" w:rsidR="00E126F7" w:rsidRPr="00A60FD5" w:rsidRDefault="00E126F7" w:rsidP="002145BC">
            <w:pPr>
              <w:spacing w:after="0" w:line="240" w:lineRule="auto"/>
              <w:rPr>
                <w:rFonts w:ascii="Times New Roman" w:hAnsi="Times New Roman" w:cs="Times New Roman"/>
                <w:sz w:val="18"/>
                <w:szCs w:val="18"/>
              </w:rPr>
            </w:pPr>
            <w:r w:rsidRPr="00A60FD5">
              <w:rPr>
                <w:rFonts w:ascii="Times New Roman" w:hAnsi="Times New Roman" w:cs="Times New Roman"/>
                <w:sz w:val="18"/>
                <w:szCs w:val="18"/>
              </w:rPr>
              <w:t>Monit</w:t>
            </w:r>
            <w:r w:rsidR="002145BC" w:rsidRPr="00A60FD5">
              <w:rPr>
                <w:rFonts w:ascii="Times New Roman" w:hAnsi="Times New Roman" w:cs="Times New Roman"/>
                <w:sz w:val="18"/>
                <w:szCs w:val="18"/>
              </w:rPr>
              <w:t>.</w:t>
            </w:r>
          </w:p>
        </w:tc>
        <w:tc>
          <w:tcPr>
            <w:tcW w:w="851" w:type="dxa"/>
            <w:tcBorders>
              <w:top w:val="nil"/>
              <w:left w:val="nil"/>
              <w:bottom w:val="single" w:sz="4" w:space="0" w:color="auto"/>
              <w:right w:val="nil"/>
            </w:tcBorders>
          </w:tcPr>
          <w:p w14:paraId="5CBF6655" w14:textId="77777777" w:rsidR="00E126F7" w:rsidRPr="00A60FD5" w:rsidRDefault="00E126F7" w:rsidP="004143A0">
            <w:pPr>
              <w:spacing w:after="0" w:line="240" w:lineRule="auto"/>
              <w:rPr>
                <w:rFonts w:ascii="Times New Roman" w:hAnsi="Times New Roman" w:cs="Times New Roman"/>
                <w:sz w:val="18"/>
                <w:szCs w:val="18"/>
              </w:rPr>
            </w:pPr>
            <w:r w:rsidRPr="00A60FD5">
              <w:rPr>
                <w:rFonts w:ascii="Times New Roman" w:hAnsi="Times New Roman" w:cs="Times New Roman"/>
                <w:sz w:val="18"/>
                <w:szCs w:val="18"/>
              </w:rPr>
              <w:t>Coord.</w:t>
            </w:r>
          </w:p>
        </w:tc>
        <w:tc>
          <w:tcPr>
            <w:tcW w:w="992" w:type="dxa"/>
            <w:tcBorders>
              <w:top w:val="nil"/>
              <w:left w:val="nil"/>
              <w:bottom w:val="single" w:sz="4" w:space="0" w:color="auto"/>
              <w:right w:val="dotted" w:sz="4" w:space="0" w:color="auto"/>
            </w:tcBorders>
          </w:tcPr>
          <w:p w14:paraId="35C5BF65" w14:textId="28A494FC" w:rsidR="00E126F7" w:rsidRPr="00A60FD5" w:rsidRDefault="00E126F7" w:rsidP="00DE0D97">
            <w:pPr>
              <w:spacing w:after="0" w:line="240" w:lineRule="auto"/>
              <w:rPr>
                <w:rFonts w:ascii="Times New Roman" w:hAnsi="Times New Roman" w:cs="Times New Roman"/>
                <w:sz w:val="18"/>
                <w:szCs w:val="18"/>
              </w:rPr>
            </w:pPr>
            <w:r w:rsidRPr="00A60FD5">
              <w:rPr>
                <w:rFonts w:ascii="Times New Roman" w:hAnsi="Times New Roman" w:cs="Times New Roman"/>
                <w:sz w:val="18"/>
                <w:szCs w:val="18"/>
              </w:rPr>
              <w:t>Arbi</w:t>
            </w:r>
            <w:r w:rsidR="00DE0D97" w:rsidRPr="00A60FD5">
              <w:rPr>
                <w:rFonts w:ascii="Times New Roman" w:hAnsi="Times New Roman" w:cs="Times New Roman"/>
                <w:sz w:val="18"/>
                <w:szCs w:val="18"/>
              </w:rPr>
              <w:t>.</w:t>
            </w:r>
          </w:p>
        </w:tc>
        <w:tc>
          <w:tcPr>
            <w:tcW w:w="992" w:type="dxa"/>
            <w:tcBorders>
              <w:top w:val="nil"/>
              <w:left w:val="dotted" w:sz="4" w:space="0" w:color="auto"/>
              <w:bottom w:val="single" w:sz="4" w:space="0" w:color="auto"/>
              <w:right w:val="nil"/>
            </w:tcBorders>
          </w:tcPr>
          <w:p w14:paraId="7E4C4A79" w14:textId="77777777" w:rsidR="00E126F7" w:rsidRPr="00A60FD5" w:rsidRDefault="00E126F7" w:rsidP="004143A0">
            <w:pPr>
              <w:spacing w:after="0" w:line="240" w:lineRule="auto"/>
              <w:rPr>
                <w:rFonts w:ascii="Times New Roman" w:hAnsi="Times New Roman" w:cs="Times New Roman"/>
                <w:sz w:val="18"/>
                <w:szCs w:val="18"/>
              </w:rPr>
            </w:pPr>
            <w:r w:rsidRPr="00A60FD5">
              <w:rPr>
                <w:rFonts w:ascii="Times New Roman" w:hAnsi="Times New Roman" w:cs="Times New Roman"/>
                <w:sz w:val="18"/>
                <w:szCs w:val="18"/>
              </w:rPr>
              <w:t>Monit.</w:t>
            </w:r>
          </w:p>
        </w:tc>
        <w:tc>
          <w:tcPr>
            <w:tcW w:w="851" w:type="dxa"/>
            <w:tcBorders>
              <w:top w:val="nil"/>
              <w:left w:val="nil"/>
              <w:bottom w:val="single" w:sz="4" w:space="0" w:color="auto"/>
              <w:right w:val="nil"/>
            </w:tcBorders>
          </w:tcPr>
          <w:p w14:paraId="4FD1FA6B" w14:textId="77777777" w:rsidR="00E126F7" w:rsidRPr="00A60FD5" w:rsidRDefault="00E126F7" w:rsidP="004143A0">
            <w:pPr>
              <w:spacing w:after="0" w:line="240" w:lineRule="auto"/>
              <w:rPr>
                <w:rFonts w:ascii="Times New Roman" w:hAnsi="Times New Roman" w:cs="Times New Roman"/>
                <w:sz w:val="18"/>
                <w:szCs w:val="18"/>
              </w:rPr>
            </w:pPr>
            <w:r w:rsidRPr="00A60FD5">
              <w:rPr>
                <w:rFonts w:ascii="Times New Roman" w:hAnsi="Times New Roman" w:cs="Times New Roman"/>
                <w:sz w:val="18"/>
                <w:szCs w:val="18"/>
              </w:rPr>
              <w:t>Coord.</w:t>
            </w:r>
          </w:p>
        </w:tc>
        <w:tc>
          <w:tcPr>
            <w:tcW w:w="850" w:type="dxa"/>
            <w:tcBorders>
              <w:top w:val="nil"/>
              <w:left w:val="nil"/>
              <w:bottom w:val="single" w:sz="4" w:space="0" w:color="auto"/>
              <w:right w:val="dotted" w:sz="4" w:space="0" w:color="auto"/>
            </w:tcBorders>
          </w:tcPr>
          <w:p w14:paraId="4580BB74" w14:textId="4CF4595E" w:rsidR="00E126F7" w:rsidRPr="00A60FD5" w:rsidRDefault="00DE0D97" w:rsidP="00DE0D97">
            <w:pPr>
              <w:spacing w:after="0" w:line="240" w:lineRule="auto"/>
              <w:rPr>
                <w:rFonts w:ascii="Times New Roman" w:hAnsi="Times New Roman" w:cs="Times New Roman"/>
                <w:sz w:val="18"/>
                <w:szCs w:val="18"/>
              </w:rPr>
            </w:pPr>
            <w:r w:rsidRPr="00A60FD5">
              <w:rPr>
                <w:rFonts w:ascii="Times New Roman" w:hAnsi="Times New Roman" w:cs="Times New Roman"/>
                <w:sz w:val="18"/>
                <w:szCs w:val="18"/>
              </w:rPr>
              <w:t>Arbi.</w:t>
            </w:r>
          </w:p>
        </w:tc>
        <w:tc>
          <w:tcPr>
            <w:tcW w:w="1134" w:type="dxa"/>
            <w:tcBorders>
              <w:top w:val="nil"/>
              <w:left w:val="dotted" w:sz="4" w:space="0" w:color="auto"/>
              <w:bottom w:val="single" w:sz="4" w:space="0" w:color="auto"/>
              <w:right w:val="nil"/>
            </w:tcBorders>
          </w:tcPr>
          <w:p w14:paraId="76A43026" w14:textId="77777777" w:rsidR="00E126F7" w:rsidRPr="00A60FD5" w:rsidRDefault="00E126F7" w:rsidP="004143A0">
            <w:pPr>
              <w:spacing w:after="0" w:line="240" w:lineRule="auto"/>
              <w:rPr>
                <w:rFonts w:ascii="Times New Roman" w:hAnsi="Times New Roman" w:cs="Times New Roman"/>
                <w:sz w:val="18"/>
                <w:szCs w:val="18"/>
              </w:rPr>
            </w:pPr>
            <w:r w:rsidRPr="00A60FD5">
              <w:rPr>
                <w:rFonts w:ascii="Times New Roman" w:hAnsi="Times New Roman" w:cs="Times New Roman"/>
                <w:sz w:val="18"/>
                <w:szCs w:val="18"/>
              </w:rPr>
              <w:t>Monit.</w:t>
            </w:r>
          </w:p>
        </w:tc>
        <w:tc>
          <w:tcPr>
            <w:tcW w:w="851" w:type="dxa"/>
            <w:tcBorders>
              <w:top w:val="nil"/>
              <w:left w:val="nil"/>
              <w:bottom w:val="single" w:sz="4" w:space="0" w:color="auto"/>
              <w:right w:val="nil"/>
            </w:tcBorders>
          </w:tcPr>
          <w:p w14:paraId="13D807EF" w14:textId="77777777" w:rsidR="00E126F7" w:rsidRPr="00A60FD5" w:rsidRDefault="00E126F7" w:rsidP="004143A0">
            <w:pPr>
              <w:spacing w:after="0" w:line="240" w:lineRule="auto"/>
              <w:rPr>
                <w:rFonts w:ascii="Times New Roman" w:hAnsi="Times New Roman" w:cs="Times New Roman"/>
                <w:sz w:val="18"/>
                <w:szCs w:val="18"/>
              </w:rPr>
            </w:pPr>
            <w:r w:rsidRPr="00A60FD5">
              <w:rPr>
                <w:rFonts w:ascii="Times New Roman" w:hAnsi="Times New Roman" w:cs="Times New Roman"/>
                <w:sz w:val="18"/>
                <w:szCs w:val="18"/>
              </w:rPr>
              <w:t>Coord.</w:t>
            </w:r>
          </w:p>
        </w:tc>
        <w:tc>
          <w:tcPr>
            <w:tcW w:w="992" w:type="dxa"/>
            <w:tcBorders>
              <w:top w:val="nil"/>
              <w:left w:val="nil"/>
              <w:bottom w:val="single" w:sz="4" w:space="0" w:color="auto"/>
              <w:right w:val="nil"/>
            </w:tcBorders>
          </w:tcPr>
          <w:p w14:paraId="61B5257A" w14:textId="5101B010" w:rsidR="00E126F7" w:rsidRPr="00A60FD5" w:rsidRDefault="00DE0D97" w:rsidP="00DE0D97">
            <w:pPr>
              <w:spacing w:after="0" w:line="240" w:lineRule="auto"/>
              <w:rPr>
                <w:rFonts w:ascii="Times New Roman" w:hAnsi="Times New Roman" w:cs="Times New Roman"/>
                <w:sz w:val="18"/>
                <w:szCs w:val="18"/>
              </w:rPr>
            </w:pPr>
            <w:r w:rsidRPr="00A60FD5">
              <w:rPr>
                <w:rFonts w:ascii="Times New Roman" w:hAnsi="Times New Roman" w:cs="Times New Roman"/>
                <w:sz w:val="18"/>
                <w:szCs w:val="18"/>
              </w:rPr>
              <w:t>Arbi.</w:t>
            </w:r>
          </w:p>
        </w:tc>
      </w:tr>
      <w:tr w:rsidR="00DE0D97" w:rsidRPr="00A60FD5" w14:paraId="753CFC38" w14:textId="77777777" w:rsidTr="00EB08AC">
        <w:trPr>
          <w:trHeight w:hRule="exact" w:val="572"/>
        </w:trPr>
        <w:tc>
          <w:tcPr>
            <w:tcW w:w="3261" w:type="dxa"/>
            <w:tcBorders>
              <w:top w:val="single" w:sz="4" w:space="0" w:color="auto"/>
              <w:left w:val="nil"/>
              <w:bottom w:val="nil"/>
              <w:right w:val="nil"/>
            </w:tcBorders>
          </w:tcPr>
          <w:p w14:paraId="2626D8F8" w14:textId="7B97F60C" w:rsidR="000810C3" w:rsidRPr="00A60FD5" w:rsidRDefault="000810C3" w:rsidP="004539D9">
            <w:pPr>
              <w:spacing w:before="80" w:after="0"/>
              <w:rPr>
                <w:rFonts w:ascii="Times New Roman" w:hAnsi="Times New Roman" w:cs="Times New Roman"/>
                <w:sz w:val="18"/>
                <w:szCs w:val="18"/>
              </w:rPr>
            </w:pPr>
            <w:r w:rsidRPr="00A60FD5">
              <w:rPr>
                <w:rFonts w:ascii="Times New Roman" w:hAnsi="Times New Roman" w:cs="Times New Roman"/>
                <w:sz w:val="18"/>
                <w:szCs w:val="18"/>
              </w:rPr>
              <w:t>Monitoring</w:t>
            </w:r>
          </w:p>
        </w:tc>
        <w:tc>
          <w:tcPr>
            <w:tcW w:w="850" w:type="dxa"/>
            <w:tcBorders>
              <w:top w:val="single" w:sz="4" w:space="0" w:color="auto"/>
              <w:left w:val="nil"/>
              <w:bottom w:val="nil"/>
              <w:right w:val="nil"/>
            </w:tcBorders>
          </w:tcPr>
          <w:p w14:paraId="3B5E6C33" w14:textId="4B42A505" w:rsidR="000810C3" w:rsidRPr="00A60FD5" w:rsidRDefault="000810C3" w:rsidP="00196746">
            <w:pPr>
              <w:spacing w:after="0"/>
              <w:jc w:val="center"/>
              <w:rPr>
                <w:rFonts w:ascii="Times New Roman" w:hAnsi="Times New Roman" w:cs="Times New Roman"/>
                <w:sz w:val="18"/>
                <w:szCs w:val="18"/>
              </w:rPr>
            </w:pPr>
          </w:p>
        </w:tc>
        <w:tc>
          <w:tcPr>
            <w:tcW w:w="851" w:type="dxa"/>
            <w:tcBorders>
              <w:top w:val="single" w:sz="4" w:space="0" w:color="auto"/>
              <w:left w:val="nil"/>
              <w:bottom w:val="nil"/>
              <w:right w:val="nil"/>
            </w:tcBorders>
          </w:tcPr>
          <w:p w14:paraId="3069ACA8" w14:textId="77777777" w:rsidR="000810C3" w:rsidRPr="00A60FD5" w:rsidRDefault="000810C3" w:rsidP="00196746">
            <w:pPr>
              <w:spacing w:after="0"/>
              <w:jc w:val="center"/>
              <w:rPr>
                <w:rFonts w:ascii="Times New Roman" w:hAnsi="Times New Roman" w:cs="Times New Roman"/>
                <w:sz w:val="18"/>
                <w:szCs w:val="18"/>
              </w:rPr>
            </w:pPr>
          </w:p>
        </w:tc>
        <w:tc>
          <w:tcPr>
            <w:tcW w:w="992" w:type="dxa"/>
            <w:tcBorders>
              <w:top w:val="single" w:sz="4" w:space="0" w:color="auto"/>
              <w:left w:val="nil"/>
              <w:bottom w:val="nil"/>
              <w:right w:val="dotted" w:sz="4" w:space="0" w:color="auto"/>
            </w:tcBorders>
          </w:tcPr>
          <w:p w14:paraId="6111717C" w14:textId="77777777" w:rsidR="000810C3" w:rsidRPr="00A60FD5" w:rsidRDefault="000810C3" w:rsidP="00196746">
            <w:pPr>
              <w:spacing w:after="0"/>
              <w:jc w:val="center"/>
              <w:rPr>
                <w:rFonts w:ascii="Times New Roman" w:hAnsi="Times New Roman" w:cs="Times New Roman"/>
                <w:sz w:val="18"/>
                <w:szCs w:val="18"/>
              </w:rPr>
            </w:pPr>
          </w:p>
        </w:tc>
        <w:tc>
          <w:tcPr>
            <w:tcW w:w="992" w:type="dxa"/>
            <w:tcBorders>
              <w:top w:val="single" w:sz="4" w:space="0" w:color="auto"/>
              <w:left w:val="dotted" w:sz="4" w:space="0" w:color="auto"/>
              <w:bottom w:val="nil"/>
              <w:right w:val="nil"/>
            </w:tcBorders>
          </w:tcPr>
          <w:p w14:paraId="753B94AF" w14:textId="7D8FDD96" w:rsidR="000810C3" w:rsidRPr="00A60FD5" w:rsidRDefault="000810C3" w:rsidP="00196746">
            <w:pPr>
              <w:spacing w:after="0"/>
              <w:jc w:val="center"/>
              <w:rPr>
                <w:rFonts w:ascii="Times New Roman" w:hAnsi="Times New Roman" w:cs="Times New Roman"/>
                <w:sz w:val="18"/>
                <w:szCs w:val="18"/>
              </w:rPr>
            </w:pPr>
          </w:p>
        </w:tc>
        <w:tc>
          <w:tcPr>
            <w:tcW w:w="851" w:type="dxa"/>
            <w:tcBorders>
              <w:top w:val="single" w:sz="4" w:space="0" w:color="auto"/>
              <w:left w:val="nil"/>
              <w:bottom w:val="nil"/>
              <w:right w:val="nil"/>
            </w:tcBorders>
          </w:tcPr>
          <w:p w14:paraId="09C3FA55" w14:textId="77777777" w:rsidR="000810C3" w:rsidRPr="00A60FD5" w:rsidRDefault="000810C3" w:rsidP="00196746">
            <w:pPr>
              <w:spacing w:after="0"/>
              <w:jc w:val="center"/>
              <w:rPr>
                <w:rFonts w:ascii="Times New Roman" w:hAnsi="Times New Roman" w:cs="Times New Roman"/>
                <w:sz w:val="18"/>
                <w:szCs w:val="18"/>
              </w:rPr>
            </w:pPr>
          </w:p>
        </w:tc>
        <w:tc>
          <w:tcPr>
            <w:tcW w:w="850" w:type="dxa"/>
            <w:tcBorders>
              <w:top w:val="single" w:sz="4" w:space="0" w:color="auto"/>
              <w:left w:val="nil"/>
              <w:bottom w:val="nil"/>
              <w:right w:val="dotted" w:sz="4" w:space="0" w:color="auto"/>
            </w:tcBorders>
          </w:tcPr>
          <w:p w14:paraId="77A2EA8E" w14:textId="77777777" w:rsidR="000810C3" w:rsidRPr="00A60FD5" w:rsidRDefault="009A0E86" w:rsidP="004248DC">
            <w:pPr>
              <w:spacing w:after="0"/>
              <w:jc w:val="center"/>
              <w:rPr>
                <w:rFonts w:ascii="Times New Roman" w:hAnsi="Times New Roman" w:cs="Times New Roman"/>
                <w:sz w:val="18"/>
                <w:szCs w:val="18"/>
              </w:rPr>
            </w:pPr>
            <w:r w:rsidRPr="00A60FD5">
              <w:rPr>
                <w:rFonts w:ascii="Times New Roman" w:hAnsi="Times New Roman" w:cs="Times New Roman"/>
                <w:sz w:val="18"/>
                <w:szCs w:val="18"/>
              </w:rPr>
              <w:t>0.13</w:t>
            </w:r>
          </w:p>
          <w:p w14:paraId="1CE79206" w14:textId="57C66849" w:rsidR="009A0E86" w:rsidRPr="00A60FD5" w:rsidRDefault="009A0E86" w:rsidP="004248DC">
            <w:pPr>
              <w:spacing w:after="0"/>
              <w:jc w:val="center"/>
              <w:rPr>
                <w:rFonts w:ascii="Times New Roman" w:hAnsi="Times New Roman" w:cs="Times New Roman"/>
                <w:sz w:val="18"/>
                <w:szCs w:val="18"/>
              </w:rPr>
            </w:pPr>
            <w:r w:rsidRPr="00A60FD5">
              <w:rPr>
                <w:rFonts w:ascii="Times New Roman" w:hAnsi="Times New Roman" w:cs="Times New Roman"/>
                <w:sz w:val="18"/>
                <w:szCs w:val="18"/>
              </w:rPr>
              <w:t>(1.45)</w:t>
            </w:r>
          </w:p>
        </w:tc>
        <w:tc>
          <w:tcPr>
            <w:tcW w:w="1134" w:type="dxa"/>
            <w:tcBorders>
              <w:top w:val="single" w:sz="4" w:space="0" w:color="auto"/>
              <w:left w:val="dotted" w:sz="4" w:space="0" w:color="auto"/>
              <w:bottom w:val="nil"/>
              <w:right w:val="nil"/>
            </w:tcBorders>
          </w:tcPr>
          <w:p w14:paraId="7AD9A90C" w14:textId="77777777" w:rsidR="000810C3" w:rsidRPr="00A60FD5" w:rsidRDefault="000810C3" w:rsidP="00196746">
            <w:pPr>
              <w:spacing w:after="0"/>
              <w:jc w:val="center"/>
              <w:rPr>
                <w:rFonts w:ascii="Times New Roman" w:hAnsi="Times New Roman" w:cs="Times New Roman"/>
                <w:sz w:val="18"/>
                <w:szCs w:val="18"/>
              </w:rPr>
            </w:pPr>
          </w:p>
        </w:tc>
        <w:tc>
          <w:tcPr>
            <w:tcW w:w="851" w:type="dxa"/>
            <w:tcBorders>
              <w:top w:val="single" w:sz="4" w:space="0" w:color="auto"/>
              <w:left w:val="nil"/>
              <w:bottom w:val="nil"/>
              <w:right w:val="nil"/>
            </w:tcBorders>
          </w:tcPr>
          <w:p w14:paraId="0B372C65" w14:textId="77777777" w:rsidR="000810C3" w:rsidRPr="00A60FD5" w:rsidRDefault="000810C3" w:rsidP="00196746">
            <w:pPr>
              <w:spacing w:after="0"/>
              <w:jc w:val="center"/>
              <w:rPr>
                <w:rFonts w:ascii="Times New Roman" w:hAnsi="Times New Roman" w:cs="Times New Roman"/>
                <w:sz w:val="18"/>
                <w:szCs w:val="18"/>
              </w:rPr>
            </w:pPr>
          </w:p>
        </w:tc>
        <w:tc>
          <w:tcPr>
            <w:tcW w:w="992" w:type="dxa"/>
            <w:tcBorders>
              <w:top w:val="single" w:sz="4" w:space="0" w:color="auto"/>
              <w:left w:val="nil"/>
              <w:bottom w:val="nil"/>
              <w:right w:val="nil"/>
            </w:tcBorders>
          </w:tcPr>
          <w:p w14:paraId="5EAEDC0E" w14:textId="77777777" w:rsidR="000810C3" w:rsidRPr="00A60FD5" w:rsidRDefault="000810C3" w:rsidP="00196746">
            <w:pPr>
              <w:spacing w:after="0"/>
              <w:jc w:val="center"/>
              <w:rPr>
                <w:rFonts w:ascii="Times New Roman" w:hAnsi="Times New Roman" w:cs="Times New Roman"/>
                <w:sz w:val="18"/>
                <w:szCs w:val="18"/>
              </w:rPr>
            </w:pPr>
          </w:p>
        </w:tc>
      </w:tr>
      <w:tr w:rsidR="00DE0D97" w:rsidRPr="00A60FD5" w14:paraId="3B0673CF" w14:textId="77777777" w:rsidTr="00EB08AC">
        <w:trPr>
          <w:trHeight w:hRule="exact" w:val="555"/>
        </w:trPr>
        <w:tc>
          <w:tcPr>
            <w:tcW w:w="3261" w:type="dxa"/>
            <w:tcBorders>
              <w:top w:val="nil"/>
              <w:left w:val="nil"/>
              <w:bottom w:val="nil"/>
              <w:right w:val="nil"/>
            </w:tcBorders>
          </w:tcPr>
          <w:p w14:paraId="3FA4E934" w14:textId="400D42BF" w:rsidR="000810C3" w:rsidRPr="00A60FD5" w:rsidRDefault="000810C3" w:rsidP="004539D9">
            <w:pPr>
              <w:spacing w:before="80" w:after="0"/>
              <w:rPr>
                <w:rFonts w:ascii="Times New Roman" w:hAnsi="Times New Roman" w:cs="Times New Roman"/>
                <w:sz w:val="18"/>
                <w:szCs w:val="18"/>
              </w:rPr>
            </w:pPr>
            <w:r w:rsidRPr="00A60FD5">
              <w:rPr>
                <w:rFonts w:ascii="Times New Roman" w:hAnsi="Times New Roman" w:cs="Times New Roman"/>
                <w:sz w:val="18"/>
                <w:szCs w:val="18"/>
              </w:rPr>
              <w:t>Coordination</w:t>
            </w:r>
          </w:p>
        </w:tc>
        <w:tc>
          <w:tcPr>
            <w:tcW w:w="850" w:type="dxa"/>
            <w:tcBorders>
              <w:top w:val="nil"/>
              <w:left w:val="nil"/>
              <w:bottom w:val="nil"/>
              <w:right w:val="nil"/>
            </w:tcBorders>
          </w:tcPr>
          <w:p w14:paraId="34934948" w14:textId="77777777" w:rsidR="000810C3" w:rsidRPr="00A60FD5" w:rsidRDefault="000810C3" w:rsidP="00F4357D">
            <w:pPr>
              <w:spacing w:after="0"/>
              <w:jc w:val="center"/>
              <w:rPr>
                <w:rFonts w:ascii="Times New Roman" w:hAnsi="Times New Roman" w:cs="Times New Roman"/>
                <w:sz w:val="18"/>
                <w:szCs w:val="18"/>
              </w:rPr>
            </w:pPr>
          </w:p>
        </w:tc>
        <w:tc>
          <w:tcPr>
            <w:tcW w:w="851" w:type="dxa"/>
            <w:tcBorders>
              <w:top w:val="nil"/>
              <w:left w:val="nil"/>
              <w:bottom w:val="nil"/>
              <w:right w:val="nil"/>
            </w:tcBorders>
          </w:tcPr>
          <w:p w14:paraId="116F1D62" w14:textId="77777777" w:rsidR="000810C3" w:rsidRPr="00A60FD5" w:rsidRDefault="000810C3" w:rsidP="00F4357D">
            <w:pPr>
              <w:spacing w:after="0"/>
              <w:jc w:val="center"/>
              <w:rPr>
                <w:rFonts w:ascii="Times New Roman" w:hAnsi="Times New Roman" w:cs="Times New Roman"/>
                <w:sz w:val="18"/>
                <w:szCs w:val="18"/>
              </w:rPr>
            </w:pPr>
          </w:p>
        </w:tc>
        <w:tc>
          <w:tcPr>
            <w:tcW w:w="992" w:type="dxa"/>
            <w:tcBorders>
              <w:top w:val="nil"/>
              <w:left w:val="nil"/>
              <w:bottom w:val="nil"/>
              <w:right w:val="dotted" w:sz="4" w:space="0" w:color="auto"/>
            </w:tcBorders>
          </w:tcPr>
          <w:p w14:paraId="6EC7045A" w14:textId="77777777" w:rsidR="000810C3" w:rsidRPr="00A60FD5" w:rsidRDefault="000810C3" w:rsidP="00F4357D">
            <w:pPr>
              <w:spacing w:after="0"/>
              <w:jc w:val="center"/>
              <w:rPr>
                <w:rFonts w:ascii="Times New Roman" w:hAnsi="Times New Roman" w:cs="Times New Roman"/>
                <w:sz w:val="18"/>
                <w:szCs w:val="18"/>
              </w:rPr>
            </w:pPr>
          </w:p>
        </w:tc>
        <w:tc>
          <w:tcPr>
            <w:tcW w:w="992" w:type="dxa"/>
            <w:tcBorders>
              <w:top w:val="nil"/>
              <w:left w:val="dotted" w:sz="4" w:space="0" w:color="auto"/>
              <w:bottom w:val="nil"/>
              <w:right w:val="nil"/>
            </w:tcBorders>
          </w:tcPr>
          <w:p w14:paraId="63FEE309" w14:textId="77777777" w:rsidR="000810C3" w:rsidRPr="00A60FD5" w:rsidRDefault="000810C3" w:rsidP="00F4357D">
            <w:pPr>
              <w:spacing w:after="0"/>
              <w:jc w:val="center"/>
              <w:rPr>
                <w:rFonts w:ascii="Times New Roman" w:hAnsi="Times New Roman" w:cs="Times New Roman"/>
                <w:sz w:val="18"/>
                <w:szCs w:val="18"/>
              </w:rPr>
            </w:pPr>
          </w:p>
        </w:tc>
        <w:tc>
          <w:tcPr>
            <w:tcW w:w="851" w:type="dxa"/>
            <w:tcBorders>
              <w:top w:val="nil"/>
              <w:left w:val="nil"/>
              <w:bottom w:val="nil"/>
              <w:right w:val="nil"/>
            </w:tcBorders>
          </w:tcPr>
          <w:p w14:paraId="4458B14D" w14:textId="77777777" w:rsidR="000810C3" w:rsidRPr="00A60FD5" w:rsidRDefault="000810C3" w:rsidP="00F4357D">
            <w:pPr>
              <w:spacing w:after="0"/>
              <w:jc w:val="center"/>
              <w:rPr>
                <w:rFonts w:ascii="Times New Roman" w:hAnsi="Times New Roman" w:cs="Times New Roman"/>
                <w:sz w:val="18"/>
                <w:szCs w:val="18"/>
              </w:rPr>
            </w:pPr>
          </w:p>
        </w:tc>
        <w:tc>
          <w:tcPr>
            <w:tcW w:w="850" w:type="dxa"/>
            <w:tcBorders>
              <w:top w:val="nil"/>
              <w:left w:val="nil"/>
              <w:bottom w:val="nil"/>
              <w:right w:val="dotted" w:sz="4" w:space="0" w:color="auto"/>
            </w:tcBorders>
          </w:tcPr>
          <w:p w14:paraId="46547E5D" w14:textId="5E369C58" w:rsidR="000810C3" w:rsidRPr="00A60FD5" w:rsidRDefault="000810C3" w:rsidP="00F4357D">
            <w:pPr>
              <w:spacing w:after="0"/>
              <w:jc w:val="center"/>
              <w:rPr>
                <w:rFonts w:ascii="Times New Roman" w:hAnsi="Times New Roman" w:cs="Times New Roman"/>
                <w:sz w:val="18"/>
                <w:szCs w:val="18"/>
              </w:rPr>
            </w:pPr>
          </w:p>
        </w:tc>
        <w:tc>
          <w:tcPr>
            <w:tcW w:w="1134" w:type="dxa"/>
            <w:tcBorders>
              <w:top w:val="nil"/>
              <w:left w:val="dotted" w:sz="4" w:space="0" w:color="auto"/>
              <w:bottom w:val="nil"/>
              <w:right w:val="nil"/>
            </w:tcBorders>
          </w:tcPr>
          <w:p w14:paraId="3280819D" w14:textId="77777777" w:rsidR="000810C3" w:rsidRPr="00A60FD5" w:rsidRDefault="000810C3" w:rsidP="00F4357D">
            <w:pPr>
              <w:spacing w:after="0"/>
              <w:jc w:val="center"/>
              <w:rPr>
                <w:rFonts w:ascii="Times New Roman" w:hAnsi="Times New Roman" w:cs="Times New Roman"/>
                <w:sz w:val="18"/>
                <w:szCs w:val="18"/>
              </w:rPr>
            </w:pPr>
          </w:p>
        </w:tc>
        <w:tc>
          <w:tcPr>
            <w:tcW w:w="851" w:type="dxa"/>
            <w:tcBorders>
              <w:top w:val="nil"/>
              <w:left w:val="nil"/>
              <w:bottom w:val="nil"/>
              <w:right w:val="nil"/>
            </w:tcBorders>
          </w:tcPr>
          <w:p w14:paraId="06F936FC" w14:textId="77777777" w:rsidR="000810C3" w:rsidRPr="00A60FD5" w:rsidRDefault="000810C3" w:rsidP="00F4357D">
            <w:pPr>
              <w:spacing w:after="0"/>
              <w:jc w:val="center"/>
              <w:rPr>
                <w:rFonts w:ascii="Times New Roman" w:hAnsi="Times New Roman" w:cs="Times New Roman"/>
                <w:sz w:val="18"/>
                <w:szCs w:val="18"/>
              </w:rPr>
            </w:pPr>
          </w:p>
        </w:tc>
        <w:tc>
          <w:tcPr>
            <w:tcW w:w="992" w:type="dxa"/>
            <w:tcBorders>
              <w:top w:val="nil"/>
              <w:left w:val="nil"/>
              <w:bottom w:val="nil"/>
              <w:right w:val="nil"/>
            </w:tcBorders>
          </w:tcPr>
          <w:p w14:paraId="3412F9FE" w14:textId="77777777" w:rsidR="000810C3" w:rsidRPr="00A60FD5" w:rsidRDefault="00DE74E5" w:rsidP="00F4357D">
            <w:pPr>
              <w:spacing w:after="0"/>
              <w:jc w:val="center"/>
              <w:rPr>
                <w:rFonts w:ascii="Times New Roman" w:hAnsi="Times New Roman" w:cs="Times New Roman"/>
                <w:sz w:val="18"/>
                <w:szCs w:val="18"/>
              </w:rPr>
            </w:pPr>
            <w:r w:rsidRPr="00A60FD5">
              <w:rPr>
                <w:rFonts w:ascii="Times New Roman" w:hAnsi="Times New Roman" w:cs="Times New Roman"/>
                <w:sz w:val="18"/>
                <w:szCs w:val="18"/>
              </w:rPr>
              <w:t>0.51*</w:t>
            </w:r>
          </w:p>
          <w:p w14:paraId="21BF17F2" w14:textId="344C2CA2" w:rsidR="00DE74E5" w:rsidRPr="00A60FD5" w:rsidRDefault="00DE74E5" w:rsidP="00F4357D">
            <w:pPr>
              <w:spacing w:after="0"/>
              <w:jc w:val="center"/>
              <w:rPr>
                <w:rFonts w:ascii="Times New Roman" w:hAnsi="Times New Roman" w:cs="Times New Roman"/>
                <w:sz w:val="18"/>
                <w:szCs w:val="18"/>
              </w:rPr>
            </w:pPr>
            <w:r w:rsidRPr="00A60FD5">
              <w:rPr>
                <w:rFonts w:ascii="Times New Roman" w:hAnsi="Times New Roman" w:cs="Times New Roman"/>
                <w:sz w:val="18"/>
                <w:szCs w:val="18"/>
              </w:rPr>
              <w:t>(0.21)</w:t>
            </w:r>
          </w:p>
        </w:tc>
      </w:tr>
      <w:tr w:rsidR="00DE0D97" w:rsidRPr="00A60FD5" w14:paraId="7E8CE47E" w14:textId="77777777" w:rsidTr="00EB08AC">
        <w:trPr>
          <w:trHeight w:hRule="exact" w:val="483"/>
        </w:trPr>
        <w:tc>
          <w:tcPr>
            <w:tcW w:w="3261" w:type="dxa"/>
            <w:tcBorders>
              <w:top w:val="nil"/>
              <w:left w:val="nil"/>
              <w:bottom w:val="nil"/>
              <w:right w:val="nil"/>
            </w:tcBorders>
          </w:tcPr>
          <w:p w14:paraId="1C61D030" w14:textId="570D4CE7" w:rsidR="000810C3" w:rsidRPr="00A60FD5" w:rsidRDefault="000810C3" w:rsidP="004539D9">
            <w:pPr>
              <w:spacing w:before="80" w:after="0"/>
              <w:rPr>
                <w:rFonts w:ascii="Times New Roman" w:hAnsi="Times New Roman" w:cs="Times New Roman"/>
                <w:sz w:val="18"/>
                <w:szCs w:val="18"/>
              </w:rPr>
            </w:pPr>
            <w:r w:rsidRPr="00A60FD5">
              <w:rPr>
                <w:rFonts w:ascii="Times New Roman" w:hAnsi="Times New Roman" w:cs="Times New Roman"/>
                <w:sz w:val="18"/>
                <w:szCs w:val="18"/>
              </w:rPr>
              <w:t>Tacitness</w:t>
            </w:r>
          </w:p>
        </w:tc>
        <w:tc>
          <w:tcPr>
            <w:tcW w:w="850" w:type="dxa"/>
            <w:tcBorders>
              <w:top w:val="nil"/>
              <w:left w:val="nil"/>
              <w:bottom w:val="nil"/>
              <w:right w:val="nil"/>
            </w:tcBorders>
          </w:tcPr>
          <w:p w14:paraId="249E9C01" w14:textId="77777777" w:rsidR="000810C3" w:rsidRPr="00A60FD5" w:rsidRDefault="00310478" w:rsidP="00F4357D">
            <w:pPr>
              <w:spacing w:after="0"/>
              <w:jc w:val="center"/>
              <w:rPr>
                <w:rFonts w:ascii="Times New Roman" w:hAnsi="Times New Roman" w:cs="Times New Roman"/>
                <w:sz w:val="18"/>
                <w:szCs w:val="18"/>
              </w:rPr>
            </w:pPr>
            <w:r w:rsidRPr="00A60FD5">
              <w:rPr>
                <w:rFonts w:ascii="Times New Roman" w:hAnsi="Times New Roman" w:cs="Times New Roman"/>
                <w:sz w:val="18"/>
                <w:szCs w:val="18"/>
              </w:rPr>
              <w:t>0.07</w:t>
            </w:r>
          </w:p>
          <w:p w14:paraId="16E2AC8F" w14:textId="158B91BA" w:rsidR="00310478" w:rsidRPr="00A60FD5" w:rsidRDefault="00310478" w:rsidP="00F4357D">
            <w:pPr>
              <w:spacing w:after="0"/>
              <w:jc w:val="center"/>
              <w:rPr>
                <w:rFonts w:ascii="Times New Roman" w:hAnsi="Times New Roman" w:cs="Times New Roman"/>
                <w:sz w:val="18"/>
                <w:szCs w:val="18"/>
              </w:rPr>
            </w:pPr>
            <w:r w:rsidRPr="00A60FD5">
              <w:rPr>
                <w:rFonts w:ascii="Times New Roman" w:hAnsi="Times New Roman" w:cs="Times New Roman"/>
                <w:sz w:val="18"/>
                <w:szCs w:val="18"/>
              </w:rPr>
              <w:t>(0.05)</w:t>
            </w:r>
          </w:p>
        </w:tc>
        <w:tc>
          <w:tcPr>
            <w:tcW w:w="851" w:type="dxa"/>
            <w:tcBorders>
              <w:top w:val="nil"/>
              <w:left w:val="nil"/>
              <w:bottom w:val="nil"/>
              <w:right w:val="nil"/>
            </w:tcBorders>
          </w:tcPr>
          <w:p w14:paraId="6C5D3799" w14:textId="77777777" w:rsidR="000810C3" w:rsidRPr="00A60FD5" w:rsidRDefault="008E23C0" w:rsidP="00F4357D">
            <w:pPr>
              <w:spacing w:after="0"/>
              <w:jc w:val="center"/>
              <w:rPr>
                <w:rFonts w:ascii="Times New Roman" w:hAnsi="Times New Roman" w:cs="Times New Roman"/>
                <w:sz w:val="18"/>
                <w:szCs w:val="18"/>
              </w:rPr>
            </w:pPr>
            <w:r w:rsidRPr="00A60FD5">
              <w:rPr>
                <w:rFonts w:ascii="Times New Roman" w:hAnsi="Times New Roman" w:cs="Times New Roman"/>
                <w:sz w:val="18"/>
                <w:szCs w:val="18"/>
              </w:rPr>
              <w:t>-0.02</w:t>
            </w:r>
          </w:p>
          <w:p w14:paraId="2E079D21" w14:textId="3B344426" w:rsidR="008E23C0" w:rsidRPr="00A60FD5" w:rsidRDefault="008E23C0" w:rsidP="00F4357D">
            <w:pPr>
              <w:spacing w:after="0"/>
              <w:jc w:val="center"/>
              <w:rPr>
                <w:rFonts w:ascii="Times New Roman" w:hAnsi="Times New Roman" w:cs="Times New Roman"/>
                <w:sz w:val="18"/>
                <w:szCs w:val="18"/>
              </w:rPr>
            </w:pPr>
            <w:r w:rsidRPr="00A60FD5">
              <w:rPr>
                <w:rFonts w:ascii="Times New Roman" w:hAnsi="Times New Roman" w:cs="Times New Roman"/>
                <w:sz w:val="18"/>
                <w:szCs w:val="18"/>
              </w:rPr>
              <w:t>(0.11)</w:t>
            </w:r>
          </w:p>
        </w:tc>
        <w:tc>
          <w:tcPr>
            <w:tcW w:w="992" w:type="dxa"/>
            <w:tcBorders>
              <w:top w:val="nil"/>
              <w:left w:val="nil"/>
              <w:bottom w:val="nil"/>
              <w:right w:val="dotted" w:sz="4" w:space="0" w:color="auto"/>
            </w:tcBorders>
          </w:tcPr>
          <w:p w14:paraId="75571653" w14:textId="77777777" w:rsidR="000810C3" w:rsidRPr="00A60FD5" w:rsidRDefault="004D234A" w:rsidP="00F4357D">
            <w:pPr>
              <w:spacing w:after="0"/>
              <w:jc w:val="center"/>
              <w:rPr>
                <w:rFonts w:ascii="Times New Roman" w:hAnsi="Times New Roman" w:cs="Times New Roman"/>
                <w:sz w:val="18"/>
                <w:szCs w:val="18"/>
              </w:rPr>
            </w:pPr>
            <w:r w:rsidRPr="00A60FD5">
              <w:rPr>
                <w:rFonts w:ascii="Times New Roman" w:hAnsi="Times New Roman" w:cs="Times New Roman"/>
                <w:sz w:val="18"/>
                <w:szCs w:val="18"/>
              </w:rPr>
              <w:t>0.11</w:t>
            </w:r>
          </w:p>
          <w:p w14:paraId="7B2CD4BC" w14:textId="115CC1CF" w:rsidR="004D234A" w:rsidRPr="00A60FD5" w:rsidRDefault="004D234A" w:rsidP="00F4357D">
            <w:pPr>
              <w:spacing w:after="0"/>
              <w:jc w:val="center"/>
              <w:rPr>
                <w:rFonts w:ascii="Times New Roman" w:hAnsi="Times New Roman" w:cs="Times New Roman"/>
                <w:sz w:val="18"/>
                <w:szCs w:val="18"/>
              </w:rPr>
            </w:pPr>
            <w:r w:rsidRPr="00A60FD5">
              <w:rPr>
                <w:rFonts w:ascii="Times New Roman" w:hAnsi="Times New Roman" w:cs="Times New Roman"/>
                <w:sz w:val="18"/>
                <w:szCs w:val="18"/>
              </w:rPr>
              <w:t>(0.15)</w:t>
            </w:r>
          </w:p>
        </w:tc>
        <w:tc>
          <w:tcPr>
            <w:tcW w:w="992" w:type="dxa"/>
            <w:tcBorders>
              <w:top w:val="nil"/>
              <w:left w:val="dotted" w:sz="4" w:space="0" w:color="auto"/>
              <w:bottom w:val="nil"/>
              <w:right w:val="nil"/>
            </w:tcBorders>
          </w:tcPr>
          <w:p w14:paraId="4629F656" w14:textId="77777777" w:rsidR="00441A49" w:rsidRPr="00A60FD5" w:rsidRDefault="00441A49" w:rsidP="00F4357D">
            <w:pPr>
              <w:spacing w:after="0"/>
              <w:jc w:val="center"/>
              <w:rPr>
                <w:rFonts w:ascii="Times New Roman" w:hAnsi="Times New Roman" w:cs="Times New Roman"/>
                <w:sz w:val="18"/>
                <w:szCs w:val="18"/>
              </w:rPr>
            </w:pPr>
            <w:r w:rsidRPr="00A60FD5">
              <w:rPr>
                <w:rFonts w:ascii="Times New Roman" w:hAnsi="Times New Roman" w:cs="Times New Roman"/>
                <w:sz w:val="18"/>
                <w:szCs w:val="18"/>
              </w:rPr>
              <w:t>0.07</w:t>
            </w:r>
          </w:p>
          <w:p w14:paraId="01EA324D" w14:textId="60303000" w:rsidR="00441A49" w:rsidRPr="00A60FD5" w:rsidRDefault="00441A49" w:rsidP="00F4357D">
            <w:pPr>
              <w:spacing w:after="0"/>
              <w:jc w:val="center"/>
              <w:rPr>
                <w:rFonts w:ascii="Times New Roman" w:hAnsi="Times New Roman" w:cs="Times New Roman"/>
                <w:sz w:val="18"/>
                <w:szCs w:val="18"/>
              </w:rPr>
            </w:pPr>
            <w:r w:rsidRPr="00A60FD5">
              <w:rPr>
                <w:rFonts w:ascii="Times New Roman" w:hAnsi="Times New Roman" w:cs="Times New Roman"/>
                <w:sz w:val="18"/>
                <w:szCs w:val="18"/>
              </w:rPr>
              <w:t>(0.05)</w:t>
            </w:r>
          </w:p>
        </w:tc>
        <w:tc>
          <w:tcPr>
            <w:tcW w:w="851" w:type="dxa"/>
            <w:tcBorders>
              <w:top w:val="nil"/>
              <w:left w:val="nil"/>
              <w:bottom w:val="nil"/>
              <w:right w:val="nil"/>
            </w:tcBorders>
          </w:tcPr>
          <w:p w14:paraId="218CECE5" w14:textId="77777777" w:rsidR="000810C3" w:rsidRPr="00A60FD5" w:rsidRDefault="00441A49" w:rsidP="00F4357D">
            <w:pPr>
              <w:spacing w:after="0"/>
              <w:jc w:val="center"/>
              <w:rPr>
                <w:rFonts w:ascii="Times New Roman" w:hAnsi="Times New Roman" w:cs="Times New Roman"/>
                <w:sz w:val="18"/>
                <w:szCs w:val="18"/>
              </w:rPr>
            </w:pPr>
            <w:r w:rsidRPr="00A60FD5">
              <w:rPr>
                <w:rFonts w:ascii="Times New Roman" w:hAnsi="Times New Roman" w:cs="Times New Roman"/>
                <w:sz w:val="18"/>
                <w:szCs w:val="18"/>
              </w:rPr>
              <w:t>-0.02</w:t>
            </w:r>
          </w:p>
          <w:p w14:paraId="10986D25" w14:textId="70883A2E" w:rsidR="00441A49" w:rsidRPr="00A60FD5" w:rsidRDefault="00441A49" w:rsidP="00F4357D">
            <w:pPr>
              <w:spacing w:after="0"/>
              <w:jc w:val="center"/>
              <w:rPr>
                <w:rFonts w:ascii="Times New Roman" w:hAnsi="Times New Roman" w:cs="Times New Roman"/>
                <w:sz w:val="18"/>
                <w:szCs w:val="18"/>
              </w:rPr>
            </w:pPr>
            <w:r w:rsidRPr="00A60FD5">
              <w:rPr>
                <w:rFonts w:ascii="Times New Roman" w:hAnsi="Times New Roman" w:cs="Times New Roman"/>
                <w:sz w:val="18"/>
                <w:szCs w:val="18"/>
              </w:rPr>
              <w:t>(0.11)</w:t>
            </w:r>
          </w:p>
        </w:tc>
        <w:tc>
          <w:tcPr>
            <w:tcW w:w="850" w:type="dxa"/>
            <w:tcBorders>
              <w:top w:val="nil"/>
              <w:left w:val="nil"/>
              <w:bottom w:val="nil"/>
              <w:right w:val="dotted" w:sz="4" w:space="0" w:color="auto"/>
            </w:tcBorders>
          </w:tcPr>
          <w:p w14:paraId="719B9C9F" w14:textId="77777777" w:rsidR="000810C3" w:rsidRPr="00A60FD5" w:rsidRDefault="009A0E86" w:rsidP="00F4357D">
            <w:pPr>
              <w:spacing w:after="0"/>
              <w:jc w:val="center"/>
              <w:rPr>
                <w:rFonts w:ascii="Times New Roman" w:hAnsi="Times New Roman" w:cs="Times New Roman"/>
                <w:sz w:val="18"/>
                <w:szCs w:val="18"/>
              </w:rPr>
            </w:pPr>
            <w:r w:rsidRPr="00A60FD5">
              <w:rPr>
                <w:rFonts w:ascii="Times New Roman" w:hAnsi="Times New Roman" w:cs="Times New Roman"/>
                <w:sz w:val="18"/>
                <w:szCs w:val="18"/>
              </w:rPr>
              <w:t>0.10</w:t>
            </w:r>
          </w:p>
          <w:p w14:paraId="0C9233DD" w14:textId="665B0E34" w:rsidR="009A0E86" w:rsidRPr="00A60FD5" w:rsidRDefault="009A0E86" w:rsidP="00F4357D">
            <w:pPr>
              <w:spacing w:after="0"/>
              <w:jc w:val="center"/>
              <w:rPr>
                <w:rFonts w:ascii="Times New Roman" w:hAnsi="Times New Roman" w:cs="Times New Roman"/>
                <w:sz w:val="18"/>
                <w:szCs w:val="18"/>
              </w:rPr>
            </w:pPr>
            <w:r w:rsidRPr="00A60FD5">
              <w:rPr>
                <w:rFonts w:ascii="Times New Roman" w:hAnsi="Times New Roman" w:cs="Times New Roman"/>
                <w:sz w:val="18"/>
                <w:szCs w:val="18"/>
              </w:rPr>
              <w:t>(0.18)</w:t>
            </w:r>
          </w:p>
        </w:tc>
        <w:tc>
          <w:tcPr>
            <w:tcW w:w="1134" w:type="dxa"/>
            <w:tcBorders>
              <w:top w:val="nil"/>
              <w:left w:val="dotted" w:sz="4" w:space="0" w:color="auto"/>
              <w:bottom w:val="nil"/>
              <w:right w:val="nil"/>
            </w:tcBorders>
          </w:tcPr>
          <w:p w14:paraId="7B524C85" w14:textId="77777777" w:rsidR="000810C3" w:rsidRPr="00A60FD5" w:rsidRDefault="00DB112C" w:rsidP="00F4357D">
            <w:pPr>
              <w:spacing w:after="0"/>
              <w:jc w:val="center"/>
              <w:rPr>
                <w:rFonts w:ascii="Times New Roman" w:hAnsi="Times New Roman" w:cs="Times New Roman"/>
                <w:sz w:val="18"/>
                <w:szCs w:val="18"/>
              </w:rPr>
            </w:pPr>
            <w:r w:rsidRPr="00A60FD5">
              <w:rPr>
                <w:rFonts w:ascii="Times New Roman" w:hAnsi="Times New Roman" w:cs="Times New Roman"/>
                <w:sz w:val="18"/>
                <w:szCs w:val="18"/>
              </w:rPr>
              <w:t>0.07</w:t>
            </w:r>
          </w:p>
          <w:p w14:paraId="5FDC608D" w14:textId="22530B95" w:rsidR="00DB112C" w:rsidRPr="00A60FD5" w:rsidRDefault="00DB112C" w:rsidP="00F4357D">
            <w:pPr>
              <w:spacing w:after="0"/>
              <w:jc w:val="center"/>
              <w:rPr>
                <w:rFonts w:ascii="Times New Roman" w:hAnsi="Times New Roman" w:cs="Times New Roman"/>
                <w:sz w:val="18"/>
                <w:szCs w:val="18"/>
              </w:rPr>
            </w:pPr>
            <w:r w:rsidRPr="00A60FD5">
              <w:rPr>
                <w:rFonts w:ascii="Times New Roman" w:hAnsi="Times New Roman" w:cs="Times New Roman"/>
                <w:sz w:val="18"/>
                <w:szCs w:val="18"/>
              </w:rPr>
              <w:t>(0.05)</w:t>
            </w:r>
          </w:p>
        </w:tc>
        <w:tc>
          <w:tcPr>
            <w:tcW w:w="851" w:type="dxa"/>
            <w:tcBorders>
              <w:top w:val="nil"/>
              <w:left w:val="nil"/>
              <w:bottom w:val="nil"/>
              <w:right w:val="nil"/>
            </w:tcBorders>
          </w:tcPr>
          <w:p w14:paraId="3571DE36" w14:textId="77777777" w:rsidR="000810C3" w:rsidRPr="00A60FD5" w:rsidRDefault="00DE74E5" w:rsidP="00F4357D">
            <w:pPr>
              <w:spacing w:after="0"/>
              <w:jc w:val="center"/>
              <w:rPr>
                <w:rFonts w:ascii="Times New Roman" w:hAnsi="Times New Roman" w:cs="Times New Roman"/>
                <w:sz w:val="18"/>
                <w:szCs w:val="18"/>
              </w:rPr>
            </w:pPr>
            <w:r w:rsidRPr="00A60FD5">
              <w:rPr>
                <w:rFonts w:ascii="Times New Roman" w:hAnsi="Times New Roman" w:cs="Times New Roman"/>
                <w:sz w:val="18"/>
                <w:szCs w:val="18"/>
              </w:rPr>
              <w:t>-0.03</w:t>
            </w:r>
          </w:p>
          <w:p w14:paraId="2470F510" w14:textId="3526A830" w:rsidR="00DE74E5" w:rsidRPr="00A60FD5" w:rsidRDefault="00DE74E5" w:rsidP="00F4357D">
            <w:pPr>
              <w:spacing w:after="0"/>
              <w:jc w:val="center"/>
              <w:rPr>
                <w:rFonts w:ascii="Times New Roman" w:hAnsi="Times New Roman" w:cs="Times New Roman"/>
                <w:sz w:val="18"/>
                <w:szCs w:val="18"/>
              </w:rPr>
            </w:pPr>
            <w:r w:rsidRPr="00A60FD5">
              <w:rPr>
                <w:rFonts w:ascii="Times New Roman" w:hAnsi="Times New Roman" w:cs="Times New Roman"/>
                <w:sz w:val="18"/>
                <w:szCs w:val="18"/>
              </w:rPr>
              <w:t>(0.11)</w:t>
            </w:r>
          </w:p>
        </w:tc>
        <w:tc>
          <w:tcPr>
            <w:tcW w:w="992" w:type="dxa"/>
            <w:tcBorders>
              <w:top w:val="nil"/>
              <w:left w:val="nil"/>
              <w:bottom w:val="nil"/>
              <w:right w:val="nil"/>
            </w:tcBorders>
          </w:tcPr>
          <w:p w14:paraId="69592036" w14:textId="77777777" w:rsidR="000810C3" w:rsidRPr="00A60FD5" w:rsidRDefault="00DE74E5" w:rsidP="00F4357D">
            <w:pPr>
              <w:spacing w:after="0"/>
              <w:jc w:val="center"/>
              <w:rPr>
                <w:rFonts w:ascii="Times New Roman" w:hAnsi="Times New Roman" w:cs="Times New Roman"/>
                <w:sz w:val="18"/>
                <w:szCs w:val="18"/>
              </w:rPr>
            </w:pPr>
            <w:r w:rsidRPr="00A60FD5">
              <w:rPr>
                <w:rFonts w:ascii="Times New Roman" w:hAnsi="Times New Roman" w:cs="Times New Roman"/>
                <w:sz w:val="18"/>
                <w:szCs w:val="18"/>
              </w:rPr>
              <w:t>0.14</w:t>
            </w:r>
          </w:p>
          <w:p w14:paraId="1C76399C" w14:textId="72F731B4" w:rsidR="00DE74E5" w:rsidRPr="00A60FD5" w:rsidRDefault="00DE74E5" w:rsidP="00F4357D">
            <w:pPr>
              <w:spacing w:after="0"/>
              <w:jc w:val="center"/>
              <w:rPr>
                <w:rFonts w:ascii="Times New Roman" w:hAnsi="Times New Roman" w:cs="Times New Roman"/>
                <w:sz w:val="18"/>
                <w:szCs w:val="18"/>
              </w:rPr>
            </w:pPr>
            <w:r w:rsidRPr="00A60FD5">
              <w:rPr>
                <w:rFonts w:ascii="Times New Roman" w:hAnsi="Times New Roman" w:cs="Times New Roman"/>
                <w:sz w:val="18"/>
                <w:szCs w:val="18"/>
              </w:rPr>
              <w:t>(0.14)</w:t>
            </w:r>
          </w:p>
        </w:tc>
      </w:tr>
      <w:tr w:rsidR="00DE0D97" w:rsidRPr="00A60FD5" w14:paraId="63B3E8A6" w14:textId="77777777" w:rsidTr="00EB08AC">
        <w:trPr>
          <w:trHeight w:hRule="exact" w:val="483"/>
        </w:trPr>
        <w:tc>
          <w:tcPr>
            <w:tcW w:w="3261" w:type="dxa"/>
            <w:tcBorders>
              <w:top w:val="nil"/>
              <w:left w:val="nil"/>
              <w:bottom w:val="nil"/>
              <w:right w:val="nil"/>
            </w:tcBorders>
          </w:tcPr>
          <w:p w14:paraId="7E26B945" w14:textId="73D38B15" w:rsidR="000810C3" w:rsidRPr="00A60FD5" w:rsidRDefault="000810C3" w:rsidP="00AF0BDD">
            <w:pPr>
              <w:spacing w:before="80" w:after="0"/>
              <w:rPr>
                <w:rFonts w:ascii="Times New Roman" w:hAnsi="Times New Roman" w:cs="Times New Roman"/>
                <w:sz w:val="18"/>
                <w:szCs w:val="18"/>
              </w:rPr>
            </w:pPr>
            <w:r w:rsidRPr="00A60FD5">
              <w:rPr>
                <w:rFonts w:ascii="Times New Roman" w:hAnsi="Times New Roman" w:cs="Times New Roman"/>
                <w:sz w:val="18"/>
                <w:szCs w:val="18"/>
              </w:rPr>
              <w:t>Specific investments by the licensee</w:t>
            </w:r>
          </w:p>
        </w:tc>
        <w:tc>
          <w:tcPr>
            <w:tcW w:w="850" w:type="dxa"/>
            <w:tcBorders>
              <w:top w:val="nil"/>
              <w:left w:val="nil"/>
              <w:bottom w:val="nil"/>
              <w:right w:val="nil"/>
            </w:tcBorders>
          </w:tcPr>
          <w:p w14:paraId="7D716EC1" w14:textId="77777777" w:rsidR="00310478" w:rsidRPr="00A60FD5" w:rsidRDefault="00310478" w:rsidP="00F4357D">
            <w:pPr>
              <w:spacing w:after="0"/>
              <w:jc w:val="center"/>
              <w:rPr>
                <w:rFonts w:ascii="Times New Roman" w:hAnsi="Times New Roman" w:cs="Times New Roman"/>
                <w:sz w:val="18"/>
                <w:szCs w:val="18"/>
              </w:rPr>
            </w:pPr>
            <w:r w:rsidRPr="00A60FD5">
              <w:rPr>
                <w:rFonts w:ascii="Times New Roman" w:hAnsi="Times New Roman" w:cs="Times New Roman"/>
                <w:sz w:val="18"/>
                <w:szCs w:val="18"/>
              </w:rPr>
              <w:t>-0.03</w:t>
            </w:r>
          </w:p>
          <w:p w14:paraId="1236134D" w14:textId="7EAFC59E" w:rsidR="00310478" w:rsidRPr="00A60FD5" w:rsidRDefault="00310478" w:rsidP="00F4357D">
            <w:pPr>
              <w:spacing w:after="0"/>
              <w:jc w:val="center"/>
              <w:rPr>
                <w:rFonts w:ascii="Times New Roman" w:hAnsi="Times New Roman" w:cs="Times New Roman"/>
                <w:sz w:val="18"/>
                <w:szCs w:val="18"/>
              </w:rPr>
            </w:pPr>
            <w:r w:rsidRPr="00A60FD5">
              <w:rPr>
                <w:rFonts w:ascii="Times New Roman" w:hAnsi="Times New Roman" w:cs="Times New Roman"/>
                <w:sz w:val="18"/>
                <w:szCs w:val="18"/>
              </w:rPr>
              <w:t>(0.06)</w:t>
            </w:r>
          </w:p>
        </w:tc>
        <w:tc>
          <w:tcPr>
            <w:tcW w:w="851" w:type="dxa"/>
            <w:tcBorders>
              <w:top w:val="nil"/>
              <w:left w:val="nil"/>
              <w:bottom w:val="nil"/>
              <w:right w:val="nil"/>
            </w:tcBorders>
          </w:tcPr>
          <w:p w14:paraId="17A78188" w14:textId="77777777" w:rsidR="000810C3" w:rsidRPr="00A60FD5" w:rsidRDefault="008E23C0" w:rsidP="00F4357D">
            <w:pPr>
              <w:spacing w:after="0"/>
              <w:jc w:val="center"/>
              <w:rPr>
                <w:rFonts w:ascii="Times New Roman" w:hAnsi="Times New Roman"/>
                <w:sz w:val="18"/>
                <w:szCs w:val="20"/>
              </w:rPr>
            </w:pPr>
            <w:r w:rsidRPr="00A60FD5">
              <w:rPr>
                <w:rFonts w:ascii="Times New Roman" w:hAnsi="Times New Roman" w:cs="Times New Roman"/>
                <w:sz w:val="18"/>
                <w:szCs w:val="18"/>
              </w:rPr>
              <w:t>0.28</w:t>
            </w:r>
            <w:r w:rsidRPr="00A60FD5">
              <w:rPr>
                <w:rFonts w:ascii="Times New Roman" w:hAnsi="Times New Roman"/>
                <w:sz w:val="18"/>
                <w:szCs w:val="20"/>
              </w:rPr>
              <w:t>†</w:t>
            </w:r>
          </w:p>
          <w:p w14:paraId="729E3420" w14:textId="1020EAB1" w:rsidR="008E23C0" w:rsidRPr="00A60FD5" w:rsidRDefault="008E23C0" w:rsidP="00F4357D">
            <w:pPr>
              <w:spacing w:after="0"/>
              <w:jc w:val="center"/>
              <w:rPr>
                <w:rFonts w:ascii="Times New Roman" w:hAnsi="Times New Roman" w:cs="Times New Roman"/>
                <w:sz w:val="18"/>
                <w:szCs w:val="18"/>
              </w:rPr>
            </w:pPr>
            <w:r w:rsidRPr="00A60FD5">
              <w:rPr>
                <w:rFonts w:ascii="Times New Roman" w:hAnsi="Times New Roman"/>
                <w:sz w:val="18"/>
                <w:szCs w:val="20"/>
              </w:rPr>
              <w:t>(0.15)</w:t>
            </w:r>
          </w:p>
        </w:tc>
        <w:tc>
          <w:tcPr>
            <w:tcW w:w="992" w:type="dxa"/>
            <w:tcBorders>
              <w:top w:val="nil"/>
              <w:left w:val="nil"/>
              <w:bottom w:val="nil"/>
              <w:right w:val="dotted" w:sz="4" w:space="0" w:color="auto"/>
            </w:tcBorders>
          </w:tcPr>
          <w:p w14:paraId="104F1074" w14:textId="77777777" w:rsidR="000810C3" w:rsidRPr="00A60FD5" w:rsidRDefault="004D234A" w:rsidP="00F4357D">
            <w:pPr>
              <w:spacing w:after="0"/>
              <w:jc w:val="center"/>
              <w:rPr>
                <w:rFonts w:ascii="Times New Roman" w:hAnsi="Times New Roman"/>
                <w:sz w:val="18"/>
                <w:szCs w:val="20"/>
              </w:rPr>
            </w:pPr>
            <w:r w:rsidRPr="00A60FD5">
              <w:rPr>
                <w:rFonts w:ascii="Times New Roman" w:hAnsi="Times New Roman" w:cs="Times New Roman"/>
                <w:sz w:val="18"/>
                <w:szCs w:val="18"/>
              </w:rPr>
              <w:t>0.38</w:t>
            </w:r>
            <w:r w:rsidRPr="00A60FD5">
              <w:rPr>
                <w:rFonts w:ascii="Times New Roman" w:hAnsi="Times New Roman"/>
                <w:sz w:val="18"/>
                <w:szCs w:val="20"/>
              </w:rPr>
              <w:t>†</w:t>
            </w:r>
          </w:p>
          <w:p w14:paraId="2AF00EBC" w14:textId="4436FBCC" w:rsidR="004D234A" w:rsidRPr="00A60FD5" w:rsidRDefault="004D234A" w:rsidP="00F4357D">
            <w:pPr>
              <w:spacing w:after="0"/>
              <w:jc w:val="center"/>
              <w:rPr>
                <w:rFonts w:ascii="Times New Roman" w:hAnsi="Times New Roman" w:cs="Times New Roman"/>
                <w:sz w:val="18"/>
                <w:szCs w:val="18"/>
              </w:rPr>
            </w:pPr>
            <w:r w:rsidRPr="00A60FD5">
              <w:rPr>
                <w:rFonts w:ascii="Times New Roman" w:hAnsi="Times New Roman"/>
                <w:sz w:val="18"/>
                <w:szCs w:val="20"/>
              </w:rPr>
              <w:t>(0.20)</w:t>
            </w:r>
          </w:p>
        </w:tc>
        <w:tc>
          <w:tcPr>
            <w:tcW w:w="992" w:type="dxa"/>
            <w:tcBorders>
              <w:top w:val="nil"/>
              <w:left w:val="dotted" w:sz="4" w:space="0" w:color="auto"/>
              <w:bottom w:val="nil"/>
              <w:right w:val="nil"/>
            </w:tcBorders>
          </w:tcPr>
          <w:p w14:paraId="33AE4B90" w14:textId="77777777" w:rsidR="000810C3" w:rsidRPr="00A60FD5" w:rsidRDefault="00441A49" w:rsidP="00F4357D">
            <w:pPr>
              <w:spacing w:after="0"/>
              <w:jc w:val="center"/>
              <w:rPr>
                <w:rFonts w:ascii="Times New Roman" w:hAnsi="Times New Roman" w:cs="Times New Roman"/>
                <w:sz w:val="18"/>
                <w:szCs w:val="18"/>
              </w:rPr>
            </w:pPr>
            <w:r w:rsidRPr="00A60FD5">
              <w:rPr>
                <w:rFonts w:ascii="Times New Roman" w:hAnsi="Times New Roman" w:cs="Times New Roman"/>
                <w:sz w:val="18"/>
                <w:szCs w:val="18"/>
              </w:rPr>
              <w:t>-0.03</w:t>
            </w:r>
          </w:p>
          <w:p w14:paraId="5671FC97" w14:textId="48ECC52B" w:rsidR="00441A49" w:rsidRPr="00A60FD5" w:rsidRDefault="00441A49" w:rsidP="00F4357D">
            <w:pPr>
              <w:spacing w:after="0"/>
              <w:jc w:val="center"/>
              <w:rPr>
                <w:rFonts w:ascii="Times New Roman" w:hAnsi="Times New Roman" w:cs="Times New Roman"/>
                <w:sz w:val="18"/>
                <w:szCs w:val="18"/>
              </w:rPr>
            </w:pPr>
            <w:r w:rsidRPr="00A60FD5">
              <w:rPr>
                <w:rFonts w:ascii="Times New Roman" w:hAnsi="Times New Roman" w:cs="Times New Roman"/>
                <w:sz w:val="18"/>
                <w:szCs w:val="18"/>
              </w:rPr>
              <w:t>(0.06)</w:t>
            </w:r>
          </w:p>
        </w:tc>
        <w:tc>
          <w:tcPr>
            <w:tcW w:w="851" w:type="dxa"/>
            <w:tcBorders>
              <w:top w:val="nil"/>
              <w:left w:val="nil"/>
              <w:bottom w:val="nil"/>
              <w:right w:val="nil"/>
            </w:tcBorders>
          </w:tcPr>
          <w:p w14:paraId="466B07D8" w14:textId="77777777" w:rsidR="000810C3" w:rsidRPr="00A60FD5" w:rsidRDefault="00441A49" w:rsidP="00F4357D">
            <w:pPr>
              <w:spacing w:after="0"/>
              <w:jc w:val="center"/>
              <w:rPr>
                <w:rFonts w:ascii="Times New Roman" w:hAnsi="Times New Roman"/>
                <w:sz w:val="18"/>
                <w:szCs w:val="20"/>
              </w:rPr>
            </w:pPr>
            <w:r w:rsidRPr="00A60FD5">
              <w:rPr>
                <w:rFonts w:ascii="Times New Roman" w:hAnsi="Times New Roman" w:cs="Times New Roman"/>
                <w:sz w:val="18"/>
                <w:szCs w:val="18"/>
              </w:rPr>
              <w:t>0.27</w:t>
            </w:r>
            <w:r w:rsidRPr="00A60FD5">
              <w:rPr>
                <w:rFonts w:ascii="Times New Roman" w:hAnsi="Times New Roman"/>
                <w:sz w:val="18"/>
                <w:szCs w:val="20"/>
              </w:rPr>
              <w:t>†</w:t>
            </w:r>
          </w:p>
          <w:p w14:paraId="6DF412D5" w14:textId="1318B2FA" w:rsidR="00441A49" w:rsidRPr="00A60FD5" w:rsidRDefault="00441A49" w:rsidP="00F4357D">
            <w:pPr>
              <w:spacing w:after="0"/>
              <w:jc w:val="center"/>
              <w:rPr>
                <w:rFonts w:ascii="Times New Roman" w:hAnsi="Times New Roman" w:cs="Times New Roman"/>
                <w:sz w:val="18"/>
                <w:szCs w:val="18"/>
              </w:rPr>
            </w:pPr>
            <w:r w:rsidRPr="00A60FD5">
              <w:rPr>
                <w:rFonts w:ascii="Times New Roman" w:hAnsi="Times New Roman"/>
                <w:sz w:val="18"/>
                <w:szCs w:val="20"/>
              </w:rPr>
              <w:t>(0.15)</w:t>
            </w:r>
          </w:p>
        </w:tc>
        <w:tc>
          <w:tcPr>
            <w:tcW w:w="850" w:type="dxa"/>
            <w:tcBorders>
              <w:top w:val="nil"/>
              <w:left w:val="nil"/>
              <w:bottom w:val="nil"/>
              <w:right w:val="dotted" w:sz="4" w:space="0" w:color="auto"/>
            </w:tcBorders>
          </w:tcPr>
          <w:p w14:paraId="124837B2" w14:textId="77777777" w:rsidR="000810C3" w:rsidRPr="00A60FD5" w:rsidRDefault="009A0E86" w:rsidP="00F4357D">
            <w:pPr>
              <w:spacing w:after="0"/>
              <w:jc w:val="center"/>
              <w:rPr>
                <w:rFonts w:ascii="Times New Roman" w:hAnsi="Times New Roman"/>
                <w:sz w:val="18"/>
                <w:szCs w:val="20"/>
              </w:rPr>
            </w:pPr>
            <w:r w:rsidRPr="00A60FD5">
              <w:rPr>
                <w:rFonts w:ascii="Times New Roman" w:hAnsi="Times New Roman" w:cs="Times New Roman"/>
                <w:sz w:val="18"/>
                <w:szCs w:val="18"/>
              </w:rPr>
              <w:t>0.38</w:t>
            </w:r>
            <w:r w:rsidRPr="00A60FD5">
              <w:rPr>
                <w:rFonts w:ascii="Times New Roman" w:hAnsi="Times New Roman"/>
                <w:sz w:val="18"/>
                <w:szCs w:val="20"/>
              </w:rPr>
              <w:t>†</w:t>
            </w:r>
          </w:p>
          <w:p w14:paraId="14BC3AEC" w14:textId="778D6DB8" w:rsidR="009A0E86" w:rsidRPr="00A60FD5" w:rsidRDefault="009A0E86" w:rsidP="00F4357D">
            <w:pPr>
              <w:spacing w:after="0"/>
              <w:jc w:val="center"/>
              <w:rPr>
                <w:rFonts w:ascii="Times New Roman" w:hAnsi="Times New Roman" w:cs="Times New Roman"/>
                <w:sz w:val="18"/>
                <w:szCs w:val="18"/>
              </w:rPr>
            </w:pPr>
            <w:r w:rsidRPr="00A60FD5">
              <w:rPr>
                <w:rFonts w:ascii="Times New Roman" w:hAnsi="Times New Roman"/>
                <w:sz w:val="18"/>
                <w:szCs w:val="20"/>
              </w:rPr>
              <w:t>(0.20)</w:t>
            </w:r>
          </w:p>
        </w:tc>
        <w:tc>
          <w:tcPr>
            <w:tcW w:w="1134" w:type="dxa"/>
            <w:tcBorders>
              <w:top w:val="nil"/>
              <w:left w:val="dotted" w:sz="4" w:space="0" w:color="auto"/>
              <w:bottom w:val="nil"/>
              <w:right w:val="nil"/>
            </w:tcBorders>
          </w:tcPr>
          <w:p w14:paraId="66F00E05" w14:textId="77777777" w:rsidR="000810C3" w:rsidRPr="00A60FD5" w:rsidRDefault="00DB112C" w:rsidP="00F4357D">
            <w:pPr>
              <w:spacing w:after="0"/>
              <w:jc w:val="center"/>
              <w:rPr>
                <w:rFonts w:ascii="Times New Roman" w:hAnsi="Times New Roman" w:cs="Times New Roman"/>
                <w:sz w:val="18"/>
                <w:szCs w:val="18"/>
              </w:rPr>
            </w:pPr>
            <w:r w:rsidRPr="00A60FD5">
              <w:rPr>
                <w:rFonts w:ascii="Times New Roman" w:hAnsi="Times New Roman" w:cs="Times New Roman"/>
                <w:sz w:val="18"/>
                <w:szCs w:val="18"/>
              </w:rPr>
              <w:t>-0.03</w:t>
            </w:r>
          </w:p>
          <w:p w14:paraId="142D2DEE" w14:textId="770A1EBF" w:rsidR="00DB112C" w:rsidRPr="00A60FD5" w:rsidRDefault="00DB112C" w:rsidP="00F4357D">
            <w:pPr>
              <w:spacing w:after="0"/>
              <w:jc w:val="center"/>
              <w:rPr>
                <w:rFonts w:ascii="Times New Roman" w:hAnsi="Times New Roman" w:cs="Times New Roman"/>
                <w:sz w:val="18"/>
                <w:szCs w:val="18"/>
              </w:rPr>
            </w:pPr>
            <w:r w:rsidRPr="00A60FD5">
              <w:rPr>
                <w:rFonts w:ascii="Times New Roman" w:hAnsi="Times New Roman" w:cs="Times New Roman"/>
                <w:sz w:val="18"/>
                <w:szCs w:val="18"/>
              </w:rPr>
              <w:t>(0.06)</w:t>
            </w:r>
          </w:p>
        </w:tc>
        <w:tc>
          <w:tcPr>
            <w:tcW w:w="851" w:type="dxa"/>
            <w:tcBorders>
              <w:top w:val="nil"/>
              <w:left w:val="nil"/>
              <w:bottom w:val="nil"/>
              <w:right w:val="nil"/>
            </w:tcBorders>
          </w:tcPr>
          <w:p w14:paraId="270F0AE3" w14:textId="77777777" w:rsidR="000810C3" w:rsidRPr="00A60FD5" w:rsidRDefault="00DE74E5" w:rsidP="00F4357D">
            <w:pPr>
              <w:spacing w:after="0"/>
              <w:jc w:val="center"/>
              <w:rPr>
                <w:rFonts w:ascii="Times New Roman" w:hAnsi="Times New Roman" w:cs="Times New Roman"/>
                <w:sz w:val="18"/>
                <w:szCs w:val="18"/>
              </w:rPr>
            </w:pPr>
            <w:r w:rsidRPr="00A60FD5">
              <w:rPr>
                <w:rFonts w:ascii="Times New Roman" w:hAnsi="Times New Roman" w:cs="Times New Roman"/>
                <w:sz w:val="18"/>
                <w:szCs w:val="18"/>
              </w:rPr>
              <w:t>0.29*</w:t>
            </w:r>
          </w:p>
          <w:p w14:paraId="2447ADCC" w14:textId="2810C6DE" w:rsidR="00DE74E5" w:rsidRPr="00A60FD5" w:rsidRDefault="00DE74E5" w:rsidP="00F4357D">
            <w:pPr>
              <w:spacing w:after="0"/>
              <w:jc w:val="center"/>
              <w:rPr>
                <w:rFonts w:ascii="Times New Roman" w:hAnsi="Times New Roman" w:cs="Times New Roman"/>
                <w:sz w:val="18"/>
                <w:szCs w:val="18"/>
              </w:rPr>
            </w:pPr>
            <w:r w:rsidRPr="00A60FD5">
              <w:rPr>
                <w:rFonts w:ascii="Times New Roman" w:hAnsi="Times New Roman" w:cs="Times New Roman"/>
                <w:sz w:val="18"/>
                <w:szCs w:val="18"/>
              </w:rPr>
              <w:t>(0.15)</w:t>
            </w:r>
          </w:p>
        </w:tc>
        <w:tc>
          <w:tcPr>
            <w:tcW w:w="992" w:type="dxa"/>
            <w:tcBorders>
              <w:top w:val="nil"/>
              <w:left w:val="nil"/>
              <w:bottom w:val="nil"/>
              <w:right w:val="nil"/>
            </w:tcBorders>
          </w:tcPr>
          <w:p w14:paraId="103ACC97" w14:textId="77777777" w:rsidR="000810C3" w:rsidRPr="00A60FD5" w:rsidRDefault="00DE74E5" w:rsidP="00F4357D">
            <w:pPr>
              <w:spacing w:after="0"/>
              <w:jc w:val="center"/>
              <w:rPr>
                <w:rFonts w:ascii="Times New Roman" w:hAnsi="Times New Roman" w:cs="Times New Roman"/>
                <w:sz w:val="18"/>
                <w:szCs w:val="18"/>
              </w:rPr>
            </w:pPr>
            <w:r w:rsidRPr="00A60FD5">
              <w:rPr>
                <w:rFonts w:ascii="Times New Roman" w:hAnsi="Times New Roman" w:cs="Times New Roman"/>
                <w:sz w:val="18"/>
                <w:szCs w:val="18"/>
              </w:rPr>
              <w:t>0.24</w:t>
            </w:r>
          </w:p>
          <w:p w14:paraId="6CE336A2" w14:textId="1204A958" w:rsidR="00DE74E5" w:rsidRPr="00A60FD5" w:rsidRDefault="00DE74E5" w:rsidP="00F4357D">
            <w:pPr>
              <w:spacing w:after="0"/>
              <w:jc w:val="center"/>
              <w:rPr>
                <w:rFonts w:ascii="Times New Roman" w:hAnsi="Times New Roman" w:cs="Times New Roman"/>
                <w:sz w:val="18"/>
                <w:szCs w:val="18"/>
              </w:rPr>
            </w:pPr>
            <w:r w:rsidRPr="00A60FD5">
              <w:rPr>
                <w:rFonts w:ascii="Times New Roman" w:hAnsi="Times New Roman" w:cs="Times New Roman"/>
                <w:sz w:val="18"/>
                <w:szCs w:val="18"/>
              </w:rPr>
              <w:t>(0.19)</w:t>
            </w:r>
          </w:p>
        </w:tc>
      </w:tr>
      <w:tr w:rsidR="00DE0D97" w:rsidRPr="00A60FD5" w14:paraId="5FADC3E8" w14:textId="77777777" w:rsidTr="00EB08AC">
        <w:trPr>
          <w:trHeight w:hRule="exact" w:val="537"/>
        </w:trPr>
        <w:tc>
          <w:tcPr>
            <w:tcW w:w="3261" w:type="dxa"/>
            <w:tcBorders>
              <w:top w:val="nil"/>
              <w:left w:val="nil"/>
              <w:bottom w:val="nil"/>
              <w:right w:val="nil"/>
            </w:tcBorders>
          </w:tcPr>
          <w:p w14:paraId="38D81FAC" w14:textId="03B2D55B" w:rsidR="000810C3" w:rsidRPr="00A60FD5" w:rsidRDefault="000810C3" w:rsidP="000810C3">
            <w:pPr>
              <w:spacing w:before="80" w:after="0"/>
              <w:rPr>
                <w:rFonts w:ascii="Times New Roman" w:hAnsi="Times New Roman" w:cs="Times New Roman"/>
                <w:sz w:val="18"/>
                <w:szCs w:val="18"/>
              </w:rPr>
            </w:pPr>
            <w:r w:rsidRPr="00A60FD5">
              <w:rPr>
                <w:rFonts w:ascii="Times New Roman" w:hAnsi="Times New Roman" w:cs="Times New Roman"/>
                <w:sz w:val="18"/>
                <w:szCs w:val="18"/>
              </w:rPr>
              <w:t xml:space="preserve">Observability of licensee’s behavior </w:t>
            </w:r>
          </w:p>
        </w:tc>
        <w:tc>
          <w:tcPr>
            <w:tcW w:w="850" w:type="dxa"/>
            <w:tcBorders>
              <w:top w:val="nil"/>
              <w:left w:val="nil"/>
              <w:bottom w:val="nil"/>
              <w:right w:val="nil"/>
            </w:tcBorders>
          </w:tcPr>
          <w:p w14:paraId="383D3C21" w14:textId="77777777" w:rsidR="000810C3" w:rsidRPr="00A60FD5" w:rsidRDefault="00310478" w:rsidP="00F4357D">
            <w:pPr>
              <w:spacing w:after="0"/>
              <w:jc w:val="center"/>
              <w:rPr>
                <w:rFonts w:ascii="Times New Roman" w:hAnsi="Times New Roman" w:cs="Times New Roman"/>
                <w:sz w:val="18"/>
                <w:szCs w:val="18"/>
              </w:rPr>
            </w:pPr>
            <w:r w:rsidRPr="00A60FD5">
              <w:rPr>
                <w:rFonts w:ascii="Times New Roman" w:hAnsi="Times New Roman" w:cs="Times New Roman"/>
                <w:sz w:val="18"/>
                <w:szCs w:val="18"/>
              </w:rPr>
              <w:t>0.11*</w:t>
            </w:r>
          </w:p>
          <w:p w14:paraId="5643ECB0" w14:textId="34FA7F23" w:rsidR="00310478" w:rsidRPr="00A60FD5" w:rsidRDefault="00310478" w:rsidP="00F4357D">
            <w:pPr>
              <w:spacing w:after="0"/>
              <w:jc w:val="center"/>
              <w:rPr>
                <w:rFonts w:ascii="Times New Roman" w:hAnsi="Times New Roman" w:cs="Times New Roman"/>
                <w:sz w:val="18"/>
                <w:szCs w:val="18"/>
              </w:rPr>
            </w:pPr>
            <w:r w:rsidRPr="00A60FD5">
              <w:rPr>
                <w:rFonts w:ascii="Times New Roman" w:hAnsi="Times New Roman" w:cs="Times New Roman"/>
                <w:sz w:val="18"/>
                <w:szCs w:val="18"/>
              </w:rPr>
              <w:t>(0.05)</w:t>
            </w:r>
          </w:p>
        </w:tc>
        <w:tc>
          <w:tcPr>
            <w:tcW w:w="851" w:type="dxa"/>
            <w:tcBorders>
              <w:top w:val="nil"/>
              <w:left w:val="nil"/>
              <w:bottom w:val="nil"/>
              <w:right w:val="nil"/>
            </w:tcBorders>
          </w:tcPr>
          <w:p w14:paraId="53689858" w14:textId="77777777" w:rsidR="008E23C0" w:rsidRPr="00A60FD5" w:rsidRDefault="008E23C0" w:rsidP="00F4357D">
            <w:pPr>
              <w:spacing w:after="0"/>
              <w:jc w:val="center"/>
              <w:rPr>
                <w:rFonts w:ascii="Times New Roman" w:hAnsi="Times New Roman" w:cs="Times New Roman"/>
                <w:sz w:val="18"/>
                <w:szCs w:val="18"/>
              </w:rPr>
            </w:pPr>
            <w:r w:rsidRPr="00A60FD5">
              <w:rPr>
                <w:rFonts w:ascii="Times New Roman" w:hAnsi="Times New Roman" w:cs="Times New Roman"/>
                <w:sz w:val="18"/>
                <w:szCs w:val="18"/>
              </w:rPr>
              <w:t>0.15</w:t>
            </w:r>
          </w:p>
          <w:p w14:paraId="06DC08AA" w14:textId="6CB9347D" w:rsidR="008E23C0" w:rsidRPr="00A60FD5" w:rsidRDefault="008E23C0" w:rsidP="00F4357D">
            <w:pPr>
              <w:spacing w:after="0"/>
              <w:jc w:val="center"/>
              <w:rPr>
                <w:rFonts w:ascii="Times New Roman" w:hAnsi="Times New Roman" w:cs="Times New Roman"/>
                <w:sz w:val="18"/>
                <w:szCs w:val="18"/>
              </w:rPr>
            </w:pPr>
            <w:r w:rsidRPr="00A60FD5">
              <w:rPr>
                <w:rFonts w:ascii="Times New Roman" w:hAnsi="Times New Roman" w:cs="Times New Roman"/>
                <w:sz w:val="18"/>
                <w:szCs w:val="18"/>
              </w:rPr>
              <w:t>(0.13)</w:t>
            </w:r>
          </w:p>
        </w:tc>
        <w:tc>
          <w:tcPr>
            <w:tcW w:w="992" w:type="dxa"/>
            <w:tcBorders>
              <w:top w:val="nil"/>
              <w:left w:val="nil"/>
              <w:bottom w:val="nil"/>
              <w:right w:val="dotted" w:sz="4" w:space="0" w:color="auto"/>
            </w:tcBorders>
          </w:tcPr>
          <w:p w14:paraId="0C6689CB" w14:textId="77777777" w:rsidR="000810C3" w:rsidRPr="00A60FD5" w:rsidRDefault="004D234A" w:rsidP="00F4357D">
            <w:pPr>
              <w:spacing w:after="0"/>
              <w:jc w:val="center"/>
              <w:rPr>
                <w:rFonts w:ascii="Times New Roman" w:hAnsi="Times New Roman" w:cs="Times New Roman"/>
                <w:sz w:val="18"/>
                <w:szCs w:val="18"/>
              </w:rPr>
            </w:pPr>
            <w:r w:rsidRPr="00A60FD5">
              <w:rPr>
                <w:rFonts w:ascii="Times New Roman" w:hAnsi="Times New Roman" w:cs="Times New Roman"/>
                <w:sz w:val="18"/>
                <w:szCs w:val="18"/>
              </w:rPr>
              <w:t>-0.08</w:t>
            </w:r>
          </w:p>
          <w:p w14:paraId="42450460" w14:textId="0819E3B5" w:rsidR="004D234A" w:rsidRPr="00A60FD5" w:rsidRDefault="004D234A" w:rsidP="00F4357D">
            <w:pPr>
              <w:spacing w:after="0"/>
              <w:jc w:val="center"/>
              <w:rPr>
                <w:rFonts w:ascii="Times New Roman" w:hAnsi="Times New Roman" w:cs="Times New Roman"/>
                <w:sz w:val="18"/>
                <w:szCs w:val="18"/>
              </w:rPr>
            </w:pPr>
            <w:r w:rsidRPr="00A60FD5">
              <w:rPr>
                <w:rFonts w:ascii="Times New Roman" w:hAnsi="Times New Roman" w:cs="Times New Roman"/>
                <w:sz w:val="18"/>
                <w:szCs w:val="18"/>
              </w:rPr>
              <w:t>(0.15)</w:t>
            </w:r>
          </w:p>
        </w:tc>
        <w:tc>
          <w:tcPr>
            <w:tcW w:w="992" w:type="dxa"/>
            <w:tcBorders>
              <w:top w:val="nil"/>
              <w:left w:val="dotted" w:sz="4" w:space="0" w:color="auto"/>
              <w:bottom w:val="nil"/>
              <w:right w:val="nil"/>
            </w:tcBorders>
          </w:tcPr>
          <w:p w14:paraId="78EE1E45" w14:textId="77777777" w:rsidR="00441A49" w:rsidRPr="00A60FD5" w:rsidRDefault="00441A49" w:rsidP="00F4357D">
            <w:pPr>
              <w:spacing w:after="0"/>
              <w:jc w:val="center"/>
              <w:rPr>
                <w:rFonts w:ascii="Times New Roman" w:hAnsi="Times New Roman" w:cs="Times New Roman"/>
                <w:sz w:val="18"/>
                <w:szCs w:val="18"/>
              </w:rPr>
            </w:pPr>
            <w:r w:rsidRPr="00A60FD5">
              <w:rPr>
                <w:rFonts w:ascii="Times New Roman" w:hAnsi="Times New Roman" w:cs="Times New Roman"/>
                <w:sz w:val="18"/>
                <w:szCs w:val="18"/>
              </w:rPr>
              <w:t>0.11*</w:t>
            </w:r>
          </w:p>
          <w:p w14:paraId="6CC5AD91" w14:textId="0DBDDC14" w:rsidR="00441A49" w:rsidRPr="00A60FD5" w:rsidRDefault="00441A49" w:rsidP="00F4357D">
            <w:pPr>
              <w:spacing w:after="0"/>
              <w:jc w:val="center"/>
              <w:rPr>
                <w:rFonts w:ascii="Times New Roman" w:hAnsi="Times New Roman" w:cs="Times New Roman"/>
                <w:sz w:val="18"/>
                <w:szCs w:val="18"/>
              </w:rPr>
            </w:pPr>
            <w:r w:rsidRPr="00A60FD5">
              <w:rPr>
                <w:rFonts w:ascii="Times New Roman" w:hAnsi="Times New Roman" w:cs="Times New Roman"/>
                <w:sz w:val="18"/>
                <w:szCs w:val="18"/>
              </w:rPr>
              <w:t>(0.05)</w:t>
            </w:r>
          </w:p>
        </w:tc>
        <w:tc>
          <w:tcPr>
            <w:tcW w:w="851" w:type="dxa"/>
            <w:tcBorders>
              <w:top w:val="nil"/>
              <w:left w:val="nil"/>
              <w:bottom w:val="nil"/>
              <w:right w:val="nil"/>
            </w:tcBorders>
          </w:tcPr>
          <w:p w14:paraId="3596DB91" w14:textId="77777777" w:rsidR="000810C3" w:rsidRPr="00A60FD5" w:rsidRDefault="00441A49" w:rsidP="00F4357D">
            <w:pPr>
              <w:spacing w:after="0"/>
              <w:jc w:val="center"/>
              <w:rPr>
                <w:rFonts w:ascii="Times New Roman" w:hAnsi="Times New Roman" w:cs="Times New Roman"/>
                <w:sz w:val="18"/>
                <w:szCs w:val="18"/>
              </w:rPr>
            </w:pPr>
            <w:r w:rsidRPr="00A60FD5">
              <w:rPr>
                <w:rFonts w:ascii="Times New Roman" w:hAnsi="Times New Roman" w:cs="Times New Roman"/>
                <w:sz w:val="18"/>
                <w:szCs w:val="18"/>
              </w:rPr>
              <w:t>0.15</w:t>
            </w:r>
          </w:p>
          <w:p w14:paraId="76A07395" w14:textId="6D5F77F0" w:rsidR="00441A49" w:rsidRPr="00A60FD5" w:rsidRDefault="00441A49" w:rsidP="00F4357D">
            <w:pPr>
              <w:spacing w:after="0"/>
              <w:jc w:val="center"/>
              <w:rPr>
                <w:rFonts w:ascii="Times New Roman" w:hAnsi="Times New Roman" w:cs="Times New Roman"/>
                <w:sz w:val="18"/>
                <w:szCs w:val="18"/>
              </w:rPr>
            </w:pPr>
            <w:r w:rsidRPr="00A60FD5">
              <w:rPr>
                <w:rFonts w:ascii="Times New Roman" w:hAnsi="Times New Roman" w:cs="Times New Roman"/>
                <w:sz w:val="18"/>
                <w:szCs w:val="18"/>
              </w:rPr>
              <w:t>(0.13)</w:t>
            </w:r>
          </w:p>
        </w:tc>
        <w:tc>
          <w:tcPr>
            <w:tcW w:w="850" w:type="dxa"/>
            <w:tcBorders>
              <w:top w:val="nil"/>
              <w:left w:val="nil"/>
              <w:bottom w:val="nil"/>
              <w:right w:val="dotted" w:sz="4" w:space="0" w:color="auto"/>
            </w:tcBorders>
          </w:tcPr>
          <w:p w14:paraId="07B725AE" w14:textId="77777777" w:rsidR="000810C3" w:rsidRPr="00A60FD5" w:rsidRDefault="009A0E86" w:rsidP="00F4357D">
            <w:pPr>
              <w:spacing w:after="0"/>
              <w:jc w:val="center"/>
              <w:rPr>
                <w:rFonts w:ascii="Times New Roman" w:hAnsi="Times New Roman" w:cs="Times New Roman"/>
                <w:sz w:val="18"/>
                <w:szCs w:val="18"/>
              </w:rPr>
            </w:pPr>
            <w:r w:rsidRPr="00A60FD5">
              <w:rPr>
                <w:rFonts w:ascii="Times New Roman" w:hAnsi="Times New Roman" w:cs="Times New Roman"/>
                <w:sz w:val="18"/>
                <w:szCs w:val="18"/>
              </w:rPr>
              <w:t>-0.09</w:t>
            </w:r>
          </w:p>
          <w:p w14:paraId="047F0827" w14:textId="1BC39555" w:rsidR="009A0E86" w:rsidRPr="00A60FD5" w:rsidRDefault="009A0E86" w:rsidP="00F4357D">
            <w:pPr>
              <w:spacing w:after="0"/>
              <w:jc w:val="center"/>
              <w:rPr>
                <w:rFonts w:ascii="Times New Roman" w:hAnsi="Times New Roman" w:cs="Times New Roman"/>
                <w:sz w:val="18"/>
                <w:szCs w:val="18"/>
              </w:rPr>
            </w:pPr>
            <w:r w:rsidRPr="00A60FD5">
              <w:rPr>
                <w:rFonts w:ascii="Times New Roman" w:hAnsi="Times New Roman" w:cs="Times New Roman"/>
                <w:sz w:val="18"/>
                <w:szCs w:val="18"/>
              </w:rPr>
              <w:t>(0.20)</w:t>
            </w:r>
          </w:p>
        </w:tc>
        <w:tc>
          <w:tcPr>
            <w:tcW w:w="1134" w:type="dxa"/>
            <w:tcBorders>
              <w:top w:val="nil"/>
              <w:left w:val="dotted" w:sz="4" w:space="0" w:color="auto"/>
              <w:bottom w:val="nil"/>
              <w:right w:val="nil"/>
            </w:tcBorders>
          </w:tcPr>
          <w:p w14:paraId="5A4A78B3" w14:textId="77777777" w:rsidR="000810C3" w:rsidRPr="00A60FD5" w:rsidRDefault="00DB112C" w:rsidP="00F4357D">
            <w:pPr>
              <w:spacing w:after="0"/>
              <w:jc w:val="center"/>
              <w:rPr>
                <w:rFonts w:ascii="Times New Roman" w:hAnsi="Times New Roman" w:cs="Times New Roman"/>
                <w:sz w:val="18"/>
                <w:szCs w:val="18"/>
              </w:rPr>
            </w:pPr>
            <w:r w:rsidRPr="00A60FD5">
              <w:rPr>
                <w:rFonts w:ascii="Times New Roman" w:hAnsi="Times New Roman" w:cs="Times New Roman"/>
                <w:sz w:val="18"/>
                <w:szCs w:val="18"/>
              </w:rPr>
              <w:t>0.11*</w:t>
            </w:r>
          </w:p>
          <w:p w14:paraId="18687EBC" w14:textId="4654A61C" w:rsidR="00DB112C" w:rsidRPr="00A60FD5" w:rsidRDefault="00DB112C" w:rsidP="00F4357D">
            <w:pPr>
              <w:spacing w:after="0"/>
              <w:jc w:val="center"/>
              <w:rPr>
                <w:rFonts w:ascii="Times New Roman" w:hAnsi="Times New Roman" w:cs="Times New Roman"/>
                <w:sz w:val="18"/>
                <w:szCs w:val="18"/>
              </w:rPr>
            </w:pPr>
            <w:r w:rsidRPr="00A60FD5">
              <w:rPr>
                <w:rFonts w:ascii="Times New Roman" w:hAnsi="Times New Roman" w:cs="Times New Roman"/>
                <w:sz w:val="18"/>
                <w:szCs w:val="18"/>
              </w:rPr>
              <w:t>(0.05)</w:t>
            </w:r>
          </w:p>
        </w:tc>
        <w:tc>
          <w:tcPr>
            <w:tcW w:w="851" w:type="dxa"/>
            <w:tcBorders>
              <w:top w:val="nil"/>
              <w:left w:val="nil"/>
              <w:bottom w:val="nil"/>
              <w:right w:val="nil"/>
            </w:tcBorders>
          </w:tcPr>
          <w:p w14:paraId="26A9FD47" w14:textId="77777777" w:rsidR="000810C3" w:rsidRPr="00A60FD5" w:rsidRDefault="00DE74E5" w:rsidP="00F4357D">
            <w:pPr>
              <w:spacing w:after="0"/>
              <w:jc w:val="center"/>
              <w:rPr>
                <w:rFonts w:ascii="Times New Roman" w:hAnsi="Times New Roman" w:cs="Times New Roman"/>
                <w:sz w:val="18"/>
                <w:szCs w:val="18"/>
              </w:rPr>
            </w:pPr>
            <w:r w:rsidRPr="00A60FD5">
              <w:rPr>
                <w:rFonts w:ascii="Times New Roman" w:hAnsi="Times New Roman" w:cs="Times New Roman"/>
                <w:sz w:val="18"/>
                <w:szCs w:val="18"/>
              </w:rPr>
              <w:t>0.15</w:t>
            </w:r>
          </w:p>
          <w:p w14:paraId="7BD2BF78" w14:textId="0CFDAC38" w:rsidR="00DE74E5" w:rsidRPr="00A60FD5" w:rsidRDefault="00DE74E5" w:rsidP="00F4357D">
            <w:pPr>
              <w:spacing w:after="0"/>
              <w:jc w:val="center"/>
              <w:rPr>
                <w:rFonts w:ascii="Times New Roman" w:hAnsi="Times New Roman" w:cs="Times New Roman"/>
                <w:sz w:val="18"/>
                <w:szCs w:val="18"/>
              </w:rPr>
            </w:pPr>
            <w:r w:rsidRPr="00A60FD5">
              <w:rPr>
                <w:rFonts w:ascii="Times New Roman" w:hAnsi="Times New Roman" w:cs="Times New Roman"/>
                <w:sz w:val="18"/>
                <w:szCs w:val="18"/>
              </w:rPr>
              <w:t>(0.13)</w:t>
            </w:r>
          </w:p>
        </w:tc>
        <w:tc>
          <w:tcPr>
            <w:tcW w:w="992" w:type="dxa"/>
            <w:tcBorders>
              <w:top w:val="nil"/>
              <w:left w:val="nil"/>
              <w:bottom w:val="nil"/>
              <w:right w:val="nil"/>
            </w:tcBorders>
          </w:tcPr>
          <w:p w14:paraId="57E156AE" w14:textId="77777777" w:rsidR="000810C3" w:rsidRPr="00A60FD5" w:rsidRDefault="00DE74E5" w:rsidP="00F4357D">
            <w:pPr>
              <w:spacing w:after="0"/>
              <w:jc w:val="center"/>
              <w:rPr>
                <w:rFonts w:ascii="Times New Roman" w:hAnsi="Times New Roman" w:cs="Times New Roman"/>
                <w:sz w:val="18"/>
                <w:szCs w:val="18"/>
              </w:rPr>
            </w:pPr>
            <w:r w:rsidRPr="00A60FD5">
              <w:rPr>
                <w:rFonts w:ascii="Times New Roman" w:hAnsi="Times New Roman" w:cs="Times New Roman"/>
                <w:sz w:val="18"/>
                <w:szCs w:val="18"/>
              </w:rPr>
              <w:t>-0.16</w:t>
            </w:r>
          </w:p>
          <w:p w14:paraId="5F08623E" w14:textId="47832F9C" w:rsidR="00DE74E5" w:rsidRPr="00A60FD5" w:rsidRDefault="00DE74E5" w:rsidP="00F4357D">
            <w:pPr>
              <w:spacing w:after="0"/>
              <w:jc w:val="center"/>
              <w:rPr>
                <w:rFonts w:ascii="Times New Roman" w:hAnsi="Times New Roman" w:cs="Times New Roman"/>
                <w:sz w:val="18"/>
                <w:szCs w:val="18"/>
              </w:rPr>
            </w:pPr>
            <w:r w:rsidRPr="00A60FD5">
              <w:rPr>
                <w:rFonts w:ascii="Times New Roman" w:hAnsi="Times New Roman" w:cs="Times New Roman"/>
                <w:sz w:val="18"/>
                <w:szCs w:val="18"/>
              </w:rPr>
              <w:t>(0.16)</w:t>
            </w:r>
          </w:p>
        </w:tc>
      </w:tr>
      <w:tr w:rsidR="00EB08AC" w:rsidRPr="00A60FD5" w14:paraId="1897B1E0" w14:textId="77777777" w:rsidTr="00EB08AC">
        <w:trPr>
          <w:trHeight w:hRule="exact" w:val="484"/>
        </w:trPr>
        <w:tc>
          <w:tcPr>
            <w:tcW w:w="3261" w:type="dxa"/>
            <w:tcBorders>
              <w:top w:val="nil"/>
              <w:left w:val="nil"/>
              <w:bottom w:val="nil"/>
              <w:right w:val="nil"/>
            </w:tcBorders>
          </w:tcPr>
          <w:p w14:paraId="07F115A1" w14:textId="20389009" w:rsidR="000810C3" w:rsidRPr="00A60FD5" w:rsidRDefault="000810C3" w:rsidP="004539D9">
            <w:pPr>
              <w:spacing w:before="80" w:after="0"/>
              <w:rPr>
                <w:rFonts w:ascii="Times New Roman" w:hAnsi="Times New Roman" w:cs="Times New Roman"/>
                <w:sz w:val="18"/>
                <w:szCs w:val="18"/>
              </w:rPr>
            </w:pPr>
            <w:r w:rsidRPr="00A60FD5">
              <w:rPr>
                <w:rFonts w:ascii="Times New Roman" w:hAnsi="Times New Roman" w:cs="Times New Roman"/>
                <w:sz w:val="18"/>
                <w:szCs w:val="18"/>
              </w:rPr>
              <w:t>Technological capabilities of the licensor</w:t>
            </w:r>
          </w:p>
        </w:tc>
        <w:tc>
          <w:tcPr>
            <w:tcW w:w="850" w:type="dxa"/>
            <w:tcBorders>
              <w:top w:val="nil"/>
              <w:left w:val="nil"/>
              <w:bottom w:val="nil"/>
              <w:right w:val="nil"/>
            </w:tcBorders>
          </w:tcPr>
          <w:p w14:paraId="08EC41B4" w14:textId="77777777" w:rsidR="000810C3" w:rsidRPr="00A60FD5" w:rsidRDefault="00310478" w:rsidP="00F4357D">
            <w:pPr>
              <w:spacing w:after="0"/>
              <w:jc w:val="center"/>
              <w:rPr>
                <w:rFonts w:ascii="Times New Roman" w:hAnsi="Times New Roman" w:cs="Times New Roman"/>
                <w:sz w:val="18"/>
                <w:szCs w:val="18"/>
              </w:rPr>
            </w:pPr>
            <w:r w:rsidRPr="00A60FD5">
              <w:rPr>
                <w:rFonts w:ascii="Times New Roman" w:hAnsi="Times New Roman" w:cs="Times New Roman"/>
                <w:sz w:val="18"/>
                <w:szCs w:val="18"/>
              </w:rPr>
              <w:t>0.11*</w:t>
            </w:r>
          </w:p>
          <w:p w14:paraId="52C3187F" w14:textId="46C71066" w:rsidR="00310478" w:rsidRPr="00A60FD5" w:rsidRDefault="00310478" w:rsidP="00F4357D">
            <w:pPr>
              <w:spacing w:after="0"/>
              <w:jc w:val="center"/>
              <w:rPr>
                <w:rFonts w:ascii="Times New Roman" w:hAnsi="Times New Roman" w:cs="Times New Roman"/>
                <w:sz w:val="18"/>
                <w:szCs w:val="18"/>
              </w:rPr>
            </w:pPr>
            <w:r w:rsidRPr="00A60FD5">
              <w:rPr>
                <w:rFonts w:ascii="Times New Roman" w:hAnsi="Times New Roman" w:cs="Times New Roman"/>
                <w:sz w:val="18"/>
                <w:szCs w:val="18"/>
              </w:rPr>
              <w:t>(0.04)</w:t>
            </w:r>
          </w:p>
        </w:tc>
        <w:tc>
          <w:tcPr>
            <w:tcW w:w="851" w:type="dxa"/>
            <w:tcBorders>
              <w:top w:val="nil"/>
              <w:left w:val="nil"/>
              <w:bottom w:val="nil"/>
              <w:right w:val="nil"/>
            </w:tcBorders>
          </w:tcPr>
          <w:p w14:paraId="181FA011" w14:textId="77777777" w:rsidR="000810C3" w:rsidRPr="00A60FD5" w:rsidRDefault="008E23C0" w:rsidP="00F4357D">
            <w:pPr>
              <w:spacing w:after="0"/>
              <w:jc w:val="center"/>
              <w:rPr>
                <w:rFonts w:ascii="Times New Roman" w:hAnsi="Times New Roman" w:cs="Times New Roman"/>
                <w:sz w:val="18"/>
                <w:szCs w:val="18"/>
              </w:rPr>
            </w:pPr>
            <w:r w:rsidRPr="00A60FD5">
              <w:rPr>
                <w:rFonts w:ascii="Times New Roman" w:hAnsi="Times New Roman" w:cs="Times New Roman"/>
                <w:sz w:val="18"/>
                <w:szCs w:val="18"/>
              </w:rPr>
              <w:t>0.00</w:t>
            </w:r>
          </w:p>
          <w:p w14:paraId="1E6EADD9" w14:textId="5C4C235B" w:rsidR="008E23C0" w:rsidRPr="00A60FD5" w:rsidRDefault="008E23C0" w:rsidP="00F4357D">
            <w:pPr>
              <w:spacing w:after="0"/>
              <w:jc w:val="center"/>
              <w:rPr>
                <w:rFonts w:ascii="Times New Roman" w:hAnsi="Times New Roman" w:cs="Times New Roman"/>
                <w:sz w:val="18"/>
                <w:szCs w:val="18"/>
              </w:rPr>
            </w:pPr>
            <w:r w:rsidRPr="00A60FD5">
              <w:rPr>
                <w:rFonts w:ascii="Times New Roman" w:hAnsi="Times New Roman" w:cs="Times New Roman"/>
                <w:sz w:val="18"/>
                <w:szCs w:val="18"/>
              </w:rPr>
              <w:t>(0.12)</w:t>
            </w:r>
          </w:p>
        </w:tc>
        <w:tc>
          <w:tcPr>
            <w:tcW w:w="992" w:type="dxa"/>
            <w:tcBorders>
              <w:top w:val="nil"/>
              <w:left w:val="nil"/>
              <w:bottom w:val="nil"/>
              <w:right w:val="dotted" w:sz="4" w:space="0" w:color="auto"/>
            </w:tcBorders>
          </w:tcPr>
          <w:p w14:paraId="64415BE9" w14:textId="77777777" w:rsidR="000810C3" w:rsidRPr="00A60FD5" w:rsidRDefault="004D234A" w:rsidP="00F4357D">
            <w:pPr>
              <w:spacing w:after="0"/>
              <w:jc w:val="center"/>
              <w:rPr>
                <w:rFonts w:ascii="Times New Roman" w:hAnsi="Times New Roman" w:cs="Times New Roman"/>
                <w:sz w:val="18"/>
                <w:szCs w:val="18"/>
              </w:rPr>
            </w:pPr>
            <w:r w:rsidRPr="00A60FD5">
              <w:rPr>
                <w:rFonts w:ascii="Times New Roman" w:hAnsi="Times New Roman" w:cs="Times New Roman"/>
                <w:sz w:val="18"/>
                <w:szCs w:val="18"/>
              </w:rPr>
              <w:t>-0.08</w:t>
            </w:r>
          </w:p>
          <w:p w14:paraId="5E667604" w14:textId="72D40264" w:rsidR="004D234A" w:rsidRPr="00A60FD5" w:rsidRDefault="004D234A" w:rsidP="00F4357D">
            <w:pPr>
              <w:spacing w:after="0"/>
              <w:jc w:val="center"/>
              <w:rPr>
                <w:rFonts w:ascii="Times New Roman" w:hAnsi="Times New Roman" w:cs="Times New Roman"/>
                <w:sz w:val="18"/>
                <w:szCs w:val="18"/>
              </w:rPr>
            </w:pPr>
            <w:r w:rsidRPr="00A60FD5">
              <w:rPr>
                <w:rFonts w:ascii="Times New Roman" w:hAnsi="Times New Roman" w:cs="Times New Roman"/>
                <w:sz w:val="18"/>
                <w:szCs w:val="18"/>
              </w:rPr>
              <w:t>(0.13)</w:t>
            </w:r>
          </w:p>
        </w:tc>
        <w:tc>
          <w:tcPr>
            <w:tcW w:w="992" w:type="dxa"/>
            <w:tcBorders>
              <w:top w:val="nil"/>
              <w:left w:val="dotted" w:sz="4" w:space="0" w:color="auto"/>
              <w:bottom w:val="nil"/>
              <w:right w:val="nil"/>
            </w:tcBorders>
          </w:tcPr>
          <w:p w14:paraId="780B0A64" w14:textId="77777777" w:rsidR="00441A49" w:rsidRPr="00A60FD5" w:rsidRDefault="00441A49" w:rsidP="00F4357D">
            <w:pPr>
              <w:spacing w:after="0"/>
              <w:jc w:val="center"/>
              <w:rPr>
                <w:rFonts w:ascii="Times New Roman" w:hAnsi="Times New Roman" w:cs="Times New Roman"/>
                <w:sz w:val="18"/>
                <w:szCs w:val="18"/>
              </w:rPr>
            </w:pPr>
            <w:r w:rsidRPr="00A60FD5">
              <w:rPr>
                <w:rFonts w:ascii="Times New Roman" w:hAnsi="Times New Roman" w:cs="Times New Roman"/>
                <w:sz w:val="18"/>
                <w:szCs w:val="18"/>
              </w:rPr>
              <w:t>0.11*</w:t>
            </w:r>
          </w:p>
          <w:p w14:paraId="1BCA6573" w14:textId="792AF44A" w:rsidR="00441A49" w:rsidRPr="00A60FD5" w:rsidRDefault="00441A49" w:rsidP="00F4357D">
            <w:pPr>
              <w:spacing w:after="0"/>
              <w:jc w:val="center"/>
              <w:rPr>
                <w:rFonts w:ascii="Times New Roman" w:hAnsi="Times New Roman" w:cs="Times New Roman"/>
                <w:sz w:val="18"/>
                <w:szCs w:val="18"/>
              </w:rPr>
            </w:pPr>
            <w:r w:rsidRPr="00A60FD5">
              <w:rPr>
                <w:rFonts w:ascii="Times New Roman" w:hAnsi="Times New Roman" w:cs="Times New Roman"/>
                <w:sz w:val="18"/>
                <w:szCs w:val="18"/>
              </w:rPr>
              <w:t>(0.04)</w:t>
            </w:r>
          </w:p>
        </w:tc>
        <w:tc>
          <w:tcPr>
            <w:tcW w:w="851" w:type="dxa"/>
            <w:tcBorders>
              <w:top w:val="nil"/>
              <w:left w:val="nil"/>
              <w:bottom w:val="nil"/>
              <w:right w:val="nil"/>
            </w:tcBorders>
          </w:tcPr>
          <w:p w14:paraId="028924E8" w14:textId="77777777" w:rsidR="000810C3" w:rsidRPr="00A60FD5" w:rsidRDefault="00441A49" w:rsidP="00F4357D">
            <w:pPr>
              <w:spacing w:after="0"/>
              <w:jc w:val="center"/>
              <w:rPr>
                <w:rFonts w:ascii="Times New Roman" w:hAnsi="Times New Roman" w:cs="Times New Roman"/>
                <w:sz w:val="18"/>
                <w:szCs w:val="18"/>
              </w:rPr>
            </w:pPr>
            <w:r w:rsidRPr="00A60FD5">
              <w:rPr>
                <w:rFonts w:ascii="Times New Roman" w:hAnsi="Times New Roman" w:cs="Times New Roman"/>
                <w:sz w:val="18"/>
                <w:szCs w:val="18"/>
              </w:rPr>
              <w:t>0.00</w:t>
            </w:r>
          </w:p>
          <w:p w14:paraId="3EA2B921" w14:textId="20DD5CF2" w:rsidR="00441A49" w:rsidRPr="00A60FD5" w:rsidRDefault="00441A49" w:rsidP="00F4357D">
            <w:pPr>
              <w:spacing w:after="0"/>
              <w:jc w:val="center"/>
              <w:rPr>
                <w:rFonts w:ascii="Times New Roman" w:hAnsi="Times New Roman" w:cs="Times New Roman"/>
                <w:sz w:val="18"/>
                <w:szCs w:val="18"/>
              </w:rPr>
            </w:pPr>
            <w:r w:rsidRPr="00A60FD5">
              <w:rPr>
                <w:rFonts w:ascii="Times New Roman" w:hAnsi="Times New Roman" w:cs="Times New Roman"/>
                <w:sz w:val="18"/>
                <w:szCs w:val="18"/>
              </w:rPr>
              <w:t>(0.12)</w:t>
            </w:r>
          </w:p>
        </w:tc>
        <w:tc>
          <w:tcPr>
            <w:tcW w:w="850" w:type="dxa"/>
            <w:tcBorders>
              <w:top w:val="nil"/>
              <w:left w:val="nil"/>
              <w:bottom w:val="nil"/>
              <w:right w:val="dotted" w:sz="4" w:space="0" w:color="auto"/>
            </w:tcBorders>
          </w:tcPr>
          <w:p w14:paraId="05BE03CF" w14:textId="77777777" w:rsidR="000810C3" w:rsidRPr="00A60FD5" w:rsidRDefault="00441A49" w:rsidP="00F4357D">
            <w:pPr>
              <w:spacing w:after="0"/>
              <w:jc w:val="center"/>
              <w:rPr>
                <w:rFonts w:ascii="Times New Roman" w:hAnsi="Times New Roman" w:cs="Times New Roman"/>
                <w:sz w:val="18"/>
                <w:szCs w:val="18"/>
              </w:rPr>
            </w:pPr>
            <w:r w:rsidRPr="00A60FD5">
              <w:rPr>
                <w:rFonts w:ascii="Times New Roman" w:hAnsi="Times New Roman" w:cs="Times New Roman"/>
                <w:sz w:val="18"/>
                <w:szCs w:val="18"/>
              </w:rPr>
              <w:t>-0.09</w:t>
            </w:r>
          </w:p>
          <w:p w14:paraId="6CA4B09B" w14:textId="7E83943B" w:rsidR="00441A49" w:rsidRPr="00A60FD5" w:rsidRDefault="00441A49" w:rsidP="00F4357D">
            <w:pPr>
              <w:spacing w:after="0"/>
              <w:jc w:val="center"/>
              <w:rPr>
                <w:rFonts w:ascii="Times New Roman" w:hAnsi="Times New Roman" w:cs="Times New Roman"/>
                <w:sz w:val="18"/>
                <w:szCs w:val="18"/>
              </w:rPr>
            </w:pPr>
            <w:r w:rsidRPr="00A60FD5">
              <w:rPr>
                <w:rFonts w:ascii="Times New Roman" w:hAnsi="Times New Roman" w:cs="Times New Roman"/>
                <w:sz w:val="18"/>
                <w:szCs w:val="18"/>
              </w:rPr>
              <w:t>(0.20)</w:t>
            </w:r>
          </w:p>
        </w:tc>
        <w:tc>
          <w:tcPr>
            <w:tcW w:w="1134" w:type="dxa"/>
            <w:tcBorders>
              <w:top w:val="nil"/>
              <w:left w:val="dotted" w:sz="4" w:space="0" w:color="auto"/>
              <w:bottom w:val="nil"/>
              <w:right w:val="nil"/>
            </w:tcBorders>
          </w:tcPr>
          <w:p w14:paraId="387556B7" w14:textId="77777777" w:rsidR="000810C3" w:rsidRPr="00A60FD5" w:rsidRDefault="00DB112C" w:rsidP="00F4357D">
            <w:pPr>
              <w:spacing w:after="0"/>
              <w:jc w:val="center"/>
              <w:rPr>
                <w:rFonts w:ascii="Times New Roman" w:hAnsi="Times New Roman" w:cs="Times New Roman"/>
                <w:sz w:val="18"/>
                <w:szCs w:val="18"/>
              </w:rPr>
            </w:pPr>
            <w:r w:rsidRPr="00A60FD5">
              <w:rPr>
                <w:rFonts w:ascii="Times New Roman" w:hAnsi="Times New Roman" w:cs="Times New Roman"/>
                <w:sz w:val="18"/>
                <w:szCs w:val="18"/>
              </w:rPr>
              <w:t>0.11*</w:t>
            </w:r>
          </w:p>
          <w:p w14:paraId="05182831" w14:textId="108F3D0B" w:rsidR="00DB112C" w:rsidRPr="00A60FD5" w:rsidRDefault="00DB112C" w:rsidP="00F4357D">
            <w:pPr>
              <w:spacing w:after="0"/>
              <w:jc w:val="center"/>
              <w:rPr>
                <w:rFonts w:ascii="Times New Roman" w:hAnsi="Times New Roman" w:cs="Times New Roman"/>
                <w:sz w:val="18"/>
                <w:szCs w:val="18"/>
              </w:rPr>
            </w:pPr>
            <w:r w:rsidRPr="00A60FD5">
              <w:rPr>
                <w:rFonts w:ascii="Times New Roman" w:hAnsi="Times New Roman" w:cs="Times New Roman"/>
                <w:sz w:val="18"/>
                <w:szCs w:val="18"/>
              </w:rPr>
              <w:t>(0.04)</w:t>
            </w:r>
          </w:p>
        </w:tc>
        <w:tc>
          <w:tcPr>
            <w:tcW w:w="851" w:type="dxa"/>
            <w:tcBorders>
              <w:top w:val="nil"/>
              <w:left w:val="nil"/>
              <w:bottom w:val="nil"/>
              <w:right w:val="nil"/>
            </w:tcBorders>
          </w:tcPr>
          <w:p w14:paraId="7AC488E0" w14:textId="77777777" w:rsidR="000810C3" w:rsidRPr="00A60FD5" w:rsidRDefault="00DE74E5" w:rsidP="00F4357D">
            <w:pPr>
              <w:spacing w:after="0"/>
              <w:jc w:val="center"/>
              <w:rPr>
                <w:rFonts w:ascii="Times New Roman" w:hAnsi="Times New Roman" w:cs="Times New Roman"/>
                <w:sz w:val="18"/>
                <w:szCs w:val="18"/>
              </w:rPr>
            </w:pPr>
            <w:r w:rsidRPr="00A60FD5">
              <w:rPr>
                <w:rFonts w:ascii="Times New Roman" w:hAnsi="Times New Roman" w:cs="Times New Roman"/>
                <w:sz w:val="18"/>
                <w:szCs w:val="18"/>
              </w:rPr>
              <w:t>-0.01</w:t>
            </w:r>
          </w:p>
          <w:p w14:paraId="0ACA9946" w14:textId="5AD442B8" w:rsidR="00DE74E5" w:rsidRPr="00A60FD5" w:rsidRDefault="00DE74E5" w:rsidP="00F4357D">
            <w:pPr>
              <w:spacing w:after="0"/>
              <w:jc w:val="center"/>
              <w:rPr>
                <w:rFonts w:ascii="Times New Roman" w:hAnsi="Times New Roman" w:cs="Times New Roman"/>
                <w:sz w:val="18"/>
                <w:szCs w:val="18"/>
              </w:rPr>
            </w:pPr>
            <w:r w:rsidRPr="00A60FD5">
              <w:rPr>
                <w:rFonts w:ascii="Times New Roman" w:hAnsi="Times New Roman" w:cs="Times New Roman"/>
                <w:sz w:val="18"/>
                <w:szCs w:val="18"/>
              </w:rPr>
              <w:t>(0.12)</w:t>
            </w:r>
          </w:p>
        </w:tc>
        <w:tc>
          <w:tcPr>
            <w:tcW w:w="992" w:type="dxa"/>
            <w:tcBorders>
              <w:top w:val="nil"/>
              <w:left w:val="nil"/>
              <w:bottom w:val="nil"/>
              <w:right w:val="nil"/>
            </w:tcBorders>
          </w:tcPr>
          <w:p w14:paraId="0EC63C6E" w14:textId="77777777" w:rsidR="000810C3" w:rsidRPr="00A60FD5" w:rsidRDefault="00DE74E5" w:rsidP="00F4357D">
            <w:pPr>
              <w:spacing w:after="0"/>
              <w:jc w:val="center"/>
              <w:rPr>
                <w:rFonts w:ascii="Times New Roman" w:hAnsi="Times New Roman" w:cs="Times New Roman"/>
                <w:sz w:val="18"/>
                <w:szCs w:val="18"/>
              </w:rPr>
            </w:pPr>
            <w:r w:rsidRPr="00A60FD5">
              <w:rPr>
                <w:rFonts w:ascii="Times New Roman" w:hAnsi="Times New Roman" w:cs="Times New Roman"/>
                <w:sz w:val="18"/>
                <w:szCs w:val="18"/>
              </w:rPr>
              <w:t>-0.11</w:t>
            </w:r>
          </w:p>
          <w:p w14:paraId="1966D21F" w14:textId="03C7D0A9" w:rsidR="00DE74E5" w:rsidRPr="00A60FD5" w:rsidRDefault="00DE74E5" w:rsidP="00F4357D">
            <w:pPr>
              <w:spacing w:after="0"/>
              <w:jc w:val="center"/>
              <w:rPr>
                <w:rFonts w:ascii="Times New Roman" w:hAnsi="Times New Roman" w:cs="Times New Roman"/>
                <w:sz w:val="18"/>
                <w:szCs w:val="18"/>
              </w:rPr>
            </w:pPr>
            <w:r w:rsidRPr="00A60FD5">
              <w:rPr>
                <w:rFonts w:ascii="Times New Roman" w:hAnsi="Times New Roman" w:cs="Times New Roman"/>
                <w:sz w:val="18"/>
                <w:szCs w:val="18"/>
              </w:rPr>
              <w:t>(0.14)</w:t>
            </w:r>
          </w:p>
        </w:tc>
      </w:tr>
      <w:tr w:rsidR="00DE0D97" w:rsidRPr="00A60FD5" w14:paraId="5B68D4EF" w14:textId="77777777" w:rsidTr="00EB08AC">
        <w:trPr>
          <w:trHeight w:hRule="exact" w:val="483"/>
        </w:trPr>
        <w:tc>
          <w:tcPr>
            <w:tcW w:w="3261" w:type="dxa"/>
            <w:tcBorders>
              <w:top w:val="nil"/>
              <w:left w:val="nil"/>
              <w:bottom w:val="nil"/>
              <w:right w:val="nil"/>
            </w:tcBorders>
          </w:tcPr>
          <w:p w14:paraId="7499F90E" w14:textId="6AA13DA7" w:rsidR="00441A49" w:rsidRPr="00A60FD5" w:rsidRDefault="00441A49" w:rsidP="00AF0BDD">
            <w:pPr>
              <w:spacing w:before="80" w:after="0"/>
              <w:rPr>
                <w:rFonts w:ascii="Times New Roman" w:hAnsi="Times New Roman" w:cs="Times New Roman"/>
                <w:sz w:val="18"/>
                <w:szCs w:val="18"/>
              </w:rPr>
            </w:pPr>
            <w:r w:rsidRPr="00A60FD5">
              <w:rPr>
                <w:rFonts w:ascii="Times New Roman" w:hAnsi="Times New Roman" w:cs="Times New Roman"/>
                <w:sz w:val="18"/>
                <w:szCs w:val="18"/>
              </w:rPr>
              <w:t>Exclusivity</w:t>
            </w:r>
          </w:p>
        </w:tc>
        <w:tc>
          <w:tcPr>
            <w:tcW w:w="850" w:type="dxa"/>
            <w:tcBorders>
              <w:top w:val="nil"/>
              <w:left w:val="nil"/>
              <w:bottom w:val="nil"/>
              <w:right w:val="nil"/>
            </w:tcBorders>
          </w:tcPr>
          <w:p w14:paraId="5DCD0600" w14:textId="77777777" w:rsidR="00441A49" w:rsidRPr="00A60FD5" w:rsidRDefault="00310478" w:rsidP="00F4357D">
            <w:pPr>
              <w:spacing w:after="0"/>
              <w:jc w:val="center"/>
              <w:rPr>
                <w:rFonts w:ascii="Times New Roman" w:hAnsi="Times New Roman" w:cs="Times New Roman"/>
                <w:sz w:val="18"/>
                <w:szCs w:val="18"/>
              </w:rPr>
            </w:pPr>
            <w:r w:rsidRPr="00A60FD5">
              <w:rPr>
                <w:rFonts w:ascii="Times New Roman" w:hAnsi="Times New Roman" w:cs="Times New Roman"/>
                <w:sz w:val="18"/>
                <w:szCs w:val="18"/>
              </w:rPr>
              <w:t>0.05</w:t>
            </w:r>
          </w:p>
          <w:p w14:paraId="2D5CC622" w14:textId="5510CDCB" w:rsidR="00310478" w:rsidRPr="00A60FD5" w:rsidRDefault="00310478" w:rsidP="00F4357D">
            <w:pPr>
              <w:spacing w:after="0"/>
              <w:jc w:val="center"/>
              <w:rPr>
                <w:rFonts w:ascii="Times New Roman" w:hAnsi="Times New Roman" w:cs="Times New Roman"/>
                <w:sz w:val="18"/>
                <w:szCs w:val="18"/>
              </w:rPr>
            </w:pPr>
            <w:r w:rsidRPr="00A60FD5">
              <w:rPr>
                <w:rFonts w:ascii="Times New Roman" w:hAnsi="Times New Roman" w:cs="Times New Roman"/>
                <w:sz w:val="18"/>
                <w:szCs w:val="18"/>
              </w:rPr>
              <w:t>(0.13)</w:t>
            </w:r>
          </w:p>
        </w:tc>
        <w:tc>
          <w:tcPr>
            <w:tcW w:w="851" w:type="dxa"/>
            <w:tcBorders>
              <w:top w:val="nil"/>
              <w:left w:val="nil"/>
              <w:bottom w:val="nil"/>
              <w:right w:val="nil"/>
            </w:tcBorders>
          </w:tcPr>
          <w:p w14:paraId="2D0B0E19" w14:textId="77777777" w:rsidR="00441A49" w:rsidRPr="00A60FD5" w:rsidRDefault="008E23C0" w:rsidP="00F4357D">
            <w:pPr>
              <w:spacing w:after="0"/>
              <w:jc w:val="center"/>
              <w:rPr>
                <w:rFonts w:ascii="Times New Roman" w:hAnsi="Times New Roman" w:cs="Times New Roman"/>
                <w:sz w:val="18"/>
                <w:szCs w:val="18"/>
              </w:rPr>
            </w:pPr>
            <w:r w:rsidRPr="00A60FD5">
              <w:rPr>
                <w:rFonts w:ascii="Times New Roman" w:hAnsi="Times New Roman" w:cs="Times New Roman"/>
                <w:sz w:val="18"/>
                <w:szCs w:val="18"/>
              </w:rPr>
              <w:t>0.03</w:t>
            </w:r>
          </w:p>
          <w:p w14:paraId="6D18112C" w14:textId="5B113BDA" w:rsidR="008E23C0" w:rsidRPr="00A60FD5" w:rsidRDefault="008E23C0" w:rsidP="00F4357D">
            <w:pPr>
              <w:spacing w:after="0"/>
              <w:jc w:val="center"/>
              <w:rPr>
                <w:rFonts w:ascii="Times New Roman" w:hAnsi="Times New Roman" w:cs="Times New Roman"/>
                <w:sz w:val="18"/>
                <w:szCs w:val="18"/>
              </w:rPr>
            </w:pPr>
            <w:r w:rsidRPr="00A60FD5">
              <w:rPr>
                <w:rFonts w:ascii="Times New Roman" w:hAnsi="Times New Roman" w:cs="Times New Roman"/>
                <w:sz w:val="18"/>
                <w:szCs w:val="18"/>
              </w:rPr>
              <w:t>(0.29)</w:t>
            </w:r>
          </w:p>
        </w:tc>
        <w:tc>
          <w:tcPr>
            <w:tcW w:w="992" w:type="dxa"/>
            <w:tcBorders>
              <w:top w:val="nil"/>
              <w:left w:val="nil"/>
              <w:bottom w:val="nil"/>
              <w:right w:val="dotted" w:sz="4" w:space="0" w:color="auto"/>
            </w:tcBorders>
          </w:tcPr>
          <w:p w14:paraId="3E1678B0" w14:textId="77777777" w:rsidR="004D234A" w:rsidRPr="00A60FD5" w:rsidRDefault="008E23C0" w:rsidP="00F4357D">
            <w:pPr>
              <w:spacing w:after="0"/>
              <w:jc w:val="center"/>
              <w:rPr>
                <w:rFonts w:ascii="Times New Roman" w:hAnsi="Times New Roman" w:cs="Times New Roman"/>
                <w:sz w:val="18"/>
                <w:szCs w:val="18"/>
              </w:rPr>
            </w:pPr>
            <w:r w:rsidRPr="00A60FD5">
              <w:rPr>
                <w:rFonts w:ascii="Times New Roman" w:hAnsi="Times New Roman" w:cs="Times New Roman"/>
                <w:sz w:val="18"/>
                <w:szCs w:val="18"/>
              </w:rPr>
              <w:t>-0.89*</w:t>
            </w:r>
          </w:p>
          <w:p w14:paraId="7503B674" w14:textId="2919B119" w:rsidR="008E23C0" w:rsidRPr="00A60FD5" w:rsidRDefault="008E23C0" w:rsidP="00F4357D">
            <w:pPr>
              <w:spacing w:after="0"/>
              <w:jc w:val="center"/>
              <w:rPr>
                <w:rFonts w:ascii="Times New Roman" w:hAnsi="Times New Roman" w:cs="Times New Roman"/>
                <w:sz w:val="18"/>
                <w:szCs w:val="18"/>
              </w:rPr>
            </w:pPr>
            <w:r w:rsidRPr="00A60FD5">
              <w:rPr>
                <w:rFonts w:ascii="Times New Roman" w:hAnsi="Times New Roman" w:cs="Times New Roman"/>
                <w:sz w:val="18"/>
                <w:szCs w:val="18"/>
              </w:rPr>
              <w:t>(0.43)</w:t>
            </w:r>
          </w:p>
        </w:tc>
        <w:tc>
          <w:tcPr>
            <w:tcW w:w="992" w:type="dxa"/>
            <w:tcBorders>
              <w:top w:val="nil"/>
              <w:left w:val="dotted" w:sz="4" w:space="0" w:color="auto"/>
              <w:bottom w:val="nil"/>
              <w:right w:val="nil"/>
            </w:tcBorders>
          </w:tcPr>
          <w:p w14:paraId="581C55A6" w14:textId="77777777" w:rsidR="00441A49" w:rsidRPr="00A60FD5" w:rsidRDefault="00441A49" w:rsidP="00F4357D">
            <w:pPr>
              <w:spacing w:after="0"/>
              <w:jc w:val="center"/>
              <w:rPr>
                <w:rFonts w:ascii="Times New Roman" w:hAnsi="Times New Roman" w:cs="Times New Roman"/>
                <w:sz w:val="18"/>
                <w:szCs w:val="18"/>
              </w:rPr>
            </w:pPr>
            <w:r w:rsidRPr="00A60FD5">
              <w:rPr>
                <w:rFonts w:ascii="Times New Roman" w:hAnsi="Times New Roman" w:cs="Times New Roman"/>
                <w:sz w:val="18"/>
                <w:szCs w:val="18"/>
              </w:rPr>
              <w:t>0.05</w:t>
            </w:r>
          </w:p>
          <w:p w14:paraId="2A7B872A" w14:textId="520EABDA" w:rsidR="00441A49" w:rsidRPr="00A60FD5" w:rsidRDefault="00441A49" w:rsidP="00F4357D">
            <w:pPr>
              <w:spacing w:after="0"/>
              <w:jc w:val="center"/>
              <w:rPr>
                <w:rFonts w:ascii="Times New Roman" w:hAnsi="Times New Roman" w:cs="Times New Roman"/>
                <w:sz w:val="18"/>
                <w:szCs w:val="18"/>
              </w:rPr>
            </w:pPr>
            <w:r w:rsidRPr="00A60FD5">
              <w:rPr>
                <w:rFonts w:ascii="Times New Roman" w:hAnsi="Times New Roman" w:cs="Times New Roman"/>
                <w:sz w:val="18"/>
                <w:szCs w:val="18"/>
              </w:rPr>
              <w:t>(0.12)</w:t>
            </w:r>
          </w:p>
        </w:tc>
        <w:tc>
          <w:tcPr>
            <w:tcW w:w="851" w:type="dxa"/>
            <w:tcBorders>
              <w:top w:val="nil"/>
              <w:left w:val="nil"/>
              <w:bottom w:val="nil"/>
              <w:right w:val="nil"/>
            </w:tcBorders>
          </w:tcPr>
          <w:p w14:paraId="674373F2" w14:textId="77777777" w:rsidR="00441A49" w:rsidRPr="00A60FD5" w:rsidRDefault="00441A49" w:rsidP="00F4357D">
            <w:pPr>
              <w:spacing w:after="0"/>
              <w:jc w:val="center"/>
              <w:rPr>
                <w:rFonts w:ascii="Times New Roman" w:hAnsi="Times New Roman" w:cs="Times New Roman"/>
                <w:sz w:val="18"/>
                <w:szCs w:val="18"/>
              </w:rPr>
            </w:pPr>
            <w:r w:rsidRPr="00A60FD5">
              <w:rPr>
                <w:rFonts w:ascii="Times New Roman" w:hAnsi="Times New Roman" w:cs="Times New Roman"/>
                <w:sz w:val="18"/>
                <w:szCs w:val="18"/>
              </w:rPr>
              <w:t>0.03</w:t>
            </w:r>
          </w:p>
          <w:p w14:paraId="5FFD1605" w14:textId="7883D439" w:rsidR="00441A49" w:rsidRPr="00A60FD5" w:rsidRDefault="00441A49" w:rsidP="00F4357D">
            <w:pPr>
              <w:spacing w:after="0"/>
              <w:jc w:val="center"/>
              <w:rPr>
                <w:rFonts w:ascii="Times New Roman" w:hAnsi="Times New Roman" w:cs="Times New Roman"/>
                <w:sz w:val="18"/>
                <w:szCs w:val="18"/>
              </w:rPr>
            </w:pPr>
            <w:r w:rsidRPr="00A60FD5">
              <w:rPr>
                <w:rFonts w:ascii="Times New Roman" w:hAnsi="Times New Roman" w:cs="Times New Roman"/>
                <w:sz w:val="18"/>
                <w:szCs w:val="18"/>
              </w:rPr>
              <w:t>(0.29)</w:t>
            </w:r>
          </w:p>
        </w:tc>
        <w:tc>
          <w:tcPr>
            <w:tcW w:w="850" w:type="dxa"/>
            <w:tcBorders>
              <w:top w:val="nil"/>
              <w:left w:val="nil"/>
              <w:bottom w:val="nil"/>
              <w:right w:val="dotted" w:sz="4" w:space="0" w:color="auto"/>
            </w:tcBorders>
          </w:tcPr>
          <w:p w14:paraId="18DAA501" w14:textId="77777777" w:rsidR="00441A49" w:rsidRPr="00A60FD5" w:rsidRDefault="00441A49" w:rsidP="00F4357D">
            <w:pPr>
              <w:spacing w:after="0"/>
              <w:jc w:val="center"/>
              <w:rPr>
                <w:rFonts w:ascii="Times New Roman" w:hAnsi="Times New Roman" w:cs="Times New Roman"/>
                <w:sz w:val="18"/>
                <w:szCs w:val="18"/>
              </w:rPr>
            </w:pPr>
            <w:r w:rsidRPr="00A60FD5">
              <w:rPr>
                <w:rFonts w:ascii="Times New Roman" w:hAnsi="Times New Roman" w:cs="Times New Roman"/>
                <w:sz w:val="18"/>
                <w:szCs w:val="18"/>
              </w:rPr>
              <w:t>-0.89*</w:t>
            </w:r>
          </w:p>
          <w:p w14:paraId="1810D38E" w14:textId="645ECB2F" w:rsidR="00441A49" w:rsidRPr="00A60FD5" w:rsidRDefault="00441A49" w:rsidP="00F4357D">
            <w:pPr>
              <w:spacing w:after="0"/>
              <w:jc w:val="center"/>
              <w:rPr>
                <w:rFonts w:ascii="Times New Roman" w:hAnsi="Times New Roman" w:cs="Times New Roman"/>
                <w:sz w:val="18"/>
                <w:szCs w:val="18"/>
              </w:rPr>
            </w:pPr>
            <w:r w:rsidRPr="00A60FD5">
              <w:rPr>
                <w:rFonts w:ascii="Times New Roman" w:hAnsi="Times New Roman" w:cs="Times New Roman"/>
                <w:sz w:val="18"/>
                <w:szCs w:val="18"/>
              </w:rPr>
              <w:t>(0.41)</w:t>
            </w:r>
          </w:p>
        </w:tc>
        <w:tc>
          <w:tcPr>
            <w:tcW w:w="1134" w:type="dxa"/>
            <w:tcBorders>
              <w:top w:val="nil"/>
              <w:left w:val="dotted" w:sz="4" w:space="0" w:color="auto"/>
              <w:bottom w:val="nil"/>
              <w:right w:val="nil"/>
            </w:tcBorders>
          </w:tcPr>
          <w:p w14:paraId="62258CBC" w14:textId="77777777" w:rsidR="00441A49" w:rsidRPr="00A60FD5" w:rsidRDefault="00DB112C" w:rsidP="00F4357D">
            <w:pPr>
              <w:spacing w:after="0"/>
              <w:jc w:val="center"/>
              <w:rPr>
                <w:rFonts w:ascii="Times New Roman" w:hAnsi="Times New Roman" w:cs="Times New Roman"/>
                <w:sz w:val="18"/>
                <w:szCs w:val="18"/>
              </w:rPr>
            </w:pPr>
            <w:r w:rsidRPr="00A60FD5">
              <w:rPr>
                <w:rFonts w:ascii="Times New Roman" w:hAnsi="Times New Roman" w:cs="Times New Roman"/>
                <w:sz w:val="18"/>
                <w:szCs w:val="18"/>
              </w:rPr>
              <w:t>0.05</w:t>
            </w:r>
          </w:p>
          <w:p w14:paraId="5890AD86" w14:textId="4F90FDE6" w:rsidR="00DB112C" w:rsidRPr="00A60FD5" w:rsidRDefault="00DB112C" w:rsidP="00F4357D">
            <w:pPr>
              <w:spacing w:after="0"/>
              <w:jc w:val="center"/>
              <w:rPr>
                <w:rFonts w:ascii="Times New Roman" w:hAnsi="Times New Roman" w:cs="Times New Roman"/>
                <w:sz w:val="18"/>
                <w:szCs w:val="18"/>
              </w:rPr>
            </w:pPr>
            <w:r w:rsidRPr="00A60FD5">
              <w:rPr>
                <w:rFonts w:ascii="Times New Roman" w:hAnsi="Times New Roman" w:cs="Times New Roman"/>
                <w:sz w:val="18"/>
                <w:szCs w:val="18"/>
              </w:rPr>
              <w:t>(0.13)</w:t>
            </w:r>
          </w:p>
        </w:tc>
        <w:tc>
          <w:tcPr>
            <w:tcW w:w="851" w:type="dxa"/>
            <w:tcBorders>
              <w:top w:val="nil"/>
              <w:left w:val="nil"/>
              <w:bottom w:val="nil"/>
              <w:right w:val="nil"/>
            </w:tcBorders>
          </w:tcPr>
          <w:p w14:paraId="1C10711A" w14:textId="77777777" w:rsidR="00441A49" w:rsidRPr="00A60FD5" w:rsidRDefault="00DE74E5" w:rsidP="00F4357D">
            <w:pPr>
              <w:spacing w:after="0"/>
              <w:jc w:val="center"/>
              <w:rPr>
                <w:rFonts w:ascii="Times New Roman" w:hAnsi="Times New Roman" w:cs="Times New Roman"/>
                <w:sz w:val="18"/>
                <w:szCs w:val="18"/>
              </w:rPr>
            </w:pPr>
            <w:r w:rsidRPr="00A60FD5">
              <w:rPr>
                <w:rFonts w:ascii="Times New Roman" w:hAnsi="Times New Roman" w:cs="Times New Roman"/>
                <w:sz w:val="18"/>
                <w:szCs w:val="18"/>
              </w:rPr>
              <w:t>0.08</w:t>
            </w:r>
          </w:p>
          <w:p w14:paraId="415DDDB3" w14:textId="6250DE14" w:rsidR="00DE74E5" w:rsidRPr="00A60FD5" w:rsidRDefault="00DE74E5" w:rsidP="00F4357D">
            <w:pPr>
              <w:spacing w:after="0"/>
              <w:jc w:val="center"/>
              <w:rPr>
                <w:rFonts w:ascii="Times New Roman" w:hAnsi="Times New Roman" w:cs="Times New Roman"/>
                <w:sz w:val="18"/>
                <w:szCs w:val="18"/>
              </w:rPr>
            </w:pPr>
            <w:r w:rsidRPr="00A60FD5">
              <w:rPr>
                <w:rFonts w:ascii="Times New Roman" w:hAnsi="Times New Roman" w:cs="Times New Roman"/>
                <w:sz w:val="18"/>
                <w:szCs w:val="18"/>
              </w:rPr>
              <w:t>(0.30)</w:t>
            </w:r>
          </w:p>
        </w:tc>
        <w:tc>
          <w:tcPr>
            <w:tcW w:w="992" w:type="dxa"/>
            <w:tcBorders>
              <w:top w:val="nil"/>
              <w:left w:val="nil"/>
              <w:bottom w:val="nil"/>
              <w:right w:val="nil"/>
            </w:tcBorders>
          </w:tcPr>
          <w:p w14:paraId="239CA8EE" w14:textId="77777777" w:rsidR="00441A49" w:rsidRPr="00A60FD5" w:rsidRDefault="00DE74E5" w:rsidP="00F4357D">
            <w:pPr>
              <w:spacing w:after="0"/>
              <w:jc w:val="center"/>
              <w:rPr>
                <w:rFonts w:ascii="Times New Roman" w:hAnsi="Times New Roman" w:cs="Times New Roman"/>
                <w:sz w:val="18"/>
                <w:szCs w:val="18"/>
              </w:rPr>
            </w:pPr>
            <w:r w:rsidRPr="00A60FD5">
              <w:rPr>
                <w:rFonts w:ascii="Times New Roman" w:hAnsi="Times New Roman" w:cs="Times New Roman"/>
                <w:sz w:val="18"/>
                <w:szCs w:val="18"/>
              </w:rPr>
              <w:t>-0.85*</w:t>
            </w:r>
          </w:p>
          <w:p w14:paraId="490EE4B5" w14:textId="24A9F3B0" w:rsidR="00DE74E5" w:rsidRPr="00A60FD5" w:rsidRDefault="00DE74E5" w:rsidP="00F4357D">
            <w:pPr>
              <w:spacing w:after="0"/>
              <w:jc w:val="center"/>
              <w:rPr>
                <w:rFonts w:ascii="Times New Roman" w:hAnsi="Times New Roman" w:cs="Times New Roman"/>
                <w:sz w:val="18"/>
                <w:szCs w:val="18"/>
              </w:rPr>
            </w:pPr>
            <w:r w:rsidRPr="00A60FD5">
              <w:rPr>
                <w:rFonts w:ascii="Times New Roman" w:hAnsi="Times New Roman" w:cs="Times New Roman"/>
                <w:sz w:val="18"/>
                <w:szCs w:val="18"/>
              </w:rPr>
              <w:t>(0.42)</w:t>
            </w:r>
          </w:p>
        </w:tc>
      </w:tr>
      <w:tr w:rsidR="00DE0D97" w:rsidRPr="00A60FD5" w14:paraId="502C099F" w14:textId="77777777" w:rsidTr="00EB08AC">
        <w:trPr>
          <w:trHeight w:hRule="exact" w:val="483"/>
        </w:trPr>
        <w:tc>
          <w:tcPr>
            <w:tcW w:w="3261" w:type="dxa"/>
            <w:tcBorders>
              <w:top w:val="nil"/>
              <w:left w:val="nil"/>
              <w:bottom w:val="nil"/>
              <w:right w:val="nil"/>
            </w:tcBorders>
          </w:tcPr>
          <w:p w14:paraId="5FBDC537" w14:textId="6AF70A06" w:rsidR="00441A49" w:rsidRPr="00A60FD5" w:rsidRDefault="00077D93" w:rsidP="00077D93">
            <w:pPr>
              <w:spacing w:before="80" w:after="0"/>
              <w:rPr>
                <w:rFonts w:ascii="Times New Roman" w:hAnsi="Times New Roman" w:cs="Times New Roman"/>
                <w:sz w:val="18"/>
                <w:szCs w:val="18"/>
              </w:rPr>
            </w:pPr>
            <w:r w:rsidRPr="00A60FD5">
              <w:rPr>
                <w:rFonts w:ascii="Times New Roman" w:hAnsi="Times New Roman" w:cs="Times New Roman"/>
                <w:sz w:val="18"/>
                <w:szCs w:val="18"/>
              </w:rPr>
              <w:t>License’s s</w:t>
            </w:r>
            <w:r w:rsidR="00441A49" w:rsidRPr="00A60FD5">
              <w:rPr>
                <w:rFonts w:ascii="Times New Roman" w:hAnsi="Times New Roman" w:cs="Times New Roman"/>
                <w:sz w:val="18"/>
                <w:szCs w:val="18"/>
              </w:rPr>
              <w:t>cope-</w:t>
            </w:r>
            <w:r w:rsidR="00EB08AC" w:rsidRPr="00A60FD5">
              <w:rPr>
                <w:rFonts w:ascii="Times New Roman" w:hAnsi="Times New Roman" w:cs="Times New Roman"/>
                <w:sz w:val="18"/>
                <w:szCs w:val="18"/>
              </w:rPr>
              <w:t xml:space="preserve"> </w:t>
            </w:r>
            <w:r w:rsidRPr="00A60FD5">
              <w:rPr>
                <w:rFonts w:ascii="Times New Roman" w:hAnsi="Times New Roman" w:cs="Times New Roman"/>
                <w:sz w:val="18"/>
                <w:szCs w:val="18"/>
                <w:vertAlign w:val="subscript"/>
              </w:rPr>
              <w:t>manuf or market</w:t>
            </w:r>
          </w:p>
        </w:tc>
        <w:tc>
          <w:tcPr>
            <w:tcW w:w="850" w:type="dxa"/>
            <w:tcBorders>
              <w:top w:val="nil"/>
              <w:left w:val="nil"/>
              <w:bottom w:val="nil"/>
              <w:right w:val="nil"/>
            </w:tcBorders>
          </w:tcPr>
          <w:p w14:paraId="10FBA428" w14:textId="77777777" w:rsidR="00441A49" w:rsidRPr="00A60FD5" w:rsidRDefault="00310478" w:rsidP="00F4357D">
            <w:pPr>
              <w:spacing w:after="0"/>
              <w:jc w:val="center"/>
              <w:rPr>
                <w:rFonts w:ascii="Times New Roman" w:hAnsi="Times New Roman"/>
                <w:sz w:val="18"/>
                <w:szCs w:val="20"/>
              </w:rPr>
            </w:pPr>
            <w:r w:rsidRPr="00A60FD5">
              <w:rPr>
                <w:rFonts w:ascii="Times New Roman" w:hAnsi="Times New Roman" w:cs="Times New Roman"/>
                <w:sz w:val="18"/>
                <w:szCs w:val="18"/>
              </w:rPr>
              <w:t>0.33</w:t>
            </w:r>
            <w:r w:rsidRPr="00A60FD5">
              <w:rPr>
                <w:rFonts w:ascii="Times New Roman" w:hAnsi="Times New Roman"/>
                <w:sz w:val="18"/>
                <w:szCs w:val="20"/>
              </w:rPr>
              <w:t>†</w:t>
            </w:r>
          </w:p>
          <w:p w14:paraId="5756B370" w14:textId="20D54380" w:rsidR="00310478" w:rsidRPr="00A60FD5" w:rsidRDefault="00310478" w:rsidP="00F4357D">
            <w:pPr>
              <w:spacing w:after="0"/>
              <w:jc w:val="center"/>
              <w:rPr>
                <w:rFonts w:ascii="Times New Roman" w:hAnsi="Times New Roman" w:cs="Times New Roman"/>
                <w:sz w:val="18"/>
                <w:szCs w:val="18"/>
              </w:rPr>
            </w:pPr>
            <w:r w:rsidRPr="00A60FD5">
              <w:rPr>
                <w:rFonts w:ascii="Times New Roman" w:hAnsi="Times New Roman"/>
                <w:sz w:val="18"/>
                <w:szCs w:val="20"/>
              </w:rPr>
              <w:t>(0.16)</w:t>
            </w:r>
          </w:p>
        </w:tc>
        <w:tc>
          <w:tcPr>
            <w:tcW w:w="851" w:type="dxa"/>
            <w:tcBorders>
              <w:top w:val="nil"/>
              <w:left w:val="nil"/>
              <w:bottom w:val="nil"/>
              <w:right w:val="nil"/>
            </w:tcBorders>
          </w:tcPr>
          <w:p w14:paraId="3B227C6C" w14:textId="54A10BFF" w:rsidR="008E23C0" w:rsidRPr="00A60FD5" w:rsidRDefault="008E23C0" w:rsidP="00F4357D">
            <w:pPr>
              <w:spacing w:after="0"/>
              <w:jc w:val="center"/>
              <w:rPr>
                <w:rFonts w:ascii="Times New Roman" w:hAnsi="Times New Roman" w:cs="Times New Roman"/>
                <w:sz w:val="18"/>
                <w:szCs w:val="18"/>
              </w:rPr>
            </w:pPr>
            <w:r w:rsidRPr="00A60FD5">
              <w:rPr>
                <w:rFonts w:ascii="Times New Roman" w:hAnsi="Times New Roman" w:cs="Times New Roman"/>
                <w:sz w:val="18"/>
                <w:szCs w:val="18"/>
              </w:rPr>
              <w:t>1.38***</w:t>
            </w:r>
          </w:p>
          <w:p w14:paraId="00D3878F" w14:textId="0E4A30DD" w:rsidR="008E23C0" w:rsidRPr="00A60FD5" w:rsidRDefault="008E23C0" w:rsidP="00F4357D">
            <w:pPr>
              <w:spacing w:after="0"/>
              <w:jc w:val="center"/>
              <w:rPr>
                <w:rFonts w:ascii="Times New Roman" w:hAnsi="Times New Roman" w:cs="Times New Roman"/>
                <w:sz w:val="18"/>
                <w:szCs w:val="18"/>
              </w:rPr>
            </w:pPr>
            <w:r w:rsidRPr="00A60FD5">
              <w:rPr>
                <w:rFonts w:ascii="Times New Roman" w:hAnsi="Times New Roman" w:cs="Times New Roman"/>
                <w:sz w:val="18"/>
                <w:szCs w:val="18"/>
              </w:rPr>
              <w:t>(0.32)</w:t>
            </w:r>
          </w:p>
        </w:tc>
        <w:tc>
          <w:tcPr>
            <w:tcW w:w="992" w:type="dxa"/>
            <w:tcBorders>
              <w:top w:val="nil"/>
              <w:left w:val="nil"/>
              <w:bottom w:val="nil"/>
              <w:right w:val="dotted" w:sz="4" w:space="0" w:color="auto"/>
            </w:tcBorders>
          </w:tcPr>
          <w:p w14:paraId="59ABC34E" w14:textId="77777777" w:rsidR="00441A49" w:rsidRPr="00A60FD5" w:rsidRDefault="008E23C0" w:rsidP="00F4357D">
            <w:pPr>
              <w:spacing w:after="0"/>
              <w:jc w:val="center"/>
              <w:rPr>
                <w:rFonts w:ascii="Times New Roman" w:hAnsi="Times New Roman" w:cs="Times New Roman"/>
                <w:sz w:val="18"/>
                <w:szCs w:val="18"/>
              </w:rPr>
            </w:pPr>
            <w:r w:rsidRPr="00A60FD5">
              <w:rPr>
                <w:rFonts w:ascii="Times New Roman" w:hAnsi="Times New Roman" w:cs="Times New Roman"/>
                <w:sz w:val="18"/>
                <w:szCs w:val="18"/>
              </w:rPr>
              <w:t>0.49</w:t>
            </w:r>
          </w:p>
          <w:p w14:paraId="10FB2558" w14:textId="4A8C35AF" w:rsidR="008E23C0" w:rsidRPr="00A60FD5" w:rsidRDefault="008E23C0" w:rsidP="00F4357D">
            <w:pPr>
              <w:spacing w:after="0"/>
              <w:jc w:val="center"/>
              <w:rPr>
                <w:rFonts w:ascii="Times New Roman" w:hAnsi="Times New Roman" w:cs="Times New Roman"/>
                <w:sz w:val="18"/>
                <w:szCs w:val="18"/>
              </w:rPr>
            </w:pPr>
            <w:r w:rsidRPr="00A60FD5">
              <w:rPr>
                <w:rFonts w:ascii="Times New Roman" w:hAnsi="Times New Roman" w:cs="Times New Roman"/>
                <w:sz w:val="18"/>
                <w:szCs w:val="18"/>
              </w:rPr>
              <w:t>(0.40)</w:t>
            </w:r>
          </w:p>
        </w:tc>
        <w:tc>
          <w:tcPr>
            <w:tcW w:w="992" w:type="dxa"/>
            <w:tcBorders>
              <w:top w:val="nil"/>
              <w:left w:val="dotted" w:sz="4" w:space="0" w:color="auto"/>
              <w:bottom w:val="nil"/>
              <w:right w:val="nil"/>
            </w:tcBorders>
          </w:tcPr>
          <w:p w14:paraId="17E3AF47" w14:textId="77777777" w:rsidR="00441A49" w:rsidRPr="00A60FD5" w:rsidRDefault="00441A49" w:rsidP="00F4357D">
            <w:pPr>
              <w:spacing w:after="0"/>
              <w:jc w:val="center"/>
              <w:rPr>
                <w:rFonts w:ascii="Times New Roman" w:hAnsi="Times New Roman"/>
                <w:sz w:val="18"/>
                <w:szCs w:val="20"/>
              </w:rPr>
            </w:pPr>
            <w:r w:rsidRPr="00A60FD5">
              <w:rPr>
                <w:rFonts w:ascii="Times New Roman" w:hAnsi="Times New Roman" w:cs="Times New Roman"/>
                <w:sz w:val="18"/>
                <w:szCs w:val="18"/>
              </w:rPr>
              <w:t>0.33</w:t>
            </w:r>
            <w:r w:rsidRPr="00A60FD5">
              <w:rPr>
                <w:rFonts w:ascii="Times New Roman" w:hAnsi="Times New Roman"/>
                <w:sz w:val="18"/>
                <w:szCs w:val="20"/>
              </w:rPr>
              <w:t>†</w:t>
            </w:r>
          </w:p>
          <w:p w14:paraId="0DD454AC" w14:textId="14C7EB8C" w:rsidR="00441A49" w:rsidRPr="00A60FD5" w:rsidRDefault="00441A49" w:rsidP="00F4357D">
            <w:pPr>
              <w:spacing w:after="0"/>
              <w:jc w:val="center"/>
              <w:rPr>
                <w:rFonts w:ascii="Times New Roman" w:hAnsi="Times New Roman" w:cs="Times New Roman"/>
                <w:sz w:val="18"/>
                <w:szCs w:val="18"/>
              </w:rPr>
            </w:pPr>
            <w:r w:rsidRPr="00A60FD5">
              <w:rPr>
                <w:rFonts w:ascii="Times New Roman" w:hAnsi="Times New Roman"/>
                <w:sz w:val="18"/>
                <w:szCs w:val="20"/>
              </w:rPr>
              <w:t>(0.19)</w:t>
            </w:r>
          </w:p>
        </w:tc>
        <w:tc>
          <w:tcPr>
            <w:tcW w:w="851" w:type="dxa"/>
            <w:tcBorders>
              <w:top w:val="nil"/>
              <w:left w:val="nil"/>
              <w:bottom w:val="nil"/>
              <w:right w:val="nil"/>
            </w:tcBorders>
          </w:tcPr>
          <w:p w14:paraId="045028E9" w14:textId="77777777" w:rsidR="00441A49" w:rsidRPr="00A60FD5" w:rsidRDefault="00441A49" w:rsidP="00F4357D">
            <w:pPr>
              <w:spacing w:after="0"/>
              <w:jc w:val="center"/>
              <w:rPr>
                <w:rFonts w:ascii="Times New Roman" w:hAnsi="Times New Roman" w:cs="Times New Roman"/>
                <w:sz w:val="18"/>
                <w:szCs w:val="18"/>
              </w:rPr>
            </w:pPr>
            <w:r w:rsidRPr="00A60FD5">
              <w:rPr>
                <w:rFonts w:ascii="Times New Roman" w:hAnsi="Times New Roman" w:cs="Times New Roman"/>
                <w:sz w:val="18"/>
                <w:szCs w:val="18"/>
              </w:rPr>
              <w:t>1.38***</w:t>
            </w:r>
          </w:p>
          <w:p w14:paraId="25C10AB3" w14:textId="772C2F34" w:rsidR="00441A49" w:rsidRPr="00A60FD5" w:rsidRDefault="00441A49" w:rsidP="00F4357D">
            <w:pPr>
              <w:spacing w:after="0"/>
              <w:jc w:val="center"/>
              <w:rPr>
                <w:rFonts w:ascii="Times New Roman" w:hAnsi="Times New Roman" w:cs="Times New Roman"/>
                <w:sz w:val="18"/>
                <w:szCs w:val="18"/>
              </w:rPr>
            </w:pPr>
            <w:r w:rsidRPr="00A60FD5">
              <w:rPr>
                <w:rFonts w:ascii="Times New Roman" w:hAnsi="Times New Roman" w:cs="Times New Roman"/>
                <w:sz w:val="18"/>
                <w:szCs w:val="18"/>
              </w:rPr>
              <w:t>(0.32)</w:t>
            </w:r>
          </w:p>
        </w:tc>
        <w:tc>
          <w:tcPr>
            <w:tcW w:w="850" w:type="dxa"/>
            <w:tcBorders>
              <w:top w:val="nil"/>
              <w:left w:val="nil"/>
              <w:bottom w:val="nil"/>
              <w:right w:val="dotted" w:sz="4" w:space="0" w:color="auto"/>
            </w:tcBorders>
          </w:tcPr>
          <w:p w14:paraId="23A5C722" w14:textId="77777777" w:rsidR="00441A49" w:rsidRPr="00A60FD5" w:rsidRDefault="00441A49" w:rsidP="00F4357D">
            <w:pPr>
              <w:spacing w:after="0"/>
              <w:jc w:val="center"/>
              <w:rPr>
                <w:rFonts w:ascii="Times New Roman" w:hAnsi="Times New Roman" w:cs="Times New Roman"/>
                <w:sz w:val="18"/>
                <w:szCs w:val="18"/>
              </w:rPr>
            </w:pPr>
            <w:r w:rsidRPr="00A60FD5">
              <w:rPr>
                <w:rFonts w:ascii="Times New Roman" w:hAnsi="Times New Roman" w:cs="Times New Roman"/>
                <w:sz w:val="18"/>
                <w:szCs w:val="18"/>
              </w:rPr>
              <w:t>0.46</w:t>
            </w:r>
          </w:p>
          <w:p w14:paraId="7926E26F" w14:textId="6FC26A36" w:rsidR="00441A49" w:rsidRPr="00A60FD5" w:rsidRDefault="00441A49" w:rsidP="00F4357D">
            <w:pPr>
              <w:spacing w:after="0"/>
              <w:jc w:val="center"/>
              <w:rPr>
                <w:rFonts w:ascii="Times New Roman" w:hAnsi="Times New Roman" w:cs="Times New Roman"/>
                <w:sz w:val="18"/>
                <w:szCs w:val="18"/>
              </w:rPr>
            </w:pPr>
            <w:r w:rsidRPr="00A60FD5">
              <w:rPr>
                <w:rFonts w:ascii="Times New Roman" w:hAnsi="Times New Roman" w:cs="Times New Roman"/>
                <w:sz w:val="18"/>
                <w:szCs w:val="18"/>
              </w:rPr>
              <w:t>(0.60)</w:t>
            </w:r>
          </w:p>
        </w:tc>
        <w:tc>
          <w:tcPr>
            <w:tcW w:w="1134" w:type="dxa"/>
            <w:tcBorders>
              <w:top w:val="nil"/>
              <w:left w:val="dotted" w:sz="4" w:space="0" w:color="auto"/>
              <w:bottom w:val="nil"/>
              <w:right w:val="nil"/>
            </w:tcBorders>
          </w:tcPr>
          <w:p w14:paraId="76509B5B" w14:textId="77777777" w:rsidR="00441A49" w:rsidRPr="00A60FD5" w:rsidRDefault="00DB112C" w:rsidP="00F4357D">
            <w:pPr>
              <w:spacing w:after="0"/>
              <w:jc w:val="center"/>
              <w:rPr>
                <w:rFonts w:ascii="Times New Roman" w:hAnsi="Times New Roman"/>
                <w:sz w:val="18"/>
                <w:szCs w:val="20"/>
              </w:rPr>
            </w:pPr>
            <w:r w:rsidRPr="00A60FD5">
              <w:rPr>
                <w:rFonts w:ascii="Times New Roman" w:hAnsi="Times New Roman" w:cs="Times New Roman"/>
                <w:sz w:val="18"/>
                <w:szCs w:val="18"/>
              </w:rPr>
              <w:t>0.33</w:t>
            </w:r>
            <w:r w:rsidRPr="00A60FD5">
              <w:rPr>
                <w:rFonts w:ascii="Times New Roman" w:hAnsi="Times New Roman"/>
                <w:sz w:val="18"/>
                <w:szCs w:val="20"/>
              </w:rPr>
              <w:t>†</w:t>
            </w:r>
          </w:p>
          <w:p w14:paraId="63C9A3F3" w14:textId="2724DDDA" w:rsidR="00DB112C" w:rsidRPr="00A60FD5" w:rsidRDefault="00DB112C" w:rsidP="00F4357D">
            <w:pPr>
              <w:spacing w:after="0"/>
              <w:jc w:val="center"/>
              <w:rPr>
                <w:rFonts w:ascii="Times New Roman" w:hAnsi="Times New Roman" w:cs="Times New Roman"/>
                <w:sz w:val="18"/>
                <w:szCs w:val="18"/>
              </w:rPr>
            </w:pPr>
            <w:r w:rsidRPr="00A60FD5">
              <w:rPr>
                <w:rFonts w:ascii="Times New Roman" w:hAnsi="Times New Roman"/>
                <w:sz w:val="18"/>
                <w:szCs w:val="20"/>
              </w:rPr>
              <w:t>(0.20)</w:t>
            </w:r>
          </w:p>
        </w:tc>
        <w:tc>
          <w:tcPr>
            <w:tcW w:w="851" w:type="dxa"/>
            <w:tcBorders>
              <w:top w:val="nil"/>
              <w:left w:val="nil"/>
              <w:bottom w:val="nil"/>
              <w:right w:val="nil"/>
            </w:tcBorders>
          </w:tcPr>
          <w:p w14:paraId="53648134" w14:textId="77777777" w:rsidR="00441A49" w:rsidRPr="00A60FD5" w:rsidRDefault="00DE74E5" w:rsidP="00F4357D">
            <w:pPr>
              <w:spacing w:after="0"/>
              <w:jc w:val="center"/>
              <w:rPr>
                <w:rFonts w:ascii="Times New Roman" w:hAnsi="Times New Roman" w:cs="Times New Roman"/>
                <w:sz w:val="18"/>
                <w:szCs w:val="18"/>
              </w:rPr>
            </w:pPr>
            <w:r w:rsidRPr="00A60FD5">
              <w:rPr>
                <w:rFonts w:ascii="Times New Roman" w:hAnsi="Times New Roman" w:cs="Times New Roman"/>
                <w:sz w:val="18"/>
                <w:szCs w:val="18"/>
              </w:rPr>
              <w:t>1.42***</w:t>
            </w:r>
          </w:p>
          <w:p w14:paraId="49A38335" w14:textId="6D6BDD02" w:rsidR="00DE74E5" w:rsidRPr="00A60FD5" w:rsidRDefault="00DE74E5" w:rsidP="00F4357D">
            <w:pPr>
              <w:spacing w:after="0"/>
              <w:jc w:val="center"/>
              <w:rPr>
                <w:rFonts w:ascii="Times New Roman" w:hAnsi="Times New Roman" w:cs="Times New Roman"/>
                <w:sz w:val="18"/>
                <w:szCs w:val="18"/>
              </w:rPr>
            </w:pPr>
            <w:r w:rsidRPr="00A60FD5">
              <w:rPr>
                <w:rFonts w:ascii="Times New Roman" w:hAnsi="Times New Roman" w:cs="Times New Roman"/>
                <w:sz w:val="18"/>
                <w:szCs w:val="18"/>
              </w:rPr>
              <w:t>(0.32)</w:t>
            </w:r>
          </w:p>
        </w:tc>
        <w:tc>
          <w:tcPr>
            <w:tcW w:w="992" w:type="dxa"/>
            <w:tcBorders>
              <w:top w:val="nil"/>
              <w:left w:val="nil"/>
              <w:bottom w:val="nil"/>
              <w:right w:val="nil"/>
            </w:tcBorders>
          </w:tcPr>
          <w:p w14:paraId="26F661E8" w14:textId="77777777" w:rsidR="00441A49" w:rsidRPr="00A60FD5" w:rsidRDefault="00DE74E5" w:rsidP="00F4357D">
            <w:pPr>
              <w:spacing w:after="0"/>
              <w:jc w:val="center"/>
              <w:rPr>
                <w:rFonts w:ascii="Times New Roman" w:hAnsi="Times New Roman" w:cs="Times New Roman"/>
                <w:sz w:val="18"/>
                <w:szCs w:val="18"/>
              </w:rPr>
            </w:pPr>
            <w:r w:rsidRPr="00A60FD5">
              <w:rPr>
                <w:rFonts w:ascii="Times New Roman" w:hAnsi="Times New Roman" w:cs="Times New Roman"/>
                <w:sz w:val="18"/>
                <w:szCs w:val="18"/>
              </w:rPr>
              <w:t>-0.29</w:t>
            </w:r>
          </w:p>
          <w:p w14:paraId="20ED719B" w14:textId="6899292A" w:rsidR="00DE74E5" w:rsidRPr="00A60FD5" w:rsidRDefault="00DE74E5" w:rsidP="00F4357D">
            <w:pPr>
              <w:spacing w:after="0"/>
              <w:jc w:val="center"/>
              <w:rPr>
                <w:rFonts w:ascii="Times New Roman" w:hAnsi="Times New Roman" w:cs="Times New Roman"/>
                <w:sz w:val="18"/>
                <w:szCs w:val="18"/>
              </w:rPr>
            </w:pPr>
            <w:r w:rsidRPr="00A60FD5">
              <w:rPr>
                <w:rFonts w:ascii="Times New Roman" w:hAnsi="Times New Roman" w:cs="Times New Roman"/>
                <w:sz w:val="18"/>
                <w:szCs w:val="18"/>
              </w:rPr>
              <w:t>(0.47)</w:t>
            </w:r>
          </w:p>
        </w:tc>
      </w:tr>
      <w:tr w:rsidR="00DE0D97" w:rsidRPr="00A60FD5" w14:paraId="310B9312" w14:textId="77777777" w:rsidTr="00EB08AC">
        <w:trPr>
          <w:trHeight w:hRule="exact" w:val="483"/>
        </w:trPr>
        <w:tc>
          <w:tcPr>
            <w:tcW w:w="3261" w:type="dxa"/>
            <w:tcBorders>
              <w:top w:val="nil"/>
              <w:left w:val="nil"/>
              <w:bottom w:val="nil"/>
              <w:right w:val="nil"/>
            </w:tcBorders>
          </w:tcPr>
          <w:p w14:paraId="4479E916" w14:textId="224876ED" w:rsidR="00441A49" w:rsidRPr="00A60FD5" w:rsidRDefault="00077D93" w:rsidP="00077D93">
            <w:pPr>
              <w:spacing w:before="80" w:after="0"/>
              <w:rPr>
                <w:rFonts w:ascii="Times New Roman" w:hAnsi="Times New Roman" w:cs="Times New Roman"/>
                <w:sz w:val="18"/>
                <w:szCs w:val="18"/>
              </w:rPr>
            </w:pPr>
            <w:r w:rsidRPr="00A60FD5">
              <w:rPr>
                <w:rFonts w:ascii="Times New Roman" w:hAnsi="Times New Roman" w:cs="Times New Roman"/>
                <w:sz w:val="18"/>
                <w:szCs w:val="18"/>
              </w:rPr>
              <w:t>License’s s</w:t>
            </w:r>
            <w:r w:rsidR="00441A49" w:rsidRPr="00A60FD5">
              <w:rPr>
                <w:rFonts w:ascii="Times New Roman" w:hAnsi="Times New Roman" w:cs="Times New Roman"/>
                <w:sz w:val="18"/>
                <w:szCs w:val="18"/>
              </w:rPr>
              <w:t>cope-</w:t>
            </w:r>
            <w:r w:rsidR="00EB08AC" w:rsidRPr="00A60FD5">
              <w:rPr>
                <w:rFonts w:ascii="Times New Roman" w:hAnsi="Times New Roman" w:cs="Times New Roman"/>
                <w:sz w:val="18"/>
                <w:szCs w:val="18"/>
              </w:rPr>
              <w:t xml:space="preserve"> </w:t>
            </w:r>
            <w:r w:rsidRPr="00A60FD5">
              <w:rPr>
                <w:rFonts w:ascii="Times New Roman" w:hAnsi="Times New Roman" w:cs="Times New Roman"/>
                <w:sz w:val="18"/>
                <w:szCs w:val="18"/>
                <w:vertAlign w:val="subscript"/>
              </w:rPr>
              <w:t>manuf and market</w:t>
            </w:r>
          </w:p>
        </w:tc>
        <w:tc>
          <w:tcPr>
            <w:tcW w:w="850" w:type="dxa"/>
            <w:tcBorders>
              <w:top w:val="nil"/>
              <w:left w:val="nil"/>
              <w:bottom w:val="nil"/>
              <w:right w:val="nil"/>
            </w:tcBorders>
          </w:tcPr>
          <w:p w14:paraId="308B40BB" w14:textId="77777777" w:rsidR="00441A49" w:rsidRPr="00A60FD5" w:rsidRDefault="00310478" w:rsidP="00F4357D">
            <w:pPr>
              <w:spacing w:after="0"/>
              <w:jc w:val="center"/>
              <w:rPr>
                <w:rFonts w:ascii="Times New Roman" w:hAnsi="Times New Roman" w:cs="Times New Roman"/>
                <w:sz w:val="18"/>
                <w:szCs w:val="18"/>
              </w:rPr>
            </w:pPr>
            <w:r w:rsidRPr="00A60FD5">
              <w:rPr>
                <w:rFonts w:ascii="Times New Roman" w:hAnsi="Times New Roman" w:cs="Times New Roman"/>
                <w:sz w:val="18"/>
                <w:szCs w:val="18"/>
              </w:rPr>
              <w:t>-0.33*</w:t>
            </w:r>
          </w:p>
          <w:p w14:paraId="6FA731AC" w14:textId="3632AAD9" w:rsidR="00310478" w:rsidRPr="00A60FD5" w:rsidRDefault="00310478" w:rsidP="00F4357D">
            <w:pPr>
              <w:spacing w:after="0"/>
              <w:jc w:val="center"/>
              <w:rPr>
                <w:rFonts w:ascii="Times New Roman" w:hAnsi="Times New Roman" w:cs="Times New Roman"/>
                <w:sz w:val="18"/>
                <w:szCs w:val="18"/>
              </w:rPr>
            </w:pPr>
            <w:r w:rsidRPr="00A60FD5">
              <w:rPr>
                <w:rFonts w:ascii="Times New Roman" w:hAnsi="Times New Roman" w:cs="Times New Roman"/>
                <w:sz w:val="18"/>
                <w:szCs w:val="18"/>
              </w:rPr>
              <w:t>(0.16)</w:t>
            </w:r>
          </w:p>
        </w:tc>
        <w:tc>
          <w:tcPr>
            <w:tcW w:w="851" w:type="dxa"/>
            <w:tcBorders>
              <w:top w:val="nil"/>
              <w:left w:val="nil"/>
              <w:bottom w:val="nil"/>
              <w:right w:val="nil"/>
            </w:tcBorders>
          </w:tcPr>
          <w:p w14:paraId="4F4148BB" w14:textId="77777777" w:rsidR="00441A49" w:rsidRPr="00A60FD5" w:rsidRDefault="008E23C0" w:rsidP="00F4357D">
            <w:pPr>
              <w:spacing w:after="0"/>
              <w:jc w:val="center"/>
              <w:rPr>
                <w:rFonts w:ascii="Times New Roman" w:hAnsi="Times New Roman" w:cs="Times New Roman"/>
                <w:sz w:val="18"/>
                <w:szCs w:val="18"/>
              </w:rPr>
            </w:pPr>
            <w:r w:rsidRPr="00A60FD5">
              <w:rPr>
                <w:rFonts w:ascii="Times New Roman" w:hAnsi="Times New Roman" w:cs="Times New Roman"/>
                <w:sz w:val="18"/>
                <w:szCs w:val="18"/>
              </w:rPr>
              <w:t>0.00</w:t>
            </w:r>
          </w:p>
          <w:p w14:paraId="5EF47CA3" w14:textId="2CAF9DD0" w:rsidR="008E23C0" w:rsidRPr="00A60FD5" w:rsidRDefault="008E23C0" w:rsidP="00F4357D">
            <w:pPr>
              <w:spacing w:after="0"/>
              <w:jc w:val="center"/>
              <w:rPr>
                <w:rFonts w:ascii="Times New Roman" w:hAnsi="Times New Roman" w:cs="Times New Roman"/>
                <w:sz w:val="18"/>
                <w:szCs w:val="18"/>
              </w:rPr>
            </w:pPr>
            <w:r w:rsidRPr="00A60FD5">
              <w:rPr>
                <w:rFonts w:ascii="Times New Roman" w:hAnsi="Times New Roman" w:cs="Times New Roman"/>
                <w:sz w:val="18"/>
                <w:szCs w:val="18"/>
              </w:rPr>
              <w:t>(0.44)</w:t>
            </w:r>
          </w:p>
        </w:tc>
        <w:tc>
          <w:tcPr>
            <w:tcW w:w="992" w:type="dxa"/>
            <w:tcBorders>
              <w:top w:val="nil"/>
              <w:left w:val="nil"/>
              <w:bottom w:val="nil"/>
              <w:right w:val="dotted" w:sz="4" w:space="0" w:color="auto"/>
            </w:tcBorders>
          </w:tcPr>
          <w:p w14:paraId="7FF45B87" w14:textId="77777777" w:rsidR="00441A49" w:rsidRPr="00A60FD5" w:rsidRDefault="008E23C0" w:rsidP="00F4357D">
            <w:pPr>
              <w:spacing w:after="0"/>
              <w:jc w:val="center"/>
              <w:rPr>
                <w:rFonts w:ascii="Times New Roman" w:hAnsi="Times New Roman" w:cs="Times New Roman"/>
                <w:sz w:val="18"/>
                <w:szCs w:val="18"/>
              </w:rPr>
            </w:pPr>
            <w:r w:rsidRPr="00A60FD5">
              <w:rPr>
                <w:rFonts w:ascii="Times New Roman" w:hAnsi="Times New Roman" w:cs="Times New Roman"/>
                <w:sz w:val="18"/>
                <w:szCs w:val="18"/>
              </w:rPr>
              <w:t>0.36</w:t>
            </w:r>
          </w:p>
          <w:p w14:paraId="11D8CF6F" w14:textId="283461CA" w:rsidR="008E23C0" w:rsidRPr="00A60FD5" w:rsidRDefault="008E23C0" w:rsidP="00F4357D">
            <w:pPr>
              <w:spacing w:after="0"/>
              <w:jc w:val="center"/>
              <w:rPr>
                <w:rFonts w:ascii="Times New Roman" w:hAnsi="Times New Roman" w:cs="Times New Roman"/>
                <w:sz w:val="18"/>
                <w:szCs w:val="18"/>
              </w:rPr>
            </w:pPr>
            <w:r w:rsidRPr="00A60FD5">
              <w:rPr>
                <w:rFonts w:ascii="Times New Roman" w:hAnsi="Times New Roman" w:cs="Times New Roman"/>
                <w:sz w:val="18"/>
                <w:szCs w:val="18"/>
              </w:rPr>
              <w:t>(0.92)</w:t>
            </w:r>
          </w:p>
        </w:tc>
        <w:tc>
          <w:tcPr>
            <w:tcW w:w="992" w:type="dxa"/>
            <w:tcBorders>
              <w:top w:val="nil"/>
              <w:left w:val="dotted" w:sz="4" w:space="0" w:color="auto"/>
              <w:bottom w:val="nil"/>
              <w:right w:val="nil"/>
            </w:tcBorders>
          </w:tcPr>
          <w:p w14:paraId="54A4088A" w14:textId="77777777" w:rsidR="00441A49" w:rsidRPr="00A60FD5" w:rsidRDefault="00441A49" w:rsidP="00F4357D">
            <w:pPr>
              <w:spacing w:after="0"/>
              <w:jc w:val="center"/>
              <w:rPr>
                <w:rFonts w:ascii="Times New Roman" w:hAnsi="Times New Roman" w:cs="Times New Roman"/>
                <w:sz w:val="18"/>
                <w:szCs w:val="18"/>
              </w:rPr>
            </w:pPr>
            <w:r w:rsidRPr="00A60FD5">
              <w:rPr>
                <w:rFonts w:ascii="Times New Roman" w:hAnsi="Times New Roman" w:cs="Times New Roman"/>
                <w:sz w:val="18"/>
                <w:szCs w:val="18"/>
              </w:rPr>
              <w:t>-0.33*</w:t>
            </w:r>
          </w:p>
          <w:p w14:paraId="459A8AE6" w14:textId="33E87631" w:rsidR="00441A49" w:rsidRPr="00A60FD5" w:rsidRDefault="00441A49" w:rsidP="00F4357D">
            <w:pPr>
              <w:spacing w:after="0"/>
              <w:jc w:val="center"/>
              <w:rPr>
                <w:rFonts w:ascii="Times New Roman" w:hAnsi="Times New Roman" w:cs="Times New Roman"/>
                <w:sz w:val="18"/>
                <w:szCs w:val="18"/>
              </w:rPr>
            </w:pPr>
            <w:r w:rsidRPr="00A60FD5">
              <w:rPr>
                <w:rFonts w:ascii="Times New Roman" w:hAnsi="Times New Roman" w:cs="Times New Roman"/>
                <w:sz w:val="18"/>
                <w:szCs w:val="18"/>
              </w:rPr>
              <w:t>(0.16)</w:t>
            </w:r>
          </w:p>
        </w:tc>
        <w:tc>
          <w:tcPr>
            <w:tcW w:w="851" w:type="dxa"/>
            <w:tcBorders>
              <w:top w:val="nil"/>
              <w:left w:val="nil"/>
              <w:bottom w:val="nil"/>
              <w:right w:val="nil"/>
            </w:tcBorders>
          </w:tcPr>
          <w:p w14:paraId="5983819A" w14:textId="77777777" w:rsidR="00441A49" w:rsidRPr="00A60FD5" w:rsidRDefault="00441A49" w:rsidP="00F4357D">
            <w:pPr>
              <w:spacing w:after="0"/>
              <w:jc w:val="center"/>
              <w:rPr>
                <w:rFonts w:ascii="Times New Roman" w:hAnsi="Times New Roman" w:cs="Times New Roman"/>
                <w:sz w:val="18"/>
                <w:szCs w:val="18"/>
              </w:rPr>
            </w:pPr>
            <w:r w:rsidRPr="00A60FD5">
              <w:rPr>
                <w:rFonts w:ascii="Times New Roman" w:hAnsi="Times New Roman" w:cs="Times New Roman"/>
                <w:sz w:val="18"/>
                <w:szCs w:val="18"/>
              </w:rPr>
              <w:t>0.00</w:t>
            </w:r>
          </w:p>
          <w:p w14:paraId="54CF6E86" w14:textId="6A678CBD" w:rsidR="00441A49" w:rsidRPr="00A60FD5" w:rsidRDefault="00441A49" w:rsidP="00F4357D">
            <w:pPr>
              <w:spacing w:after="0"/>
              <w:jc w:val="center"/>
              <w:rPr>
                <w:rFonts w:ascii="Times New Roman" w:hAnsi="Times New Roman" w:cs="Times New Roman"/>
                <w:sz w:val="18"/>
                <w:szCs w:val="18"/>
              </w:rPr>
            </w:pPr>
            <w:r w:rsidRPr="00A60FD5">
              <w:rPr>
                <w:rFonts w:ascii="Times New Roman" w:hAnsi="Times New Roman" w:cs="Times New Roman"/>
                <w:sz w:val="18"/>
                <w:szCs w:val="18"/>
              </w:rPr>
              <w:t>(0.44)</w:t>
            </w:r>
          </w:p>
        </w:tc>
        <w:tc>
          <w:tcPr>
            <w:tcW w:w="850" w:type="dxa"/>
            <w:tcBorders>
              <w:top w:val="nil"/>
              <w:left w:val="nil"/>
              <w:bottom w:val="nil"/>
              <w:right w:val="dotted" w:sz="4" w:space="0" w:color="auto"/>
            </w:tcBorders>
          </w:tcPr>
          <w:p w14:paraId="10717E79" w14:textId="77777777" w:rsidR="00441A49" w:rsidRPr="00A60FD5" w:rsidRDefault="00441A49" w:rsidP="00F4357D">
            <w:pPr>
              <w:spacing w:after="0"/>
              <w:jc w:val="center"/>
              <w:rPr>
                <w:rFonts w:ascii="Times New Roman" w:hAnsi="Times New Roman" w:cs="Times New Roman"/>
                <w:sz w:val="18"/>
                <w:szCs w:val="18"/>
              </w:rPr>
            </w:pPr>
            <w:r w:rsidRPr="00A60FD5">
              <w:rPr>
                <w:rFonts w:ascii="Times New Roman" w:hAnsi="Times New Roman" w:cs="Times New Roman"/>
                <w:sz w:val="18"/>
                <w:szCs w:val="18"/>
              </w:rPr>
              <w:t>0.40</w:t>
            </w:r>
          </w:p>
          <w:p w14:paraId="2661D549" w14:textId="40E52268" w:rsidR="00441A49" w:rsidRPr="00A60FD5" w:rsidRDefault="00441A49" w:rsidP="00F4357D">
            <w:pPr>
              <w:spacing w:after="0"/>
              <w:jc w:val="center"/>
              <w:rPr>
                <w:rFonts w:ascii="Times New Roman" w:hAnsi="Times New Roman" w:cs="Times New Roman"/>
                <w:sz w:val="18"/>
                <w:szCs w:val="18"/>
              </w:rPr>
            </w:pPr>
            <w:r w:rsidRPr="00A60FD5">
              <w:rPr>
                <w:rFonts w:ascii="Times New Roman" w:hAnsi="Times New Roman" w:cs="Times New Roman"/>
                <w:sz w:val="18"/>
                <w:szCs w:val="18"/>
              </w:rPr>
              <w:t>(1.04)</w:t>
            </w:r>
          </w:p>
        </w:tc>
        <w:tc>
          <w:tcPr>
            <w:tcW w:w="1134" w:type="dxa"/>
            <w:tcBorders>
              <w:top w:val="nil"/>
              <w:left w:val="dotted" w:sz="4" w:space="0" w:color="auto"/>
              <w:bottom w:val="nil"/>
              <w:right w:val="nil"/>
            </w:tcBorders>
          </w:tcPr>
          <w:p w14:paraId="4C5FB276" w14:textId="77777777" w:rsidR="00441A49" w:rsidRPr="00A60FD5" w:rsidRDefault="00DB112C" w:rsidP="00F4357D">
            <w:pPr>
              <w:spacing w:after="0"/>
              <w:jc w:val="center"/>
              <w:rPr>
                <w:rFonts w:ascii="Times New Roman" w:hAnsi="Times New Roman" w:cs="Times New Roman"/>
                <w:sz w:val="18"/>
                <w:szCs w:val="18"/>
              </w:rPr>
            </w:pPr>
            <w:r w:rsidRPr="00A60FD5">
              <w:rPr>
                <w:rFonts w:ascii="Times New Roman" w:hAnsi="Times New Roman" w:cs="Times New Roman"/>
                <w:sz w:val="18"/>
                <w:szCs w:val="18"/>
              </w:rPr>
              <w:t>-0.33*</w:t>
            </w:r>
          </w:p>
          <w:p w14:paraId="12400765" w14:textId="68A8BF2D" w:rsidR="00DB112C" w:rsidRPr="00A60FD5" w:rsidRDefault="00DB112C" w:rsidP="00F4357D">
            <w:pPr>
              <w:spacing w:after="0"/>
              <w:jc w:val="center"/>
              <w:rPr>
                <w:rFonts w:ascii="Times New Roman" w:hAnsi="Times New Roman" w:cs="Times New Roman"/>
                <w:sz w:val="18"/>
                <w:szCs w:val="18"/>
              </w:rPr>
            </w:pPr>
            <w:r w:rsidRPr="00A60FD5">
              <w:rPr>
                <w:rFonts w:ascii="Times New Roman" w:hAnsi="Times New Roman" w:cs="Times New Roman"/>
                <w:sz w:val="18"/>
                <w:szCs w:val="18"/>
              </w:rPr>
              <w:t>(0.16)</w:t>
            </w:r>
          </w:p>
        </w:tc>
        <w:tc>
          <w:tcPr>
            <w:tcW w:w="851" w:type="dxa"/>
            <w:tcBorders>
              <w:top w:val="nil"/>
              <w:left w:val="nil"/>
              <w:bottom w:val="nil"/>
              <w:right w:val="nil"/>
            </w:tcBorders>
          </w:tcPr>
          <w:p w14:paraId="72CC7BA2" w14:textId="77777777" w:rsidR="00441A49" w:rsidRPr="00A60FD5" w:rsidRDefault="00994882" w:rsidP="00F4357D">
            <w:pPr>
              <w:spacing w:after="0"/>
              <w:jc w:val="center"/>
              <w:rPr>
                <w:rFonts w:ascii="Times New Roman" w:hAnsi="Times New Roman" w:cs="Times New Roman"/>
                <w:sz w:val="18"/>
                <w:szCs w:val="18"/>
              </w:rPr>
            </w:pPr>
            <w:r w:rsidRPr="00A60FD5">
              <w:rPr>
                <w:rFonts w:ascii="Times New Roman" w:hAnsi="Times New Roman" w:cs="Times New Roman"/>
                <w:sz w:val="18"/>
                <w:szCs w:val="18"/>
              </w:rPr>
              <w:t>0.01</w:t>
            </w:r>
          </w:p>
          <w:p w14:paraId="3D68782C" w14:textId="5C0CA506" w:rsidR="00994882" w:rsidRPr="00A60FD5" w:rsidRDefault="00994882" w:rsidP="00F4357D">
            <w:pPr>
              <w:spacing w:after="0"/>
              <w:jc w:val="center"/>
              <w:rPr>
                <w:rFonts w:ascii="Times New Roman" w:hAnsi="Times New Roman" w:cs="Times New Roman"/>
                <w:sz w:val="18"/>
                <w:szCs w:val="18"/>
              </w:rPr>
            </w:pPr>
            <w:r w:rsidRPr="00A60FD5">
              <w:rPr>
                <w:rFonts w:ascii="Times New Roman" w:hAnsi="Times New Roman" w:cs="Times New Roman"/>
                <w:sz w:val="18"/>
                <w:szCs w:val="18"/>
              </w:rPr>
              <w:t>(0.44)</w:t>
            </w:r>
          </w:p>
        </w:tc>
        <w:tc>
          <w:tcPr>
            <w:tcW w:w="992" w:type="dxa"/>
            <w:tcBorders>
              <w:top w:val="nil"/>
              <w:left w:val="nil"/>
              <w:bottom w:val="nil"/>
              <w:right w:val="nil"/>
            </w:tcBorders>
          </w:tcPr>
          <w:p w14:paraId="56CD23F2" w14:textId="132BDA7D" w:rsidR="00441A49" w:rsidRPr="00A60FD5" w:rsidRDefault="00DE74E5" w:rsidP="00F4357D">
            <w:pPr>
              <w:spacing w:after="0"/>
              <w:jc w:val="center"/>
              <w:rPr>
                <w:rFonts w:ascii="Times New Roman" w:hAnsi="Times New Roman" w:cs="Times New Roman"/>
                <w:sz w:val="18"/>
                <w:szCs w:val="18"/>
              </w:rPr>
            </w:pPr>
            <w:r w:rsidRPr="00A60FD5">
              <w:rPr>
                <w:rFonts w:ascii="Times New Roman" w:hAnsi="Times New Roman" w:cs="Times New Roman"/>
                <w:sz w:val="18"/>
                <w:szCs w:val="18"/>
              </w:rPr>
              <w:t>0.28</w:t>
            </w:r>
          </w:p>
          <w:p w14:paraId="6BD6F896" w14:textId="3647B3DE" w:rsidR="00DE74E5" w:rsidRPr="00A60FD5" w:rsidRDefault="00DE74E5" w:rsidP="00F4357D">
            <w:pPr>
              <w:spacing w:after="0"/>
              <w:jc w:val="center"/>
              <w:rPr>
                <w:rFonts w:ascii="Times New Roman" w:hAnsi="Times New Roman" w:cs="Times New Roman"/>
                <w:sz w:val="18"/>
                <w:szCs w:val="18"/>
              </w:rPr>
            </w:pPr>
            <w:r w:rsidRPr="00A60FD5">
              <w:rPr>
                <w:rFonts w:ascii="Times New Roman" w:hAnsi="Times New Roman" w:cs="Times New Roman"/>
                <w:sz w:val="18"/>
                <w:szCs w:val="18"/>
              </w:rPr>
              <w:t>(0.73)</w:t>
            </w:r>
          </w:p>
        </w:tc>
      </w:tr>
      <w:tr w:rsidR="00DE0D97" w:rsidRPr="00A60FD5" w14:paraId="5159195E" w14:textId="77777777" w:rsidTr="00EB08AC">
        <w:trPr>
          <w:trHeight w:hRule="exact" w:val="483"/>
        </w:trPr>
        <w:tc>
          <w:tcPr>
            <w:tcW w:w="3261" w:type="dxa"/>
            <w:tcBorders>
              <w:top w:val="nil"/>
              <w:left w:val="nil"/>
              <w:bottom w:val="nil"/>
              <w:right w:val="nil"/>
            </w:tcBorders>
          </w:tcPr>
          <w:p w14:paraId="37347DA4" w14:textId="693F231B" w:rsidR="00441A49" w:rsidRPr="00A60FD5" w:rsidRDefault="00441A49" w:rsidP="004539D9">
            <w:pPr>
              <w:spacing w:before="80" w:after="0"/>
              <w:rPr>
                <w:rFonts w:ascii="Times New Roman" w:hAnsi="Times New Roman" w:cs="Times New Roman"/>
                <w:sz w:val="18"/>
                <w:szCs w:val="18"/>
              </w:rPr>
            </w:pPr>
            <w:r w:rsidRPr="00A60FD5">
              <w:rPr>
                <w:rFonts w:ascii="Times New Roman" w:hAnsi="Times New Roman" w:cs="Times New Roman"/>
                <w:sz w:val="18"/>
                <w:szCs w:val="18"/>
              </w:rPr>
              <w:t xml:space="preserve">Patent–rights index </w:t>
            </w:r>
          </w:p>
        </w:tc>
        <w:tc>
          <w:tcPr>
            <w:tcW w:w="850" w:type="dxa"/>
            <w:tcBorders>
              <w:top w:val="nil"/>
              <w:left w:val="nil"/>
              <w:bottom w:val="nil"/>
              <w:right w:val="nil"/>
            </w:tcBorders>
          </w:tcPr>
          <w:p w14:paraId="50D11582" w14:textId="77777777" w:rsidR="00441A49" w:rsidRPr="00A60FD5" w:rsidRDefault="00310478" w:rsidP="00F4357D">
            <w:pPr>
              <w:spacing w:after="0"/>
              <w:jc w:val="center"/>
              <w:rPr>
                <w:rFonts w:ascii="Times New Roman" w:hAnsi="Times New Roman" w:cs="Times New Roman"/>
                <w:sz w:val="18"/>
                <w:szCs w:val="18"/>
              </w:rPr>
            </w:pPr>
            <w:r w:rsidRPr="00A60FD5">
              <w:rPr>
                <w:rFonts w:ascii="Times New Roman" w:hAnsi="Times New Roman" w:cs="Times New Roman"/>
                <w:sz w:val="18"/>
                <w:szCs w:val="18"/>
              </w:rPr>
              <w:t>-0.48**</w:t>
            </w:r>
          </w:p>
          <w:p w14:paraId="73C4BAEA" w14:textId="3C7E8E36" w:rsidR="00310478" w:rsidRPr="00A60FD5" w:rsidDel="00AF0BDD" w:rsidRDefault="00310478" w:rsidP="00F4357D">
            <w:pPr>
              <w:spacing w:after="0"/>
              <w:jc w:val="center"/>
              <w:rPr>
                <w:rFonts w:ascii="Times New Roman" w:hAnsi="Times New Roman" w:cs="Times New Roman"/>
                <w:sz w:val="18"/>
                <w:szCs w:val="18"/>
              </w:rPr>
            </w:pPr>
            <w:r w:rsidRPr="00A60FD5">
              <w:rPr>
                <w:rFonts w:ascii="Times New Roman" w:hAnsi="Times New Roman" w:cs="Times New Roman"/>
                <w:sz w:val="18"/>
                <w:szCs w:val="18"/>
              </w:rPr>
              <w:t>(0.18)</w:t>
            </w:r>
          </w:p>
        </w:tc>
        <w:tc>
          <w:tcPr>
            <w:tcW w:w="851" w:type="dxa"/>
            <w:tcBorders>
              <w:top w:val="nil"/>
              <w:left w:val="nil"/>
              <w:bottom w:val="nil"/>
              <w:right w:val="nil"/>
            </w:tcBorders>
          </w:tcPr>
          <w:p w14:paraId="6845FF44" w14:textId="77777777" w:rsidR="00441A49" w:rsidRPr="00A60FD5" w:rsidRDefault="008E23C0" w:rsidP="00F4357D">
            <w:pPr>
              <w:spacing w:after="0"/>
              <w:jc w:val="center"/>
              <w:rPr>
                <w:rFonts w:ascii="Times New Roman" w:hAnsi="Times New Roman" w:cs="Times New Roman"/>
                <w:sz w:val="18"/>
                <w:szCs w:val="18"/>
              </w:rPr>
            </w:pPr>
            <w:r w:rsidRPr="00A60FD5">
              <w:rPr>
                <w:rFonts w:ascii="Times New Roman" w:hAnsi="Times New Roman" w:cs="Times New Roman"/>
                <w:sz w:val="18"/>
                <w:szCs w:val="18"/>
              </w:rPr>
              <w:t>-0.25</w:t>
            </w:r>
          </w:p>
          <w:p w14:paraId="5D43A801" w14:textId="2BC158D5" w:rsidR="008E23C0" w:rsidRPr="00A60FD5" w:rsidRDefault="008E23C0" w:rsidP="00F4357D">
            <w:pPr>
              <w:spacing w:after="0"/>
              <w:jc w:val="center"/>
              <w:rPr>
                <w:rFonts w:ascii="Times New Roman" w:hAnsi="Times New Roman" w:cs="Times New Roman"/>
                <w:sz w:val="18"/>
                <w:szCs w:val="18"/>
              </w:rPr>
            </w:pPr>
            <w:r w:rsidRPr="00A60FD5">
              <w:rPr>
                <w:rFonts w:ascii="Times New Roman" w:hAnsi="Times New Roman" w:cs="Times New Roman"/>
                <w:sz w:val="18"/>
                <w:szCs w:val="18"/>
              </w:rPr>
              <w:t>(0.16)</w:t>
            </w:r>
          </w:p>
        </w:tc>
        <w:tc>
          <w:tcPr>
            <w:tcW w:w="992" w:type="dxa"/>
            <w:tcBorders>
              <w:top w:val="nil"/>
              <w:left w:val="nil"/>
              <w:bottom w:val="nil"/>
              <w:right w:val="dotted" w:sz="4" w:space="0" w:color="auto"/>
            </w:tcBorders>
          </w:tcPr>
          <w:p w14:paraId="7C9854CD" w14:textId="77777777" w:rsidR="00441A49" w:rsidRPr="00A60FD5" w:rsidRDefault="008E23C0" w:rsidP="00F4357D">
            <w:pPr>
              <w:spacing w:after="0"/>
              <w:jc w:val="center"/>
              <w:rPr>
                <w:rFonts w:ascii="Times New Roman" w:hAnsi="Times New Roman" w:cs="Times New Roman"/>
                <w:sz w:val="18"/>
                <w:szCs w:val="18"/>
              </w:rPr>
            </w:pPr>
            <w:r w:rsidRPr="00A60FD5">
              <w:rPr>
                <w:rFonts w:ascii="Times New Roman" w:hAnsi="Times New Roman" w:cs="Times New Roman"/>
                <w:sz w:val="18"/>
                <w:szCs w:val="18"/>
              </w:rPr>
              <w:t>-0.07</w:t>
            </w:r>
          </w:p>
          <w:p w14:paraId="07911817" w14:textId="6BD71786" w:rsidR="008E23C0" w:rsidRPr="00A60FD5" w:rsidRDefault="008E23C0" w:rsidP="00F4357D">
            <w:pPr>
              <w:spacing w:after="0"/>
              <w:jc w:val="center"/>
              <w:rPr>
                <w:rFonts w:ascii="Times New Roman" w:hAnsi="Times New Roman" w:cs="Times New Roman"/>
                <w:sz w:val="18"/>
                <w:szCs w:val="18"/>
              </w:rPr>
            </w:pPr>
            <w:r w:rsidRPr="00A60FD5">
              <w:rPr>
                <w:rFonts w:ascii="Times New Roman" w:hAnsi="Times New Roman" w:cs="Times New Roman"/>
                <w:sz w:val="18"/>
                <w:szCs w:val="18"/>
              </w:rPr>
              <w:t>(0.28)</w:t>
            </w:r>
          </w:p>
        </w:tc>
        <w:tc>
          <w:tcPr>
            <w:tcW w:w="992" w:type="dxa"/>
            <w:tcBorders>
              <w:top w:val="nil"/>
              <w:left w:val="dotted" w:sz="4" w:space="0" w:color="auto"/>
              <w:bottom w:val="nil"/>
              <w:right w:val="nil"/>
            </w:tcBorders>
          </w:tcPr>
          <w:p w14:paraId="7FEABB9B" w14:textId="77777777" w:rsidR="00441A49" w:rsidRPr="00A60FD5" w:rsidRDefault="00441A49" w:rsidP="00F4357D">
            <w:pPr>
              <w:spacing w:after="0"/>
              <w:jc w:val="center"/>
              <w:rPr>
                <w:rFonts w:ascii="Times New Roman" w:hAnsi="Times New Roman" w:cs="Times New Roman"/>
                <w:sz w:val="18"/>
                <w:szCs w:val="18"/>
              </w:rPr>
            </w:pPr>
            <w:r w:rsidRPr="00A60FD5">
              <w:rPr>
                <w:rFonts w:ascii="Times New Roman" w:hAnsi="Times New Roman" w:cs="Times New Roman"/>
                <w:sz w:val="18"/>
                <w:szCs w:val="18"/>
              </w:rPr>
              <w:t>-0.48**</w:t>
            </w:r>
          </w:p>
          <w:p w14:paraId="6455E925" w14:textId="189D5433" w:rsidR="00441A49" w:rsidRPr="00A60FD5" w:rsidDel="00AF0BDD" w:rsidRDefault="00441A49" w:rsidP="00F4357D">
            <w:pPr>
              <w:spacing w:after="0"/>
              <w:jc w:val="center"/>
              <w:rPr>
                <w:rFonts w:ascii="Times New Roman" w:hAnsi="Times New Roman" w:cs="Times New Roman"/>
                <w:sz w:val="18"/>
                <w:szCs w:val="18"/>
              </w:rPr>
            </w:pPr>
            <w:r w:rsidRPr="00A60FD5">
              <w:rPr>
                <w:rFonts w:ascii="Times New Roman" w:hAnsi="Times New Roman" w:cs="Times New Roman"/>
                <w:sz w:val="18"/>
                <w:szCs w:val="18"/>
              </w:rPr>
              <w:t>(0.18)</w:t>
            </w:r>
          </w:p>
        </w:tc>
        <w:tc>
          <w:tcPr>
            <w:tcW w:w="851" w:type="dxa"/>
            <w:tcBorders>
              <w:top w:val="nil"/>
              <w:left w:val="nil"/>
              <w:bottom w:val="nil"/>
              <w:right w:val="nil"/>
            </w:tcBorders>
          </w:tcPr>
          <w:p w14:paraId="218F30AA" w14:textId="77777777" w:rsidR="00441A49" w:rsidRPr="00A60FD5" w:rsidRDefault="00441A49" w:rsidP="00F4357D">
            <w:pPr>
              <w:spacing w:after="0"/>
              <w:jc w:val="center"/>
              <w:rPr>
                <w:rFonts w:ascii="Times New Roman" w:hAnsi="Times New Roman" w:cs="Times New Roman"/>
                <w:sz w:val="18"/>
                <w:szCs w:val="18"/>
              </w:rPr>
            </w:pPr>
            <w:r w:rsidRPr="00A60FD5">
              <w:rPr>
                <w:rFonts w:ascii="Times New Roman" w:hAnsi="Times New Roman" w:cs="Times New Roman"/>
                <w:sz w:val="18"/>
                <w:szCs w:val="18"/>
              </w:rPr>
              <w:t>-0.25</w:t>
            </w:r>
          </w:p>
          <w:p w14:paraId="4EDE1286" w14:textId="03566EC6" w:rsidR="00441A49" w:rsidRPr="00A60FD5" w:rsidRDefault="00441A49" w:rsidP="00F4357D">
            <w:pPr>
              <w:spacing w:after="0"/>
              <w:jc w:val="center"/>
              <w:rPr>
                <w:rFonts w:ascii="Times New Roman" w:hAnsi="Times New Roman" w:cs="Times New Roman"/>
                <w:sz w:val="18"/>
                <w:szCs w:val="18"/>
              </w:rPr>
            </w:pPr>
            <w:r w:rsidRPr="00A60FD5">
              <w:rPr>
                <w:rFonts w:ascii="Times New Roman" w:hAnsi="Times New Roman" w:cs="Times New Roman"/>
                <w:sz w:val="18"/>
                <w:szCs w:val="18"/>
              </w:rPr>
              <w:t>(0.16)</w:t>
            </w:r>
          </w:p>
        </w:tc>
        <w:tc>
          <w:tcPr>
            <w:tcW w:w="850" w:type="dxa"/>
            <w:tcBorders>
              <w:top w:val="nil"/>
              <w:left w:val="nil"/>
              <w:bottom w:val="nil"/>
              <w:right w:val="dotted" w:sz="4" w:space="0" w:color="auto"/>
            </w:tcBorders>
          </w:tcPr>
          <w:p w14:paraId="3165C6A0" w14:textId="77777777" w:rsidR="00441A49" w:rsidRPr="00A60FD5" w:rsidRDefault="00441A49" w:rsidP="00F4357D">
            <w:pPr>
              <w:spacing w:after="0"/>
              <w:jc w:val="center"/>
              <w:rPr>
                <w:rFonts w:ascii="Times New Roman" w:hAnsi="Times New Roman" w:cs="Times New Roman"/>
                <w:sz w:val="18"/>
                <w:szCs w:val="18"/>
              </w:rPr>
            </w:pPr>
            <w:r w:rsidRPr="00A60FD5">
              <w:rPr>
                <w:rFonts w:ascii="Times New Roman" w:hAnsi="Times New Roman" w:cs="Times New Roman"/>
                <w:sz w:val="18"/>
                <w:szCs w:val="18"/>
              </w:rPr>
              <w:t>-0.01</w:t>
            </w:r>
          </w:p>
          <w:p w14:paraId="38796F9A" w14:textId="4ACB3BBF" w:rsidR="00441A49" w:rsidRPr="00A60FD5" w:rsidRDefault="00441A49" w:rsidP="00F4357D">
            <w:pPr>
              <w:spacing w:after="0"/>
              <w:jc w:val="center"/>
              <w:rPr>
                <w:rFonts w:ascii="Times New Roman" w:hAnsi="Times New Roman" w:cs="Times New Roman"/>
                <w:sz w:val="18"/>
                <w:szCs w:val="18"/>
              </w:rPr>
            </w:pPr>
            <w:r w:rsidRPr="00A60FD5">
              <w:rPr>
                <w:rFonts w:ascii="Times New Roman" w:hAnsi="Times New Roman" w:cs="Times New Roman"/>
                <w:sz w:val="18"/>
                <w:szCs w:val="18"/>
              </w:rPr>
              <w:t>(0.84)</w:t>
            </w:r>
          </w:p>
        </w:tc>
        <w:tc>
          <w:tcPr>
            <w:tcW w:w="1134" w:type="dxa"/>
            <w:tcBorders>
              <w:top w:val="nil"/>
              <w:left w:val="dotted" w:sz="4" w:space="0" w:color="auto"/>
              <w:bottom w:val="nil"/>
              <w:right w:val="nil"/>
            </w:tcBorders>
          </w:tcPr>
          <w:p w14:paraId="2CBAFF29" w14:textId="77777777" w:rsidR="00441A49" w:rsidRPr="00A60FD5" w:rsidRDefault="00DB112C" w:rsidP="00F4357D">
            <w:pPr>
              <w:spacing w:after="0"/>
              <w:jc w:val="center"/>
              <w:rPr>
                <w:rFonts w:ascii="Times New Roman" w:hAnsi="Times New Roman" w:cs="Times New Roman"/>
                <w:sz w:val="18"/>
                <w:szCs w:val="18"/>
              </w:rPr>
            </w:pPr>
            <w:r w:rsidRPr="00A60FD5">
              <w:rPr>
                <w:rFonts w:ascii="Times New Roman" w:hAnsi="Times New Roman" w:cs="Times New Roman"/>
                <w:sz w:val="18"/>
                <w:szCs w:val="18"/>
              </w:rPr>
              <w:t>-0.48**</w:t>
            </w:r>
          </w:p>
          <w:p w14:paraId="25BB4761" w14:textId="3D584771" w:rsidR="00DB112C" w:rsidRPr="00A60FD5" w:rsidDel="00AF0BDD" w:rsidRDefault="00DB112C" w:rsidP="00F4357D">
            <w:pPr>
              <w:spacing w:after="0"/>
              <w:jc w:val="center"/>
              <w:rPr>
                <w:rFonts w:ascii="Times New Roman" w:hAnsi="Times New Roman" w:cs="Times New Roman"/>
                <w:sz w:val="18"/>
                <w:szCs w:val="18"/>
              </w:rPr>
            </w:pPr>
            <w:r w:rsidRPr="00A60FD5">
              <w:rPr>
                <w:rFonts w:ascii="Times New Roman" w:hAnsi="Times New Roman" w:cs="Times New Roman"/>
                <w:sz w:val="18"/>
                <w:szCs w:val="18"/>
              </w:rPr>
              <w:t>(0.18)</w:t>
            </w:r>
          </w:p>
        </w:tc>
        <w:tc>
          <w:tcPr>
            <w:tcW w:w="851" w:type="dxa"/>
            <w:tcBorders>
              <w:top w:val="nil"/>
              <w:left w:val="nil"/>
              <w:bottom w:val="nil"/>
              <w:right w:val="nil"/>
            </w:tcBorders>
          </w:tcPr>
          <w:p w14:paraId="6C23C792" w14:textId="77777777" w:rsidR="00441A49" w:rsidRPr="00A60FD5" w:rsidRDefault="00994882" w:rsidP="00F4357D">
            <w:pPr>
              <w:spacing w:after="0"/>
              <w:jc w:val="center"/>
              <w:rPr>
                <w:rFonts w:ascii="Times New Roman" w:hAnsi="Times New Roman" w:cs="Times New Roman"/>
                <w:sz w:val="18"/>
                <w:szCs w:val="18"/>
              </w:rPr>
            </w:pPr>
            <w:r w:rsidRPr="00A60FD5">
              <w:rPr>
                <w:rFonts w:ascii="Times New Roman" w:hAnsi="Times New Roman" w:cs="Times New Roman"/>
                <w:sz w:val="18"/>
                <w:szCs w:val="18"/>
              </w:rPr>
              <w:t>-0.25</w:t>
            </w:r>
          </w:p>
          <w:p w14:paraId="1CAE2550" w14:textId="6C10BBF6" w:rsidR="00994882" w:rsidRPr="00A60FD5" w:rsidRDefault="00994882" w:rsidP="00F4357D">
            <w:pPr>
              <w:spacing w:after="0"/>
              <w:jc w:val="center"/>
              <w:rPr>
                <w:rFonts w:ascii="Times New Roman" w:hAnsi="Times New Roman" w:cs="Times New Roman"/>
                <w:sz w:val="18"/>
                <w:szCs w:val="18"/>
              </w:rPr>
            </w:pPr>
            <w:r w:rsidRPr="00A60FD5">
              <w:rPr>
                <w:rFonts w:ascii="Times New Roman" w:hAnsi="Times New Roman" w:cs="Times New Roman"/>
                <w:sz w:val="18"/>
                <w:szCs w:val="18"/>
              </w:rPr>
              <w:t>(0.16)</w:t>
            </w:r>
          </w:p>
        </w:tc>
        <w:tc>
          <w:tcPr>
            <w:tcW w:w="992" w:type="dxa"/>
            <w:tcBorders>
              <w:top w:val="nil"/>
              <w:left w:val="nil"/>
              <w:bottom w:val="nil"/>
              <w:right w:val="nil"/>
            </w:tcBorders>
          </w:tcPr>
          <w:p w14:paraId="77CC1320" w14:textId="77777777" w:rsidR="00441A49" w:rsidRPr="00A60FD5" w:rsidRDefault="00DE74E5" w:rsidP="00F4357D">
            <w:pPr>
              <w:spacing w:after="0"/>
              <w:jc w:val="center"/>
              <w:rPr>
                <w:rFonts w:ascii="Times New Roman" w:hAnsi="Times New Roman" w:cs="Times New Roman"/>
                <w:sz w:val="18"/>
                <w:szCs w:val="18"/>
              </w:rPr>
            </w:pPr>
            <w:r w:rsidRPr="00A60FD5">
              <w:rPr>
                <w:rFonts w:ascii="Times New Roman" w:hAnsi="Times New Roman" w:cs="Times New Roman"/>
                <w:sz w:val="18"/>
                <w:szCs w:val="18"/>
              </w:rPr>
              <w:t>0.17</w:t>
            </w:r>
          </w:p>
          <w:p w14:paraId="5FDA3611" w14:textId="7CAAEDE1" w:rsidR="00DE74E5" w:rsidRPr="00A60FD5" w:rsidRDefault="00DE74E5" w:rsidP="00F4357D">
            <w:pPr>
              <w:spacing w:after="0"/>
              <w:jc w:val="center"/>
              <w:rPr>
                <w:rFonts w:ascii="Times New Roman" w:hAnsi="Times New Roman" w:cs="Times New Roman"/>
                <w:sz w:val="18"/>
                <w:szCs w:val="18"/>
              </w:rPr>
            </w:pPr>
            <w:r w:rsidRPr="00A60FD5">
              <w:rPr>
                <w:rFonts w:ascii="Times New Roman" w:hAnsi="Times New Roman" w:cs="Times New Roman"/>
                <w:sz w:val="18"/>
                <w:szCs w:val="18"/>
              </w:rPr>
              <w:t>(0.29)</w:t>
            </w:r>
          </w:p>
        </w:tc>
      </w:tr>
      <w:tr w:rsidR="00DE0D97" w:rsidRPr="00A60FD5" w14:paraId="0548C417" w14:textId="77777777" w:rsidTr="00EB08AC">
        <w:trPr>
          <w:trHeight w:hRule="exact" w:val="483"/>
        </w:trPr>
        <w:tc>
          <w:tcPr>
            <w:tcW w:w="3261" w:type="dxa"/>
            <w:tcBorders>
              <w:top w:val="nil"/>
              <w:left w:val="nil"/>
              <w:bottom w:val="nil"/>
              <w:right w:val="nil"/>
            </w:tcBorders>
          </w:tcPr>
          <w:p w14:paraId="4F73F442" w14:textId="0032EB6E" w:rsidR="00441A49" w:rsidRPr="00A60FD5" w:rsidRDefault="00441A49" w:rsidP="004539D9">
            <w:pPr>
              <w:spacing w:before="80" w:after="0"/>
              <w:rPr>
                <w:rFonts w:ascii="Times New Roman" w:hAnsi="Times New Roman" w:cs="Times New Roman"/>
                <w:sz w:val="18"/>
                <w:szCs w:val="18"/>
              </w:rPr>
            </w:pPr>
            <w:r w:rsidRPr="00A60FD5">
              <w:rPr>
                <w:rFonts w:ascii="Times New Roman" w:hAnsi="Times New Roman" w:cs="Times New Roman"/>
                <w:sz w:val="18"/>
                <w:szCs w:val="18"/>
              </w:rPr>
              <w:t>Prior ties</w:t>
            </w:r>
          </w:p>
        </w:tc>
        <w:tc>
          <w:tcPr>
            <w:tcW w:w="850" w:type="dxa"/>
            <w:tcBorders>
              <w:top w:val="nil"/>
              <w:left w:val="nil"/>
              <w:bottom w:val="nil"/>
              <w:right w:val="nil"/>
            </w:tcBorders>
          </w:tcPr>
          <w:p w14:paraId="5E2290BF" w14:textId="77777777" w:rsidR="00441A49" w:rsidRPr="00A60FD5" w:rsidRDefault="00310478" w:rsidP="00F4357D">
            <w:pPr>
              <w:spacing w:after="0"/>
              <w:jc w:val="center"/>
              <w:rPr>
                <w:rFonts w:ascii="Times New Roman" w:hAnsi="Times New Roman" w:cs="Times New Roman"/>
                <w:sz w:val="18"/>
                <w:szCs w:val="18"/>
              </w:rPr>
            </w:pPr>
            <w:r w:rsidRPr="00A60FD5">
              <w:rPr>
                <w:rFonts w:ascii="Times New Roman" w:hAnsi="Times New Roman" w:cs="Times New Roman"/>
                <w:sz w:val="18"/>
                <w:szCs w:val="18"/>
              </w:rPr>
              <w:t>0.31</w:t>
            </w:r>
          </w:p>
          <w:p w14:paraId="2E6E73BA" w14:textId="02807A5A" w:rsidR="00310478" w:rsidRPr="00A60FD5" w:rsidRDefault="00310478" w:rsidP="00F4357D">
            <w:pPr>
              <w:spacing w:after="0"/>
              <w:jc w:val="center"/>
              <w:rPr>
                <w:rFonts w:ascii="Times New Roman" w:hAnsi="Times New Roman" w:cs="Times New Roman"/>
                <w:sz w:val="18"/>
                <w:szCs w:val="18"/>
              </w:rPr>
            </w:pPr>
            <w:r w:rsidRPr="00A60FD5">
              <w:rPr>
                <w:rFonts w:ascii="Times New Roman" w:hAnsi="Times New Roman" w:cs="Times New Roman"/>
                <w:sz w:val="18"/>
                <w:szCs w:val="18"/>
              </w:rPr>
              <w:t>(0.21)</w:t>
            </w:r>
          </w:p>
        </w:tc>
        <w:tc>
          <w:tcPr>
            <w:tcW w:w="851" w:type="dxa"/>
            <w:tcBorders>
              <w:top w:val="nil"/>
              <w:left w:val="nil"/>
              <w:bottom w:val="nil"/>
              <w:right w:val="nil"/>
            </w:tcBorders>
          </w:tcPr>
          <w:p w14:paraId="1EE6A282" w14:textId="77777777" w:rsidR="00441A49" w:rsidRPr="00A60FD5" w:rsidRDefault="00C67E54" w:rsidP="00F4357D">
            <w:pPr>
              <w:spacing w:after="0"/>
              <w:jc w:val="center"/>
              <w:rPr>
                <w:rFonts w:ascii="Times New Roman" w:hAnsi="Times New Roman" w:cs="Times New Roman"/>
                <w:sz w:val="18"/>
                <w:szCs w:val="18"/>
              </w:rPr>
            </w:pPr>
            <w:r w:rsidRPr="00A60FD5">
              <w:rPr>
                <w:rFonts w:ascii="Times New Roman" w:hAnsi="Times New Roman" w:cs="Times New Roman"/>
                <w:sz w:val="18"/>
                <w:szCs w:val="18"/>
              </w:rPr>
              <w:t>-0.31</w:t>
            </w:r>
          </w:p>
          <w:p w14:paraId="5E5A61B0" w14:textId="25BD17A6" w:rsidR="00C67E54" w:rsidRPr="00A60FD5" w:rsidRDefault="00C67E54" w:rsidP="00F4357D">
            <w:pPr>
              <w:spacing w:after="0"/>
              <w:jc w:val="center"/>
              <w:rPr>
                <w:rFonts w:ascii="Times New Roman" w:hAnsi="Times New Roman" w:cs="Times New Roman"/>
                <w:sz w:val="18"/>
                <w:szCs w:val="18"/>
              </w:rPr>
            </w:pPr>
            <w:r w:rsidRPr="00A60FD5">
              <w:rPr>
                <w:rFonts w:ascii="Times New Roman" w:hAnsi="Times New Roman" w:cs="Times New Roman"/>
                <w:sz w:val="18"/>
                <w:szCs w:val="18"/>
              </w:rPr>
              <w:t>(0.31)</w:t>
            </w:r>
          </w:p>
        </w:tc>
        <w:tc>
          <w:tcPr>
            <w:tcW w:w="992" w:type="dxa"/>
            <w:tcBorders>
              <w:top w:val="nil"/>
              <w:left w:val="nil"/>
              <w:bottom w:val="nil"/>
              <w:right w:val="dotted" w:sz="4" w:space="0" w:color="auto"/>
            </w:tcBorders>
          </w:tcPr>
          <w:p w14:paraId="35AE6C96" w14:textId="77777777" w:rsidR="00441A49" w:rsidRPr="00A60FD5" w:rsidRDefault="008E23C0" w:rsidP="00F4357D">
            <w:pPr>
              <w:spacing w:after="0"/>
              <w:jc w:val="center"/>
              <w:rPr>
                <w:rFonts w:ascii="Times New Roman" w:hAnsi="Times New Roman" w:cs="Times New Roman"/>
                <w:sz w:val="18"/>
                <w:szCs w:val="18"/>
              </w:rPr>
            </w:pPr>
            <w:r w:rsidRPr="00A60FD5">
              <w:rPr>
                <w:rFonts w:ascii="Times New Roman" w:hAnsi="Times New Roman" w:cs="Times New Roman"/>
                <w:sz w:val="18"/>
                <w:szCs w:val="18"/>
              </w:rPr>
              <w:t>-1.78***</w:t>
            </w:r>
          </w:p>
          <w:p w14:paraId="4C6282D7" w14:textId="33EAEC00" w:rsidR="008E23C0" w:rsidRPr="00A60FD5" w:rsidRDefault="008E23C0" w:rsidP="00F4357D">
            <w:pPr>
              <w:spacing w:after="0"/>
              <w:jc w:val="center"/>
              <w:rPr>
                <w:rFonts w:ascii="Times New Roman" w:hAnsi="Times New Roman" w:cs="Times New Roman"/>
                <w:sz w:val="18"/>
                <w:szCs w:val="18"/>
              </w:rPr>
            </w:pPr>
            <w:r w:rsidRPr="00A60FD5">
              <w:rPr>
                <w:rFonts w:ascii="Times New Roman" w:hAnsi="Times New Roman" w:cs="Times New Roman"/>
                <w:sz w:val="18"/>
                <w:szCs w:val="18"/>
              </w:rPr>
              <w:t>(0.49)</w:t>
            </w:r>
          </w:p>
        </w:tc>
        <w:tc>
          <w:tcPr>
            <w:tcW w:w="992" w:type="dxa"/>
            <w:tcBorders>
              <w:top w:val="nil"/>
              <w:left w:val="dotted" w:sz="4" w:space="0" w:color="auto"/>
              <w:bottom w:val="nil"/>
              <w:right w:val="nil"/>
            </w:tcBorders>
          </w:tcPr>
          <w:p w14:paraId="66B3F82D" w14:textId="77777777" w:rsidR="00441A49" w:rsidRPr="00A60FD5" w:rsidRDefault="00441A49" w:rsidP="00F4357D">
            <w:pPr>
              <w:spacing w:after="0"/>
              <w:jc w:val="center"/>
              <w:rPr>
                <w:rFonts w:ascii="Times New Roman" w:hAnsi="Times New Roman" w:cs="Times New Roman"/>
                <w:sz w:val="18"/>
                <w:szCs w:val="18"/>
              </w:rPr>
            </w:pPr>
            <w:r w:rsidRPr="00A60FD5">
              <w:rPr>
                <w:rFonts w:ascii="Times New Roman" w:hAnsi="Times New Roman" w:cs="Times New Roman"/>
                <w:sz w:val="18"/>
                <w:szCs w:val="18"/>
              </w:rPr>
              <w:t>0.31</w:t>
            </w:r>
          </w:p>
          <w:p w14:paraId="7A424D24" w14:textId="63A38D8C" w:rsidR="00441A49" w:rsidRPr="00A60FD5" w:rsidRDefault="00441A49" w:rsidP="00F4357D">
            <w:pPr>
              <w:spacing w:after="0"/>
              <w:jc w:val="center"/>
              <w:rPr>
                <w:rFonts w:ascii="Times New Roman" w:hAnsi="Times New Roman" w:cs="Times New Roman"/>
                <w:sz w:val="18"/>
                <w:szCs w:val="18"/>
              </w:rPr>
            </w:pPr>
            <w:r w:rsidRPr="00A60FD5">
              <w:rPr>
                <w:rFonts w:ascii="Times New Roman" w:hAnsi="Times New Roman" w:cs="Times New Roman"/>
                <w:sz w:val="18"/>
                <w:szCs w:val="18"/>
              </w:rPr>
              <w:t>(0.21)</w:t>
            </w:r>
          </w:p>
        </w:tc>
        <w:tc>
          <w:tcPr>
            <w:tcW w:w="851" w:type="dxa"/>
            <w:tcBorders>
              <w:top w:val="nil"/>
              <w:left w:val="nil"/>
              <w:bottom w:val="nil"/>
              <w:right w:val="nil"/>
            </w:tcBorders>
          </w:tcPr>
          <w:p w14:paraId="25E452C9" w14:textId="77777777" w:rsidR="00441A49" w:rsidRPr="00A60FD5" w:rsidRDefault="00441A49" w:rsidP="00F4357D">
            <w:pPr>
              <w:spacing w:after="0"/>
              <w:jc w:val="center"/>
              <w:rPr>
                <w:rFonts w:ascii="Times New Roman" w:hAnsi="Times New Roman" w:cs="Times New Roman"/>
                <w:sz w:val="18"/>
                <w:szCs w:val="18"/>
              </w:rPr>
            </w:pPr>
            <w:r w:rsidRPr="00A60FD5">
              <w:rPr>
                <w:rFonts w:ascii="Times New Roman" w:hAnsi="Times New Roman" w:cs="Times New Roman"/>
                <w:sz w:val="18"/>
                <w:szCs w:val="18"/>
              </w:rPr>
              <w:t>-0.31</w:t>
            </w:r>
          </w:p>
          <w:p w14:paraId="5C965284" w14:textId="5620E95B" w:rsidR="00441A49" w:rsidRPr="00A60FD5" w:rsidRDefault="00441A49" w:rsidP="00F4357D">
            <w:pPr>
              <w:spacing w:after="0"/>
              <w:jc w:val="center"/>
              <w:rPr>
                <w:rFonts w:ascii="Times New Roman" w:hAnsi="Times New Roman" w:cs="Times New Roman"/>
                <w:sz w:val="18"/>
                <w:szCs w:val="18"/>
              </w:rPr>
            </w:pPr>
            <w:r w:rsidRPr="00A60FD5">
              <w:rPr>
                <w:rFonts w:ascii="Times New Roman" w:hAnsi="Times New Roman" w:cs="Times New Roman"/>
                <w:sz w:val="18"/>
                <w:szCs w:val="18"/>
              </w:rPr>
              <w:t>(0.31)</w:t>
            </w:r>
          </w:p>
        </w:tc>
        <w:tc>
          <w:tcPr>
            <w:tcW w:w="850" w:type="dxa"/>
            <w:tcBorders>
              <w:top w:val="nil"/>
              <w:left w:val="nil"/>
              <w:bottom w:val="nil"/>
              <w:right w:val="dotted" w:sz="4" w:space="0" w:color="auto"/>
            </w:tcBorders>
          </w:tcPr>
          <w:p w14:paraId="71BFED05" w14:textId="77777777" w:rsidR="00441A49" w:rsidRPr="00A60FD5" w:rsidRDefault="00441A49" w:rsidP="00F4357D">
            <w:pPr>
              <w:spacing w:after="0"/>
              <w:jc w:val="center"/>
              <w:rPr>
                <w:rFonts w:ascii="Times New Roman" w:hAnsi="Times New Roman" w:cs="Times New Roman"/>
                <w:sz w:val="18"/>
                <w:szCs w:val="18"/>
              </w:rPr>
            </w:pPr>
            <w:r w:rsidRPr="00A60FD5">
              <w:rPr>
                <w:rFonts w:ascii="Times New Roman" w:hAnsi="Times New Roman" w:cs="Times New Roman"/>
                <w:sz w:val="18"/>
                <w:szCs w:val="18"/>
              </w:rPr>
              <w:t>-1.80**</w:t>
            </w:r>
          </w:p>
          <w:p w14:paraId="0DE87649" w14:textId="4AD52D91" w:rsidR="00441A49" w:rsidRPr="00A60FD5" w:rsidRDefault="00441A49" w:rsidP="00F4357D">
            <w:pPr>
              <w:spacing w:after="0"/>
              <w:jc w:val="center"/>
              <w:rPr>
                <w:rFonts w:ascii="Times New Roman" w:hAnsi="Times New Roman" w:cs="Times New Roman"/>
                <w:sz w:val="18"/>
                <w:szCs w:val="18"/>
              </w:rPr>
            </w:pPr>
            <w:r w:rsidRPr="00A60FD5">
              <w:rPr>
                <w:rFonts w:ascii="Times New Roman" w:hAnsi="Times New Roman" w:cs="Times New Roman"/>
                <w:sz w:val="18"/>
                <w:szCs w:val="18"/>
              </w:rPr>
              <w:t>(0.53)</w:t>
            </w:r>
          </w:p>
        </w:tc>
        <w:tc>
          <w:tcPr>
            <w:tcW w:w="1134" w:type="dxa"/>
            <w:tcBorders>
              <w:top w:val="nil"/>
              <w:left w:val="dotted" w:sz="4" w:space="0" w:color="auto"/>
              <w:bottom w:val="nil"/>
              <w:right w:val="nil"/>
            </w:tcBorders>
          </w:tcPr>
          <w:p w14:paraId="7EB99A7B" w14:textId="77777777" w:rsidR="00441A49" w:rsidRPr="00A60FD5" w:rsidRDefault="00DB112C" w:rsidP="00F4357D">
            <w:pPr>
              <w:spacing w:after="0"/>
              <w:jc w:val="center"/>
              <w:rPr>
                <w:rFonts w:ascii="Times New Roman" w:hAnsi="Times New Roman" w:cs="Times New Roman"/>
                <w:sz w:val="18"/>
                <w:szCs w:val="18"/>
              </w:rPr>
            </w:pPr>
            <w:r w:rsidRPr="00A60FD5">
              <w:rPr>
                <w:rFonts w:ascii="Times New Roman" w:hAnsi="Times New Roman" w:cs="Times New Roman"/>
                <w:sz w:val="18"/>
                <w:szCs w:val="18"/>
              </w:rPr>
              <w:t>0.31</w:t>
            </w:r>
          </w:p>
          <w:p w14:paraId="2A0E8A50" w14:textId="0B09656C" w:rsidR="00DB112C" w:rsidRPr="00A60FD5" w:rsidRDefault="00DB112C" w:rsidP="00F4357D">
            <w:pPr>
              <w:spacing w:after="0"/>
              <w:jc w:val="center"/>
              <w:rPr>
                <w:rFonts w:ascii="Times New Roman" w:hAnsi="Times New Roman" w:cs="Times New Roman"/>
                <w:sz w:val="18"/>
                <w:szCs w:val="18"/>
              </w:rPr>
            </w:pPr>
            <w:r w:rsidRPr="00A60FD5">
              <w:rPr>
                <w:rFonts w:ascii="Times New Roman" w:hAnsi="Times New Roman" w:cs="Times New Roman"/>
                <w:sz w:val="18"/>
                <w:szCs w:val="18"/>
              </w:rPr>
              <w:t>(0.21)</w:t>
            </w:r>
          </w:p>
        </w:tc>
        <w:tc>
          <w:tcPr>
            <w:tcW w:w="851" w:type="dxa"/>
            <w:tcBorders>
              <w:top w:val="nil"/>
              <w:left w:val="nil"/>
              <w:bottom w:val="nil"/>
              <w:right w:val="nil"/>
            </w:tcBorders>
          </w:tcPr>
          <w:p w14:paraId="5907C59A" w14:textId="77777777" w:rsidR="00441A49" w:rsidRPr="00A60FD5" w:rsidRDefault="00994882" w:rsidP="00F4357D">
            <w:pPr>
              <w:spacing w:after="0"/>
              <w:jc w:val="center"/>
              <w:rPr>
                <w:rFonts w:ascii="Times New Roman" w:hAnsi="Times New Roman" w:cs="Times New Roman"/>
                <w:sz w:val="18"/>
                <w:szCs w:val="18"/>
              </w:rPr>
            </w:pPr>
            <w:r w:rsidRPr="00A60FD5">
              <w:rPr>
                <w:rFonts w:ascii="Times New Roman" w:hAnsi="Times New Roman" w:cs="Times New Roman"/>
                <w:sz w:val="18"/>
                <w:szCs w:val="18"/>
              </w:rPr>
              <w:t>-0.29</w:t>
            </w:r>
          </w:p>
          <w:p w14:paraId="0ADCF6F5" w14:textId="6A5B3D6A" w:rsidR="00994882" w:rsidRPr="00A60FD5" w:rsidRDefault="00994882" w:rsidP="00F4357D">
            <w:pPr>
              <w:spacing w:after="0"/>
              <w:jc w:val="center"/>
              <w:rPr>
                <w:rFonts w:ascii="Times New Roman" w:hAnsi="Times New Roman" w:cs="Times New Roman"/>
                <w:sz w:val="18"/>
                <w:szCs w:val="18"/>
              </w:rPr>
            </w:pPr>
            <w:r w:rsidRPr="00A60FD5">
              <w:rPr>
                <w:rFonts w:ascii="Times New Roman" w:hAnsi="Times New Roman" w:cs="Times New Roman"/>
                <w:sz w:val="18"/>
                <w:szCs w:val="18"/>
              </w:rPr>
              <w:t>(0.31)</w:t>
            </w:r>
          </w:p>
        </w:tc>
        <w:tc>
          <w:tcPr>
            <w:tcW w:w="992" w:type="dxa"/>
            <w:tcBorders>
              <w:top w:val="nil"/>
              <w:left w:val="nil"/>
              <w:bottom w:val="nil"/>
              <w:right w:val="nil"/>
            </w:tcBorders>
          </w:tcPr>
          <w:p w14:paraId="4474BD4F" w14:textId="77777777" w:rsidR="00441A49" w:rsidRPr="00A60FD5" w:rsidRDefault="00DE74E5" w:rsidP="00F4357D">
            <w:pPr>
              <w:spacing w:after="0"/>
              <w:jc w:val="center"/>
              <w:rPr>
                <w:rFonts w:ascii="Times New Roman" w:hAnsi="Times New Roman" w:cs="Times New Roman"/>
                <w:sz w:val="18"/>
                <w:szCs w:val="18"/>
              </w:rPr>
            </w:pPr>
            <w:r w:rsidRPr="00A60FD5">
              <w:rPr>
                <w:rFonts w:ascii="Times New Roman" w:hAnsi="Times New Roman" w:cs="Times New Roman"/>
                <w:sz w:val="18"/>
                <w:szCs w:val="18"/>
              </w:rPr>
              <w:t>-1.56**</w:t>
            </w:r>
          </w:p>
          <w:p w14:paraId="59FACAF3" w14:textId="1090079E" w:rsidR="00DE74E5" w:rsidRPr="00A60FD5" w:rsidRDefault="00DE74E5" w:rsidP="00F4357D">
            <w:pPr>
              <w:spacing w:after="0"/>
              <w:jc w:val="center"/>
              <w:rPr>
                <w:rFonts w:ascii="Times New Roman" w:hAnsi="Times New Roman" w:cs="Times New Roman"/>
                <w:sz w:val="18"/>
                <w:szCs w:val="18"/>
              </w:rPr>
            </w:pPr>
            <w:r w:rsidRPr="00A60FD5">
              <w:rPr>
                <w:rFonts w:ascii="Times New Roman" w:hAnsi="Times New Roman" w:cs="Times New Roman"/>
                <w:sz w:val="18"/>
                <w:szCs w:val="18"/>
              </w:rPr>
              <w:t>(0.56)</w:t>
            </w:r>
          </w:p>
        </w:tc>
      </w:tr>
      <w:tr w:rsidR="00DE0D97" w:rsidRPr="00A60FD5" w14:paraId="2BFC4A0F" w14:textId="77777777" w:rsidTr="00EB08AC">
        <w:trPr>
          <w:trHeight w:hRule="exact" w:val="483"/>
        </w:trPr>
        <w:tc>
          <w:tcPr>
            <w:tcW w:w="3261" w:type="dxa"/>
            <w:tcBorders>
              <w:top w:val="nil"/>
              <w:left w:val="nil"/>
              <w:bottom w:val="nil"/>
              <w:right w:val="nil"/>
            </w:tcBorders>
          </w:tcPr>
          <w:p w14:paraId="53976AD7" w14:textId="6F17E386" w:rsidR="00441A49" w:rsidRPr="00A60FD5" w:rsidRDefault="00441A49" w:rsidP="004539D9">
            <w:pPr>
              <w:spacing w:before="80" w:after="0"/>
              <w:rPr>
                <w:rFonts w:ascii="Times New Roman" w:hAnsi="Times New Roman" w:cs="Times New Roman"/>
                <w:sz w:val="18"/>
                <w:szCs w:val="18"/>
              </w:rPr>
            </w:pPr>
            <w:r w:rsidRPr="00A60FD5">
              <w:rPr>
                <w:rFonts w:ascii="Times New Roman" w:hAnsi="Times New Roman" w:cs="Times New Roman"/>
                <w:sz w:val="18"/>
                <w:szCs w:val="18"/>
              </w:rPr>
              <w:t xml:space="preserve">Same sector </w:t>
            </w:r>
          </w:p>
        </w:tc>
        <w:tc>
          <w:tcPr>
            <w:tcW w:w="850" w:type="dxa"/>
            <w:tcBorders>
              <w:top w:val="nil"/>
              <w:left w:val="nil"/>
              <w:bottom w:val="nil"/>
              <w:right w:val="nil"/>
            </w:tcBorders>
          </w:tcPr>
          <w:p w14:paraId="15E28D1D" w14:textId="77777777" w:rsidR="00441A49" w:rsidRPr="00A60FD5" w:rsidRDefault="00310478" w:rsidP="00F4357D">
            <w:pPr>
              <w:spacing w:after="0"/>
              <w:jc w:val="center"/>
              <w:rPr>
                <w:rFonts w:ascii="Times New Roman" w:hAnsi="Times New Roman" w:cs="Times New Roman"/>
                <w:sz w:val="18"/>
                <w:szCs w:val="18"/>
              </w:rPr>
            </w:pPr>
            <w:r w:rsidRPr="00A60FD5">
              <w:rPr>
                <w:rFonts w:ascii="Times New Roman" w:hAnsi="Times New Roman" w:cs="Times New Roman"/>
                <w:sz w:val="18"/>
                <w:szCs w:val="18"/>
              </w:rPr>
              <w:t>-0.07</w:t>
            </w:r>
          </w:p>
          <w:p w14:paraId="72EA94B1" w14:textId="1DC3B877" w:rsidR="00310478" w:rsidRPr="00A60FD5" w:rsidRDefault="00310478" w:rsidP="00F4357D">
            <w:pPr>
              <w:spacing w:after="0"/>
              <w:jc w:val="center"/>
              <w:rPr>
                <w:rFonts w:ascii="Times New Roman" w:hAnsi="Times New Roman" w:cs="Times New Roman"/>
                <w:sz w:val="18"/>
                <w:szCs w:val="18"/>
              </w:rPr>
            </w:pPr>
            <w:r w:rsidRPr="00A60FD5">
              <w:rPr>
                <w:rFonts w:ascii="Times New Roman" w:hAnsi="Times New Roman" w:cs="Times New Roman"/>
                <w:sz w:val="18"/>
                <w:szCs w:val="18"/>
              </w:rPr>
              <w:t>(0.12)</w:t>
            </w:r>
          </w:p>
        </w:tc>
        <w:tc>
          <w:tcPr>
            <w:tcW w:w="851" w:type="dxa"/>
            <w:tcBorders>
              <w:top w:val="nil"/>
              <w:left w:val="nil"/>
              <w:bottom w:val="nil"/>
              <w:right w:val="nil"/>
            </w:tcBorders>
          </w:tcPr>
          <w:p w14:paraId="5C932FE0" w14:textId="77777777" w:rsidR="00441A49" w:rsidRPr="00A60FD5" w:rsidRDefault="00C67E54" w:rsidP="00F4357D">
            <w:pPr>
              <w:spacing w:after="0"/>
              <w:jc w:val="center"/>
              <w:rPr>
                <w:rFonts w:ascii="Times New Roman" w:hAnsi="Times New Roman"/>
                <w:sz w:val="18"/>
                <w:szCs w:val="20"/>
              </w:rPr>
            </w:pPr>
            <w:r w:rsidRPr="00A60FD5">
              <w:rPr>
                <w:rFonts w:ascii="Times New Roman" w:hAnsi="Times New Roman" w:cs="Times New Roman"/>
                <w:sz w:val="18"/>
                <w:szCs w:val="18"/>
              </w:rPr>
              <w:t>0.54</w:t>
            </w:r>
            <w:r w:rsidRPr="00A60FD5">
              <w:rPr>
                <w:rFonts w:ascii="Times New Roman" w:hAnsi="Times New Roman"/>
                <w:sz w:val="18"/>
                <w:szCs w:val="20"/>
              </w:rPr>
              <w:t>†</w:t>
            </w:r>
          </w:p>
          <w:p w14:paraId="2C573B4B" w14:textId="15A09BE3" w:rsidR="00C67E54" w:rsidRPr="00A60FD5" w:rsidRDefault="00C67E54" w:rsidP="00F4357D">
            <w:pPr>
              <w:spacing w:after="0"/>
              <w:jc w:val="center"/>
              <w:rPr>
                <w:rFonts w:ascii="Times New Roman" w:hAnsi="Times New Roman" w:cs="Times New Roman"/>
                <w:sz w:val="18"/>
                <w:szCs w:val="18"/>
              </w:rPr>
            </w:pPr>
            <w:r w:rsidRPr="00A60FD5">
              <w:rPr>
                <w:rFonts w:ascii="Times New Roman" w:hAnsi="Times New Roman"/>
                <w:sz w:val="18"/>
                <w:szCs w:val="20"/>
              </w:rPr>
              <w:t>(0.30)</w:t>
            </w:r>
          </w:p>
        </w:tc>
        <w:tc>
          <w:tcPr>
            <w:tcW w:w="992" w:type="dxa"/>
            <w:tcBorders>
              <w:top w:val="nil"/>
              <w:left w:val="nil"/>
              <w:bottom w:val="nil"/>
              <w:right w:val="dotted" w:sz="4" w:space="0" w:color="auto"/>
            </w:tcBorders>
          </w:tcPr>
          <w:p w14:paraId="566C9C22" w14:textId="77777777" w:rsidR="00441A49" w:rsidRPr="00A60FD5" w:rsidRDefault="008E23C0" w:rsidP="00F4357D">
            <w:pPr>
              <w:spacing w:after="0"/>
              <w:jc w:val="center"/>
              <w:rPr>
                <w:rFonts w:ascii="Times New Roman" w:hAnsi="Times New Roman" w:cs="Times New Roman"/>
                <w:sz w:val="18"/>
                <w:szCs w:val="18"/>
              </w:rPr>
            </w:pPr>
            <w:r w:rsidRPr="00A60FD5">
              <w:rPr>
                <w:rFonts w:ascii="Times New Roman" w:hAnsi="Times New Roman" w:cs="Times New Roman"/>
                <w:sz w:val="18"/>
                <w:szCs w:val="18"/>
              </w:rPr>
              <w:t>-0.21</w:t>
            </w:r>
          </w:p>
          <w:p w14:paraId="298A82CA" w14:textId="0939AC80" w:rsidR="008E23C0" w:rsidRPr="00A60FD5" w:rsidRDefault="008E23C0" w:rsidP="00F4357D">
            <w:pPr>
              <w:spacing w:after="0"/>
              <w:jc w:val="center"/>
              <w:rPr>
                <w:rFonts w:ascii="Times New Roman" w:hAnsi="Times New Roman" w:cs="Times New Roman"/>
                <w:sz w:val="18"/>
                <w:szCs w:val="18"/>
              </w:rPr>
            </w:pPr>
            <w:r w:rsidRPr="00A60FD5">
              <w:rPr>
                <w:rFonts w:ascii="Times New Roman" w:hAnsi="Times New Roman" w:cs="Times New Roman"/>
                <w:sz w:val="18"/>
                <w:szCs w:val="18"/>
              </w:rPr>
              <w:t>(0.31)</w:t>
            </w:r>
          </w:p>
        </w:tc>
        <w:tc>
          <w:tcPr>
            <w:tcW w:w="992" w:type="dxa"/>
            <w:tcBorders>
              <w:top w:val="nil"/>
              <w:left w:val="dotted" w:sz="4" w:space="0" w:color="auto"/>
              <w:bottom w:val="nil"/>
              <w:right w:val="nil"/>
            </w:tcBorders>
          </w:tcPr>
          <w:p w14:paraId="147A1BDD" w14:textId="77777777" w:rsidR="00441A49" w:rsidRPr="00A60FD5" w:rsidRDefault="00441A49" w:rsidP="00F4357D">
            <w:pPr>
              <w:spacing w:after="0"/>
              <w:jc w:val="center"/>
              <w:rPr>
                <w:rFonts w:ascii="Times New Roman" w:hAnsi="Times New Roman" w:cs="Times New Roman"/>
                <w:sz w:val="18"/>
                <w:szCs w:val="18"/>
              </w:rPr>
            </w:pPr>
            <w:r w:rsidRPr="00A60FD5">
              <w:rPr>
                <w:rFonts w:ascii="Times New Roman" w:hAnsi="Times New Roman" w:cs="Times New Roman"/>
                <w:sz w:val="18"/>
                <w:szCs w:val="18"/>
              </w:rPr>
              <w:t>-0.07</w:t>
            </w:r>
          </w:p>
          <w:p w14:paraId="41C8515B" w14:textId="274FA2C1" w:rsidR="00441A49" w:rsidRPr="00A60FD5" w:rsidRDefault="00441A49" w:rsidP="00F4357D">
            <w:pPr>
              <w:spacing w:after="0"/>
              <w:jc w:val="center"/>
              <w:rPr>
                <w:rFonts w:ascii="Times New Roman" w:hAnsi="Times New Roman" w:cs="Times New Roman"/>
                <w:sz w:val="18"/>
                <w:szCs w:val="18"/>
              </w:rPr>
            </w:pPr>
            <w:r w:rsidRPr="00A60FD5">
              <w:rPr>
                <w:rFonts w:ascii="Times New Roman" w:hAnsi="Times New Roman" w:cs="Times New Roman"/>
                <w:sz w:val="18"/>
                <w:szCs w:val="18"/>
              </w:rPr>
              <w:t>(0.12)</w:t>
            </w:r>
          </w:p>
        </w:tc>
        <w:tc>
          <w:tcPr>
            <w:tcW w:w="851" w:type="dxa"/>
            <w:tcBorders>
              <w:top w:val="nil"/>
              <w:left w:val="nil"/>
              <w:bottom w:val="nil"/>
              <w:right w:val="nil"/>
            </w:tcBorders>
          </w:tcPr>
          <w:p w14:paraId="2F2C4090" w14:textId="77777777" w:rsidR="00441A49" w:rsidRPr="00A60FD5" w:rsidRDefault="00441A49" w:rsidP="00F4357D">
            <w:pPr>
              <w:spacing w:after="0"/>
              <w:jc w:val="center"/>
              <w:rPr>
                <w:rFonts w:ascii="Times New Roman" w:hAnsi="Times New Roman"/>
                <w:sz w:val="18"/>
                <w:szCs w:val="20"/>
              </w:rPr>
            </w:pPr>
            <w:r w:rsidRPr="00A60FD5">
              <w:rPr>
                <w:rFonts w:ascii="Times New Roman" w:hAnsi="Times New Roman" w:cs="Times New Roman"/>
                <w:sz w:val="18"/>
                <w:szCs w:val="18"/>
              </w:rPr>
              <w:t>0.54</w:t>
            </w:r>
            <w:r w:rsidRPr="00A60FD5">
              <w:rPr>
                <w:rFonts w:ascii="Times New Roman" w:hAnsi="Times New Roman"/>
                <w:sz w:val="18"/>
                <w:szCs w:val="20"/>
              </w:rPr>
              <w:t>†</w:t>
            </w:r>
          </w:p>
          <w:p w14:paraId="3CE5DEF5" w14:textId="4FB599FF" w:rsidR="00441A49" w:rsidRPr="00A60FD5" w:rsidRDefault="00441A49" w:rsidP="00F4357D">
            <w:pPr>
              <w:spacing w:after="0"/>
              <w:jc w:val="center"/>
              <w:rPr>
                <w:rFonts w:ascii="Times New Roman" w:hAnsi="Times New Roman" w:cs="Times New Roman"/>
                <w:sz w:val="18"/>
                <w:szCs w:val="18"/>
              </w:rPr>
            </w:pPr>
            <w:r w:rsidRPr="00A60FD5">
              <w:rPr>
                <w:rFonts w:ascii="Times New Roman" w:hAnsi="Times New Roman"/>
                <w:sz w:val="18"/>
                <w:szCs w:val="20"/>
              </w:rPr>
              <w:t>(0.30)</w:t>
            </w:r>
          </w:p>
        </w:tc>
        <w:tc>
          <w:tcPr>
            <w:tcW w:w="850" w:type="dxa"/>
            <w:tcBorders>
              <w:top w:val="nil"/>
              <w:left w:val="nil"/>
              <w:bottom w:val="nil"/>
              <w:right w:val="dotted" w:sz="4" w:space="0" w:color="auto"/>
            </w:tcBorders>
          </w:tcPr>
          <w:p w14:paraId="6F41E186" w14:textId="77777777" w:rsidR="00441A49" w:rsidRPr="00A60FD5" w:rsidRDefault="00441A49" w:rsidP="00F4357D">
            <w:pPr>
              <w:spacing w:after="0"/>
              <w:jc w:val="center"/>
              <w:rPr>
                <w:rFonts w:ascii="Times New Roman" w:hAnsi="Times New Roman" w:cs="Times New Roman"/>
                <w:sz w:val="18"/>
                <w:szCs w:val="18"/>
              </w:rPr>
            </w:pPr>
            <w:r w:rsidRPr="00A60FD5">
              <w:rPr>
                <w:rFonts w:ascii="Times New Roman" w:hAnsi="Times New Roman" w:cs="Times New Roman"/>
                <w:sz w:val="18"/>
                <w:szCs w:val="18"/>
              </w:rPr>
              <w:t>-0.20</w:t>
            </w:r>
          </w:p>
          <w:p w14:paraId="59A7411B" w14:textId="3A6C4F29" w:rsidR="00441A49" w:rsidRPr="00A60FD5" w:rsidRDefault="00441A49" w:rsidP="00F4357D">
            <w:pPr>
              <w:spacing w:after="0"/>
              <w:jc w:val="center"/>
              <w:rPr>
                <w:rFonts w:ascii="Times New Roman" w:hAnsi="Times New Roman" w:cs="Times New Roman"/>
                <w:sz w:val="18"/>
                <w:szCs w:val="18"/>
              </w:rPr>
            </w:pPr>
            <w:r w:rsidRPr="00A60FD5">
              <w:rPr>
                <w:rFonts w:ascii="Times New Roman" w:hAnsi="Times New Roman" w:cs="Times New Roman"/>
                <w:sz w:val="18"/>
                <w:szCs w:val="18"/>
              </w:rPr>
              <w:t>(0.30)</w:t>
            </w:r>
          </w:p>
        </w:tc>
        <w:tc>
          <w:tcPr>
            <w:tcW w:w="1134" w:type="dxa"/>
            <w:tcBorders>
              <w:top w:val="nil"/>
              <w:left w:val="dotted" w:sz="4" w:space="0" w:color="auto"/>
              <w:bottom w:val="nil"/>
              <w:right w:val="nil"/>
            </w:tcBorders>
          </w:tcPr>
          <w:p w14:paraId="028490A4" w14:textId="77777777" w:rsidR="00441A49" w:rsidRPr="00A60FD5" w:rsidRDefault="00DB112C" w:rsidP="00F4357D">
            <w:pPr>
              <w:spacing w:after="0"/>
              <w:jc w:val="center"/>
              <w:rPr>
                <w:rFonts w:ascii="Times New Roman" w:hAnsi="Times New Roman" w:cs="Times New Roman"/>
                <w:sz w:val="18"/>
                <w:szCs w:val="18"/>
              </w:rPr>
            </w:pPr>
            <w:r w:rsidRPr="00A60FD5">
              <w:rPr>
                <w:rFonts w:ascii="Times New Roman" w:hAnsi="Times New Roman" w:cs="Times New Roman"/>
                <w:sz w:val="18"/>
                <w:szCs w:val="18"/>
              </w:rPr>
              <w:t>-0.07</w:t>
            </w:r>
          </w:p>
          <w:p w14:paraId="00799C6D" w14:textId="4A7CEF42" w:rsidR="00DB112C" w:rsidRPr="00A60FD5" w:rsidRDefault="00DB112C" w:rsidP="00F4357D">
            <w:pPr>
              <w:spacing w:after="0"/>
              <w:jc w:val="center"/>
              <w:rPr>
                <w:rFonts w:ascii="Times New Roman" w:hAnsi="Times New Roman" w:cs="Times New Roman"/>
                <w:sz w:val="18"/>
                <w:szCs w:val="18"/>
              </w:rPr>
            </w:pPr>
            <w:r w:rsidRPr="00A60FD5">
              <w:rPr>
                <w:rFonts w:ascii="Times New Roman" w:hAnsi="Times New Roman" w:cs="Times New Roman"/>
                <w:sz w:val="18"/>
                <w:szCs w:val="18"/>
              </w:rPr>
              <w:t>(0.12)</w:t>
            </w:r>
          </w:p>
        </w:tc>
        <w:tc>
          <w:tcPr>
            <w:tcW w:w="851" w:type="dxa"/>
            <w:tcBorders>
              <w:top w:val="nil"/>
              <w:left w:val="nil"/>
              <w:bottom w:val="nil"/>
              <w:right w:val="nil"/>
            </w:tcBorders>
          </w:tcPr>
          <w:p w14:paraId="33091DD2" w14:textId="77777777" w:rsidR="00441A49" w:rsidRPr="00A60FD5" w:rsidRDefault="00994882" w:rsidP="00F4357D">
            <w:pPr>
              <w:spacing w:after="0"/>
              <w:jc w:val="center"/>
              <w:rPr>
                <w:rFonts w:ascii="Times New Roman" w:hAnsi="Times New Roman"/>
                <w:sz w:val="18"/>
                <w:szCs w:val="20"/>
              </w:rPr>
            </w:pPr>
            <w:r w:rsidRPr="00A60FD5">
              <w:rPr>
                <w:rFonts w:ascii="Times New Roman" w:hAnsi="Times New Roman" w:cs="Times New Roman"/>
                <w:sz w:val="18"/>
                <w:szCs w:val="18"/>
              </w:rPr>
              <w:t>0.53</w:t>
            </w:r>
            <w:r w:rsidRPr="00A60FD5">
              <w:rPr>
                <w:rFonts w:ascii="Times New Roman" w:hAnsi="Times New Roman"/>
                <w:sz w:val="18"/>
                <w:szCs w:val="20"/>
              </w:rPr>
              <w:t>†</w:t>
            </w:r>
          </w:p>
          <w:p w14:paraId="5472BF7D" w14:textId="7FC9C65F" w:rsidR="00994882" w:rsidRPr="00A60FD5" w:rsidRDefault="00994882" w:rsidP="00F4357D">
            <w:pPr>
              <w:spacing w:after="0"/>
              <w:jc w:val="center"/>
              <w:rPr>
                <w:rFonts w:ascii="Times New Roman" w:hAnsi="Times New Roman" w:cs="Times New Roman"/>
                <w:sz w:val="18"/>
                <w:szCs w:val="18"/>
              </w:rPr>
            </w:pPr>
            <w:r w:rsidRPr="00A60FD5">
              <w:rPr>
                <w:rFonts w:ascii="Times New Roman" w:hAnsi="Times New Roman"/>
                <w:sz w:val="18"/>
                <w:szCs w:val="20"/>
              </w:rPr>
              <w:t>(0.31)</w:t>
            </w:r>
          </w:p>
        </w:tc>
        <w:tc>
          <w:tcPr>
            <w:tcW w:w="992" w:type="dxa"/>
            <w:tcBorders>
              <w:top w:val="nil"/>
              <w:left w:val="nil"/>
              <w:bottom w:val="nil"/>
              <w:right w:val="nil"/>
            </w:tcBorders>
          </w:tcPr>
          <w:p w14:paraId="0080ED14" w14:textId="77777777" w:rsidR="00441A49" w:rsidRPr="00A60FD5" w:rsidRDefault="00DE74E5" w:rsidP="00F4357D">
            <w:pPr>
              <w:spacing w:after="0"/>
              <w:jc w:val="center"/>
              <w:rPr>
                <w:rFonts w:ascii="Times New Roman" w:hAnsi="Times New Roman" w:cs="Times New Roman"/>
                <w:sz w:val="18"/>
                <w:szCs w:val="18"/>
              </w:rPr>
            </w:pPr>
            <w:r w:rsidRPr="00A60FD5">
              <w:rPr>
                <w:rFonts w:ascii="Times New Roman" w:hAnsi="Times New Roman" w:cs="Times New Roman"/>
                <w:sz w:val="18"/>
                <w:szCs w:val="18"/>
              </w:rPr>
              <w:t>-0.44</w:t>
            </w:r>
          </w:p>
          <w:p w14:paraId="5128F999" w14:textId="29B8BE01" w:rsidR="00DE74E5" w:rsidRPr="00A60FD5" w:rsidRDefault="00DE74E5" w:rsidP="00F4357D">
            <w:pPr>
              <w:spacing w:after="0"/>
              <w:jc w:val="center"/>
              <w:rPr>
                <w:rFonts w:ascii="Times New Roman" w:hAnsi="Times New Roman" w:cs="Times New Roman"/>
                <w:sz w:val="18"/>
                <w:szCs w:val="18"/>
              </w:rPr>
            </w:pPr>
            <w:r w:rsidRPr="00A60FD5">
              <w:rPr>
                <w:rFonts w:ascii="Times New Roman" w:hAnsi="Times New Roman" w:cs="Times New Roman"/>
                <w:sz w:val="18"/>
                <w:szCs w:val="18"/>
              </w:rPr>
              <w:t>(0.29)</w:t>
            </w:r>
          </w:p>
        </w:tc>
      </w:tr>
      <w:tr w:rsidR="00DE0D97" w:rsidRPr="00A60FD5" w14:paraId="5B56E2DB" w14:textId="77777777" w:rsidTr="00EB08AC">
        <w:trPr>
          <w:trHeight w:hRule="exact" w:val="483"/>
        </w:trPr>
        <w:tc>
          <w:tcPr>
            <w:tcW w:w="3261" w:type="dxa"/>
            <w:tcBorders>
              <w:top w:val="nil"/>
              <w:left w:val="nil"/>
              <w:bottom w:val="nil"/>
              <w:right w:val="nil"/>
            </w:tcBorders>
          </w:tcPr>
          <w:p w14:paraId="08B1F55F" w14:textId="2F4C50C7" w:rsidR="00441A49" w:rsidRPr="00A60FD5" w:rsidRDefault="00441A49" w:rsidP="004539D9">
            <w:pPr>
              <w:spacing w:before="80" w:after="0"/>
              <w:rPr>
                <w:rFonts w:ascii="Times New Roman" w:hAnsi="Times New Roman" w:cs="Times New Roman"/>
                <w:sz w:val="18"/>
                <w:szCs w:val="18"/>
              </w:rPr>
            </w:pPr>
            <w:r w:rsidRPr="00A60FD5">
              <w:rPr>
                <w:rFonts w:ascii="Times New Roman" w:hAnsi="Times New Roman" w:cs="Times New Roman"/>
                <w:sz w:val="18"/>
                <w:szCs w:val="18"/>
              </w:rPr>
              <w:t>Legal assistance</w:t>
            </w:r>
            <w:r w:rsidRPr="00A60FD5" w:rsidDel="00CB3C32">
              <w:rPr>
                <w:rFonts w:ascii="Times New Roman" w:hAnsi="Times New Roman" w:cs="Times New Roman"/>
                <w:sz w:val="18"/>
                <w:szCs w:val="18"/>
              </w:rPr>
              <w:t xml:space="preserve"> </w:t>
            </w:r>
          </w:p>
        </w:tc>
        <w:tc>
          <w:tcPr>
            <w:tcW w:w="850" w:type="dxa"/>
            <w:tcBorders>
              <w:top w:val="nil"/>
              <w:left w:val="nil"/>
              <w:bottom w:val="nil"/>
              <w:right w:val="nil"/>
            </w:tcBorders>
          </w:tcPr>
          <w:p w14:paraId="78885C5B" w14:textId="77777777" w:rsidR="00441A49" w:rsidRPr="00A60FD5" w:rsidRDefault="00310478" w:rsidP="00F4357D">
            <w:pPr>
              <w:spacing w:after="0"/>
              <w:jc w:val="center"/>
              <w:rPr>
                <w:rFonts w:ascii="Times New Roman" w:hAnsi="Times New Roman" w:cs="Times New Roman"/>
                <w:sz w:val="18"/>
                <w:szCs w:val="18"/>
              </w:rPr>
            </w:pPr>
            <w:r w:rsidRPr="00A60FD5">
              <w:rPr>
                <w:rFonts w:ascii="Times New Roman" w:hAnsi="Times New Roman" w:cs="Times New Roman"/>
                <w:sz w:val="18"/>
                <w:szCs w:val="18"/>
              </w:rPr>
              <w:t>-0.19</w:t>
            </w:r>
          </w:p>
          <w:p w14:paraId="2E1F01C6" w14:textId="5C651E54" w:rsidR="00310478" w:rsidRPr="00A60FD5" w:rsidRDefault="00310478" w:rsidP="00F4357D">
            <w:pPr>
              <w:spacing w:after="0"/>
              <w:jc w:val="center"/>
              <w:rPr>
                <w:rFonts w:ascii="Times New Roman" w:hAnsi="Times New Roman" w:cs="Times New Roman"/>
                <w:sz w:val="18"/>
                <w:szCs w:val="18"/>
              </w:rPr>
            </w:pPr>
            <w:r w:rsidRPr="00A60FD5">
              <w:rPr>
                <w:rFonts w:ascii="Times New Roman" w:hAnsi="Times New Roman" w:cs="Times New Roman"/>
                <w:sz w:val="18"/>
                <w:szCs w:val="18"/>
              </w:rPr>
              <w:t>(0.14)</w:t>
            </w:r>
          </w:p>
        </w:tc>
        <w:tc>
          <w:tcPr>
            <w:tcW w:w="851" w:type="dxa"/>
            <w:tcBorders>
              <w:top w:val="nil"/>
              <w:left w:val="nil"/>
              <w:bottom w:val="nil"/>
              <w:right w:val="nil"/>
            </w:tcBorders>
          </w:tcPr>
          <w:p w14:paraId="4D892270" w14:textId="77777777" w:rsidR="00441A49" w:rsidRPr="00A60FD5" w:rsidRDefault="00C67E54" w:rsidP="00F4357D">
            <w:pPr>
              <w:spacing w:after="0"/>
              <w:jc w:val="center"/>
              <w:rPr>
                <w:rFonts w:ascii="Times New Roman" w:hAnsi="Times New Roman" w:cs="Times New Roman"/>
                <w:sz w:val="18"/>
                <w:szCs w:val="18"/>
              </w:rPr>
            </w:pPr>
            <w:r w:rsidRPr="00A60FD5">
              <w:rPr>
                <w:rFonts w:ascii="Times New Roman" w:hAnsi="Times New Roman" w:cs="Times New Roman"/>
                <w:sz w:val="18"/>
                <w:szCs w:val="18"/>
              </w:rPr>
              <w:t>-0.34</w:t>
            </w:r>
          </w:p>
          <w:p w14:paraId="7693CE9C" w14:textId="5A4BBAF8" w:rsidR="00C67E54" w:rsidRPr="00A60FD5" w:rsidRDefault="00C67E54" w:rsidP="00F4357D">
            <w:pPr>
              <w:spacing w:after="0"/>
              <w:jc w:val="center"/>
              <w:rPr>
                <w:rFonts w:ascii="Times New Roman" w:hAnsi="Times New Roman" w:cs="Times New Roman"/>
                <w:sz w:val="18"/>
                <w:szCs w:val="18"/>
              </w:rPr>
            </w:pPr>
            <w:r w:rsidRPr="00A60FD5">
              <w:rPr>
                <w:rFonts w:ascii="Times New Roman" w:hAnsi="Times New Roman" w:cs="Times New Roman"/>
                <w:sz w:val="18"/>
                <w:szCs w:val="18"/>
              </w:rPr>
              <w:t>(0.25)</w:t>
            </w:r>
          </w:p>
        </w:tc>
        <w:tc>
          <w:tcPr>
            <w:tcW w:w="992" w:type="dxa"/>
            <w:tcBorders>
              <w:top w:val="nil"/>
              <w:left w:val="nil"/>
              <w:bottom w:val="nil"/>
              <w:right w:val="dotted" w:sz="4" w:space="0" w:color="auto"/>
            </w:tcBorders>
          </w:tcPr>
          <w:p w14:paraId="4E9C8530" w14:textId="77777777" w:rsidR="00441A49" w:rsidRPr="00A60FD5" w:rsidRDefault="008E23C0" w:rsidP="00F4357D">
            <w:pPr>
              <w:spacing w:after="0"/>
              <w:jc w:val="center"/>
              <w:rPr>
                <w:rFonts w:ascii="Times New Roman" w:hAnsi="Times New Roman"/>
                <w:sz w:val="18"/>
                <w:szCs w:val="20"/>
              </w:rPr>
            </w:pPr>
            <w:r w:rsidRPr="00A60FD5">
              <w:rPr>
                <w:rFonts w:ascii="Times New Roman" w:hAnsi="Times New Roman" w:cs="Times New Roman"/>
                <w:sz w:val="18"/>
                <w:szCs w:val="18"/>
              </w:rPr>
              <w:t>0.75</w:t>
            </w:r>
            <w:r w:rsidRPr="00A60FD5">
              <w:rPr>
                <w:rFonts w:ascii="Times New Roman" w:hAnsi="Times New Roman"/>
                <w:sz w:val="18"/>
                <w:szCs w:val="20"/>
              </w:rPr>
              <w:t>†</w:t>
            </w:r>
          </w:p>
          <w:p w14:paraId="1F6A3407" w14:textId="65AE6737" w:rsidR="008E23C0" w:rsidRPr="00A60FD5" w:rsidRDefault="008E23C0" w:rsidP="00F4357D">
            <w:pPr>
              <w:spacing w:after="0"/>
              <w:jc w:val="center"/>
              <w:rPr>
                <w:rFonts w:ascii="Times New Roman" w:hAnsi="Times New Roman" w:cs="Times New Roman"/>
                <w:sz w:val="18"/>
                <w:szCs w:val="18"/>
              </w:rPr>
            </w:pPr>
            <w:r w:rsidRPr="00A60FD5">
              <w:rPr>
                <w:rFonts w:ascii="Times New Roman" w:hAnsi="Times New Roman"/>
                <w:sz w:val="18"/>
                <w:szCs w:val="20"/>
              </w:rPr>
              <w:t>(0.41)</w:t>
            </w:r>
          </w:p>
        </w:tc>
        <w:tc>
          <w:tcPr>
            <w:tcW w:w="992" w:type="dxa"/>
            <w:tcBorders>
              <w:top w:val="nil"/>
              <w:left w:val="dotted" w:sz="4" w:space="0" w:color="auto"/>
              <w:bottom w:val="nil"/>
              <w:right w:val="nil"/>
            </w:tcBorders>
          </w:tcPr>
          <w:p w14:paraId="35238E6C" w14:textId="77777777" w:rsidR="00441A49" w:rsidRPr="00A60FD5" w:rsidRDefault="00441A49" w:rsidP="00F4357D">
            <w:pPr>
              <w:spacing w:after="0"/>
              <w:jc w:val="center"/>
              <w:rPr>
                <w:rFonts w:ascii="Times New Roman" w:hAnsi="Times New Roman" w:cs="Times New Roman"/>
                <w:sz w:val="18"/>
                <w:szCs w:val="18"/>
              </w:rPr>
            </w:pPr>
            <w:r w:rsidRPr="00A60FD5">
              <w:rPr>
                <w:rFonts w:ascii="Times New Roman" w:hAnsi="Times New Roman" w:cs="Times New Roman"/>
                <w:sz w:val="18"/>
                <w:szCs w:val="18"/>
              </w:rPr>
              <w:t>-0.19</w:t>
            </w:r>
          </w:p>
          <w:p w14:paraId="485AC609" w14:textId="2A937D0A" w:rsidR="00441A49" w:rsidRPr="00A60FD5" w:rsidRDefault="00441A49" w:rsidP="00F4357D">
            <w:pPr>
              <w:spacing w:after="0"/>
              <w:jc w:val="center"/>
              <w:rPr>
                <w:rFonts w:ascii="Times New Roman" w:hAnsi="Times New Roman" w:cs="Times New Roman"/>
                <w:sz w:val="18"/>
                <w:szCs w:val="18"/>
              </w:rPr>
            </w:pPr>
            <w:r w:rsidRPr="00A60FD5">
              <w:rPr>
                <w:rFonts w:ascii="Times New Roman" w:hAnsi="Times New Roman" w:cs="Times New Roman"/>
                <w:sz w:val="18"/>
                <w:szCs w:val="18"/>
              </w:rPr>
              <w:t>(0.14)</w:t>
            </w:r>
          </w:p>
        </w:tc>
        <w:tc>
          <w:tcPr>
            <w:tcW w:w="851" w:type="dxa"/>
            <w:tcBorders>
              <w:top w:val="nil"/>
              <w:left w:val="nil"/>
              <w:bottom w:val="nil"/>
              <w:right w:val="nil"/>
            </w:tcBorders>
          </w:tcPr>
          <w:p w14:paraId="04E1A2A2" w14:textId="77777777" w:rsidR="00441A49" w:rsidRPr="00A60FD5" w:rsidRDefault="00441A49" w:rsidP="00F4357D">
            <w:pPr>
              <w:spacing w:after="0"/>
              <w:jc w:val="center"/>
              <w:rPr>
                <w:rFonts w:ascii="Times New Roman" w:hAnsi="Times New Roman" w:cs="Times New Roman"/>
                <w:sz w:val="18"/>
                <w:szCs w:val="18"/>
              </w:rPr>
            </w:pPr>
            <w:r w:rsidRPr="00A60FD5">
              <w:rPr>
                <w:rFonts w:ascii="Times New Roman" w:hAnsi="Times New Roman" w:cs="Times New Roman"/>
                <w:sz w:val="18"/>
                <w:szCs w:val="18"/>
              </w:rPr>
              <w:t>-0.34</w:t>
            </w:r>
          </w:p>
          <w:p w14:paraId="5D6C2AC6" w14:textId="3BBCD3D1" w:rsidR="00441A49" w:rsidRPr="00A60FD5" w:rsidRDefault="00441A49" w:rsidP="00F4357D">
            <w:pPr>
              <w:spacing w:after="0"/>
              <w:jc w:val="center"/>
              <w:rPr>
                <w:rFonts w:ascii="Times New Roman" w:hAnsi="Times New Roman" w:cs="Times New Roman"/>
                <w:sz w:val="18"/>
                <w:szCs w:val="18"/>
              </w:rPr>
            </w:pPr>
            <w:r w:rsidRPr="00A60FD5">
              <w:rPr>
                <w:rFonts w:ascii="Times New Roman" w:hAnsi="Times New Roman" w:cs="Times New Roman"/>
                <w:sz w:val="18"/>
                <w:szCs w:val="18"/>
              </w:rPr>
              <w:t>(0.26)</w:t>
            </w:r>
          </w:p>
        </w:tc>
        <w:tc>
          <w:tcPr>
            <w:tcW w:w="850" w:type="dxa"/>
            <w:tcBorders>
              <w:top w:val="nil"/>
              <w:left w:val="nil"/>
              <w:bottom w:val="nil"/>
              <w:right w:val="dotted" w:sz="4" w:space="0" w:color="auto"/>
            </w:tcBorders>
          </w:tcPr>
          <w:p w14:paraId="68259E7A" w14:textId="77777777" w:rsidR="00441A49" w:rsidRPr="00A60FD5" w:rsidRDefault="00441A49" w:rsidP="00F4357D">
            <w:pPr>
              <w:spacing w:after="0"/>
              <w:jc w:val="center"/>
              <w:rPr>
                <w:rFonts w:ascii="Times New Roman" w:hAnsi="Times New Roman" w:cs="Times New Roman"/>
                <w:sz w:val="18"/>
                <w:szCs w:val="18"/>
              </w:rPr>
            </w:pPr>
            <w:r w:rsidRPr="00A60FD5">
              <w:rPr>
                <w:rFonts w:ascii="Times New Roman" w:hAnsi="Times New Roman" w:cs="Times New Roman"/>
                <w:sz w:val="18"/>
                <w:szCs w:val="18"/>
              </w:rPr>
              <w:t>0.77</w:t>
            </w:r>
          </w:p>
          <w:p w14:paraId="19B1D02A" w14:textId="02389796" w:rsidR="00441A49" w:rsidRPr="00A60FD5" w:rsidRDefault="00441A49" w:rsidP="00F4357D">
            <w:pPr>
              <w:spacing w:after="0"/>
              <w:jc w:val="center"/>
              <w:rPr>
                <w:rFonts w:ascii="Times New Roman" w:hAnsi="Times New Roman" w:cs="Times New Roman"/>
                <w:sz w:val="18"/>
                <w:szCs w:val="18"/>
              </w:rPr>
            </w:pPr>
            <w:r w:rsidRPr="00A60FD5">
              <w:rPr>
                <w:rFonts w:ascii="Times New Roman" w:hAnsi="Times New Roman" w:cs="Times New Roman"/>
                <w:sz w:val="18"/>
                <w:szCs w:val="18"/>
              </w:rPr>
              <w:t>(0.50)</w:t>
            </w:r>
          </w:p>
        </w:tc>
        <w:tc>
          <w:tcPr>
            <w:tcW w:w="1134" w:type="dxa"/>
            <w:tcBorders>
              <w:top w:val="nil"/>
              <w:left w:val="dotted" w:sz="4" w:space="0" w:color="auto"/>
              <w:bottom w:val="nil"/>
              <w:right w:val="nil"/>
            </w:tcBorders>
          </w:tcPr>
          <w:p w14:paraId="35F38CD8" w14:textId="77777777" w:rsidR="00441A49" w:rsidRPr="00A60FD5" w:rsidRDefault="00DB112C" w:rsidP="00F4357D">
            <w:pPr>
              <w:spacing w:after="0"/>
              <w:jc w:val="center"/>
              <w:rPr>
                <w:rFonts w:ascii="Times New Roman" w:hAnsi="Times New Roman" w:cs="Times New Roman"/>
                <w:sz w:val="18"/>
                <w:szCs w:val="18"/>
              </w:rPr>
            </w:pPr>
            <w:r w:rsidRPr="00A60FD5">
              <w:rPr>
                <w:rFonts w:ascii="Times New Roman" w:hAnsi="Times New Roman" w:cs="Times New Roman"/>
                <w:sz w:val="18"/>
                <w:szCs w:val="18"/>
              </w:rPr>
              <w:t>-0.19</w:t>
            </w:r>
          </w:p>
          <w:p w14:paraId="558B93C1" w14:textId="5056A1C4" w:rsidR="00DB112C" w:rsidRPr="00A60FD5" w:rsidRDefault="00DB112C" w:rsidP="00F4357D">
            <w:pPr>
              <w:spacing w:after="0"/>
              <w:jc w:val="center"/>
              <w:rPr>
                <w:rFonts w:ascii="Times New Roman" w:hAnsi="Times New Roman" w:cs="Times New Roman"/>
                <w:sz w:val="18"/>
                <w:szCs w:val="18"/>
              </w:rPr>
            </w:pPr>
            <w:r w:rsidRPr="00A60FD5">
              <w:rPr>
                <w:rFonts w:ascii="Times New Roman" w:hAnsi="Times New Roman" w:cs="Times New Roman"/>
                <w:sz w:val="18"/>
                <w:szCs w:val="18"/>
              </w:rPr>
              <w:t>(0.14)</w:t>
            </w:r>
          </w:p>
        </w:tc>
        <w:tc>
          <w:tcPr>
            <w:tcW w:w="851" w:type="dxa"/>
            <w:tcBorders>
              <w:top w:val="nil"/>
              <w:left w:val="nil"/>
              <w:bottom w:val="nil"/>
              <w:right w:val="nil"/>
            </w:tcBorders>
          </w:tcPr>
          <w:p w14:paraId="7ACC167B" w14:textId="77777777" w:rsidR="00441A49" w:rsidRPr="00A60FD5" w:rsidRDefault="00994882" w:rsidP="00F4357D">
            <w:pPr>
              <w:spacing w:after="0"/>
              <w:jc w:val="center"/>
              <w:rPr>
                <w:rFonts w:ascii="Times New Roman" w:hAnsi="Times New Roman" w:cs="Times New Roman"/>
                <w:sz w:val="18"/>
                <w:szCs w:val="18"/>
              </w:rPr>
            </w:pPr>
            <w:r w:rsidRPr="00A60FD5">
              <w:rPr>
                <w:rFonts w:ascii="Times New Roman" w:hAnsi="Times New Roman" w:cs="Times New Roman"/>
                <w:sz w:val="18"/>
                <w:szCs w:val="18"/>
              </w:rPr>
              <w:t>-0.38</w:t>
            </w:r>
          </w:p>
          <w:p w14:paraId="66B02B4D" w14:textId="1EF36307" w:rsidR="00994882" w:rsidRPr="00A60FD5" w:rsidRDefault="00994882" w:rsidP="00F4357D">
            <w:pPr>
              <w:spacing w:after="0"/>
              <w:jc w:val="center"/>
              <w:rPr>
                <w:rFonts w:ascii="Times New Roman" w:hAnsi="Times New Roman" w:cs="Times New Roman"/>
                <w:sz w:val="18"/>
                <w:szCs w:val="18"/>
              </w:rPr>
            </w:pPr>
            <w:r w:rsidRPr="00A60FD5">
              <w:rPr>
                <w:rFonts w:ascii="Times New Roman" w:hAnsi="Times New Roman" w:cs="Times New Roman"/>
                <w:sz w:val="18"/>
                <w:szCs w:val="18"/>
              </w:rPr>
              <w:t>(0.26)</w:t>
            </w:r>
          </w:p>
        </w:tc>
        <w:tc>
          <w:tcPr>
            <w:tcW w:w="992" w:type="dxa"/>
            <w:tcBorders>
              <w:top w:val="nil"/>
              <w:left w:val="nil"/>
              <w:bottom w:val="nil"/>
              <w:right w:val="nil"/>
            </w:tcBorders>
          </w:tcPr>
          <w:p w14:paraId="270BA09A" w14:textId="0D5AA5F7" w:rsidR="00441A49" w:rsidRPr="00A60FD5" w:rsidRDefault="00DE74E5" w:rsidP="00F4357D">
            <w:pPr>
              <w:spacing w:after="0"/>
              <w:jc w:val="center"/>
              <w:rPr>
                <w:rFonts w:ascii="Times New Roman" w:hAnsi="Times New Roman" w:cs="Times New Roman"/>
                <w:sz w:val="18"/>
                <w:szCs w:val="18"/>
              </w:rPr>
            </w:pPr>
            <w:r w:rsidRPr="00A60FD5">
              <w:rPr>
                <w:rFonts w:ascii="Times New Roman" w:hAnsi="Times New Roman" w:cs="Times New Roman"/>
                <w:sz w:val="18"/>
                <w:szCs w:val="18"/>
              </w:rPr>
              <w:t>0.84</w:t>
            </w:r>
          </w:p>
          <w:p w14:paraId="0F7A2129" w14:textId="64B8D977" w:rsidR="00DE74E5" w:rsidRPr="00A60FD5" w:rsidRDefault="00DE74E5" w:rsidP="00F4357D">
            <w:pPr>
              <w:spacing w:after="0"/>
              <w:jc w:val="center"/>
              <w:rPr>
                <w:rFonts w:ascii="Times New Roman" w:hAnsi="Times New Roman" w:cs="Times New Roman"/>
                <w:sz w:val="18"/>
                <w:szCs w:val="18"/>
              </w:rPr>
            </w:pPr>
            <w:r w:rsidRPr="00A60FD5">
              <w:rPr>
                <w:rFonts w:ascii="Times New Roman" w:hAnsi="Times New Roman" w:cs="Times New Roman"/>
                <w:sz w:val="18"/>
                <w:szCs w:val="18"/>
              </w:rPr>
              <w:t>(0.42)</w:t>
            </w:r>
          </w:p>
        </w:tc>
      </w:tr>
      <w:tr w:rsidR="00DE0D97" w:rsidRPr="00A60FD5" w14:paraId="3965B3EE" w14:textId="77777777" w:rsidTr="00EB08AC">
        <w:trPr>
          <w:trHeight w:hRule="exact" w:val="483"/>
        </w:trPr>
        <w:tc>
          <w:tcPr>
            <w:tcW w:w="3261" w:type="dxa"/>
            <w:tcBorders>
              <w:top w:val="nil"/>
              <w:left w:val="nil"/>
              <w:bottom w:val="nil"/>
              <w:right w:val="nil"/>
            </w:tcBorders>
          </w:tcPr>
          <w:p w14:paraId="2F49D7E8" w14:textId="224C18EE" w:rsidR="00441A49" w:rsidRPr="00A60FD5" w:rsidRDefault="00441A49" w:rsidP="004539D9">
            <w:pPr>
              <w:spacing w:before="80" w:after="0"/>
              <w:rPr>
                <w:rFonts w:ascii="Times New Roman" w:hAnsi="Times New Roman" w:cs="Times New Roman"/>
                <w:sz w:val="18"/>
                <w:szCs w:val="18"/>
              </w:rPr>
            </w:pPr>
            <w:r w:rsidRPr="00A60FD5">
              <w:rPr>
                <w:rFonts w:ascii="Times New Roman" w:hAnsi="Times New Roman" w:cs="Times New Roman"/>
                <w:sz w:val="18"/>
                <w:szCs w:val="18"/>
              </w:rPr>
              <w:t>Licensor’s size</w:t>
            </w:r>
          </w:p>
        </w:tc>
        <w:tc>
          <w:tcPr>
            <w:tcW w:w="850" w:type="dxa"/>
            <w:tcBorders>
              <w:top w:val="nil"/>
              <w:left w:val="nil"/>
              <w:bottom w:val="nil"/>
              <w:right w:val="nil"/>
            </w:tcBorders>
          </w:tcPr>
          <w:p w14:paraId="2E495B60" w14:textId="77777777" w:rsidR="00441A49" w:rsidRPr="00A60FD5" w:rsidRDefault="00310478" w:rsidP="00F4357D">
            <w:pPr>
              <w:spacing w:after="0"/>
              <w:jc w:val="center"/>
              <w:rPr>
                <w:rFonts w:ascii="Times New Roman" w:hAnsi="Times New Roman" w:cs="Times New Roman"/>
                <w:sz w:val="18"/>
                <w:szCs w:val="18"/>
              </w:rPr>
            </w:pPr>
            <w:r w:rsidRPr="00A60FD5">
              <w:rPr>
                <w:rFonts w:ascii="Times New Roman" w:hAnsi="Times New Roman" w:cs="Times New Roman"/>
                <w:sz w:val="18"/>
                <w:szCs w:val="18"/>
              </w:rPr>
              <w:t>-0.04</w:t>
            </w:r>
          </w:p>
          <w:p w14:paraId="3EECABC9" w14:textId="0EC0260E" w:rsidR="00310478" w:rsidRPr="00A60FD5" w:rsidRDefault="00310478" w:rsidP="00F4357D">
            <w:pPr>
              <w:spacing w:after="0"/>
              <w:jc w:val="center"/>
              <w:rPr>
                <w:rFonts w:ascii="Times New Roman" w:hAnsi="Times New Roman" w:cs="Times New Roman"/>
                <w:sz w:val="18"/>
                <w:szCs w:val="18"/>
              </w:rPr>
            </w:pPr>
            <w:r w:rsidRPr="00A60FD5">
              <w:rPr>
                <w:rFonts w:ascii="Times New Roman" w:hAnsi="Times New Roman" w:cs="Times New Roman"/>
                <w:sz w:val="18"/>
                <w:szCs w:val="18"/>
              </w:rPr>
              <w:t>(0.04</w:t>
            </w:r>
            <w:r w:rsidR="00F4357D" w:rsidRPr="00A60FD5">
              <w:rPr>
                <w:rFonts w:ascii="Times New Roman" w:hAnsi="Times New Roman" w:cs="Times New Roman"/>
                <w:sz w:val="18"/>
                <w:szCs w:val="18"/>
              </w:rPr>
              <w:t>)</w:t>
            </w:r>
          </w:p>
        </w:tc>
        <w:tc>
          <w:tcPr>
            <w:tcW w:w="851" w:type="dxa"/>
            <w:tcBorders>
              <w:top w:val="nil"/>
              <w:left w:val="nil"/>
              <w:bottom w:val="nil"/>
              <w:right w:val="nil"/>
            </w:tcBorders>
          </w:tcPr>
          <w:p w14:paraId="2650A0B9" w14:textId="77777777" w:rsidR="00441A49" w:rsidRPr="00A60FD5" w:rsidRDefault="00C67E54" w:rsidP="00F4357D">
            <w:pPr>
              <w:spacing w:after="0"/>
              <w:jc w:val="center"/>
              <w:rPr>
                <w:rFonts w:ascii="Times New Roman" w:hAnsi="Times New Roman" w:cs="Times New Roman"/>
                <w:sz w:val="18"/>
                <w:szCs w:val="18"/>
              </w:rPr>
            </w:pPr>
            <w:r w:rsidRPr="00A60FD5">
              <w:rPr>
                <w:rFonts w:ascii="Times New Roman" w:hAnsi="Times New Roman" w:cs="Times New Roman"/>
                <w:sz w:val="18"/>
                <w:szCs w:val="18"/>
              </w:rPr>
              <w:t>-0.01</w:t>
            </w:r>
          </w:p>
          <w:p w14:paraId="188702F5" w14:textId="79B848C7" w:rsidR="00C67E54" w:rsidRPr="00A60FD5" w:rsidRDefault="00C67E54" w:rsidP="00F4357D">
            <w:pPr>
              <w:spacing w:after="0"/>
              <w:jc w:val="center"/>
              <w:rPr>
                <w:rFonts w:ascii="Times New Roman" w:hAnsi="Times New Roman" w:cs="Times New Roman"/>
                <w:sz w:val="18"/>
                <w:szCs w:val="18"/>
              </w:rPr>
            </w:pPr>
            <w:r w:rsidRPr="00A60FD5">
              <w:rPr>
                <w:rFonts w:ascii="Times New Roman" w:hAnsi="Times New Roman" w:cs="Times New Roman"/>
                <w:sz w:val="18"/>
                <w:szCs w:val="18"/>
              </w:rPr>
              <w:t>(0.08)</w:t>
            </w:r>
          </w:p>
        </w:tc>
        <w:tc>
          <w:tcPr>
            <w:tcW w:w="992" w:type="dxa"/>
            <w:tcBorders>
              <w:top w:val="nil"/>
              <w:left w:val="nil"/>
              <w:bottom w:val="nil"/>
              <w:right w:val="dotted" w:sz="4" w:space="0" w:color="auto"/>
            </w:tcBorders>
          </w:tcPr>
          <w:p w14:paraId="6EBA8E95" w14:textId="77777777" w:rsidR="00441A49" w:rsidRPr="00A60FD5" w:rsidRDefault="008E23C0" w:rsidP="00F4357D">
            <w:pPr>
              <w:spacing w:after="0"/>
              <w:jc w:val="center"/>
              <w:rPr>
                <w:rFonts w:ascii="Times New Roman" w:hAnsi="Times New Roman" w:cs="Times New Roman"/>
                <w:sz w:val="18"/>
                <w:szCs w:val="18"/>
              </w:rPr>
            </w:pPr>
            <w:r w:rsidRPr="00A60FD5">
              <w:rPr>
                <w:rFonts w:ascii="Times New Roman" w:hAnsi="Times New Roman" w:cs="Times New Roman"/>
                <w:sz w:val="18"/>
                <w:szCs w:val="18"/>
              </w:rPr>
              <w:t>-0.11</w:t>
            </w:r>
          </w:p>
          <w:p w14:paraId="0E8928AE" w14:textId="4EB73EAA" w:rsidR="008E23C0" w:rsidRPr="00A60FD5" w:rsidRDefault="008E23C0" w:rsidP="00F4357D">
            <w:pPr>
              <w:spacing w:after="0"/>
              <w:jc w:val="center"/>
              <w:rPr>
                <w:rFonts w:ascii="Times New Roman" w:hAnsi="Times New Roman" w:cs="Times New Roman"/>
                <w:sz w:val="18"/>
                <w:szCs w:val="18"/>
              </w:rPr>
            </w:pPr>
            <w:r w:rsidRPr="00A60FD5">
              <w:rPr>
                <w:rFonts w:ascii="Times New Roman" w:hAnsi="Times New Roman" w:cs="Times New Roman"/>
                <w:sz w:val="18"/>
                <w:szCs w:val="18"/>
              </w:rPr>
              <w:t>(0.09)</w:t>
            </w:r>
          </w:p>
        </w:tc>
        <w:tc>
          <w:tcPr>
            <w:tcW w:w="992" w:type="dxa"/>
            <w:tcBorders>
              <w:top w:val="nil"/>
              <w:left w:val="dotted" w:sz="4" w:space="0" w:color="auto"/>
              <w:bottom w:val="nil"/>
              <w:right w:val="nil"/>
            </w:tcBorders>
          </w:tcPr>
          <w:p w14:paraId="7730ABEA" w14:textId="77777777" w:rsidR="00441A49" w:rsidRPr="00A60FD5" w:rsidRDefault="00441A49" w:rsidP="00F4357D">
            <w:pPr>
              <w:spacing w:after="0"/>
              <w:jc w:val="center"/>
              <w:rPr>
                <w:rFonts w:ascii="Times New Roman" w:hAnsi="Times New Roman" w:cs="Times New Roman"/>
                <w:sz w:val="18"/>
                <w:szCs w:val="18"/>
              </w:rPr>
            </w:pPr>
            <w:r w:rsidRPr="00A60FD5">
              <w:rPr>
                <w:rFonts w:ascii="Times New Roman" w:hAnsi="Times New Roman" w:cs="Times New Roman"/>
                <w:sz w:val="18"/>
                <w:szCs w:val="18"/>
              </w:rPr>
              <w:t>-0.04</w:t>
            </w:r>
          </w:p>
          <w:p w14:paraId="3EEA4D1D" w14:textId="372D11DD" w:rsidR="00441A49" w:rsidRPr="00A60FD5" w:rsidRDefault="00441A49" w:rsidP="00F4357D">
            <w:pPr>
              <w:spacing w:after="0"/>
              <w:jc w:val="center"/>
              <w:rPr>
                <w:rFonts w:ascii="Times New Roman" w:hAnsi="Times New Roman" w:cs="Times New Roman"/>
                <w:sz w:val="18"/>
                <w:szCs w:val="18"/>
              </w:rPr>
            </w:pPr>
            <w:r w:rsidRPr="00A60FD5">
              <w:rPr>
                <w:rFonts w:ascii="Times New Roman" w:hAnsi="Times New Roman" w:cs="Times New Roman"/>
                <w:sz w:val="18"/>
                <w:szCs w:val="18"/>
              </w:rPr>
              <w:t>(0.03)</w:t>
            </w:r>
          </w:p>
        </w:tc>
        <w:tc>
          <w:tcPr>
            <w:tcW w:w="851" w:type="dxa"/>
            <w:tcBorders>
              <w:top w:val="nil"/>
              <w:left w:val="nil"/>
              <w:bottom w:val="nil"/>
              <w:right w:val="nil"/>
            </w:tcBorders>
          </w:tcPr>
          <w:p w14:paraId="5616DF47" w14:textId="77777777" w:rsidR="00441A49" w:rsidRPr="00A60FD5" w:rsidRDefault="00441A49" w:rsidP="00F4357D">
            <w:pPr>
              <w:spacing w:after="0"/>
              <w:jc w:val="center"/>
              <w:rPr>
                <w:rFonts w:ascii="Times New Roman" w:hAnsi="Times New Roman" w:cs="Times New Roman"/>
                <w:sz w:val="18"/>
                <w:szCs w:val="18"/>
              </w:rPr>
            </w:pPr>
            <w:r w:rsidRPr="00A60FD5">
              <w:rPr>
                <w:rFonts w:ascii="Times New Roman" w:hAnsi="Times New Roman" w:cs="Times New Roman"/>
                <w:sz w:val="18"/>
                <w:szCs w:val="18"/>
              </w:rPr>
              <w:t>-0.01</w:t>
            </w:r>
          </w:p>
          <w:p w14:paraId="3D9D2A53" w14:textId="4B85D081" w:rsidR="00441A49" w:rsidRPr="00A60FD5" w:rsidRDefault="00441A49" w:rsidP="00F4357D">
            <w:pPr>
              <w:spacing w:after="0"/>
              <w:jc w:val="center"/>
              <w:rPr>
                <w:rFonts w:ascii="Times New Roman" w:hAnsi="Times New Roman" w:cs="Times New Roman"/>
                <w:sz w:val="18"/>
                <w:szCs w:val="18"/>
              </w:rPr>
            </w:pPr>
            <w:r w:rsidRPr="00A60FD5">
              <w:rPr>
                <w:rFonts w:ascii="Times New Roman" w:hAnsi="Times New Roman" w:cs="Times New Roman"/>
                <w:sz w:val="18"/>
                <w:szCs w:val="18"/>
              </w:rPr>
              <w:t>(0.08)</w:t>
            </w:r>
          </w:p>
        </w:tc>
        <w:tc>
          <w:tcPr>
            <w:tcW w:w="850" w:type="dxa"/>
            <w:tcBorders>
              <w:top w:val="nil"/>
              <w:left w:val="nil"/>
              <w:bottom w:val="nil"/>
              <w:right w:val="dotted" w:sz="4" w:space="0" w:color="auto"/>
            </w:tcBorders>
          </w:tcPr>
          <w:p w14:paraId="501C1029" w14:textId="77777777" w:rsidR="00441A49" w:rsidRPr="00A60FD5" w:rsidRDefault="00441A49" w:rsidP="00F4357D">
            <w:pPr>
              <w:spacing w:after="0"/>
              <w:jc w:val="center"/>
              <w:rPr>
                <w:rFonts w:ascii="Times New Roman" w:hAnsi="Times New Roman" w:cs="Times New Roman"/>
                <w:sz w:val="18"/>
                <w:szCs w:val="18"/>
              </w:rPr>
            </w:pPr>
            <w:r w:rsidRPr="00A60FD5">
              <w:rPr>
                <w:rFonts w:ascii="Times New Roman" w:hAnsi="Times New Roman" w:cs="Times New Roman"/>
                <w:sz w:val="18"/>
                <w:szCs w:val="18"/>
              </w:rPr>
              <w:t>-0.10</w:t>
            </w:r>
          </w:p>
          <w:p w14:paraId="516D955B" w14:textId="51E67C19" w:rsidR="00441A49" w:rsidRPr="00A60FD5" w:rsidRDefault="00441A49" w:rsidP="00F4357D">
            <w:pPr>
              <w:spacing w:after="0"/>
              <w:jc w:val="center"/>
              <w:rPr>
                <w:rFonts w:ascii="Times New Roman" w:hAnsi="Times New Roman" w:cs="Times New Roman"/>
                <w:sz w:val="18"/>
                <w:szCs w:val="18"/>
              </w:rPr>
            </w:pPr>
            <w:r w:rsidRPr="00A60FD5">
              <w:rPr>
                <w:rFonts w:ascii="Times New Roman" w:hAnsi="Times New Roman" w:cs="Times New Roman"/>
                <w:sz w:val="18"/>
                <w:szCs w:val="18"/>
              </w:rPr>
              <w:t>(0.10)</w:t>
            </w:r>
          </w:p>
        </w:tc>
        <w:tc>
          <w:tcPr>
            <w:tcW w:w="1134" w:type="dxa"/>
            <w:tcBorders>
              <w:top w:val="nil"/>
              <w:left w:val="dotted" w:sz="4" w:space="0" w:color="auto"/>
              <w:bottom w:val="nil"/>
              <w:right w:val="nil"/>
            </w:tcBorders>
          </w:tcPr>
          <w:p w14:paraId="2688BCF0" w14:textId="77777777" w:rsidR="00441A49" w:rsidRPr="00A60FD5" w:rsidRDefault="00DB112C" w:rsidP="00F4357D">
            <w:pPr>
              <w:spacing w:after="0"/>
              <w:jc w:val="center"/>
              <w:rPr>
                <w:rFonts w:ascii="Times New Roman" w:hAnsi="Times New Roman" w:cs="Times New Roman"/>
                <w:sz w:val="18"/>
                <w:szCs w:val="18"/>
              </w:rPr>
            </w:pPr>
            <w:r w:rsidRPr="00A60FD5">
              <w:rPr>
                <w:rFonts w:ascii="Times New Roman" w:hAnsi="Times New Roman" w:cs="Times New Roman"/>
                <w:sz w:val="18"/>
                <w:szCs w:val="18"/>
              </w:rPr>
              <w:t>-0.04</w:t>
            </w:r>
          </w:p>
          <w:p w14:paraId="7407B0C7" w14:textId="3014A874" w:rsidR="00DB112C" w:rsidRPr="00A60FD5" w:rsidRDefault="00DB112C" w:rsidP="00F4357D">
            <w:pPr>
              <w:spacing w:after="0"/>
              <w:jc w:val="center"/>
              <w:rPr>
                <w:rFonts w:ascii="Times New Roman" w:hAnsi="Times New Roman" w:cs="Times New Roman"/>
                <w:sz w:val="18"/>
                <w:szCs w:val="18"/>
              </w:rPr>
            </w:pPr>
            <w:r w:rsidRPr="00A60FD5">
              <w:rPr>
                <w:rFonts w:ascii="Times New Roman" w:hAnsi="Times New Roman" w:cs="Times New Roman"/>
                <w:sz w:val="18"/>
                <w:szCs w:val="18"/>
              </w:rPr>
              <w:t>(0.03)</w:t>
            </w:r>
          </w:p>
        </w:tc>
        <w:tc>
          <w:tcPr>
            <w:tcW w:w="851" w:type="dxa"/>
            <w:tcBorders>
              <w:top w:val="nil"/>
              <w:left w:val="nil"/>
              <w:bottom w:val="nil"/>
              <w:right w:val="nil"/>
            </w:tcBorders>
          </w:tcPr>
          <w:p w14:paraId="16938C54" w14:textId="7140776D" w:rsidR="00441A49" w:rsidRPr="00A60FD5" w:rsidRDefault="003873B1" w:rsidP="00F4357D">
            <w:pPr>
              <w:spacing w:after="0"/>
              <w:jc w:val="center"/>
              <w:rPr>
                <w:rFonts w:ascii="Times New Roman" w:hAnsi="Times New Roman" w:cs="Times New Roman"/>
                <w:sz w:val="18"/>
                <w:szCs w:val="18"/>
              </w:rPr>
            </w:pPr>
            <w:r w:rsidRPr="00A60FD5">
              <w:rPr>
                <w:rFonts w:ascii="Times New Roman" w:hAnsi="Times New Roman" w:cs="Times New Roman"/>
                <w:sz w:val="18"/>
                <w:szCs w:val="18"/>
              </w:rPr>
              <w:t>-0.00</w:t>
            </w:r>
          </w:p>
          <w:p w14:paraId="6615B1A2" w14:textId="52F6F5B8" w:rsidR="003873B1" w:rsidRPr="00A60FD5" w:rsidRDefault="003873B1" w:rsidP="00F4357D">
            <w:pPr>
              <w:spacing w:after="0"/>
              <w:jc w:val="center"/>
              <w:rPr>
                <w:rFonts w:ascii="Times New Roman" w:hAnsi="Times New Roman" w:cs="Times New Roman"/>
                <w:sz w:val="18"/>
                <w:szCs w:val="18"/>
              </w:rPr>
            </w:pPr>
            <w:r w:rsidRPr="00A60FD5">
              <w:rPr>
                <w:rFonts w:ascii="Times New Roman" w:hAnsi="Times New Roman" w:cs="Times New Roman"/>
                <w:sz w:val="18"/>
                <w:szCs w:val="18"/>
              </w:rPr>
              <w:t>(0.08)</w:t>
            </w:r>
          </w:p>
        </w:tc>
        <w:tc>
          <w:tcPr>
            <w:tcW w:w="992" w:type="dxa"/>
            <w:tcBorders>
              <w:top w:val="nil"/>
              <w:left w:val="nil"/>
              <w:bottom w:val="nil"/>
              <w:right w:val="nil"/>
            </w:tcBorders>
          </w:tcPr>
          <w:p w14:paraId="699DA62E" w14:textId="77777777" w:rsidR="00441A49" w:rsidRPr="00A60FD5" w:rsidRDefault="00DE74E5" w:rsidP="00F4357D">
            <w:pPr>
              <w:spacing w:after="0"/>
              <w:jc w:val="center"/>
              <w:rPr>
                <w:rFonts w:ascii="Times New Roman" w:hAnsi="Times New Roman" w:cs="Times New Roman"/>
                <w:sz w:val="18"/>
                <w:szCs w:val="18"/>
              </w:rPr>
            </w:pPr>
            <w:r w:rsidRPr="00A60FD5">
              <w:rPr>
                <w:rFonts w:ascii="Times New Roman" w:hAnsi="Times New Roman" w:cs="Times New Roman"/>
                <w:sz w:val="18"/>
                <w:szCs w:val="18"/>
              </w:rPr>
              <w:t>-0.11</w:t>
            </w:r>
          </w:p>
          <w:p w14:paraId="694C910E" w14:textId="0EEA9471" w:rsidR="00DE74E5" w:rsidRPr="00A60FD5" w:rsidRDefault="00DE74E5" w:rsidP="00F4357D">
            <w:pPr>
              <w:spacing w:after="0"/>
              <w:jc w:val="center"/>
              <w:rPr>
                <w:rFonts w:ascii="Times New Roman" w:hAnsi="Times New Roman" w:cs="Times New Roman"/>
                <w:sz w:val="18"/>
                <w:szCs w:val="18"/>
              </w:rPr>
            </w:pPr>
            <w:r w:rsidRPr="00A60FD5">
              <w:rPr>
                <w:rFonts w:ascii="Times New Roman" w:hAnsi="Times New Roman" w:cs="Times New Roman"/>
                <w:sz w:val="18"/>
                <w:szCs w:val="18"/>
              </w:rPr>
              <w:t>(0.09)</w:t>
            </w:r>
          </w:p>
        </w:tc>
      </w:tr>
      <w:tr w:rsidR="00DE0D97" w:rsidRPr="00A60FD5" w14:paraId="594E5B8B" w14:textId="77777777" w:rsidTr="00EB08AC">
        <w:trPr>
          <w:trHeight w:hRule="exact" w:val="483"/>
        </w:trPr>
        <w:tc>
          <w:tcPr>
            <w:tcW w:w="3261" w:type="dxa"/>
            <w:tcBorders>
              <w:top w:val="nil"/>
              <w:left w:val="nil"/>
              <w:bottom w:val="nil"/>
              <w:right w:val="nil"/>
            </w:tcBorders>
          </w:tcPr>
          <w:p w14:paraId="2415E7B1" w14:textId="71E45335" w:rsidR="00441A49" w:rsidRPr="00A60FD5" w:rsidRDefault="00441A49" w:rsidP="00DE0D97">
            <w:pPr>
              <w:spacing w:before="80" w:after="0"/>
              <w:rPr>
                <w:rFonts w:ascii="Times New Roman" w:hAnsi="Times New Roman" w:cs="Times New Roman"/>
                <w:sz w:val="18"/>
                <w:szCs w:val="18"/>
              </w:rPr>
            </w:pPr>
            <w:r w:rsidRPr="00A60FD5">
              <w:rPr>
                <w:rFonts w:ascii="Times New Roman" w:hAnsi="Times New Roman" w:cs="Times New Roman"/>
                <w:sz w:val="18"/>
                <w:szCs w:val="18"/>
              </w:rPr>
              <w:t>License age-</w:t>
            </w:r>
            <w:r w:rsidR="00DE0D97" w:rsidRPr="00A60FD5">
              <w:rPr>
                <w:rFonts w:ascii="Times New Roman" w:hAnsi="Times New Roman" w:cs="Times New Roman"/>
                <w:sz w:val="18"/>
                <w:szCs w:val="18"/>
                <w:vertAlign w:val="subscript"/>
              </w:rPr>
              <w:t>3-10</w:t>
            </w:r>
          </w:p>
        </w:tc>
        <w:tc>
          <w:tcPr>
            <w:tcW w:w="850" w:type="dxa"/>
            <w:tcBorders>
              <w:top w:val="nil"/>
              <w:left w:val="nil"/>
              <w:bottom w:val="nil"/>
              <w:right w:val="nil"/>
            </w:tcBorders>
          </w:tcPr>
          <w:p w14:paraId="570D00F6" w14:textId="77777777" w:rsidR="00441A49" w:rsidRPr="00A60FD5" w:rsidRDefault="00310478" w:rsidP="00F4357D">
            <w:pPr>
              <w:spacing w:after="0"/>
              <w:jc w:val="center"/>
              <w:rPr>
                <w:rFonts w:ascii="Times New Roman" w:hAnsi="Times New Roman" w:cs="Times New Roman"/>
                <w:sz w:val="18"/>
                <w:szCs w:val="18"/>
              </w:rPr>
            </w:pPr>
            <w:r w:rsidRPr="00A60FD5">
              <w:rPr>
                <w:rFonts w:ascii="Times New Roman" w:hAnsi="Times New Roman" w:cs="Times New Roman"/>
                <w:sz w:val="18"/>
                <w:szCs w:val="18"/>
              </w:rPr>
              <w:t>0.14</w:t>
            </w:r>
          </w:p>
          <w:p w14:paraId="77663615" w14:textId="52493DFB" w:rsidR="00310478" w:rsidRPr="00A60FD5" w:rsidRDefault="00310478" w:rsidP="00F4357D">
            <w:pPr>
              <w:spacing w:after="0"/>
              <w:jc w:val="center"/>
              <w:rPr>
                <w:rFonts w:ascii="Times New Roman" w:hAnsi="Times New Roman" w:cs="Times New Roman"/>
                <w:sz w:val="18"/>
                <w:szCs w:val="18"/>
              </w:rPr>
            </w:pPr>
            <w:r w:rsidRPr="00A60FD5">
              <w:rPr>
                <w:rFonts w:ascii="Times New Roman" w:hAnsi="Times New Roman" w:cs="Times New Roman"/>
                <w:sz w:val="18"/>
                <w:szCs w:val="18"/>
              </w:rPr>
              <w:t>(0.14)</w:t>
            </w:r>
          </w:p>
        </w:tc>
        <w:tc>
          <w:tcPr>
            <w:tcW w:w="851" w:type="dxa"/>
            <w:tcBorders>
              <w:top w:val="nil"/>
              <w:left w:val="nil"/>
              <w:bottom w:val="nil"/>
              <w:right w:val="nil"/>
            </w:tcBorders>
          </w:tcPr>
          <w:p w14:paraId="2DCCFE8B" w14:textId="77777777" w:rsidR="00441A49" w:rsidRPr="00A60FD5" w:rsidRDefault="00C67E54" w:rsidP="00F4357D">
            <w:pPr>
              <w:spacing w:after="0"/>
              <w:jc w:val="center"/>
              <w:rPr>
                <w:rFonts w:ascii="Times New Roman" w:hAnsi="Times New Roman" w:cs="Times New Roman"/>
                <w:sz w:val="18"/>
                <w:szCs w:val="18"/>
              </w:rPr>
            </w:pPr>
            <w:r w:rsidRPr="00A60FD5">
              <w:rPr>
                <w:rFonts w:ascii="Times New Roman" w:hAnsi="Times New Roman" w:cs="Times New Roman"/>
                <w:sz w:val="18"/>
                <w:szCs w:val="18"/>
              </w:rPr>
              <w:t>0.09</w:t>
            </w:r>
          </w:p>
          <w:p w14:paraId="5330E4F0" w14:textId="4353338E" w:rsidR="00C67E54" w:rsidRPr="00A60FD5" w:rsidRDefault="00C67E54" w:rsidP="00F4357D">
            <w:pPr>
              <w:spacing w:after="0"/>
              <w:jc w:val="center"/>
              <w:rPr>
                <w:rFonts w:ascii="Times New Roman" w:hAnsi="Times New Roman" w:cs="Times New Roman"/>
                <w:sz w:val="18"/>
                <w:szCs w:val="18"/>
              </w:rPr>
            </w:pPr>
            <w:r w:rsidRPr="00A60FD5">
              <w:rPr>
                <w:rFonts w:ascii="Times New Roman" w:hAnsi="Times New Roman" w:cs="Times New Roman"/>
                <w:sz w:val="18"/>
                <w:szCs w:val="18"/>
              </w:rPr>
              <w:t>(0.28)</w:t>
            </w:r>
          </w:p>
        </w:tc>
        <w:tc>
          <w:tcPr>
            <w:tcW w:w="992" w:type="dxa"/>
            <w:tcBorders>
              <w:top w:val="nil"/>
              <w:left w:val="nil"/>
              <w:bottom w:val="nil"/>
              <w:right w:val="dotted" w:sz="4" w:space="0" w:color="auto"/>
            </w:tcBorders>
          </w:tcPr>
          <w:p w14:paraId="66EBE968" w14:textId="77777777" w:rsidR="00441A49" w:rsidRPr="00A60FD5" w:rsidRDefault="008E23C0" w:rsidP="00F4357D">
            <w:pPr>
              <w:spacing w:after="0"/>
              <w:jc w:val="center"/>
              <w:rPr>
                <w:rFonts w:ascii="Times New Roman" w:hAnsi="Times New Roman" w:cs="Times New Roman"/>
                <w:sz w:val="18"/>
                <w:szCs w:val="18"/>
              </w:rPr>
            </w:pPr>
            <w:r w:rsidRPr="00A60FD5">
              <w:rPr>
                <w:rFonts w:ascii="Times New Roman" w:hAnsi="Times New Roman" w:cs="Times New Roman"/>
                <w:sz w:val="18"/>
                <w:szCs w:val="18"/>
              </w:rPr>
              <w:t>-0.46</w:t>
            </w:r>
          </w:p>
          <w:p w14:paraId="15CBAA33" w14:textId="7ED8A1EE" w:rsidR="008E23C0" w:rsidRPr="00A60FD5" w:rsidRDefault="008E23C0" w:rsidP="00F4357D">
            <w:pPr>
              <w:spacing w:after="0"/>
              <w:jc w:val="center"/>
              <w:rPr>
                <w:rFonts w:ascii="Times New Roman" w:hAnsi="Times New Roman" w:cs="Times New Roman"/>
                <w:sz w:val="18"/>
                <w:szCs w:val="18"/>
              </w:rPr>
            </w:pPr>
            <w:r w:rsidRPr="00A60FD5">
              <w:rPr>
                <w:rFonts w:ascii="Times New Roman" w:hAnsi="Times New Roman" w:cs="Times New Roman"/>
                <w:sz w:val="18"/>
                <w:szCs w:val="18"/>
              </w:rPr>
              <w:t>(0.31)</w:t>
            </w:r>
          </w:p>
        </w:tc>
        <w:tc>
          <w:tcPr>
            <w:tcW w:w="992" w:type="dxa"/>
            <w:tcBorders>
              <w:top w:val="nil"/>
              <w:left w:val="dotted" w:sz="4" w:space="0" w:color="auto"/>
              <w:bottom w:val="nil"/>
              <w:right w:val="nil"/>
            </w:tcBorders>
          </w:tcPr>
          <w:p w14:paraId="571322CD" w14:textId="77777777" w:rsidR="00441A49" w:rsidRPr="00A60FD5" w:rsidRDefault="00441A49" w:rsidP="00F4357D">
            <w:pPr>
              <w:spacing w:after="0"/>
              <w:jc w:val="center"/>
              <w:rPr>
                <w:rFonts w:ascii="Times New Roman" w:hAnsi="Times New Roman" w:cs="Times New Roman"/>
                <w:sz w:val="18"/>
                <w:szCs w:val="18"/>
              </w:rPr>
            </w:pPr>
            <w:r w:rsidRPr="00A60FD5">
              <w:rPr>
                <w:rFonts w:ascii="Times New Roman" w:hAnsi="Times New Roman" w:cs="Times New Roman"/>
                <w:sz w:val="18"/>
                <w:szCs w:val="18"/>
              </w:rPr>
              <w:t>0.14</w:t>
            </w:r>
          </w:p>
          <w:p w14:paraId="414D264B" w14:textId="4E9E8063" w:rsidR="00441A49" w:rsidRPr="00A60FD5" w:rsidRDefault="00441A49" w:rsidP="00F4357D">
            <w:pPr>
              <w:spacing w:after="0"/>
              <w:jc w:val="center"/>
              <w:rPr>
                <w:rFonts w:ascii="Times New Roman" w:hAnsi="Times New Roman" w:cs="Times New Roman"/>
                <w:sz w:val="18"/>
                <w:szCs w:val="18"/>
              </w:rPr>
            </w:pPr>
            <w:r w:rsidRPr="00A60FD5">
              <w:rPr>
                <w:rFonts w:ascii="Times New Roman" w:hAnsi="Times New Roman" w:cs="Times New Roman"/>
                <w:sz w:val="18"/>
                <w:szCs w:val="18"/>
              </w:rPr>
              <w:t>(0.14)</w:t>
            </w:r>
          </w:p>
        </w:tc>
        <w:tc>
          <w:tcPr>
            <w:tcW w:w="851" w:type="dxa"/>
            <w:tcBorders>
              <w:top w:val="nil"/>
              <w:left w:val="nil"/>
              <w:bottom w:val="nil"/>
              <w:right w:val="nil"/>
            </w:tcBorders>
          </w:tcPr>
          <w:p w14:paraId="679CCB4A" w14:textId="77777777" w:rsidR="00441A49" w:rsidRPr="00A60FD5" w:rsidRDefault="00441A49" w:rsidP="00F4357D">
            <w:pPr>
              <w:spacing w:after="0"/>
              <w:jc w:val="center"/>
              <w:rPr>
                <w:rFonts w:ascii="Times New Roman" w:hAnsi="Times New Roman" w:cs="Times New Roman"/>
                <w:sz w:val="18"/>
                <w:szCs w:val="18"/>
              </w:rPr>
            </w:pPr>
            <w:r w:rsidRPr="00A60FD5">
              <w:rPr>
                <w:rFonts w:ascii="Times New Roman" w:hAnsi="Times New Roman" w:cs="Times New Roman"/>
                <w:sz w:val="18"/>
                <w:szCs w:val="18"/>
              </w:rPr>
              <w:t>0.09</w:t>
            </w:r>
          </w:p>
          <w:p w14:paraId="47C2D4D3" w14:textId="1332A9D6" w:rsidR="00441A49" w:rsidRPr="00A60FD5" w:rsidRDefault="00441A49" w:rsidP="00F4357D">
            <w:pPr>
              <w:spacing w:after="0"/>
              <w:jc w:val="center"/>
              <w:rPr>
                <w:rFonts w:ascii="Times New Roman" w:hAnsi="Times New Roman" w:cs="Times New Roman"/>
                <w:sz w:val="18"/>
                <w:szCs w:val="18"/>
              </w:rPr>
            </w:pPr>
            <w:r w:rsidRPr="00A60FD5">
              <w:rPr>
                <w:rFonts w:ascii="Times New Roman" w:hAnsi="Times New Roman" w:cs="Times New Roman"/>
                <w:sz w:val="18"/>
                <w:szCs w:val="18"/>
              </w:rPr>
              <w:t>(0.28)</w:t>
            </w:r>
          </w:p>
        </w:tc>
        <w:tc>
          <w:tcPr>
            <w:tcW w:w="850" w:type="dxa"/>
            <w:tcBorders>
              <w:top w:val="nil"/>
              <w:left w:val="nil"/>
              <w:bottom w:val="nil"/>
              <w:right w:val="dotted" w:sz="4" w:space="0" w:color="auto"/>
            </w:tcBorders>
          </w:tcPr>
          <w:p w14:paraId="1233B436" w14:textId="77777777" w:rsidR="00441A49" w:rsidRPr="00A60FD5" w:rsidRDefault="00441A49" w:rsidP="00F4357D">
            <w:pPr>
              <w:spacing w:after="0"/>
              <w:jc w:val="center"/>
              <w:rPr>
                <w:rFonts w:ascii="Times New Roman" w:hAnsi="Times New Roman" w:cs="Times New Roman"/>
                <w:sz w:val="18"/>
                <w:szCs w:val="18"/>
              </w:rPr>
            </w:pPr>
            <w:r w:rsidRPr="00A60FD5">
              <w:rPr>
                <w:rFonts w:ascii="Times New Roman" w:hAnsi="Times New Roman" w:cs="Times New Roman"/>
                <w:sz w:val="18"/>
                <w:szCs w:val="18"/>
              </w:rPr>
              <w:t>-0.48</w:t>
            </w:r>
          </w:p>
          <w:p w14:paraId="186B8ABB" w14:textId="4953A7DE" w:rsidR="00441A49" w:rsidRPr="00A60FD5" w:rsidRDefault="00441A49" w:rsidP="00F4357D">
            <w:pPr>
              <w:spacing w:after="0"/>
              <w:jc w:val="center"/>
              <w:rPr>
                <w:rFonts w:ascii="Times New Roman" w:hAnsi="Times New Roman" w:cs="Times New Roman"/>
                <w:sz w:val="18"/>
                <w:szCs w:val="18"/>
              </w:rPr>
            </w:pPr>
            <w:r w:rsidRPr="00A60FD5">
              <w:rPr>
                <w:rFonts w:ascii="Times New Roman" w:hAnsi="Times New Roman" w:cs="Times New Roman"/>
                <w:sz w:val="18"/>
                <w:szCs w:val="18"/>
              </w:rPr>
              <w:t>(0.34)</w:t>
            </w:r>
          </w:p>
        </w:tc>
        <w:tc>
          <w:tcPr>
            <w:tcW w:w="1134" w:type="dxa"/>
            <w:tcBorders>
              <w:top w:val="nil"/>
              <w:left w:val="dotted" w:sz="4" w:space="0" w:color="auto"/>
              <w:bottom w:val="nil"/>
              <w:right w:val="nil"/>
            </w:tcBorders>
          </w:tcPr>
          <w:p w14:paraId="238F3479" w14:textId="77777777" w:rsidR="00441A49" w:rsidRPr="00A60FD5" w:rsidRDefault="00DB112C" w:rsidP="00F4357D">
            <w:pPr>
              <w:spacing w:after="0"/>
              <w:jc w:val="center"/>
              <w:rPr>
                <w:rFonts w:ascii="Times New Roman" w:hAnsi="Times New Roman" w:cs="Times New Roman"/>
                <w:sz w:val="18"/>
                <w:szCs w:val="18"/>
              </w:rPr>
            </w:pPr>
            <w:r w:rsidRPr="00A60FD5">
              <w:rPr>
                <w:rFonts w:ascii="Times New Roman" w:hAnsi="Times New Roman" w:cs="Times New Roman"/>
                <w:sz w:val="18"/>
                <w:szCs w:val="18"/>
              </w:rPr>
              <w:t>0.14</w:t>
            </w:r>
          </w:p>
          <w:p w14:paraId="70B5E6DF" w14:textId="7AD69C94" w:rsidR="00DB112C" w:rsidRPr="00A60FD5" w:rsidRDefault="00DB112C" w:rsidP="00F4357D">
            <w:pPr>
              <w:spacing w:after="0"/>
              <w:jc w:val="center"/>
              <w:rPr>
                <w:rFonts w:ascii="Times New Roman" w:hAnsi="Times New Roman" w:cs="Times New Roman"/>
                <w:sz w:val="18"/>
                <w:szCs w:val="18"/>
              </w:rPr>
            </w:pPr>
            <w:r w:rsidRPr="00A60FD5">
              <w:rPr>
                <w:rFonts w:ascii="Times New Roman" w:hAnsi="Times New Roman" w:cs="Times New Roman"/>
                <w:sz w:val="18"/>
                <w:szCs w:val="18"/>
              </w:rPr>
              <w:t>(0.14)</w:t>
            </w:r>
          </w:p>
        </w:tc>
        <w:tc>
          <w:tcPr>
            <w:tcW w:w="851" w:type="dxa"/>
            <w:tcBorders>
              <w:top w:val="nil"/>
              <w:left w:val="nil"/>
              <w:bottom w:val="nil"/>
              <w:right w:val="nil"/>
            </w:tcBorders>
          </w:tcPr>
          <w:p w14:paraId="51328CC1" w14:textId="77777777" w:rsidR="00441A49" w:rsidRPr="00A60FD5" w:rsidRDefault="003873B1" w:rsidP="00F4357D">
            <w:pPr>
              <w:spacing w:after="0"/>
              <w:jc w:val="center"/>
              <w:rPr>
                <w:rFonts w:ascii="Times New Roman" w:hAnsi="Times New Roman" w:cs="Times New Roman"/>
                <w:sz w:val="18"/>
                <w:szCs w:val="18"/>
              </w:rPr>
            </w:pPr>
            <w:r w:rsidRPr="00A60FD5">
              <w:rPr>
                <w:rFonts w:ascii="Times New Roman" w:hAnsi="Times New Roman" w:cs="Times New Roman"/>
                <w:sz w:val="18"/>
                <w:szCs w:val="18"/>
              </w:rPr>
              <w:t>0.14</w:t>
            </w:r>
          </w:p>
          <w:p w14:paraId="0D66E908" w14:textId="328B209B" w:rsidR="003873B1" w:rsidRPr="00A60FD5" w:rsidRDefault="003873B1" w:rsidP="00F4357D">
            <w:pPr>
              <w:spacing w:after="0"/>
              <w:jc w:val="center"/>
              <w:rPr>
                <w:rFonts w:ascii="Times New Roman" w:hAnsi="Times New Roman" w:cs="Times New Roman"/>
                <w:sz w:val="18"/>
                <w:szCs w:val="18"/>
              </w:rPr>
            </w:pPr>
            <w:r w:rsidRPr="00A60FD5">
              <w:rPr>
                <w:rFonts w:ascii="Times New Roman" w:hAnsi="Times New Roman" w:cs="Times New Roman"/>
                <w:sz w:val="18"/>
                <w:szCs w:val="18"/>
              </w:rPr>
              <w:t>(0.27)</w:t>
            </w:r>
          </w:p>
        </w:tc>
        <w:tc>
          <w:tcPr>
            <w:tcW w:w="992" w:type="dxa"/>
            <w:tcBorders>
              <w:top w:val="nil"/>
              <w:left w:val="nil"/>
              <w:bottom w:val="nil"/>
              <w:right w:val="nil"/>
            </w:tcBorders>
          </w:tcPr>
          <w:p w14:paraId="584D7729" w14:textId="77777777" w:rsidR="00441A49" w:rsidRPr="00A60FD5" w:rsidRDefault="00DE74E5" w:rsidP="00F4357D">
            <w:pPr>
              <w:spacing w:after="0"/>
              <w:jc w:val="center"/>
              <w:rPr>
                <w:rFonts w:ascii="Times New Roman" w:hAnsi="Times New Roman" w:cs="Times New Roman"/>
                <w:sz w:val="18"/>
                <w:szCs w:val="18"/>
              </w:rPr>
            </w:pPr>
            <w:r w:rsidRPr="00A60FD5">
              <w:rPr>
                <w:rFonts w:ascii="Times New Roman" w:hAnsi="Times New Roman" w:cs="Times New Roman"/>
                <w:sz w:val="18"/>
                <w:szCs w:val="18"/>
              </w:rPr>
              <w:t>-0.45</w:t>
            </w:r>
          </w:p>
          <w:p w14:paraId="4006A0A9" w14:textId="12148B9A" w:rsidR="00DE74E5" w:rsidRPr="00A60FD5" w:rsidRDefault="00DE74E5" w:rsidP="00F4357D">
            <w:pPr>
              <w:spacing w:after="0"/>
              <w:jc w:val="center"/>
              <w:rPr>
                <w:rFonts w:ascii="Times New Roman" w:hAnsi="Times New Roman" w:cs="Times New Roman"/>
                <w:sz w:val="18"/>
                <w:szCs w:val="18"/>
              </w:rPr>
            </w:pPr>
            <w:r w:rsidRPr="00A60FD5">
              <w:rPr>
                <w:rFonts w:ascii="Times New Roman" w:hAnsi="Times New Roman" w:cs="Times New Roman"/>
                <w:sz w:val="18"/>
                <w:szCs w:val="18"/>
              </w:rPr>
              <w:t>(0.31)</w:t>
            </w:r>
          </w:p>
        </w:tc>
      </w:tr>
      <w:tr w:rsidR="00DE0D97" w:rsidRPr="00A60FD5" w14:paraId="0E8C40B9" w14:textId="77777777" w:rsidTr="00EB08AC">
        <w:trPr>
          <w:trHeight w:hRule="exact" w:val="483"/>
        </w:trPr>
        <w:tc>
          <w:tcPr>
            <w:tcW w:w="3261" w:type="dxa"/>
            <w:tcBorders>
              <w:top w:val="nil"/>
              <w:left w:val="nil"/>
              <w:bottom w:val="nil"/>
              <w:right w:val="nil"/>
            </w:tcBorders>
          </w:tcPr>
          <w:p w14:paraId="2E1ACFC5" w14:textId="5F59165B" w:rsidR="00441A49" w:rsidRPr="00A60FD5" w:rsidRDefault="00441A49" w:rsidP="00DE0D97">
            <w:pPr>
              <w:spacing w:before="80" w:after="0"/>
              <w:rPr>
                <w:rFonts w:ascii="Times New Roman" w:hAnsi="Times New Roman" w:cs="Times New Roman"/>
                <w:sz w:val="18"/>
                <w:szCs w:val="18"/>
              </w:rPr>
            </w:pPr>
            <w:r w:rsidRPr="00A60FD5">
              <w:rPr>
                <w:rFonts w:ascii="Times New Roman" w:hAnsi="Times New Roman" w:cs="Times New Roman"/>
                <w:sz w:val="18"/>
                <w:szCs w:val="18"/>
              </w:rPr>
              <w:t>License age</w:t>
            </w:r>
            <w:r w:rsidRPr="00A60FD5">
              <w:rPr>
                <w:rFonts w:ascii="Times New Roman" w:hAnsi="Times New Roman" w:cs="Times New Roman"/>
                <w:sz w:val="18"/>
                <w:szCs w:val="18"/>
                <w:vertAlign w:val="subscript"/>
              </w:rPr>
              <w:t>-</w:t>
            </w:r>
            <w:r w:rsidR="00DE0D97" w:rsidRPr="00A60FD5">
              <w:rPr>
                <w:rFonts w:ascii="Times New Roman" w:hAnsi="Times New Roman" w:cs="Times New Roman"/>
                <w:sz w:val="18"/>
                <w:szCs w:val="18"/>
                <w:vertAlign w:val="subscript"/>
              </w:rPr>
              <w:t>&gt;10</w:t>
            </w:r>
          </w:p>
        </w:tc>
        <w:tc>
          <w:tcPr>
            <w:tcW w:w="850" w:type="dxa"/>
            <w:tcBorders>
              <w:top w:val="nil"/>
              <w:left w:val="nil"/>
              <w:bottom w:val="nil"/>
              <w:right w:val="nil"/>
            </w:tcBorders>
          </w:tcPr>
          <w:p w14:paraId="5EDBB17B" w14:textId="77777777" w:rsidR="00441A49" w:rsidRPr="00A60FD5" w:rsidRDefault="00310478" w:rsidP="00F4357D">
            <w:pPr>
              <w:spacing w:after="0"/>
              <w:jc w:val="center"/>
              <w:rPr>
                <w:rFonts w:ascii="Times New Roman" w:hAnsi="Times New Roman" w:cs="Times New Roman"/>
                <w:sz w:val="18"/>
                <w:szCs w:val="18"/>
              </w:rPr>
            </w:pPr>
            <w:r w:rsidRPr="00A60FD5">
              <w:rPr>
                <w:rFonts w:ascii="Times New Roman" w:hAnsi="Times New Roman" w:cs="Times New Roman"/>
                <w:sz w:val="18"/>
                <w:szCs w:val="18"/>
              </w:rPr>
              <w:t>0.05</w:t>
            </w:r>
          </w:p>
          <w:p w14:paraId="2F6F7480" w14:textId="55FA001C" w:rsidR="00310478" w:rsidRPr="00A60FD5" w:rsidRDefault="00310478" w:rsidP="00F4357D">
            <w:pPr>
              <w:spacing w:after="0"/>
              <w:jc w:val="center"/>
              <w:rPr>
                <w:rFonts w:ascii="Times New Roman" w:hAnsi="Times New Roman" w:cs="Times New Roman"/>
                <w:sz w:val="18"/>
                <w:szCs w:val="18"/>
              </w:rPr>
            </w:pPr>
            <w:r w:rsidRPr="00A60FD5">
              <w:rPr>
                <w:rFonts w:ascii="Times New Roman" w:hAnsi="Times New Roman" w:cs="Times New Roman"/>
                <w:sz w:val="18"/>
                <w:szCs w:val="18"/>
              </w:rPr>
              <w:t>(0.20)</w:t>
            </w:r>
          </w:p>
        </w:tc>
        <w:tc>
          <w:tcPr>
            <w:tcW w:w="851" w:type="dxa"/>
            <w:tcBorders>
              <w:top w:val="nil"/>
              <w:left w:val="nil"/>
              <w:bottom w:val="nil"/>
              <w:right w:val="nil"/>
            </w:tcBorders>
          </w:tcPr>
          <w:p w14:paraId="69EDACEB" w14:textId="77777777" w:rsidR="00441A49" w:rsidRPr="00A60FD5" w:rsidRDefault="00C67E54" w:rsidP="00F4357D">
            <w:pPr>
              <w:spacing w:after="0"/>
              <w:jc w:val="center"/>
              <w:rPr>
                <w:rFonts w:ascii="Times New Roman" w:hAnsi="Times New Roman" w:cs="Times New Roman"/>
                <w:sz w:val="18"/>
                <w:szCs w:val="18"/>
              </w:rPr>
            </w:pPr>
            <w:r w:rsidRPr="00A60FD5">
              <w:rPr>
                <w:rFonts w:ascii="Times New Roman" w:hAnsi="Times New Roman" w:cs="Times New Roman"/>
                <w:sz w:val="18"/>
                <w:szCs w:val="18"/>
              </w:rPr>
              <w:t>0.32</w:t>
            </w:r>
          </w:p>
          <w:p w14:paraId="61D53029" w14:textId="199A14E6" w:rsidR="00C67E54" w:rsidRPr="00A60FD5" w:rsidRDefault="00C67E54" w:rsidP="00F4357D">
            <w:pPr>
              <w:spacing w:after="0"/>
              <w:jc w:val="center"/>
              <w:rPr>
                <w:rFonts w:ascii="Times New Roman" w:hAnsi="Times New Roman" w:cs="Times New Roman"/>
                <w:sz w:val="18"/>
                <w:szCs w:val="18"/>
              </w:rPr>
            </w:pPr>
            <w:r w:rsidRPr="00A60FD5">
              <w:rPr>
                <w:rFonts w:ascii="Times New Roman" w:hAnsi="Times New Roman" w:cs="Times New Roman"/>
                <w:sz w:val="18"/>
                <w:szCs w:val="18"/>
              </w:rPr>
              <w:t>(0.48)</w:t>
            </w:r>
          </w:p>
        </w:tc>
        <w:tc>
          <w:tcPr>
            <w:tcW w:w="992" w:type="dxa"/>
            <w:tcBorders>
              <w:top w:val="nil"/>
              <w:left w:val="nil"/>
              <w:bottom w:val="nil"/>
              <w:right w:val="dotted" w:sz="4" w:space="0" w:color="auto"/>
            </w:tcBorders>
          </w:tcPr>
          <w:p w14:paraId="57C91E5F" w14:textId="77777777" w:rsidR="00441A49" w:rsidRPr="00A60FD5" w:rsidRDefault="008E23C0" w:rsidP="00F4357D">
            <w:pPr>
              <w:spacing w:after="0"/>
              <w:jc w:val="center"/>
              <w:rPr>
                <w:rFonts w:ascii="Times New Roman" w:hAnsi="Times New Roman" w:cs="Times New Roman"/>
                <w:sz w:val="18"/>
                <w:szCs w:val="18"/>
              </w:rPr>
            </w:pPr>
            <w:r w:rsidRPr="00A60FD5">
              <w:rPr>
                <w:rFonts w:ascii="Times New Roman" w:hAnsi="Times New Roman" w:cs="Times New Roman"/>
                <w:sz w:val="18"/>
                <w:szCs w:val="18"/>
              </w:rPr>
              <w:t>-0.55</w:t>
            </w:r>
          </w:p>
          <w:p w14:paraId="4AA570AE" w14:textId="44CAC8C7" w:rsidR="008E23C0" w:rsidRPr="00A60FD5" w:rsidRDefault="008E23C0" w:rsidP="00F4357D">
            <w:pPr>
              <w:spacing w:after="0"/>
              <w:jc w:val="center"/>
              <w:rPr>
                <w:rFonts w:ascii="Times New Roman" w:hAnsi="Times New Roman" w:cs="Times New Roman"/>
                <w:sz w:val="18"/>
                <w:szCs w:val="18"/>
              </w:rPr>
            </w:pPr>
            <w:r w:rsidRPr="00A60FD5">
              <w:rPr>
                <w:rFonts w:ascii="Times New Roman" w:hAnsi="Times New Roman" w:cs="Times New Roman"/>
                <w:sz w:val="18"/>
                <w:szCs w:val="18"/>
              </w:rPr>
              <w:t>(0.53)</w:t>
            </w:r>
          </w:p>
        </w:tc>
        <w:tc>
          <w:tcPr>
            <w:tcW w:w="992" w:type="dxa"/>
            <w:tcBorders>
              <w:top w:val="nil"/>
              <w:left w:val="dotted" w:sz="4" w:space="0" w:color="auto"/>
              <w:bottom w:val="nil"/>
              <w:right w:val="nil"/>
            </w:tcBorders>
          </w:tcPr>
          <w:p w14:paraId="516B6962" w14:textId="77777777" w:rsidR="00441A49" w:rsidRPr="00A60FD5" w:rsidRDefault="00441A49" w:rsidP="00F4357D">
            <w:pPr>
              <w:spacing w:after="0"/>
              <w:jc w:val="center"/>
              <w:rPr>
                <w:rFonts w:ascii="Times New Roman" w:hAnsi="Times New Roman" w:cs="Times New Roman"/>
                <w:sz w:val="18"/>
                <w:szCs w:val="18"/>
              </w:rPr>
            </w:pPr>
            <w:r w:rsidRPr="00A60FD5">
              <w:rPr>
                <w:rFonts w:ascii="Times New Roman" w:hAnsi="Times New Roman" w:cs="Times New Roman"/>
                <w:sz w:val="18"/>
                <w:szCs w:val="18"/>
              </w:rPr>
              <w:t>0.06</w:t>
            </w:r>
          </w:p>
          <w:p w14:paraId="47E0B09B" w14:textId="1CF86396" w:rsidR="00441A49" w:rsidRPr="00A60FD5" w:rsidRDefault="00441A49" w:rsidP="00F4357D">
            <w:pPr>
              <w:spacing w:after="0"/>
              <w:jc w:val="center"/>
              <w:rPr>
                <w:rFonts w:ascii="Times New Roman" w:hAnsi="Times New Roman" w:cs="Times New Roman"/>
                <w:sz w:val="18"/>
                <w:szCs w:val="18"/>
              </w:rPr>
            </w:pPr>
            <w:r w:rsidRPr="00A60FD5">
              <w:rPr>
                <w:rFonts w:ascii="Times New Roman" w:hAnsi="Times New Roman" w:cs="Times New Roman"/>
                <w:sz w:val="18"/>
                <w:szCs w:val="18"/>
              </w:rPr>
              <w:t>(0.20)</w:t>
            </w:r>
          </w:p>
        </w:tc>
        <w:tc>
          <w:tcPr>
            <w:tcW w:w="851" w:type="dxa"/>
            <w:tcBorders>
              <w:top w:val="nil"/>
              <w:left w:val="nil"/>
              <w:bottom w:val="nil"/>
              <w:right w:val="nil"/>
            </w:tcBorders>
          </w:tcPr>
          <w:p w14:paraId="6E1161A9" w14:textId="77777777" w:rsidR="00441A49" w:rsidRPr="00A60FD5" w:rsidRDefault="00441A49" w:rsidP="00F4357D">
            <w:pPr>
              <w:spacing w:after="0"/>
              <w:jc w:val="center"/>
              <w:rPr>
                <w:rFonts w:ascii="Times New Roman" w:hAnsi="Times New Roman" w:cs="Times New Roman"/>
                <w:sz w:val="18"/>
                <w:szCs w:val="18"/>
              </w:rPr>
            </w:pPr>
            <w:r w:rsidRPr="00A60FD5">
              <w:rPr>
                <w:rFonts w:ascii="Times New Roman" w:hAnsi="Times New Roman" w:cs="Times New Roman"/>
                <w:sz w:val="18"/>
                <w:szCs w:val="18"/>
              </w:rPr>
              <w:t>0.32</w:t>
            </w:r>
          </w:p>
          <w:p w14:paraId="11E40BA5" w14:textId="4584C7D9" w:rsidR="00441A49" w:rsidRPr="00A60FD5" w:rsidRDefault="00441A49" w:rsidP="00F4357D">
            <w:pPr>
              <w:spacing w:after="0"/>
              <w:jc w:val="center"/>
              <w:rPr>
                <w:rFonts w:ascii="Times New Roman" w:hAnsi="Times New Roman" w:cs="Times New Roman"/>
                <w:sz w:val="18"/>
                <w:szCs w:val="18"/>
              </w:rPr>
            </w:pPr>
            <w:r w:rsidRPr="00A60FD5">
              <w:rPr>
                <w:rFonts w:ascii="Times New Roman" w:hAnsi="Times New Roman" w:cs="Times New Roman"/>
                <w:sz w:val="18"/>
                <w:szCs w:val="18"/>
              </w:rPr>
              <w:t>(0.48)</w:t>
            </w:r>
          </w:p>
        </w:tc>
        <w:tc>
          <w:tcPr>
            <w:tcW w:w="850" w:type="dxa"/>
            <w:tcBorders>
              <w:top w:val="nil"/>
              <w:left w:val="nil"/>
              <w:bottom w:val="nil"/>
              <w:right w:val="dotted" w:sz="4" w:space="0" w:color="auto"/>
            </w:tcBorders>
          </w:tcPr>
          <w:p w14:paraId="295BBD93" w14:textId="77777777" w:rsidR="00441A49" w:rsidRPr="00A60FD5" w:rsidRDefault="00441A49" w:rsidP="00F4357D">
            <w:pPr>
              <w:spacing w:after="0"/>
              <w:jc w:val="center"/>
              <w:rPr>
                <w:rFonts w:ascii="Times New Roman" w:hAnsi="Times New Roman" w:cs="Times New Roman"/>
                <w:sz w:val="18"/>
                <w:szCs w:val="18"/>
              </w:rPr>
            </w:pPr>
            <w:r w:rsidRPr="00A60FD5">
              <w:rPr>
                <w:rFonts w:ascii="Times New Roman" w:hAnsi="Times New Roman" w:cs="Times New Roman"/>
                <w:sz w:val="18"/>
                <w:szCs w:val="18"/>
              </w:rPr>
              <w:t>-0.56</w:t>
            </w:r>
          </w:p>
          <w:p w14:paraId="749F6A8B" w14:textId="5A2E4467" w:rsidR="00441A49" w:rsidRPr="00A60FD5" w:rsidRDefault="00441A49" w:rsidP="00F4357D">
            <w:pPr>
              <w:spacing w:after="0"/>
              <w:jc w:val="center"/>
              <w:rPr>
                <w:rFonts w:ascii="Times New Roman" w:hAnsi="Times New Roman" w:cs="Times New Roman"/>
                <w:sz w:val="18"/>
                <w:szCs w:val="18"/>
              </w:rPr>
            </w:pPr>
            <w:r w:rsidRPr="00A60FD5">
              <w:rPr>
                <w:rFonts w:ascii="Times New Roman" w:hAnsi="Times New Roman" w:cs="Times New Roman"/>
                <w:sz w:val="18"/>
                <w:szCs w:val="18"/>
              </w:rPr>
              <w:t>(0.53)</w:t>
            </w:r>
          </w:p>
        </w:tc>
        <w:tc>
          <w:tcPr>
            <w:tcW w:w="1134" w:type="dxa"/>
            <w:tcBorders>
              <w:top w:val="nil"/>
              <w:left w:val="dotted" w:sz="4" w:space="0" w:color="auto"/>
              <w:bottom w:val="nil"/>
              <w:right w:val="nil"/>
            </w:tcBorders>
          </w:tcPr>
          <w:p w14:paraId="1641CD88" w14:textId="77777777" w:rsidR="00441A49" w:rsidRPr="00A60FD5" w:rsidRDefault="00DB112C" w:rsidP="00F4357D">
            <w:pPr>
              <w:spacing w:after="0"/>
              <w:jc w:val="center"/>
              <w:rPr>
                <w:rFonts w:ascii="Times New Roman" w:hAnsi="Times New Roman" w:cs="Times New Roman"/>
                <w:sz w:val="18"/>
                <w:szCs w:val="18"/>
              </w:rPr>
            </w:pPr>
            <w:r w:rsidRPr="00A60FD5">
              <w:rPr>
                <w:rFonts w:ascii="Times New Roman" w:hAnsi="Times New Roman" w:cs="Times New Roman"/>
                <w:sz w:val="18"/>
                <w:szCs w:val="18"/>
              </w:rPr>
              <w:t>0.05</w:t>
            </w:r>
          </w:p>
          <w:p w14:paraId="22C739C7" w14:textId="63D6FE9C" w:rsidR="00DB112C" w:rsidRPr="00A60FD5" w:rsidRDefault="00DB112C" w:rsidP="00F4357D">
            <w:pPr>
              <w:spacing w:after="0"/>
              <w:jc w:val="center"/>
              <w:rPr>
                <w:rFonts w:ascii="Times New Roman" w:hAnsi="Times New Roman" w:cs="Times New Roman"/>
                <w:sz w:val="18"/>
                <w:szCs w:val="18"/>
              </w:rPr>
            </w:pPr>
            <w:r w:rsidRPr="00A60FD5">
              <w:rPr>
                <w:rFonts w:ascii="Times New Roman" w:hAnsi="Times New Roman" w:cs="Times New Roman"/>
                <w:sz w:val="18"/>
                <w:szCs w:val="18"/>
              </w:rPr>
              <w:t>(0.20)</w:t>
            </w:r>
          </w:p>
        </w:tc>
        <w:tc>
          <w:tcPr>
            <w:tcW w:w="851" w:type="dxa"/>
            <w:tcBorders>
              <w:top w:val="nil"/>
              <w:left w:val="nil"/>
              <w:bottom w:val="nil"/>
              <w:right w:val="nil"/>
            </w:tcBorders>
          </w:tcPr>
          <w:p w14:paraId="1E6EB68C" w14:textId="77777777" w:rsidR="00441A49" w:rsidRPr="00A60FD5" w:rsidRDefault="003873B1" w:rsidP="00F4357D">
            <w:pPr>
              <w:spacing w:after="0"/>
              <w:jc w:val="center"/>
              <w:rPr>
                <w:rFonts w:ascii="Times New Roman" w:hAnsi="Times New Roman" w:cs="Times New Roman"/>
                <w:sz w:val="18"/>
                <w:szCs w:val="18"/>
              </w:rPr>
            </w:pPr>
            <w:r w:rsidRPr="00A60FD5">
              <w:rPr>
                <w:rFonts w:ascii="Times New Roman" w:hAnsi="Times New Roman" w:cs="Times New Roman"/>
                <w:sz w:val="18"/>
                <w:szCs w:val="18"/>
              </w:rPr>
              <w:t>0.36</w:t>
            </w:r>
          </w:p>
          <w:p w14:paraId="500054B1" w14:textId="64E74936" w:rsidR="003873B1" w:rsidRPr="00A60FD5" w:rsidRDefault="003873B1" w:rsidP="00F4357D">
            <w:pPr>
              <w:spacing w:after="0"/>
              <w:jc w:val="center"/>
              <w:rPr>
                <w:rFonts w:ascii="Times New Roman" w:hAnsi="Times New Roman" w:cs="Times New Roman"/>
                <w:sz w:val="18"/>
                <w:szCs w:val="18"/>
              </w:rPr>
            </w:pPr>
            <w:r w:rsidRPr="00A60FD5">
              <w:rPr>
                <w:rFonts w:ascii="Times New Roman" w:hAnsi="Times New Roman" w:cs="Times New Roman"/>
                <w:sz w:val="18"/>
                <w:szCs w:val="18"/>
              </w:rPr>
              <w:t>(0.48)</w:t>
            </w:r>
          </w:p>
        </w:tc>
        <w:tc>
          <w:tcPr>
            <w:tcW w:w="992" w:type="dxa"/>
            <w:tcBorders>
              <w:top w:val="nil"/>
              <w:left w:val="nil"/>
              <w:bottom w:val="nil"/>
              <w:right w:val="nil"/>
            </w:tcBorders>
          </w:tcPr>
          <w:p w14:paraId="393C4140" w14:textId="77777777" w:rsidR="00441A49" w:rsidRPr="00A60FD5" w:rsidRDefault="00DE74E5" w:rsidP="00F4357D">
            <w:pPr>
              <w:spacing w:after="0"/>
              <w:jc w:val="center"/>
              <w:rPr>
                <w:rFonts w:ascii="Times New Roman" w:hAnsi="Times New Roman" w:cs="Times New Roman"/>
                <w:sz w:val="18"/>
                <w:szCs w:val="18"/>
              </w:rPr>
            </w:pPr>
            <w:r w:rsidRPr="00A60FD5">
              <w:rPr>
                <w:rFonts w:ascii="Times New Roman" w:hAnsi="Times New Roman" w:cs="Times New Roman"/>
                <w:sz w:val="18"/>
                <w:szCs w:val="18"/>
              </w:rPr>
              <w:t>-0.68</w:t>
            </w:r>
          </w:p>
          <w:p w14:paraId="37BDFC7E" w14:textId="33BF0937" w:rsidR="00DE74E5" w:rsidRPr="00A60FD5" w:rsidRDefault="00DE74E5" w:rsidP="00F4357D">
            <w:pPr>
              <w:spacing w:after="0"/>
              <w:jc w:val="center"/>
              <w:rPr>
                <w:rFonts w:ascii="Times New Roman" w:hAnsi="Times New Roman" w:cs="Times New Roman"/>
                <w:sz w:val="18"/>
                <w:szCs w:val="18"/>
              </w:rPr>
            </w:pPr>
            <w:r w:rsidRPr="00A60FD5">
              <w:rPr>
                <w:rFonts w:ascii="Times New Roman" w:hAnsi="Times New Roman" w:cs="Times New Roman"/>
                <w:sz w:val="18"/>
                <w:szCs w:val="18"/>
              </w:rPr>
              <w:t>(0.50)</w:t>
            </w:r>
          </w:p>
        </w:tc>
      </w:tr>
      <w:tr w:rsidR="00DE0D97" w:rsidRPr="00A60FD5" w14:paraId="372F9B52" w14:textId="77777777" w:rsidTr="00EB08AC">
        <w:trPr>
          <w:trHeight w:hRule="exact" w:val="498"/>
        </w:trPr>
        <w:tc>
          <w:tcPr>
            <w:tcW w:w="3261" w:type="dxa"/>
            <w:tcBorders>
              <w:top w:val="nil"/>
              <w:left w:val="nil"/>
              <w:bottom w:val="nil"/>
              <w:right w:val="nil"/>
            </w:tcBorders>
          </w:tcPr>
          <w:p w14:paraId="0372D8E4" w14:textId="2D3499B8" w:rsidR="00441A49" w:rsidRPr="00A60FD5" w:rsidRDefault="00441A49" w:rsidP="004539D9">
            <w:pPr>
              <w:spacing w:after="0"/>
              <w:rPr>
                <w:rFonts w:ascii="Times New Roman" w:hAnsi="Times New Roman" w:cs="Times New Roman"/>
                <w:sz w:val="18"/>
                <w:szCs w:val="18"/>
              </w:rPr>
            </w:pPr>
            <w:r w:rsidRPr="00A60FD5">
              <w:rPr>
                <w:rFonts w:ascii="Times New Roman" w:hAnsi="Times New Roman" w:cs="Times New Roman"/>
                <w:sz w:val="18"/>
                <w:szCs w:val="18"/>
              </w:rPr>
              <w:t>Arm’s length</w:t>
            </w:r>
          </w:p>
        </w:tc>
        <w:tc>
          <w:tcPr>
            <w:tcW w:w="850" w:type="dxa"/>
            <w:tcBorders>
              <w:top w:val="nil"/>
              <w:left w:val="nil"/>
              <w:bottom w:val="nil"/>
              <w:right w:val="nil"/>
            </w:tcBorders>
          </w:tcPr>
          <w:p w14:paraId="72E30AF6" w14:textId="77777777" w:rsidR="00441A49" w:rsidRPr="00A60FD5" w:rsidRDefault="00310478" w:rsidP="00F4357D">
            <w:pPr>
              <w:spacing w:after="0"/>
              <w:jc w:val="center"/>
              <w:rPr>
                <w:rFonts w:ascii="Times New Roman" w:hAnsi="Times New Roman" w:cs="Times New Roman"/>
                <w:sz w:val="18"/>
                <w:szCs w:val="18"/>
              </w:rPr>
            </w:pPr>
            <w:r w:rsidRPr="00A60FD5">
              <w:rPr>
                <w:rFonts w:ascii="Times New Roman" w:hAnsi="Times New Roman" w:cs="Times New Roman"/>
                <w:sz w:val="18"/>
                <w:szCs w:val="18"/>
              </w:rPr>
              <w:t>-0.36**</w:t>
            </w:r>
          </w:p>
          <w:p w14:paraId="67F760CB" w14:textId="275A67C3" w:rsidR="00310478" w:rsidRPr="00A60FD5" w:rsidRDefault="00310478" w:rsidP="00F4357D">
            <w:pPr>
              <w:spacing w:after="0"/>
              <w:jc w:val="center"/>
              <w:rPr>
                <w:rFonts w:ascii="Times New Roman" w:hAnsi="Times New Roman" w:cs="Times New Roman"/>
                <w:sz w:val="18"/>
                <w:szCs w:val="18"/>
              </w:rPr>
            </w:pPr>
            <w:r w:rsidRPr="00A60FD5">
              <w:rPr>
                <w:rFonts w:ascii="Times New Roman" w:hAnsi="Times New Roman" w:cs="Times New Roman"/>
                <w:sz w:val="18"/>
                <w:szCs w:val="18"/>
              </w:rPr>
              <w:t>(0.10)</w:t>
            </w:r>
          </w:p>
        </w:tc>
        <w:tc>
          <w:tcPr>
            <w:tcW w:w="851" w:type="dxa"/>
            <w:tcBorders>
              <w:top w:val="nil"/>
              <w:left w:val="nil"/>
              <w:bottom w:val="nil"/>
              <w:right w:val="nil"/>
            </w:tcBorders>
          </w:tcPr>
          <w:p w14:paraId="18492DE8" w14:textId="725CE61C" w:rsidR="00441A49" w:rsidRPr="00A60FD5" w:rsidRDefault="00441A49" w:rsidP="00F4357D">
            <w:pPr>
              <w:spacing w:after="0"/>
              <w:jc w:val="center"/>
              <w:rPr>
                <w:rFonts w:ascii="Times New Roman" w:hAnsi="Times New Roman" w:cs="Times New Roman"/>
                <w:sz w:val="18"/>
                <w:szCs w:val="18"/>
              </w:rPr>
            </w:pPr>
          </w:p>
        </w:tc>
        <w:tc>
          <w:tcPr>
            <w:tcW w:w="992" w:type="dxa"/>
            <w:tcBorders>
              <w:top w:val="nil"/>
              <w:left w:val="nil"/>
              <w:bottom w:val="nil"/>
              <w:right w:val="dotted" w:sz="4" w:space="0" w:color="auto"/>
            </w:tcBorders>
          </w:tcPr>
          <w:p w14:paraId="4A72CECF" w14:textId="77264466" w:rsidR="00441A49" w:rsidRPr="00A60FD5" w:rsidRDefault="00441A49" w:rsidP="00F4357D">
            <w:pPr>
              <w:spacing w:after="0"/>
              <w:jc w:val="center"/>
              <w:rPr>
                <w:rFonts w:ascii="Times New Roman" w:hAnsi="Times New Roman" w:cs="Times New Roman"/>
                <w:sz w:val="18"/>
                <w:szCs w:val="18"/>
              </w:rPr>
            </w:pPr>
          </w:p>
        </w:tc>
        <w:tc>
          <w:tcPr>
            <w:tcW w:w="992" w:type="dxa"/>
            <w:tcBorders>
              <w:top w:val="nil"/>
              <w:left w:val="dotted" w:sz="4" w:space="0" w:color="auto"/>
              <w:bottom w:val="nil"/>
              <w:right w:val="nil"/>
            </w:tcBorders>
          </w:tcPr>
          <w:p w14:paraId="0011286B" w14:textId="77777777" w:rsidR="00441A49" w:rsidRPr="00A60FD5" w:rsidRDefault="00441A49" w:rsidP="00F4357D">
            <w:pPr>
              <w:spacing w:after="0"/>
              <w:jc w:val="center"/>
              <w:rPr>
                <w:rFonts w:ascii="Times New Roman" w:hAnsi="Times New Roman" w:cs="Times New Roman"/>
                <w:sz w:val="18"/>
                <w:szCs w:val="18"/>
              </w:rPr>
            </w:pPr>
            <w:r w:rsidRPr="00A60FD5">
              <w:rPr>
                <w:rFonts w:ascii="Times New Roman" w:hAnsi="Times New Roman" w:cs="Times New Roman"/>
                <w:sz w:val="18"/>
                <w:szCs w:val="18"/>
              </w:rPr>
              <w:t>-0.36***</w:t>
            </w:r>
          </w:p>
          <w:p w14:paraId="3174B783" w14:textId="4944B290" w:rsidR="00441A49" w:rsidRPr="00A60FD5" w:rsidRDefault="00441A49" w:rsidP="00F4357D">
            <w:pPr>
              <w:spacing w:after="0"/>
              <w:jc w:val="center"/>
              <w:rPr>
                <w:rFonts w:ascii="Times New Roman" w:hAnsi="Times New Roman" w:cs="Times New Roman"/>
                <w:sz w:val="18"/>
                <w:szCs w:val="18"/>
              </w:rPr>
            </w:pPr>
            <w:r w:rsidRPr="00A60FD5">
              <w:rPr>
                <w:rFonts w:ascii="Times New Roman" w:hAnsi="Times New Roman" w:cs="Times New Roman"/>
                <w:sz w:val="18"/>
                <w:szCs w:val="18"/>
              </w:rPr>
              <w:t>(0.10)</w:t>
            </w:r>
          </w:p>
        </w:tc>
        <w:tc>
          <w:tcPr>
            <w:tcW w:w="851" w:type="dxa"/>
            <w:tcBorders>
              <w:top w:val="nil"/>
              <w:left w:val="nil"/>
              <w:bottom w:val="nil"/>
              <w:right w:val="nil"/>
            </w:tcBorders>
          </w:tcPr>
          <w:p w14:paraId="65B0EE09" w14:textId="45F03CC2" w:rsidR="00441A49" w:rsidRPr="00A60FD5" w:rsidRDefault="00441A49" w:rsidP="00F4357D">
            <w:pPr>
              <w:spacing w:after="0"/>
              <w:jc w:val="center"/>
              <w:rPr>
                <w:rFonts w:ascii="Times New Roman" w:hAnsi="Times New Roman" w:cs="Times New Roman"/>
                <w:sz w:val="18"/>
                <w:szCs w:val="18"/>
              </w:rPr>
            </w:pPr>
          </w:p>
        </w:tc>
        <w:tc>
          <w:tcPr>
            <w:tcW w:w="850" w:type="dxa"/>
            <w:tcBorders>
              <w:top w:val="nil"/>
              <w:left w:val="nil"/>
              <w:bottom w:val="nil"/>
              <w:right w:val="dotted" w:sz="4" w:space="0" w:color="auto"/>
            </w:tcBorders>
          </w:tcPr>
          <w:p w14:paraId="4FA8BA1E" w14:textId="2C57A942" w:rsidR="00441A49" w:rsidRPr="00A60FD5" w:rsidRDefault="00441A49" w:rsidP="00F4357D">
            <w:pPr>
              <w:spacing w:after="0"/>
              <w:jc w:val="center"/>
              <w:rPr>
                <w:rFonts w:ascii="Times New Roman" w:hAnsi="Times New Roman" w:cs="Times New Roman"/>
                <w:sz w:val="18"/>
                <w:szCs w:val="18"/>
              </w:rPr>
            </w:pPr>
          </w:p>
        </w:tc>
        <w:tc>
          <w:tcPr>
            <w:tcW w:w="1134" w:type="dxa"/>
            <w:tcBorders>
              <w:top w:val="nil"/>
              <w:left w:val="dotted" w:sz="4" w:space="0" w:color="auto"/>
              <w:bottom w:val="nil"/>
              <w:right w:val="nil"/>
            </w:tcBorders>
          </w:tcPr>
          <w:p w14:paraId="49F2A5AD" w14:textId="77777777" w:rsidR="00441A49" w:rsidRPr="00A60FD5" w:rsidRDefault="00DB112C" w:rsidP="00F4357D">
            <w:pPr>
              <w:spacing w:after="0"/>
              <w:jc w:val="center"/>
              <w:rPr>
                <w:rFonts w:ascii="Times New Roman" w:hAnsi="Times New Roman" w:cs="Times New Roman"/>
                <w:sz w:val="18"/>
                <w:szCs w:val="18"/>
              </w:rPr>
            </w:pPr>
            <w:r w:rsidRPr="00A60FD5">
              <w:rPr>
                <w:rFonts w:ascii="Times New Roman" w:hAnsi="Times New Roman" w:cs="Times New Roman"/>
                <w:sz w:val="18"/>
                <w:szCs w:val="18"/>
              </w:rPr>
              <w:t>-0.36***</w:t>
            </w:r>
          </w:p>
          <w:p w14:paraId="16F8EB7D" w14:textId="07465481" w:rsidR="00DB112C" w:rsidRPr="00A60FD5" w:rsidRDefault="00DB112C" w:rsidP="00F4357D">
            <w:pPr>
              <w:spacing w:after="0"/>
              <w:jc w:val="center"/>
              <w:rPr>
                <w:rFonts w:ascii="Times New Roman" w:hAnsi="Times New Roman" w:cs="Times New Roman"/>
                <w:sz w:val="18"/>
                <w:szCs w:val="18"/>
              </w:rPr>
            </w:pPr>
            <w:r w:rsidRPr="00A60FD5">
              <w:rPr>
                <w:rFonts w:ascii="Times New Roman" w:hAnsi="Times New Roman" w:cs="Times New Roman"/>
                <w:sz w:val="18"/>
                <w:szCs w:val="18"/>
              </w:rPr>
              <w:t>(0.10)</w:t>
            </w:r>
          </w:p>
        </w:tc>
        <w:tc>
          <w:tcPr>
            <w:tcW w:w="851" w:type="dxa"/>
            <w:tcBorders>
              <w:top w:val="nil"/>
              <w:left w:val="nil"/>
              <w:bottom w:val="nil"/>
              <w:right w:val="nil"/>
            </w:tcBorders>
          </w:tcPr>
          <w:p w14:paraId="666EE509" w14:textId="7F313973" w:rsidR="003873B1" w:rsidRPr="00A60FD5" w:rsidRDefault="003873B1" w:rsidP="00F4357D">
            <w:pPr>
              <w:spacing w:after="0"/>
              <w:jc w:val="center"/>
              <w:rPr>
                <w:rFonts w:ascii="Times New Roman" w:hAnsi="Times New Roman" w:cs="Times New Roman"/>
                <w:sz w:val="18"/>
                <w:szCs w:val="18"/>
              </w:rPr>
            </w:pPr>
          </w:p>
        </w:tc>
        <w:tc>
          <w:tcPr>
            <w:tcW w:w="992" w:type="dxa"/>
            <w:tcBorders>
              <w:top w:val="nil"/>
              <w:left w:val="nil"/>
              <w:bottom w:val="nil"/>
              <w:right w:val="nil"/>
            </w:tcBorders>
          </w:tcPr>
          <w:p w14:paraId="4755872D" w14:textId="5F366300" w:rsidR="00441A49" w:rsidRPr="00A60FD5" w:rsidRDefault="00441A49" w:rsidP="00F4357D">
            <w:pPr>
              <w:spacing w:after="0"/>
              <w:jc w:val="center"/>
              <w:rPr>
                <w:rFonts w:ascii="Times New Roman" w:hAnsi="Times New Roman" w:cs="Times New Roman"/>
                <w:sz w:val="18"/>
                <w:szCs w:val="18"/>
              </w:rPr>
            </w:pPr>
          </w:p>
        </w:tc>
      </w:tr>
      <w:tr w:rsidR="00DE0D97" w:rsidRPr="00A60FD5" w14:paraId="6E8835EF" w14:textId="77777777" w:rsidTr="00EB08AC">
        <w:trPr>
          <w:trHeight w:hRule="exact" w:val="498"/>
        </w:trPr>
        <w:tc>
          <w:tcPr>
            <w:tcW w:w="3261" w:type="dxa"/>
            <w:tcBorders>
              <w:top w:val="nil"/>
              <w:left w:val="nil"/>
              <w:bottom w:val="nil"/>
              <w:right w:val="nil"/>
            </w:tcBorders>
          </w:tcPr>
          <w:p w14:paraId="70A63660" w14:textId="0B286293" w:rsidR="003873B1" w:rsidRPr="00A60FD5" w:rsidDel="00C17713" w:rsidRDefault="003873B1" w:rsidP="004539D9">
            <w:pPr>
              <w:spacing w:after="0"/>
              <w:rPr>
                <w:rFonts w:ascii="Times New Roman" w:hAnsi="Times New Roman" w:cs="Times New Roman"/>
                <w:sz w:val="18"/>
                <w:szCs w:val="18"/>
              </w:rPr>
            </w:pPr>
            <w:r w:rsidRPr="00A60FD5">
              <w:rPr>
                <w:rFonts w:ascii="Times New Roman" w:hAnsi="Times New Roman" w:cs="Times New Roman"/>
                <w:sz w:val="18"/>
                <w:szCs w:val="18"/>
              </w:rPr>
              <w:t xml:space="preserve">Technology intensity </w:t>
            </w:r>
          </w:p>
        </w:tc>
        <w:tc>
          <w:tcPr>
            <w:tcW w:w="850" w:type="dxa"/>
            <w:tcBorders>
              <w:top w:val="nil"/>
              <w:left w:val="nil"/>
              <w:bottom w:val="nil"/>
              <w:right w:val="nil"/>
            </w:tcBorders>
          </w:tcPr>
          <w:p w14:paraId="3380E86D" w14:textId="3C712393" w:rsidR="003873B1" w:rsidRPr="00A60FD5" w:rsidRDefault="003873B1" w:rsidP="00F4357D">
            <w:pPr>
              <w:spacing w:after="0"/>
              <w:jc w:val="center"/>
              <w:rPr>
                <w:rFonts w:ascii="Times New Roman" w:hAnsi="Times New Roman" w:cs="Times New Roman"/>
                <w:sz w:val="18"/>
                <w:szCs w:val="18"/>
              </w:rPr>
            </w:pPr>
          </w:p>
        </w:tc>
        <w:tc>
          <w:tcPr>
            <w:tcW w:w="851" w:type="dxa"/>
            <w:tcBorders>
              <w:top w:val="nil"/>
              <w:left w:val="nil"/>
              <w:bottom w:val="nil"/>
              <w:right w:val="nil"/>
            </w:tcBorders>
          </w:tcPr>
          <w:p w14:paraId="472079E5" w14:textId="188F63E1" w:rsidR="003873B1" w:rsidRPr="00A60FD5" w:rsidRDefault="00C67E54" w:rsidP="00F4357D">
            <w:pPr>
              <w:spacing w:after="0"/>
              <w:jc w:val="center"/>
              <w:rPr>
                <w:rFonts w:ascii="Times New Roman" w:hAnsi="Times New Roman" w:cs="Times New Roman"/>
                <w:sz w:val="18"/>
                <w:szCs w:val="18"/>
              </w:rPr>
            </w:pPr>
            <w:r w:rsidRPr="00A60FD5">
              <w:rPr>
                <w:rFonts w:ascii="Times New Roman" w:hAnsi="Times New Roman" w:cs="Times New Roman"/>
                <w:sz w:val="18"/>
                <w:szCs w:val="18"/>
              </w:rPr>
              <w:t>0.42**</w:t>
            </w:r>
          </w:p>
          <w:p w14:paraId="7361787C" w14:textId="151E9C4E" w:rsidR="00C67E54" w:rsidRPr="00A60FD5" w:rsidRDefault="00C67E54" w:rsidP="00F4357D">
            <w:pPr>
              <w:spacing w:after="0"/>
              <w:jc w:val="center"/>
              <w:rPr>
                <w:rFonts w:ascii="Times New Roman" w:hAnsi="Times New Roman" w:cs="Times New Roman"/>
                <w:sz w:val="18"/>
                <w:szCs w:val="18"/>
              </w:rPr>
            </w:pPr>
            <w:r w:rsidRPr="00A60FD5">
              <w:rPr>
                <w:rFonts w:ascii="Times New Roman" w:hAnsi="Times New Roman" w:cs="Times New Roman"/>
                <w:sz w:val="18"/>
                <w:szCs w:val="18"/>
              </w:rPr>
              <w:t>(0.13)</w:t>
            </w:r>
          </w:p>
        </w:tc>
        <w:tc>
          <w:tcPr>
            <w:tcW w:w="992" w:type="dxa"/>
            <w:tcBorders>
              <w:top w:val="nil"/>
              <w:left w:val="nil"/>
              <w:bottom w:val="nil"/>
              <w:right w:val="dotted" w:sz="4" w:space="0" w:color="auto"/>
            </w:tcBorders>
          </w:tcPr>
          <w:p w14:paraId="7D58138C" w14:textId="1A0DE749" w:rsidR="003873B1" w:rsidRPr="00A60FD5" w:rsidRDefault="003873B1" w:rsidP="00F4357D">
            <w:pPr>
              <w:spacing w:after="0"/>
              <w:jc w:val="center"/>
              <w:rPr>
                <w:rFonts w:ascii="Times New Roman" w:hAnsi="Times New Roman" w:cs="Times New Roman"/>
                <w:sz w:val="18"/>
                <w:szCs w:val="18"/>
              </w:rPr>
            </w:pPr>
          </w:p>
        </w:tc>
        <w:tc>
          <w:tcPr>
            <w:tcW w:w="992" w:type="dxa"/>
            <w:tcBorders>
              <w:top w:val="nil"/>
              <w:left w:val="dotted" w:sz="4" w:space="0" w:color="auto"/>
              <w:bottom w:val="nil"/>
              <w:right w:val="nil"/>
            </w:tcBorders>
          </w:tcPr>
          <w:p w14:paraId="36F2CE48" w14:textId="0698DC80" w:rsidR="003873B1" w:rsidRPr="00A60FD5" w:rsidRDefault="003873B1" w:rsidP="00F4357D">
            <w:pPr>
              <w:spacing w:after="0"/>
              <w:jc w:val="center"/>
              <w:rPr>
                <w:rFonts w:ascii="Times New Roman" w:hAnsi="Times New Roman" w:cs="Times New Roman"/>
                <w:sz w:val="18"/>
                <w:szCs w:val="18"/>
              </w:rPr>
            </w:pPr>
          </w:p>
        </w:tc>
        <w:tc>
          <w:tcPr>
            <w:tcW w:w="851" w:type="dxa"/>
            <w:tcBorders>
              <w:top w:val="nil"/>
              <w:left w:val="nil"/>
              <w:bottom w:val="nil"/>
              <w:right w:val="nil"/>
            </w:tcBorders>
          </w:tcPr>
          <w:p w14:paraId="11F39C69" w14:textId="4FF76FA0" w:rsidR="003873B1" w:rsidRPr="00A60FD5" w:rsidRDefault="003873B1" w:rsidP="00F4357D">
            <w:pPr>
              <w:spacing w:after="0"/>
              <w:jc w:val="center"/>
              <w:rPr>
                <w:rFonts w:ascii="Times New Roman" w:hAnsi="Times New Roman" w:cs="Times New Roman"/>
                <w:sz w:val="18"/>
                <w:szCs w:val="18"/>
              </w:rPr>
            </w:pPr>
            <w:r w:rsidRPr="00A60FD5">
              <w:rPr>
                <w:rFonts w:ascii="Times New Roman" w:hAnsi="Times New Roman" w:cs="Times New Roman"/>
                <w:sz w:val="18"/>
                <w:szCs w:val="18"/>
              </w:rPr>
              <w:t>0.42**</w:t>
            </w:r>
          </w:p>
          <w:p w14:paraId="1BE073B4" w14:textId="070D8A47" w:rsidR="003873B1" w:rsidRPr="00A60FD5" w:rsidRDefault="003873B1" w:rsidP="00F4357D">
            <w:pPr>
              <w:spacing w:after="0"/>
              <w:jc w:val="center"/>
              <w:rPr>
                <w:rFonts w:ascii="Times New Roman" w:hAnsi="Times New Roman" w:cs="Times New Roman"/>
                <w:sz w:val="18"/>
                <w:szCs w:val="18"/>
              </w:rPr>
            </w:pPr>
            <w:r w:rsidRPr="00A60FD5">
              <w:rPr>
                <w:rFonts w:ascii="Times New Roman" w:hAnsi="Times New Roman" w:cs="Times New Roman"/>
                <w:sz w:val="18"/>
                <w:szCs w:val="18"/>
              </w:rPr>
              <w:t>(0.13)</w:t>
            </w:r>
          </w:p>
        </w:tc>
        <w:tc>
          <w:tcPr>
            <w:tcW w:w="850" w:type="dxa"/>
            <w:tcBorders>
              <w:top w:val="nil"/>
              <w:left w:val="nil"/>
              <w:bottom w:val="nil"/>
              <w:right w:val="dotted" w:sz="4" w:space="0" w:color="auto"/>
            </w:tcBorders>
          </w:tcPr>
          <w:p w14:paraId="0CC3882D" w14:textId="54A343C5" w:rsidR="003873B1" w:rsidRPr="00A60FD5" w:rsidRDefault="003873B1" w:rsidP="00F4357D">
            <w:pPr>
              <w:spacing w:after="0"/>
              <w:jc w:val="center"/>
              <w:rPr>
                <w:rFonts w:ascii="Times New Roman" w:hAnsi="Times New Roman" w:cs="Times New Roman"/>
                <w:sz w:val="18"/>
                <w:szCs w:val="18"/>
              </w:rPr>
            </w:pPr>
          </w:p>
        </w:tc>
        <w:tc>
          <w:tcPr>
            <w:tcW w:w="1134" w:type="dxa"/>
            <w:tcBorders>
              <w:top w:val="nil"/>
              <w:left w:val="dotted" w:sz="4" w:space="0" w:color="auto"/>
              <w:bottom w:val="nil"/>
              <w:right w:val="nil"/>
            </w:tcBorders>
          </w:tcPr>
          <w:p w14:paraId="444BDA46" w14:textId="3C7E0E3F" w:rsidR="003873B1" w:rsidRPr="00A60FD5" w:rsidRDefault="003873B1" w:rsidP="00F4357D">
            <w:pPr>
              <w:spacing w:after="0"/>
              <w:jc w:val="center"/>
              <w:rPr>
                <w:rFonts w:ascii="Times New Roman" w:hAnsi="Times New Roman" w:cs="Times New Roman"/>
                <w:sz w:val="18"/>
                <w:szCs w:val="18"/>
              </w:rPr>
            </w:pPr>
          </w:p>
        </w:tc>
        <w:tc>
          <w:tcPr>
            <w:tcW w:w="851" w:type="dxa"/>
            <w:tcBorders>
              <w:top w:val="nil"/>
              <w:left w:val="nil"/>
              <w:bottom w:val="nil"/>
              <w:right w:val="nil"/>
            </w:tcBorders>
          </w:tcPr>
          <w:p w14:paraId="15AAD713" w14:textId="62823280" w:rsidR="003873B1" w:rsidRPr="00A60FD5" w:rsidRDefault="003873B1" w:rsidP="00F4357D">
            <w:pPr>
              <w:spacing w:after="0"/>
              <w:jc w:val="center"/>
              <w:rPr>
                <w:rFonts w:ascii="Times New Roman" w:hAnsi="Times New Roman" w:cs="Times New Roman"/>
                <w:sz w:val="18"/>
                <w:szCs w:val="18"/>
              </w:rPr>
            </w:pPr>
            <w:r w:rsidRPr="00A60FD5">
              <w:rPr>
                <w:rFonts w:ascii="Times New Roman" w:hAnsi="Times New Roman" w:cs="Times New Roman"/>
                <w:sz w:val="18"/>
                <w:szCs w:val="18"/>
              </w:rPr>
              <w:t>0.43**</w:t>
            </w:r>
          </w:p>
          <w:p w14:paraId="2D01848D" w14:textId="2CCD48F7" w:rsidR="003873B1" w:rsidRPr="00A60FD5" w:rsidRDefault="003873B1" w:rsidP="00F4357D">
            <w:pPr>
              <w:spacing w:after="0"/>
              <w:jc w:val="center"/>
              <w:rPr>
                <w:rFonts w:ascii="Times New Roman" w:hAnsi="Times New Roman" w:cs="Times New Roman"/>
                <w:sz w:val="18"/>
                <w:szCs w:val="18"/>
              </w:rPr>
            </w:pPr>
            <w:r w:rsidRPr="00A60FD5">
              <w:rPr>
                <w:rFonts w:ascii="Times New Roman" w:hAnsi="Times New Roman" w:cs="Times New Roman"/>
                <w:sz w:val="18"/>
                <w:szCs w:val="18"/>
              </w:rPr>
              <w:t>(0.14)</w:t>
            </w:r>
          </w:p>
        </w:tc>
        <w:tc>
          <w:tcPr>
            <w:tcW w:w="992" w:type="dxa"/>
            <w:tcBorders>
              <w:top w:val="nil"/>
              <w:left w:val="nil"/>
              <w:bottom w:val="nil"/>
              <w:right w:val="nil"/>
            </w:tcBorders>
          </w:tcPr>
          <w:p w14:paraId="2E46D5E3" w14:textId="608E6DA5" w:rsidR="003873B1" w:rsidRPr="00A60FD5" w:rsidRDefault="003873B1" w:rsidP="00F4357D">
            <w:pPr>
              <w:spacing w:after="0"/>
              <w:jc w:val="center"/>
              <w:rPr>
                <w:rFonts w:ascii="Times New Roman" w:hAnsi="Times New Roman" w:cs="Times New Roman"/>
                <w:sz w:val="18"/>
                <w:szCs w:val="18"/>
              </w:rPr>
            </w:pPr>
          </w:p>
        </w:tc>
      </w:tr>
      <w:tr w:rsidR="00DE0D97" w:rsidRPr="00A60FD5" w14:paraId="21E6B0FB" w14:textId="77777777" w:rsidTr="00EB08AC">
        <w:trPr>
          <w:trHeight w:hRule="exact" w:val="504"/>
        </w:trPr>
        <w:tc>
          <w:tcPr>
            <w:tcW w:w="3261" w:type="dxa"/>
            <w:tcBorders>
              <w:top w:val="nil"/>
              <w:left w:val="nil"/>
              <w:bottom w:val="nil"/>
              <w:right w:val="nil"/>
            </w:tcBorders>
          </w:tcPr>
          <w:p w14:paraId="386667B0" w14:textId="43F124D3" w:rsidR="003873B1" w:rsidRPr="00A60FD5" w:rsidRDefault="003873B1" w:rsidP="004539D9">
            <w:pPr>
              <w:spacing w:after="0"/>
              <w:rPr>
                <w:rFonts w:ascii="Times New Roman" w:hAnsi="Times New Roman" w:cs="Times New Roman"/>
                <w:sz w:val="18"/>
                <w:szCs w:val="18"/>
              </w:rPr>
            </w:pPr>
            <w:r w:rsidRPr="00A60FD5">
              <w:rPr>
                <w:rFonts w:ascii="Times New Roman" w:hAnsi="Times New Roman" w:cs="Times New Roman"/>
                <w:sz w:val="18"/>
                <w:szCs w:val="18"/>
              </w:rPr>
              <w:t xml:space="preserve">Third assistance for partner identification </w:t>
            </w:r>
          </w:p>
        </w:tc>
        <w:tc>
          <w:tcPr>
            <w:tcW w:w="850" w:type="dxa"/>
            <w:tcBorders>
              <w:top w:val="nil"/>
              <w:left w:val="nil"/>
              <w:bottom w:val="nil"/>
              <w:right w:val="nil"/>
            </w:tcBorders>
          </w:tcPr>
          <w:p w14:paraId="4BA4AF0B" w14:textId="59E64D2A" w:rsidR="003873B1" w:rsidRPr="00A60FD5" w:rsidRDefault="003873B1" w:rsidP="00F4357D">
            <w:pPr>
              <w:spacing w:after="0"/>
              <w:jc w:val="center"/>
              <w:rPr>
                <w:rFonts w:ascii="Times New Roman" w:hAnsi="Times New Roman" w:cs="Times New Roman"/>
                <w:sz w:val="18"/>
                <w:szCs w:val="18"/>
              </w:rPr>
            </w:pPr>
          </w:p>
        </w:tc>
        <w:tc>
          <w:tcPr>
            <w:tcW w:w="851" w:type="dxa"/>
            <w:tcBorders>
              <w:top w:val="nil"/>
              <w:left w:val="nil"/>
              <w:bottom w:val="nil"/>
              <w:right w:val="nil"/>
            </w:tcBorders>
          </w:tcPr>
          <w:p w14:paraId="525F1428" w14:textId="77777777" w:rsidR="003873B1" w:rsidRPr="00A60FD5" w:rsidRDefault="00C67E54" w:rsidP="00F4357D">
            <w:pPr>
              <w:spacing w:after="0"/>
              <w:jc w:val="center"/>
              <w:rPr>
                <w:rFonts w:ascii="Times New Roman" w:hAnsi="Times New Roman" w:cs="Times New Roman"/>
                <w:sz w:val="18"/>
                <w:szCs w:val="18"/>
              </w:rPr>
            </w:pPr>
            <w:r w:rsidRPr="00A60FD5">
              <w:rPr>
                <w:rFonts w:ascii="Times New Roman" w:hAnsi="Times New Roman" w:cs="Times New Roman"/>
                <w:sz w:val="18"/>
                <w:szCs w:val="18"/>
              </w:rPr>
              <w:t>1.22***</w:t>
            </w:r>
          </w:p>
          <w:p w14:paraId="1EE88325" w14:textId="094884D9" w:rsidR="00C67E54" w:rsidRPr="00A60FD5" w:rsidRDefault="00C67E54" w:rsidP="00F4357D">
            <w:pPr>
              <w:spacing w:after="0"/>
              <w:jc w:val="center"/>
              <w:rPr>
                <w:rFonts w:ascii="Times New Roman" w:hAnsi="Times New Roman" w:cs="Times New Roman"/>
                <w:sz w:val="18"/>
                <w:szCs w:val="18"/>
              </w:rPr>
            </w:pPr>
            <w:r w:rsidRPr="00A60FD5">
              <w:rPr>
                <w:rFonts w:ascii="Times New Roman" w:hAnsi="Times New Roman" w:cs="Times New Roman"/>
                <w:sz w:val="18"/>
                <w:szCs w:val="18"/>
              </w:rPr>
              <w:t>(0.35)</w:t>
            </w:r>
          </w:p>
        </w:tc>
        <w:tc>
          <w:tcPr>
            <w:tcW w:w="992" w:type="dxa"/>
            <w:tcBorders>
              <w:top w:val="nil"/>
              <w:left w:val="nil"/>
              <w:bottom w:val="nil"/>
              <w:right w:val="dotted" w:sz="4" w:space="0" w:color="auto"/>
            </w:tcBorders>
          </w:tcPr>
          <w:p w14:paraId="507E27B7" w14:textId="19AA8E8D" w:rsidR="003873B1" w:rsidRPr="00A60FD5" w:rsidRDefault="003873B1" w:rsidP="00F4357D">
            <w:pPr>
              <w:spacing w:after="0"/>
              <w:jc w:val="center"/>
              <w:rPr>
                <w:rFonts w:ascii="Times New Roman" w:hAnsi="Times New Roman" w:cs="Times New Roman"/>
                <w:sz w:val="18"/>
                <w:szCs w:val="18"/>
              </w:rPr>
            </w:pPr>
          </w:p>
        </w:tc>
        <w:tc>
          <w:tcPr>
            <w:tcW w:w="992" w:type="dxa"/>
            <w:tcBorders>
              <w:top w:val="nil"/>
              <w:left w:val="dotted" w:sz="4" w:space="0" w:color="auto"/>
              <w:bottom w:val="nil"/>
              <w:right w:val="nil"/>
            </w:tcBorders>
          </w:tcPr>
          <w:p w14:paraId="12C6736C" w14:textId="02D3C23C" w:rsidR="003873B1" w:rsidRPr="00A60FD5" w:rsidRDefault="003873B1" w:rsidP="00F4357D">
            <w:pPr>
              <w:spacing w:after="0"/>
              <w:jc w:val="center"/>
              <w:rPr>
                <w:rFonts w:ascii="Times New Roman" w:hAnsi="Times New Roman" w:cs="Times New Roman"/>
                <w:sz w:val="18"/>
                <w:szCs w:val="18"/>
              </w:rPr>
            </w:pPr>
          </w:p>
        </w:tc>
        <w:tc>
          <w:tcPr>
            <w:tcW w:w="851" w:type="dxa"/>
            <w:tcBorders>
              <w:top w:val="nil"/>
              <w:left w:val="nil"/>
              <w:bottom w:val="nil"/>
              <w:right w:val="nil"/>
            </w:tcBorders>
          </w:tcPr>
          <w:p w14:paraId="2D7E7812" w14:textId="77777777" w:rsidR="003873B1" w:rsidRPr="00A60FD5" w:rsidRDefault="003873B1" w:rsidP="00F4357D">
            <w:pPr>
              <w:spacing w:after="0"/>
              <w:jc w:val="center"/>
              <w:rPr>
                <w:rFonts w:ascii="Times New Roman" w:hAnsi="Times New Roman" w:cs="Times New Roman"/>
                <w:sz w:val="18"/>
                <w:szCs w:val="18"/>
              </w:rPr>
            </w:pPr>
            <w:r w:rsidRPr="00A60FD5">
              <w:rPr>
                <w:rFonts w:ascii="Times New Roman" w:hAnsi="Times New Roman" w:cs="Times New Roman"/>
                <w:sz w:val="18"/>
                <w:szCs w:val="18"/>
              </w:rPr>
              <w:t>1.23***</w:t>
            </w:r>
          </w:p>
          <w:p w14:paraId="6246A4D7" w14:textId="037D7EB5" w:rsidR="003873B1" w:rsidRPr="00A60FD5" w:rsidRDefault="003873B1" w:rsidP="00F4357D">
            <w:pPr>
              <w:spacing w:after="0"/>
              <w:jc w:val="center"/>
              <w:rPr>
                <w:rFonts w:ascii="Times New Roman" w:hAnsi="Times New Roman" w:cs="Times New Roman"/>
                <w:sz w:val="18"/>
                <w:szCs w:val="18"/>
              </w:rPr>
            </w:pPr>
            <w:r w:rsidRPr="00A60FD5">
              <w:rPr>
                <w:rFonts w:ascii="Times New Roman" w:hAnsi="Times New Roman" w:cs="Times New Roman"/>
                <w:sz w:val="18"/>
                <w:szCs w:val="18"/>
              </w:rPr>
              <w:t>(0.35)</w:t>
            </w:r>
          </w:p>
        </w:tc>
        <w:tc>
          <w:tcPr>
            <w:tcW w:w="850" w:type="dxa"/>
            <w:tcBorders>
              <w:top w:val="nil"/>
              <w:left w:val="nil"/>
              <w:bottom w:val="nil"/>
              <w:right w:val="dotted" w:sz="4" w:space="0" w:color="auto"/>
            </w:tcBorders>
          </w:tcPr>
          <w:p w14:paraId="578447E1" w14:textId="77AB5CA1" w:rsidR="003873B1" w:rsidRPr="00A60FD5" w:rsidRDefault="003873B1" w:rsidP="00F4357D">
            <w:pPr>
              <w:spacing w:after="0"/>
              <w:jc w:val="center"/>
              <w:rPr>
                <w:rFonts w:ascii="Times New Roman" w:hAnsi="Times New Roman" w:cs="Times New Roman"/>
                <w:sz w:val="18"/>
                <w:szCs w:val="18"/>
              </w:rPr>
            </w:pPr>
          </w:p>
        </w:tc>
        <w:tc>
          <w:tcPr>
            <w:tcW w:w="1134" w:type="dxa"/>
            <w:tcBorders>
              <w:top w:val="nil"/>
              <w:left w:val="dotted" w:sz="4" w:space="0" w:color="auto"/>
              <w:bottom w:val="nil"/>
              <w:right w:val="nil"/>
            </w:tcBorders>
          </w:tcPr>
          <w:p w14:paraId="08C65EFB" w14:textId="16B8B59A" w:rsidR="003873B1" w:rsidRPr="00A60FD5" w:rsidRDefault="003873B1" w:rsidP="00F4357D">
            <w:pPr>
              <w:spacing w:after="0"/>
              <w:jc w:val="center"/>
              <w:rPr>
                <w:rFonts w:ascii="Times New Roman" w:hAnsi="Times New Roman" w:cs="Times New Roman"/>
                <w:sz w:val="18"/>
                <w:szCs w:val="18"/>
              </w:rPr>
            </w:pPr>
          </w:p>
        </w:tc>
        <w:tc>
          <w:tcPr>
            <w:tcW w:w="851" w:type="dxa"/>
            <w:tcBorders>
              <w:top w:val="nil"/>
              <w:left w:val="nil"/>
              <w:bottom w:val="nil"/>
              <w:right w:val="nil"/>
            </w:tcBorders>
          </w:tcPr>
          <w:p w14:paraId="4D2771BC" w14:textId="77777777" w:rsidR="003873B1" w:rsidRPr="00A60FD5" w:rsidRDefault="003873B1" w:rsidP="00F4357D">
            <w:pPr>
              <w:spacing w:after="0"/>
              <w:jc w:val="center"/>
              <w:rPr>
                <w:rFonts w:ascii="Times New Roman" w:hAnsi="Times New Roman" w:cs="Times New Roman"/>
                <w:sz w:val="18"/>
                <w:szCs w:val="18"/>
              </w:rPr>
            </w:pPr>
            <w:r w:rsidRPr="00A60FD5">
              <w:rPr>
                <w:rFonts w:ascii="Times New Roman" w:hAnsi="Times New Roman" w:cs="Times New Roman"/>
                <w:sz w:val="18"/>
                <w:szCs w:val="18"/>
              </w:rPr>
              <w:t>1.34***</w:t>
            </w:r>
          </w:p>
          <w:p w14:paraId="3D36674D" w14:textId="7D431BF9" w:rsidR="003873B1" w:rsidRPr="00A60FD5" w:rsidRDefault="003873B1" w:rsidP="00F4357D">
            <w:pPr>
              <w:spacing w:after="0"/>
              <w:jc w:val="center"/>
              <w:rPr>
                <w:rFonts w:ascii="Times New Roman" w:hAnsi="Times New Roman" w:cs="Times New Roman"/>
                <w:sz w:val="18"/>
                <w:szCs w:val="18"/>
              </w:rPr>
            </w:pPr>
            <w:r w:rsidRPr="00A60FD5">
              <w:rPr>
                <w:rFonts w:ascii="Times New Roman" w:hAnsi="Times New Roman" w:cs="Times New Roman"/>
                <w:sz w:val="18"/>
                <w:szCs w:val="18"/>
              </w:rPr>
              <w:t>(0.33)</w:t>
            </w:r>
          </w:p>
        </w:tc>
        <w:tc>
          <w:tcPr>
            <w:tcW w:w="992" w:type="dxa"/>
            <w:tcBorders>
              <w:top w:val="nil"/>
              <w:left w:val="nil"/>
              <w:bottom w:val="nil"/>
              <w:right w:val="nil"/>
            </w:tcBorders>
          </w:tcPr>
          <w:p w14:paraId="6B25BD93" w14:textId="445CE55C" w:rsidR="003873B1" w:rsidRPr="00A60FD5" w:rsidRDefault="003873B1" w:rsidP="00F4357D">
            <w:pPr>
              <w:spacing w:after="0"/>
              <w:jc w:val="center"/>
              <w:rPr>
                <w:rFonts w:ascii="Times New Roman" w:hAnsi="Times New Roman" w:cs="Times New Roman"/>
                <w:sz w:val="18"/>
                <w:szCs w:val="18"/>
              </w:rPr>
            </w:pPr>
          </w:p>
        </w:tc>
      </w:tr>
      <w:tr w:rsidR="00DE0D97" w:rsidRPr="00A60FD5" w14:paraId="706685AC" w14:textId="77777777" w:rsidTr="00EB08AC">
        <w:trPr>
          <w:trHeight w:hRule="exact" w:val="504"/>
        </w:trPr>
        <w:tc>
          <w:tcPr>
            <w:tcW w:w="3261" w:type="dxa"/>
            <w:tcBorders>
              <w:top w:val="nil"/>
              <w:left w:val="nil"/>
              <w:bottom w:val="dashSmallGap" w:sz="4" w:space="0" w:color="auto"/>
              <w:right w:val="nil"/>
            </w:tcBorders>
          </w:tcPr>
          <w:p w14:paraId="26D970D9" w14:textId="249528BC" w:rsidR="003873B1" w:rsidRPr="00A60FD5" w:rsidRDefault="003873B1" w:rsidP="004539D9">
            <w:pPr>
              <w:spacing w:after="0"/>
              <w:rPr>
                <w:rFonts w:ascii="Times New Roman" w:hAnsi="Times New Roman" w:cs="Times New Roman"/>
                <w:sz w:val="18"/>
                <w:szCs w:val="18"/>
              </w:rPr>
            </w:pPr>
            <w:r w:rsidRPr="00A60FD5">
              <w:rPr>
                <w:rFonts w:ascii="Times New Roman" w:hAnsi="Times New Roman" w:cs="Times New Roman"/>
                <w:sz w:val="18"/>
                <w:szCs w:val="18"/>
              </w:rPr>
              <w:t>Intercept</w:t>
            </w:r>
          </w:p>
        </w:tc>
        <w:tc>
          <w:tcPr>
            <w:tcW w:w="850" w:type="dxa"/>
            <w:tcBorders>
              <w:top w:val="nil"/>
              <w:left w:val="nil"/>
              <w:bottom w:val="dashSmallGap" w:sz="4" w:space="0" w:color="auto"/>
              <w:right w:val="nil"/>
            </w:tcBorders>
          </w:tcPr>
          <w:p w14:paraId="7258F886" w14:textId="77777777" w:rsidR="003873B1" w:rsidRPr="00A60FD5" w:rsidRDefault="00F4357D" w:rsidP="00F4357D">
            <w:pPr>
              <w:spacing w:after="0"/>
              <w:jc w:val="center"/>
              <w:rPr>
                <w:rFonts w:ascii="Times New Roman" w:hAnsi="Times New Roman" w:cs="Times New Roman"/>
                <w:sz w:val="18"/>
                <w:szCs w:val="18"/>
              </w:rPr>
            </w:pPr>
            <w:r w:rsidRPr="00A60FD5">
              <w:rPr>
                <w:rFonts w:ascii="Times New Roman" w:hAnsi="Times New Roman" w:cs="Times New Roman"/>
                <w:sz w:val="18"/>
                <w:szCs w:val="18"/>
              </w:rPr>
              <w:t>1.72*</w:t>
            </w:r>
          </w:p>
          <w:p w14:paraId="7ECB0D18" w14:textId="0A6CE5FF" w:rsidR="00F4357D" w:rsidRPr="00A60FD5" w:rsidRDefault="00F4357D" w:rsidP="00F4357D">
            <w:pPr>
              <w:spacing w:after="0"/>
              <w:jc w:val="center"/>
              <w:rPr>
                <w:rFonts w:ascii="Times New Roman" w:hAnsi="Times New Roman" w:cs="Times New Roman"/>
                <w:sz w:val="18"/>
                <w:szCs w:val="18"/>
              </w:rPr>
            </w:pPr>
            <w:r w:rsidRPr="00A60FD5">
              <w:rPr>
                <w:rFonts w:ascii="Times New Roman" w:hAnsi="Times New Roman" w:cs="Times New Roman"/>
                <w:sz w:val="18"/>
                <w:szCs w:val="18"/>
              </w:rPr>
              <w:t>(0.82)</w:t>
            </w:r>
          </w:p>
        </w:tc>
        <w:tc>
          <w:tcPr>
            <w:tcW w:w="851" w:type="dxa"/>
            <w:tcBorders>
              <w:top w:val="nil"/>
              <w:left w:val="nil"/>
              <w:bottom w:val="dashSmallGap" w:sz="4" w:space="0" w:color="auto"/>
              <w:right w:val="nil"/>
            </w:tcBorders>
          </w:tcPr>
          <w:p w14:paraId="65858124" w14:textId="77777777" w:rsidR="003873B1" w:rsidRPr="00A60FD5" w:rsidRDefault="00C67E54" w:rsidP="00F4357D">
            <w:pPr>
              <w:spacing w:after="0"/>
              <w:jc w:val="center"/>
              <w:rPr>
                <w:rFonts w:ascii="Times New Roman" w:hAnsi="Times New Roman"/>
                <w:sz w:val="18"/>
                <w:szCs w:val="20"/>
              </w:rPr>
            </w:pPr>
            <w:r w:rsidRPr="00A60FD5">
              <w:rPr>
                <w:rFonts w:ascii="Times New Roman" w:hAnsi="Times New Roman" w:cs="Times New Roman"/>
                <w:sz w:val="18"/>
                <w:szCs w:val="18"/>
              </w:rPr>
              <w:t>1.95</w:t>
            </w:r>
            <w:r w:rsidRPr="00A60FD5">
              <w:rPr>
                <w:rFonts w:ascii="Times New Roman" w:hAnsi="Times New Roman"/>
                <w:sz w:val="18"/>
                <w:szCs w:val="20"/>
              </w:rPr>
              <w:t>†</w:t>
            </w:r>
          </w:p>
          <w:p w14:paraId="4EC250DF" w14:textId="4DB81C85" w:rsidR="00C67E54" w:rsidRPr="00A60FD5" w:rsidRDefault="00C67E54" w:rsidP="00F4357D">
            <w:pPr>
              <w:spacing w:after="0"/>
              <w:jc w:val="center"/>
              <w:rPr>
                <w:rFonts w:ascii="Times New Roman" w:hAnsi="Times New Roman" w:cs="Times New Roman"/>
                <w:sz w:val="18"/>
                <w:szCs w:val="18"/>
              </w:rPr>
            </w:pPr>
            <w:r w:rsidRPr="00A60FD5">
              <w:rPr>
                <w:rFonts w:ascii="Times New Roman" w:hAnsi="Times New Roman"/>
                <w:sz w:val="18"/>
                <w:szCs w:val="20"/>
              </w:rPr>
              <w:t>(1.02)</w:t>
            </w:r>
          </w:p>
        </w:tc>
        <w:tc>
          <w:tcPr>
            <w:tcW w:w="992" w:type="dxa"/>
            <w:tcBorders>
              <w:top w:val="nil"/>
              <w:left w:val="nil"/>
              <w:bottom w:val="dashSmallGap" w:sz="4" w:space="0" w:color="auto"/>
              <w:right w:val="dotted" w:sz="4" w:space="0" w:color="auto"/>
            </w:tcBorders>
          </w:tcPr>
          <w:p w14:paraId="328562AB" w14:textId="77777777" w:rsidR="003873B1" w:rsidRPr="00A60FD5" w:rsidRDefault="008E23C0" w:rsidP="00F4357D">
            <w:pPr>
              <w:spacing w:after="0"/>
              <w:jc w:val="center"/>
              <w:rPr>
                <w:rFonts w:ascii="Times New Roman" w:hAnsi="Times New Roman" w:cs="Times New Roman"/>
                <w:sz w:val="18"/>
                <w:szCs w:val="18"/>
              </w:rPr>
            </w:pPr>
            <w:r w:rsidRPr="00A60FD5">
              <w:rPr>
                <w:rFonts w:ascii="Times New Roman" w:hAnsi="Times New Roman" w:cs="Times New Roman"/>
                <w:sz w:val="18"/>
                <w:szCs w:val="18"/>
              </w:rPr>
              <w:t>-0.64</w:t>
            </w:r>
          </w:p>
          <w:p w14:paraId="0FA55E4C" w14:textId="705AF45B" w:rsidR="008E23C0" w:rsidRPr="00A60FD5" w:rsidRDefault="008E23C0" w:rsidP="00F4357D">
            <w:pPr>
              <w:spacing w:after="0"/>
              <w:jc w:val="center"/>
              <w:rPr>
                <w:rFonts w:ascii="Times New Roman" w:hAnsi="Times New Roman" w:cs="Times New Roman"/>
                <w:sz w:val="18"/>
                <w:szCs w:val="18"/>
              </w:rPr>
            </w:pPr>
            <w:r w:rsidRPr="00A60FD5">
              <w:rPr>
                <w:rFonts w:ascii="Times New Roman" w:hAnsi="Times New Roman" w:cs="Times New Roman"/>
                <w:sz w:val="18"/>
                <w:szCs w:val="18"/>
              </w:rPr>
              <w:t>(1.44)</w:t>
            </w:r>
          </w:p>
        </w:tc>
        <w:tc>
          <w:tcPr>
            <w:tcW w:w="992" w:type="dxa"/>
            <w:tcBorders>
              <w:top w:val="nil"/>
              <w:left w:val="dotted" w:sz="4" w:space="0" w:color="auto"/>
              <w:bottom w:val="dashSmallGap" w:sz="4" w:space="0" w:color="auto"/>
              <w:right w:val="nil"/>
            </w:tcBorders>
          </w:tcPr>
          <w:p w14:paraId="6B832B68" w14:textId="77777777" w:rsidR="003873B1" w:rsidRPr="00A60FD5" w:rsidRDefault="003873B1" w:rsidP="00F4357D">
            <w:pPr>
              <w:spacing w:after="0"/>
              <w:jc w:val="center"/>
              <w:rPr>
                <w:rFonts w:ascii="Times New Roman" w:hAnsi="Times New Roman" w:cs="Times New Roman"/>
                <w:sz w:val="18"/>
                <w:szCs w:val="18"/>
              </w:rPr>
            </w:pPr>
            <w:r w:rsidRPr="00A60FD5">
              <w:rPr>
                <w:rFonts w:ascii="Times New Roman" w:hAnsi="Times New Roman" w:cs="Times New Roman"/>
                <w:sz w:val="18"/>
                <w:szCs w:val="18"/>
              </w:rPr>
              <w:t>1.72*</w:t>
            </w:r>
          </w:p>
          <w:p w14:paraId="561F3092" w14:textId="05609C79" w:rsidR="003873B1" w:rsidRPr="00A60FD5" w:rsidRDefault="003873B1" w:rsidP="00F4357D">
            <w:pPr>
              <w:spacing w:after="0"/>
              <w:jc w:val="center"/>
              <w:rPr>
                <w:rFonts w:ascii="Times New Roman" w:hAnsi="Times New Roman" w:cs="Times New Roman"/>
                <w:sz w:val="18"/>
                <w:szCs w:val="18"/>
              </w:rPr>
            </w:pPr>
            <w:r w:rsidRPr="00A60FD5">
              <w:rPr>
                <w:rFonts w:ascii="Times New Roman" w:hAnsi="Times New Roman" w:cs="Times New Roman"/>
                <w:sz w:val="18"/>
                <w:szCs w:val="18"/>
              </w:rPr>
              <w:t>(0.82)</w:t>
            </w:r>
          </w:p>
        </w:tc>
        <w:tc>
          <w:tcPr>
            <w:tcW w:w="851" w:type="dxa"/>
            <w:tcBorders>
              <w:top w:val="nil"/>
              <w:left w:val="nil"/>
              <w:bottom w:val="dashSmallGap" w:sz="4" w:space="0" w:color="auto"/>
              <w:right w:val="nil"/>
            </w:tcBorders>
          </w:tcPr>
          <w:p w14:paraId="00729D21" w14:textId="77777777" w:rsidR="003873B1" w:rsidRPr="00A60FD5" w:rsidRDefault="003873B1" w:rsidP="00F4357D">
            <w:pPr>
              <w:spacing w:after="0"/>
              <w:jc w:val="center"/>
              <w:rPr>
                <w:rFonts w:ascii="Times New Roman" w:hAnsi="Times New Roman" w:cs="Times New Roman"/>
                <w:sz w:val="18"/>
                <w:szCs w:val="18"/>
              </w:rPr>
            </w:pPr>
            <w:r w:rsidRPr="00A60FD5">
              <w:rPr>
                <w:rFonts w:ascii="Times New Roman" w:hAnsi="Times New Roman" w:cs="Times New Roman"/>
                <w:sz w:val="18"/>
                <w:szCs w:val="18"/>
              </w:rPr>
              <w:t>1.95*</w:t>
            </w:r>
          </w:p>
          <w:p w14:paraId="05973C44" w14:textId="2B41ED84" w:rsidR="003873B1" w:rsidRPr="00A60FD5" w:rsidRDefault="003873B1" w:rsidP="00F4357D">
            <w:pPr>
              <w:spacing w:after="0"/>
              <w:jc w:val="center"/>
              <w:rPr>
                <w:rFonts w:ascii="Times New Roman" w:hAnsi="Times New Roman" w:cs="Times New Roman"/>
                <w:sz w:val="18"/>
                <w:szCs w:val="18"/>
              </w:rPr>
            </w:pPr>
            <w:r w:rsidRPr="00A60FD5">
              <w:rPr>
                <w:rFonts w:ascii="Times New Roman" w:hAnsi="Times New Roman" w:cs="Times New Roman"/>
                <w:sz w:val="18"/>
                <w:szCs w:val="18"/>
              </w:rPr>
              <w:t>(1.02)</w:t>
            </w:r>
          </w:p>
        </w:tc>
        <w:tc>
          <w:tcPr>
            <w:tcW w:w="850" w:type="dxa"/>
            <w:tcBorders>
              <w:top w:val="nil"/>
              <w:left w:val="nil"/>
              <w:bottom w:val="dashSmallGap" w:sz="4" w:space="0" w:color="auto"/>
              <w:right w:val="dotted" w:sz="4" w:space="0" w:color="auto"/>
            </w:tcBorders>
          </w:tcPr>
          <w:p w14:paraId="3C0302CD" w14:textId="77777777" w:rsidR="003873B1" w:rsidRPr="00A60FD5" w:rsidRDefault="003873B1" w:rsidP="00F4357D">
            <w:pPr>
              <w:spacing w:after="0"/>
              <w:jc w:val="center"/>
              <w:rPr>
                <w:rFonts w:ascii="Times New Roman" w:hAnsi="Times New Roman" w:cs="Times New Roman"/>
                <w:sz w:val="18"/>
                <w:szCs w:val="18"/>
              </w:rPr>
            </w:pPr>
            <w:r w:rsidRPr="00A60FD5">
              <w:rPr>
                <w:rFonts w:ascii="Times New Roman" w:hAnsi="Times New Roman" w:cs="Times New Roman"/>
                <w:sz w:val="18"/>
                <w:szCs w:val="18"/>
              </w:rPr>
              <w:t>-0.86</w:t>
            </w:r>
          </w:p>
          <w:p w14:paraId="15EFAD69" w14:textId="47BFBB9A" w:rsidR="003873B1" w:rsidRPr="00A60FD5" w:rsidRDefault="003873B1" w:rsidP="00F4357D">
            <w:pPr>
              <w:spacing w:after="0"/>
              <w:jc w:val="center"/>
              <w:rPr>
                <w:rFonts w:ascii="Times New Roman" w:hAnsi="Times New Roman" w:cs="Times New Roman"/>
                <w:sz w:val="18"/>
                <w:szCs w:val="18"/>
              </w:rPr>
            </w:pPr>
            <w:r w:rsidRPr="00A60FD5">
              <w:rPr>
                <w:rFonts w:ascii="Times New Roman" w:hAnsi="Times New Roman" w:cs="Times New Roman"/>
                <w:sz w:val="18"/>
                <w:szCs w:val="18"/>
              </w:rPr>
              <w:t>(3.20)</w:t>
            </w:r>
          </w:p>
        </w:tc>
        <w:tc>
          <w:tcPr>
            <w:tcW w:w="1134" w:type="dxa"/>
            <w:tcBorders>
              <w:top w:val="nil"/>
              <w:left w:val="dotted" w:sz="4" w:space="0" w:color="auto"/>
              <w:bottom w:val="dashSmallGap" w:sz="4" w:space="0" w:color="auto"/>
              <w:right w:val="nil"/>
            </w:tcBorders>
          </w:tcPr>
          <w:p w14:paraId="0A37A97F" w14:textId="77777777" w:rsidR="003873B1" w:rsidRPr="00A60FD5" w:rsidRDefault="00D36D90" w:rsidP="00F4357D">
            <w:pPr>
              <w:spacing w:after="0"/>
              <w:jc w:val="center"/>
              <w:rPr>
                <w:rFonts w:ascii="Times New Roman" w:hAnsi="Times New Roman" w:cs="Times New Roman"/>
                <w:sz w:val="18"/>
                <w:szCs w:val="18"/>
              </w:rPr>
            </w:pPr>
            <w:r w:rsidRPr="00A60FD5">
              <w:rPr>
                <w:rFonts w:ascii="Times New Roman" w:hAnsi="Times New Roman" w:cs="Times New Roman"/>
                <w:sz w:val="18"/>
                <w:szCs w:val="18"/>
              </w:rPr>
              <w:t>1.72*</w:t>
            </w:r>
          </w:p>
          <w:p w14:paraId="26DC4B2B" w14:textId="606FF27F" w:rsidR="00D36D90" w:rsidRPr="00A60FD5" w:rsidRDefault="00D36D90" w:rsidP="00F4357D">
            <w:pPr>
              <w:spacing w:after="0"/>
              <w:jc w:val="center"/>
              <w:rPr>
                <w:rFonts w:ascii="Times New Roman" w:hAnsi="Times New Roman" w:cs="Times New Roman"/>
                <w:sz w:val="18"/>
                <w:szCs w:val="18"/>
              </w:rPr>
            </w:pPr>
            <w:r w:rsidRPr="00A60FD5">
              <w:rPr>
                <w:rFonts w:ascii="Times New Roman" w:hAnsi="Times New Roman" w:cs="Times New Roman"/>
                <w:sz w:val="18"/>
                <w:szCs w:val="18"/>
              </w:rPr>
              <w:t>(0.82)</w:t>
            </w:r>
          </w:p>
        </w:tc>
        <w:tc>
          <w:tcPr>
            <w:tcW w:w="851" w:type="dxa"/>
            <w:tcBorders>
              <w:top w:val="nil"/>
              <w:left w:val="nil"/>
              <w:bottom w:val="dashSmallGap" w:sz="4" w:space="0" w:color="auto"/>
              <w:right w:val="nil"/>
            </w:tcBorders>
          </w:tcPr>
          <w:p w14:paraId="5A74F71B" w14:textId="77777777" w:rsidR="003873B1" w:rsidRPr="00A60FD5" w:rsidRDefault="003873B1" w:rsidP="00F4357D">
            <w:pPr>
              <w:spacing w:after="0"/>
              <w:jc w:val="center"/>
              <w:rPr>
                <w:rFonts w:ascii="Times New Roman" w:hAnsi="Times New Roman" w:cs="Times New Roman"/>
                <w:sz w:val="18"/>
                <w:szCs w:val="18"/>
              </w:rPr>
            </w:pPr>
            <w:r w:rsidRPr="00A60FD5">
              <w:rPr>
                <w:rFonts w:ascii="Times New Roman" w:hAnsi="Times New Roman" w:cs="Times New Roman"/>
                <w:sz w:val="18"/>
                <w:szCs w:val="18"/>
              </w:rPr>
              <w:t>1.93*</w:t>
            </w:r>
          </w:p>
          <w:p w14:paraId="6C3C8909" w14:textId="1FAAE19C" w:rsidR="003873B1" w:rsidRPr="00A60FD5" w:rsidRDefault="003873B1" w:rsidP="00F4357D">
            <w:pPr>
              <w:spacing w:after="0"/>
              <w:jc w:val="center"/>
              <w:rPr>
                <w:rFonts w:ascii="Times New Roman" w:hAnsi="Times New Roman" w:cs="Times New Roman"/>
                <w:sz w:val="18"/>
                <w:szCs w:val="18"/>
              </w:rPr>
            </w:pPr>
            <w:r w:rsidRPr="00A60FD5">
              <w:rPr>
                <w:rFonts w:ascii="Times New Roman" w:hAnsi="Times New Roman" w:cs="Times New Roman"/>
                <w:sz w:val="18"/>
                <w:szCs w:val="18"/>
              </w:rPr>
              <w:t>(1.01)</w:t>
            </w:r>
          </w:p>
        </w:tc>
        <w:tc>
          <w:tcPr>
            <w:tcW w:w="992" w:type="dxa"/>
            <w:tcBorders>
              <w:top w:val="nil"/>
              <w:left w:val="nil"/>
              <w:bottom w:val="dashSmallGap" w:sz="4" w:space="0" w:color="auto"/>
              <w:right w:val="nil"/>
            </w:tcBorders>
          </w:tcPr>
          <w:p w14:paraId="42D15DB8" w14:textId="77777777" w:rsidR="003873B1" w:rsidRPr="00A60FD5" w:rsidRDefault="003873B1" w:rsidP="00F4357D">
            <w:pPr>
              <w:spacing w:after="0"/>
              <w:jc w:val="center"/>
              <w:rPr>
                <w:rFonts w:ascii="Times New Roman" w:hAnsi="Times New Roman" w:cs="Times New Roman"/>
                <w:sz w:val="18"/>
                <w:szCs w:val="18"/>
              </w:rPr>
            </w:pPr>
            <w:r w:rsidRPr="00A60FD5">
              <w:rPr>
                <w:rFonts w:ascii="Times New Roman" w:hAnsi="Times New Roman" w:cs="Times New Roman"/>
                <w:sz w:val="18"/>
                <w:szCs w:val="18"/>
              </w:rPr>
              <w:t>-1.63</w:t>
            </w:r>
          </w:p>
          <w:p w14:paraId="696204FE" w14:textId="63B86E71" w:rsidR="003873B1" w:rsidRPr="00A60FD5" w:rsidRDefault="003873B1" w:rsidP="00F4357D">
            <w:pPr>
              <w:spacing w:after="0"/>
              <w:jc w:val="center"/>
              <w:rPr>
                <w:rFonts w:ascii="Times New Roman" w:hAnsi="Times New Roman" w:cs="Times New Roman"/>
                <w:sz w:val="18"/>
                <w:szCs w:val="18"/>
              </w:rPr>
            </w:pPr>
            <w:r w:rsidRPr="00A60FD5">
              <w:rPr>
                <w:rFonts w:ascii="Times New Roman" w:hAnsi="Times New Roman" w:cs="Times New Roman"/>
                <w:sz w:val="18"/>
                <w:szCs w:val="18"/>
              </w:rPr>
              <w:t>(1.58)</w:t>
            </w:r>
          </w:p>
        </w:tc>
      </w:tr>
      <w:tr w:rsidR="00DE0D97" w:rsidRPr="00A60FD5" w14:paraId="77F89708" w14:textId="77777777" w:rsidTr="00EB08AC">
        <w:trPr>
          <w:trHeight w:hRule="exact" w:val="948"/>
        </w:trPr>
        <w:tc>
          <w:tcPr>
            <w:tcW w:w="3261" w:type="dxa"/>
            <w:tcBorders>
              <w:top w:val="dashSmallGap" w:sz="4" w:space="0" w:color="auto"/>
              <w:left w:val="nil"/>
              <w:bottom w:val="nil"/>
              <w:right w:val="nil"/>
            </w:tcBorders>
          </w:tcPr>
          <w:p w14:paraId="5E8F929D" w14:textId="5A431B33" w:rsidR="003873B1" w:rsidRPr="00A60FD5" w:rsidRDefault="003873B1" w:rsidP="004539D9">
            <w:pPr>
              <w:spacing w:after="0"/>
              <w:rPr>
                <w:rFonts w:ascii="Times New Roman" w:hAnsi="Times New Roman" w:cs="Times New Roman"/>
                <w:sz w:val="18"/>
                <w:szCs w:val="18"/>
              </w:rPr>
            </w:pPr>
            <w:r w:rsidRPr="00A60FD5">
              <w:rPr>
                <w:rFonts w:ascii="Times New Roman" w:hAnsi="Times New Roman" w:cs="Times New Roman"/>
                <w:sz w:val="18"/>
                <w:szCs w:val="18"/>
              </w:rPr>
              <w:t>Wald chi2</w:t>
            </w:r>
          </w:p>
          <w:p w14:paraId="44F869E6" w14:textId="7ED865BB" w:rsidR="003873B1" w:rsidRPr="00A60FD5" w:rsidRDefault="003873B1" w:rsidP="004539D9">
            <w:pPr>
              <w:spacing w:after="0" w:line="240" w:lineRule="auto"/>
              <w:rPr>
                <w:rFonts w:ascii="Times New Roman" w:hAnsi="Times New Roman" w:cs="Times New Roman"/>
                <w:sz w:val="18"/>
                <w:szCs w:val="18"/>
              </w:rPr>
            </w:pPr>
            <w:r w:rsidRPr="00A60FD5">
              <w:rPr>
                <w:rFonts w:ascii="Times New Roman" w:hAnsi="Times New Roman" w:cs="Times New Roman"/>
                <w:sz w:val="18"/>
                <w:szCs w:val="18"/>
              </w:rPr>
              <w:t>Atanh-Rho</w:t>
            </w:r>
            <w:r w:rsidRPr="00A60FD5">
              <w:rPr>
                <w:rFonts w:ascii="Times New Roman" w:hAnsi="Times New Roman" w:cs="Times New Roman"/>
                <w:sz w:val="18"/>
                <w:szCs w:val="18"/>
                <w:vertAlign w:val="subscript"/>
              </w:rPr>
              <w:t>arb-monit</w:t>
            </w:r>
          </w:p>
          <w:p w14:paraId="090386BB" w14:textId="4EC3BD81" w:rsidR="003873B1" w:rsidRPr="00A60FD5" w:rsidRDefault="003873B1" w:rsidP="004539D9">
            <w:pPr>
              <w:spacing w:after="0" w:line="240" w:lineRule="auto"/>
              <w:rPr>
                <w:rFonts w:ascii="Times New Roman" w:hAnsi="Times New Roman" w:cs="Times New Roman"/>
                <w:sz w:val="18"/>
                <w:szCs w:val="18"/>
              </w:rPr>
            </w:pPr>
            <w:r w:rsidRPr="00A60FD5">
              <w:rPr>
                <w:rFonts w:ascii="Times New Roman" w:hAnsi="Times New Roman" w:cs="Times New Roman"/>
                <w:sz w:val="18"/>
                <w:szCs w:val="18"/>
              </w:rPr>
              <w:t>Atanh-Rho</w:t>
            </w:r>
            <w:r w:rsidRPr="00A60FD5">
              <w:rPr>
                <w:rFonts w:ascii="Times New Roman" w:hAnsi="Times New Roman" w:cs="Times New Roman"/>
                <w:sz w:val="18"/>
                <w:szCs w:val="18"/>
                <w:vertAlign w:val="subscript"/>
              </w:rPr>
              <w:t>arb-coord</w:t>
            </w:r>
          </w:p>
          <w:p w14:paraId="2A205B56" w14:textId="4649E065" w:rsidR="003873B1" w:rsidRPr="00A60FD5" w:rsidRDefault="003873B1" w:rsidP="002145BC">
            <w:pPr>
              <w:spacing w:after="0"/>
              <w:rPr>
                <w:rFonts w:ascii="Times New Roman" w:hAnsi="Times New Roman" w:cs="Times New Roman"/>
                <w:sz w:val="18"/>
                <w:szCs w:val="18"/>
              </w:rPr>
            </w:pPr>
            <w:r w:rsidRPr="00A60FD5">
              <w:rPr>
                <w:rFonts w:ascii="Times New Roman" w:hAnsi="Times New Roman" w:cs="Times New Roman"/>
                <w:sz w:val="18"/>
                <w:szCs w:val="18"/>
              </w:rPr>
              <w:t>Atanh-Rho</w:t>
            </w:r>
            <w:r w:rsidRPr="00A60FD5">
              <w:rPr>
                <w:rFonts w:ascii="Times New Roman" w:hAnsi="Times New Roman" w:cs="Times New Roman"/>
                <w:sz w:val="18"/>
                <w:szCs w:val="18"/>
                <w:vertAlign w:val="subscript"/>
              </w:rPr>
              <w:t>monit-coord</w:t>
            </w:r>
          </w:p>
        </w:tc>
        <w:tc>
          <w:tcPr>
            <w:tcW w:w="2693" w:type="dxa"/>
            <w:gridSpan w:val="3"/>
            <w:tcBorders>
              <w:top w:val="dashSmallGap" w:sz="4" w:space="0" w:color="auto"/>
              <w:left w:val="nil"/>
              <w:bottom w:val="nil"/>
              <w:right w:val="dotted" w:sz="4" w:space="0" w:color="auto"/>
            </w:tcBorders>
          </w:tcPr>
          <w:p w14:paraId="1EB50B92" w14:textId="10C18774" w:rsidR="003873B1" w:rsidRPr="00A60FD5" w:rsidRDefault="00D36D90" w:rsidP="00F4357D">
            <w:pPr>
              <w:spacing w:after="0"/>
              <w:jc w:val="center"/>
              <w:rPr>
                <w:rFonts w:ascii="Times New Roman" w:hAnsi="Times New Roman" w:cs="Times New Roman"/>
                <w:sz w:val="18"/>
                <w:szCs w:val="18"/>
              </w:rPr>
            </w:pPr>
            <w:r w:rsidRPr="00A60FD5">
              <w:rPr>
                <w:rFonts w:ascii="Times New Roman" w:hAnsi="Times New Roman" w:cs="Times New Roman"/>
                <w:sz w:val="18"/>
                <w:szCs w:val="18"/>
              </w:rPr>
              <w:t>401</w:t>
            </w:r>
            <w:r w:rsidR="003873B1" w:rsidRPr="00A60FD5">
              <w:rPr>
                <w:rFonts w:ascii="Times New Roman" w:hAnsi="Times New Roman" w:cs="Times New Roman"/>
                <w:sz w:val="18"/>
                <w:szCs w:val="18"/>
              </w:rPr>
              <w:t>.</w:t>
            </w:r>
            <w:r w:rsidRPr="00A60FD5">
              <w:rPr>
                <w:rFonts w:ascii="Times New Roman" w:hAnsi="Times New Roman" w:cs="Times New Roman"/>
                <w:sz w:val="18"/>
                <w:szCs w:val="18"/>
              </w:rPr>
              <w:t>25</w:t>
            </w:r>
          </w:p>
          <w:p w14:paraId="2289AC65" w14:textId="2F972A82" w:rsidR="003873B1" w:rsidRPr="00A60FD5" w:rsidRDefault="003873B1" w:rsidP="00F4357D">
            <w:pPr>
              <w:spacing w:after="0"/>
              <w:jc w:val="center"/>
              <w:rPr>
                <w:rFonts w:ascii="Times New Roman" w:hAnsi="Times New Roman" w:cs="Times New Roman"/>
                <w:sz w:val="18"/>
                <w:szCs w:val="18"/>
              </w:rPr>
            </w:pPr>
            <w:r w:rsidRPr="00A60FD5">
              <w:rPr>
                <w:rFonts w:ascii="Times New Roman" w:hAnsi="Times New Roman" w:cs="Times New Roman"/>
                <w:sz w:val="18"/>
                <w:szCs w:val="18"/>
              </w:rPr>
              <w:t>0.</w:t>
            </w:r>
            <w:r w:rsidR="00D36D90" w:rsidRPr="00A60FD5">
              <w:rPr>
                <w:rFonts w:ascii="Times New Roman" w:hAnsi="Times New Roman" w:cs="Times New Roman"/>
                <w:sz w:val="18"/>
                <w:szCs w:val="18"/>
              </w:rPr>
              <w:t>15</w:t>
            </w:r>
          </w:p>
          <w:p w14:paraId="2C8F2737" w14:textId="5546939E" w:rsidR="003873B1" w:rsidRPr="00A60FD5" w:rsidRDefault="00D36D90" w:rsidP="00F4357D">
            <w:pPr>
              <w:spacing w:after="0"/>
              <w:jc w:val="center"/>
              <w:rPr>
                <w:rFonts w:ascii="Times New Roman" w:hAnsi="Times New Roman" w:cs="Times New Roman"/>
                <w:sz w:val="18"/>
                <w:szCs w:val="18"/>
              </w:rPr>
            </w:pPr>
            <w:r w:rsidRPr="00A60FD5">
              <w:rPr>
                <w:rFonts w:ascii="Times New Roman" w:hAnsi="Times New Roman" w:cs="Times New Roman"/>
                <w:sz w:val="18"/>
                <w:szCs w:val="18"/>
              </w:rPr>
              <w:t>-</w:t>
            </w:r>
            <w:r w:rsidR="003873B1" w:rsidRPr="00A60FD5">
              <w:rPr>
                <w:rFonts w:ascii="Times New Roman" w:hAnsi="Times New Roman" w:cs="Times New Roman"/>
                <w:sz w:val="18"/>
                <w:szCs w:val="18"/>
              </w:rPr>
              <w:t>0.</w:t>
            </w:r>
            <w:r w:rsidRPr="00A60FD5">
              <w:rPr>
                <w:rFonts w:ascii="Times New Roman" w:hAnsi="Times New Roman" w:cs="Times New Roman"/>
                <w:sz w:val="18"/>
                <w:szCs w:val="18"/>
              </w:rPr>
              <w:t>04</w:t>
            </w:r>
          </w:p>
          <w:p w14:paraId="365CB707" w14:textId="0F99FECD" w:rsidR="003873B1" w:rsidRPr="00A60FD5" w:rsidRDefault="003873B1" w:rsidP="00F4357D">
            <w:pPr>
              <w:spacing w:after="0"/>
              <w:jc w:val="center"/>
              <w:rPr>
                <w:rFonts w:ascii="Times New Roman" w:hAnsi="Times New Roman" w:cs="Times New Roman"/>
                <w:sz w:val="18"/>
                <w:szCs w:val="18"/>
              </w:rPr>
            </w:pPr>
            <w:r w:rsidRPr="00A60FD5">
              <w:rPr>
                <w:rFonts w:ascii="Times New Roman" w:hAnsi="Times New Roman" w:cs="Times New Roman"/>
                <w:sz w:val="18"/>
                <w:szCs w:val="18"/>
              </w:rPr>
              <w:t>0.</w:t>
            </w:r>
            <w:r w:rsidR="00D36D90" w:rsidRPr="00A60FD5">
              <w:rPr>
                <w:rFonts w:ascii="Times New Roman" w:hAnsi="Times New Roman" w:cs="Times New Roman"/>
                <w:sz w:val="18"/>
                <w:szCs w:val="18"/>
              </w:rPr>
              <w:t>14</w:t>
            </w:r>
          </w:p>
        </w:tc>
        <w:tc>
          <w:tcPr>
            <w:tcW w:w="2693" w:type="dxa"/>
            <w:gridSpan w:val="3"/>
            <w:tcBorders>
              <w:top w:val="dashSmallGap" w:sz="4" w:space="0" w:color="auto"/>
              <w:left w:val="dotted" w:sz="4" w:space="0" w:color="auto"/>
              <w:bottom w:val="nil"/>
              <w:right w:val="dotted" w:sz="4" w:space="0" w:color="auto"/>
            </w:tcBorders>
          </w:tcPr>
          <w:p w14:paraId="1068077E" w14:textId="77FF5267" w:rsidR="003873B1" w:rsidRPr="00A60FD5" w:rsidRDefault="003873B1" w:rsidP="00F4357D">
            <w:pPr>
              <w:spacing w:after="0"/>
              <w:jc w:val="center"/>
              <w:rPr>
                <w:rFonts w:ascii="Times New Roman" w:hAnsi="Times New Roman" w:cs="Times New Roman"/>
                <w:sz w:val="18"/>
                <w:szCs w:val="18"/>
              </w:rPr>
            </w:pPr>
            <w:r w:rsidRPr="00A60FD5">
              <w:rPr>
                <w:rFonts w:ascii="Times New Roman" w:hAnsi="Times New Roman" w:cs="Times New Roman"/>
                <w:sz w:val="18"/>
                <w:szCs w:val="18"/>
              </w:rPr>
              <w:t>421.50</w:t>
            </w:r>
          </w:p>
          <w:p w14:paraId="434E4F45" w14:textId="190934E7" w:rsidR="003873B1" w:rsidRPr="00A60FD5" w:rsidRDefault="003873B1" w:rsidP="00F4357D">
            <w:pPr>
              <w:spacing w:after="0"/>
              <w:jc w:val="center"/>
              <w:rPr>
                <w:rFonts w:ascii="Times New Roman" w:hAnsi="Times New Roman" w:cs="Times New Roman"/>
                <w:sz w:val="18"/>
                <w:szCs w:val="18"/>
              </w:rPr>
            </w:pPr>
            <w:r w:rsidRPr="00A60FD5">
              <w:rPr>
                <w:rFonts w:ascii="Times New Roman" w:hAnsi="Times New Roman" w:cs="Times New Roman"/>
                <w:sz w:val="18"/>
                <w:szCs w:val="18"/>
              </w:rPr>
              <w:t>0.13</w:t>
            </w:r>
          </w:p>
          <w:p w14:paraId="6C230723" w14:textId="113F4296" w:rsidR="003873B1" w:rsidRPr="00A60FD5" w:rsidRDefault="003873B1" w:rsidP="00F4357D">
            <w:pPr>
              <w:spacing w:after="0"/>
              <w:jc w:val="center"/>
              <w:rPr>
                <w:rFonts w:ascii="Times New Roman" w:hAnsi="Times New Roman" w:cs="Times New Roman"/>
                <w:sz w:val="18"/>
                <w:szCs w:val="18"/>
              </w:rPr>
            </w:pPr>
            <w:r w:rsidRPr="00A60FD5">
              <w:rPr>
                <w:rFonts w:ascii="Times New Roman" w:hAnsi="Times New Roman" w:cs="Times New Roman"/>
                <w:sz w:val="18"/>
                <w:szCs w:val="18"/>
              </w:rPr>
              <w:t>-0.11</w:t>
            </w:r>
          </w:p>
          <w:p w14:paraId="214B9E28" w14:textId="42EA1E9A" w:rsidR="003873B1" w:rsidRPr="00A60FD5" w:rsidRDefault="003873B1" w:rsidP="00F4357D">
            <w:pPr>
              <w:spacing w:after="0"/>
              <w:jc w:val="center"/>
              <w:rPr>
                <w:rFonts w:ascii="Times New Roman" w:hAnsi="Times New Roman" w:cs="Times New Roman"/>
                <w:sz w:val="18"/>
                <w:szCs w:val="18"/>
              </w:rPr>
            </w:pPr>
            <w:r w:rsidRPr="00A60FD5">
              <w:rPr>
                <w:rFonts w:ascii="Times New Roman" w:hAnsi="Times New Roman" w:cs="Times New Roman"/>
                <w:sz w:val="18"/>
                <w:szCs w:val="18"/>
              </w:rPr>
              <w:t>0.14</w:t>
            </w:r>
          </w:p>
          <w:p w14:paraId="1DE657A5" w14:textId="35296A1D" w:rsidR="003873B1" w:rsidRPr="00A60FD5" w:rsidRDefault="003873B1" w:rsidP="00F4357D">
            <w:pPr>
              <w:spacing w:after="0"/>
              <w:jc w:val="center"/>
              <w:rPr>
                <w:rFonts w:ascii="Times New Roman" w:hAnsi="Times New Roman" w:cs="Times New Roman"/>
                <w:sz w:val="18"/>
                <w:szCs w:val="18"/>
              </w:rPr>
            </w:pPr>
          </w:p>
        </w:tc>
        <w:tc>
          <w:tcPr>
            <w:tcW w:w="2977" w:type="dxa"/>
            <w:gridSpan w:val="3"/>
            <w:tcBorders>
              <w:top w:val="dashSmallGap" w:sz="4" w:space="0" w:color="auto"/>
              <w:left w:val="dotted" w:sz="4" w:space="0" w:color="auto"/>
              <w:bottom w:val="nil"/>
              <w:right w:val="nil"/>
            </w:tcBorders>
          </w:tcPr>
          <w:p w14:paraId="735324F8" w14:textId="2AA4D6EF" w:rsidR="003873B1" w:rsidRPr="00A60FD5" w:rsidRDefault="003873B1" w:rsidP="00F4357D">
            <w:pPr>
              <w:spacing w:after="0"/>
              <w:jc w:val="center"/>
              <w:rPr>
                <w:rFonts w:ascii="Times New Roman" w:hAnsi="Times New Roman" w:cs="Times New Roman"/>
                <w:sz w:val="18"/>
                <w:szCs w:val="18"/>
              </w:rPr>
            </w:pPr>
            <w:r w:rsidRPr="00A60FD5">
              <w:rPr>
                <w:rFonts w:ascii="Times New Roman" w:hAnsi="Times New Roman" w:cs="Times New Roman"/>
                <w:sz w:val="18"/>
                <w:szCs w:val="18"/>
              </w:rPr>
              <w:t>503.78</w:t>
            </w:r>
          </w:p>
          <w:p w14:paraId="06F3F1E7" w14:textId="10D65243" w:rsidR="003873B1" w:rsidRPr="00A60FD5" w:rsidRDefault="003873B1" w:rsidP="00F4357D">
            <w:pPr>
              <w:spacing w:after="0"/>
              <w:jc w:val="center"/>
              <w:rPr>
                <w:rFonts w:ascii="Times New Roman" w:hAnsi="Times New Roman" w:cs="Times New Roman"/>
                <w:sz w:val="18"/>
                <w:szCs w:val="18"/>
              </w:rPr>
            </w:pPr>
            <w:r w:rsidRPr="00A60FD5">
              <w:rPr>
                <w:rFonts w:ascii="Times New Roman" w:hAnsi="Times New Roman" w:cs="Times New Roman"/>
                <w:sz w:val="18"/>
                <w:szCs w:val="18"/>
              </w:rPr>
              <w:t>-0.50</w:t>
            </w:r>
          </w:p>
          <w:p w14:paraId="5D660A45" w14:textId="091E9A1A" w:rsidR="003873B1" w:rsidRPr="00A60FD5" w:rsidRDefault="003873B1" w:rsidP="00F4357D">
            <w:pPr>
              <w:spacing w:after="0"/>
              <w:jc w:val="center"/>
              <w:rPr>
                <w:rFonts w:ascii="Times New Roman" w:hAnsi="Times New Roman" w:cs="Times New Roman"/>
                <w:sz w:val="18"/>
                <w:szCs w:val="18"/>
              </w:rPr>
            </w:pPr>
            <w:r w:rsidRPr="00A60FD5">
              <w:rPr>
                <w:rFonts w:ascii="Times New Roman" w:hAnsi="Times New Roman" w:cs="Times New Roman"/>
                <w:sz w:val="18"/>
                <w:szCs w:val="18"/>
              </w:rPr>
              <w:t>-0.13</w:t>
            </w:r>
          </w:p>
          <w:p w14:paraId="2EA4DAA0" w14:textId="760A8F0A" w:rsidR="003873B1" w:rsidRPr="00A60FD5" w:rsidRDefault="003873B1" w:rsidP="00F4357D">
            <w:pPr>
              <w:spacing w:after="0"/>
              <w:jc w:val="center"/>
              <w:rPr>
                <w:rFonts w:ascii="Times New Roman" w:hAnsi="Times New Roman" w:cs="Times New Roman"/>
                <w:sz w:val="18"/>
                <w:szCs w:val="18"/>
              </w:rPr>
            </w:pPr>
            <w:r w:rsidRPr="00A60FD5">
              <w:rPr>
                <w:rFonts w:ascii="Times New Roman" w:hAnsi="Times New Roman" w:cs="Times New Roman"/>
                <w:sz w:val="18"/>
                <w:szCs w:val="18"/>
              </w:rPr>
              <w:t>0.15</w:t>
            </w:r>
          </w:p>
          <w:p w14:paraId="28BD0F16" w14:textId="0D6BCCF5" w:rsidR="003873B1" w:rsidRPr="00A60FD5" w:rsidRDefault="003873B1" w:rsidP="00F4357D">
            <w:pPr>
              <w:spacing w:after="0"/>
              <w:jc w:val="center"/>
              <w:rPr>
                <w:rFonts w:ascii="Times New Roman" w:hAnsi="Times New Roman" w:cs="Times New Roman"/>
                <w:sz w:val="18"/>
                <w:szCs w:val="18"/>
              </w:rPr>
            </w:pPr>
          </w:p>
        </w:tc>
      </w:tr>
      <w:tr w:rsidR="00DE0D97" w:rsidRPr="00A60FD5" w14:paraId="053FB015" w14:textId="77777777" w:rsidTr="00EB08AC">
        <w:trPr>
          <w:trHeight w:hRule="exact" w:val="409"/>
        </w:trPr>
        <w:tc>
          <w:tcPr>
            <w:tcW w:w="3261" w:type="dxa"/>
            <w:tcBorders>
              <w:top w:val="nil"/>
              <w:left w:val="nil"/>
              <w:bottom w:val="nil"/>
              <w:right w:val="nil"/>
            </w:tcBorders>
          </w:tcPr>
          <w:p w14:paraId="16C6F828" w14:textId="0AE04080" w:rsidR="003873B1" w:rsidRPr="00A60FD5" w:rsidRDefault="003873B1" w:rsidP="004539D9">
            <w:pPr>
              <w:spacing w:after="0"/>
              <w:rPr>
                <w:rFonts w:ascii="Times New Roman" w:hAnsi="Times New Roman" w:cs="Times New Roman"/>
                <w:sz w:val="18"/>
                <w:szCs w:val="18"/>
              </w:rPr>
            </w:pPr>
            <w:r w:rsidRPr="00A60FD5">
              <w:rPr>
                <w:rFonts w:ascii="Times New Roman" w:hAnsi="Times New Roman" w:cs="Times New Roman"/>
                <w:sz w:val="18"/>
                <w:szCs w:val="18"/>
              </w:rPr>
              <w:t>Log pseudolikelihood</w:t>
            </w:r>
          </w:p>
          <w:p w14:paraId="6A2ADFE2" w14:textId="77777777" w:rsidR="003873B1" w:rsidRPr="00A60FD5" w:rsidRDefault="003873B1" w:rsidP="004539D9">
            <w:pPr>
              <w:spacing w:after="0"/>
              <w:rPr>
                <w:rFonts w:ascii="Times New Roman" w:hAnsi="Times New Roman" w:cs="Times New Roman"/>
                <w:sz w:val="18"/>
                <w:szCs w:val="18"/>
              </w:rPr>
            </w:pPr>
          </w:p>
        </w:tc>
        <w:tc>
          <w:tcPr>
            <w:tcW w:w="2693" w:type="dxa"/>
            <w:gridSpan w:val="3"/>
            <w:tcBorders>
              <w:top w:val="nil"/>
              <w:left w:val="nil"/>
              <w:bottom w:val="nil"/>
              <w:right w:val="dotted" w:sz="4" w:space="0" w:color="auto"/>
            </w:tcBorders>
          </w:tcPr>
          <w:p w14:paraId="09DBDAA4" w14:textId="5DE00D9A" w:rsidR="003873B1" w:rsidRPr="00A60FD5" w:rsidRDefault="003873B1" w:rsidP="00F4357D">
            <w:pPr>
              <w:spacing w:after="0"/>
              <w:jc w:val="center"/>
              <w:rPr>
                <w:rFonts w:ascii="Times New Roman" w:hAnsi="Times New Roman" w:cs="Times New Roman"/>
                <w:sz w:val="18"/>
                <w:szCs w:val="18"/>
              </w:rPr>
            </w:pPr>
            <w:r w:rsidRPr="00A60FD5">
              <w:rPr>
                <w:rFonts w:ascii="Times New Roman" w:hAnsi="Times New Roman" w:cs="Times New Roman"/>
                <w:sz w:val="18"/>
                <w:szCs w:val="18"/>
              </w:rPr>
              <w:t>-</w:t>
            </w:r>
            <w:r w:rsidR="00D36D90" w:rsidRPr="00A60FD5">
              <w:rPr>
                <w:rFonts w:ascii="Times New Roman" w:hAnsi="Times New Roman" w:cs="Times New Roman"/>
                <w:sz w:val="18"/>
                <w:szCs w:val="18"/>
              </w:rPr>
              <w:t>287</w:t>
            </w:r>
            <w:r w:rsidRPr="00A60FD5">
              <w:rPr>
                <w:rFonts w:ascii="Times New Roman" w:hAnsi="Times New Roman" w:cs="Times New Roman"/>
                <w:sz w:val="18"/>
                <w:szCs w:val="18"/>
              </w:rPr>
              <w:t>.</w:t>
            </w:r>
            <w:r w:rsidR="00D36D90" w:rsidRPr="00A60FD5">
              <w:rPr>
                <w:rFonts w:ascii="Times New Roman" w:hAnsi="Times New Roman" w:cs="Times New Roman"/>
                <w:sz w:val="18"/>
                <w:szCs w:val="18"/>
              </w:rPr>
              <w:t>64</w:t>
            </w:r>
          </w:p>
        </w:tc>
        <w:tc>
          <w:tcPr>
            <w:tcW w:w="2693" w:type="dxa"/>
            <w:gridSpan w:val="3"/>
            <w:tcBorders>
              <w:top w:val="nil"/>
              <w:left w:val="dotted" w:sz="4" w:space="0" w:color="auto"/>
              <w:bottom w:val="nil"/>
              <w:right w:val="dotted" w:sz="4" w:space="0" w:color="auto"/>
            </w:tcBorders>
          </w:tcPr>
          <w:p w14:paraId="525F6A84" w14:textId="3FE09C3C" w:rsidR="003873B1" w:rsidRPr="00A60FD5" w:rsidRDefault="003873B1" w:rsidP="00F4357D">
            <w:pPr>
              <w:spacing w:after="0"/>
              <w:jc w:val="center"/>
              <w:rPr>
                <w:rFonts w:ascii="Times New Roman" w:hAnsi="Times New Roman" w:cs="Times New Roman"/>
                <w:sz w:val="18"/>
                <w:szCs w:val="18"/>
              </w:rPr>
            </w:pPr>
            <w:r w:rsidRPr="00A60FD5">
              <w:rPr>
                <w:rFonts w:ascii="Times New Roman" w:hAnsi="Times New Roman" w:cs="Times New Roman"/>
                <w:sz w:val="18"/>
                <w:szCs w:val="18"/>
              </w:rPr>
              <w:t>-287.64</w:t>
            </w:r>
          </w:p>
        </w:tc>
        <w:tc>
          <w:tcPr>
            <w:tcW w:w="2977" w:type="dxa"/>
            <w:gridSpan w:val="3"/>
            <w:tcBorders>
              <w:top w:val="nil"/>
              <w:left w:val="dotted" w:sz="4" w:space="0" w:color="auto"/>
              <w:bottom w:val="nil"/>
              <w:right w:val="nil"/>
            </w:tcBorders>
          </w:tcPr>
          <w:p w14:paraId="318638D9" w14:textId="0B295C8F" w:rsidR="003873B1" w:rsidRPr="00A60FD5" w:rsidRDefault="003873B1" w:rsidP="00F4357D">
            <w:pPr>
              <w:spacing w:after="0"/>
              <w:jc w:val="center"/>
              <w:rPr>
                <w:rFonts w:ascii="Times New Roman" w:hAnsi="Times New Roman" w:cs="Times New Roman"/>
                <w:sz w:val="18"/>
                <w:szCs w:val="18"/>
              </w:rPr>
            </w:pPr>
            <w:r w:rsidRPr="00A60FD5">
              <w:rPr>
                <w:rFonts w:ascii="Times New Roman" w:hAnsi="Times New Roman" w:cs="Times New Roman"/>
                <w:sz w:val="18"/>
                <w:szCs w:val="18"/>
              </w:rPr>
              <w:t>-285.80</w:t>
            </w:r>
          </w:p>
        </w:tc>
      </w:tr>
      <w:tr w:rsidR="00DE0D97" w:rsidRPr="00A60FD5" w14:paraId="6385CC5C" w14:textId="77777777" w:rsidTr="00EB08AC">
        <w:trPr>
          <w:trHeight w:hRule="exact" w:val="511"/>
        </w:trPr>
        <w:tc>
          <w:tcPr>
            <w:tcW w:w="3261" w:type="dxa"/>
            <w:tcBorders>
              <w:top w:val="nil"/>
              <w:left w:val="nil"/>
              <w:bottom w:val="double" w:sz="4" w:space="0" w:color="auto"/>
              <w:right w:val="nil"/>
            </w:tcBorders>
          </w:tcPr>
          <w:p w14:paraId="7752C189" w14:textId="77777777" w:rsidR="003873B1" w:rsidRPr="00A60FD5" w:rsidRDefault="003873B1" w:rsidP="004539D9">
            <w:pPr>
              <w:spacing w:after="0"/>
              <w:rPr>
                <w:rFonts w:ascii="Times New Roman" w:hAnsi="Times New Roman" w:cs="Times New Roman"/>
                <w:sz w:val="18"/>
                <w:szCs w:val="18"/>
              </w:rPr>
            </w:pPr>
            <w:r w:rsidRPr="00A60FD5">
              <w:rPr>
                <w:rFonts w:ascii="Times New Roman" w:hAnsi="Times New Roman" w:cs="Times New Roman"/>
                <w:sz w:val="18"/>
                <w:szCs w:val="18"/>
              </w:rPr>
              <w:t>Prob &gt; Chi2</w:t>
            </w:r>
          </w:p>
        </w:tc>
        <w:tc>
          <w:tcPr>
            <w:tcW w:w="2693" w:type="dxa"/>
            <w:gridSpan w:val="3"/>
            <w:tcBorders>
              <w:top w:val="nil"/>
              <w:left w:val="nil"/>
              <w:bottom w:val="double" w:sz="4" w:space="0" w:color="auto"/>
              <w:right w:val="dotted" w:sz="4" w:space="0" w:color="auto"/>
            </w:tcBorders>
          </w:tcPr>
          <w:p w14:paraId="3CD78F8B" w14:textId="01E084CC" w:rsidR="003873B1" w:rsidRPr="00A60FD5" w:rsidRDefault="003873B1" w:rsidP="00F4357D">
            <w:pPr>
              <w:spacing w:after="0"/>
              <w:jc w:val="center"/>
              <w:rPr>
                <w:rFonts w:ascii="Times New Roman" w:hAnsi="Times New Roman" w:cs="Times New Roman"/>
                <w:sz w:val="18"/>
                <w:szCs w:val="18"/>
              </w:rPr>
            </w:pPr>
            <w:r w:rsidRPr="00A60FD5">
              <w:rPr>
                <w:rFonts w:ascii="Times New Roman" w:hAnsi="Times New Roman" w:cs="Times New Roman"/>
                <w:sz w:val="18"/>
                <w:szCs w:val="18"/>
              </w:rPr>
              <w:t>0.00</w:t>
            </w:r>
          </w:p>
        </w:tc>
        <w:tc>
          <w:tcPr>
            <w:tcW w:w="2693" w:type="dxa"/>
            <w:gridSpan w:val="3"/>
            <w:tcBorders>
              <w:top w:val="nil"/>
              <w:left w:val="dotted" w:sz="4" w:space="0" w:color="auto"/>
              <w:bottom w:val="double" w:sz="4" w:space="0" w:color="auto"/>
              <w:right w:val="dotted" w:sz="4" w:space="0" w:color="auto"/>
            </w:tcBorders>
          </w:tcPr>
          <w:p w14:paraId="34AA9B31" w14:textId="12FABD53" w:rsidR="003873B1" w:rsidRPr="00A60FD5" w:rsidRDefault="003873B1" w:rsidP="00F4357D">
            <w:pPr>
              <w:spacing w:after="0"/>
              <w:jc w:val="center"/>
              <w:rPr>
                <w:rFonts w:ascii="Times New Roman" w:hAnsi="Times New Roman" w:cs="Times New Roman"/>
                <w:sz w:val="18"/>
                <w:szCs w:val="18"/>
              </w:rPr>
            </w:pPr>
            <w:r w:rsidRPr="00A60FD5">
              <w:rPr>
                <w:rFonts w:ascii="Times New Roman" w:hAnsi="Times New Roman" w:cs="Times New Roman"/>
                <w:sz w:val="18"/>
                <w:szCs w:val="18"/>
              </w:rPr>
              <w:t>0.00</w:t>
            </w:r>
          </w:p>
        </w:tc>
        <w:tc>
          <w:tcPr>
            <w:tcW w:w="2977" w:type="dxa"/>
            <w:gridSpan w:val="3"/>
            <w:tcBorders>
              <w:top w:val="nil"/>
              <w:left w:val="dotted" w:sz="4" w:space="0" w:color="auto"/>
              <w:bottom w:val="double" w:sz="4" w:space="0" w:color="auto"/>
              <w:right w:val="nil"/>
            </w:tcBorders>
          </w:tcPr>
          <w:p w14:paraId="10107C86" w14:textId="67DF05BF" w:rsidR="003873B1" w:rsidRPr="00A60FD5" w:rsidRDefault="003873B1" w:rsidP="00F4357D">
            <w:pPr>
              <w:spacing w:after="0"/>
              <w:jc w:val="center"/>
              <w:rPr>
                <w:rFonts w:ascii="Times New Roman" w:hAnsi="Times New Roman" w:cs="Times New Roman"/>
                <w:sz w:val="18"/>
                <w:szCs w:val="18"/>
              </w:rPr>
            </w:pPr>
            <w:r w:rsidRPr="00A60FD5">
              <w:rPr>
                <w:rFonts w:ascii="Times New Roman" w:hAnsi="Times New Roman" w:cs="Times New Roman"/>
                <w:sz w:val="18"/>
                <w:szCs w:val="18"/>
              </w:rPr>
              <w:t>0.00</w:t>
            </w:r>
          </w:p>
        </w:tc>
      </w:tr>
    </w:tbl>
    <w:p w14:paraId="59560D1F" w14:textId="17D0DC04" w:rsidR="00417594" w:rsidRPr="00A60FD5" w:rsidRDefault="00417594" w:rsidP="006E3055">
      <w:pPr>
        <w:spacing w:after="0" w:line="240" w:lineRule="auto"/>
        <w:rPr>
          <w:rFonts w:ascii="Times New Roman" w:hAnsi="Times New Roman"/>
          <w:sz w:val="18"/>
          <w:szCs w:val="20"/>
        </w:rPr>
      </w:pPr>
      <w:r w:rsidRPr="00A60FD5">
        <w:rPr>
          <w:rFonts w:ascii="Times New Roman" w:hAnsi="Times New Roman"/>
          <w:sz w:val="18"/>
          <w:szCs w:val="20"/>
          <w:vertAlign w:val="superscript"/>
        </w:rPr>
        <w:t>a.</w:t>
      </w:r>
      <w:r w:rsidRPr="00A60FD5">
        <w:rPr>
          <w:rFonts w:ascii="Times New Roman" w:hAnsi="Times New Roman"/>
          <w:sz w:val="18"/>
          <w:szCs w:val="20"/>
        </w:rPr>
        <w:t xml:space="preserve"> N = 10</w:t>
      </w:r>
      <w:r w:rsidR="00A6616B" w:rsidRPr="00A60FD5">
        <w:rPr>
          <w:rFonts w:ascii="Times New Roman" w:hAnsi="Times New Roman"/>
          <w:sz w:val="18"/>
          <w:szCs w:val="20"/>
        </w:rPr>
        <w:t>6</w:t>
      </w:r>
      <w:r w:rsidRPr="00A60FD5">
        <w:rPr>
          <w:rFonts w:ascii="Times New Roman" w:hAnsi="Times New Roman"/>
          <w:sz w:val="18"/>
          <w:szCs w:val="20"/>
        </w:rPr>
        <w:t xml:space="preserve">. Robust standard error in parentheses.  † p &lt; 0.10; </w:t>
      </w:r>
      <w:r w:rsidRPr="00A60FD5">
        <w:rPr>
          <w:rFonts w:ascii="Cambria Math" w:hAnsi="Cambria Math" w:cs="Cambria Math"/>
          <w:position w:val="8"/>
          <w:sz w:val="18"/>
          <w:szCs w:val="20"/>
        </w:rPr>
        <w:t>∗</w:t>
      </w:r>
      <w:r w:rsidRPr="00A60FD5">
        <w:rPr>
          <w:rFonts w:ascii="Times New Roman" w:hAnsi="Times New Roman"/>
          <w:sz w:val="18"/>
          <w:szCs w:val="20"/>
        </w:rPr>
        <w:t xml:space="preserve">p &lt; 0.05; </w:t>
      </w:r>
      <w:r w:rsidRPr="00A60FD5">
        <w:rPr>
          <w:rFonts w:ascii="Cambria Math" w:hAnsi="Cambria Math" w:cs="Cambria Math"/>
          <w:position w:val="8"/>
          <w:sz w:val="18"/>
          <w:szCs w:val="20"/>
        </w:rPr>
        <w:t>∗∗</w:t>
      </w:r>
      <w:r w:rsidRPr="00A60FD5">
        <w:rPr>
          <w:rFonts w:ascii="Times New Roman" w:hAnsi="Times New Roman"/>
          <w:position w:val="8"/>
          <w:sz w:val="18"/>
          <w:szCs w:val="20"/>
        </w:rPr>
        <w:t xml:space="preserve"> </w:t>
      </w:r>
      <w:r w:rsidRPr="00A60FD5">
        <w:rPr>
          <w:rFonts w:ascii="Times New Roman" w:hAnsi="Times New Roman"/>
          <w:sz w:val="18"/>
          <w:szCs w:val="20"/>
        </w:rPr>
        <w:t xml:space="preserve">p &lt; 0.01; </w:t>
      </w:r>
      <w:r w:rsidRPr="00A60FD5">
        <w:rPr>
          <w:rFonts w:ascii="Cambria Math" w:hAnsi="Cambria Math" w:cs="Cambria Math"/>
          <w:position w:val="8"/>
          <w:sz w:val="18"/>
          <w:szCs w:val="20"/>
        </w:rPr>
        <w:t>∗∗∗</w:t>
      </w:r>
      <w:r w:rsidRPr="00A60FD5">
        <w:rPr>
          <w:rFonts w:ascii="Times New Roman" w:hAnsi="Times New Roman"/>
          <w:position w:val="8"/>
          <w:sz w:val="18"/>
          <w:szCs w:val="20"/>
        </w:rPr>
        <w:t xml:space="preserve"> </w:t>
      </w:r>
      <w:r w:rsidRPr="00A60FD5">
        <w:rPr>
          <w:rFonts w:ascii="Times New Roman" w:hAnsi="Times New Roman"/>
          <w:sz w:val="18"/>
          <w:szCs w:val="20"/>
        </w:rPr>
        <w:t>p &lt; 0.001.</w:t>
      </w:r>
    </w:p>
    <w:p w14:paraId="55425014" w14:textId="77777777" w:rsidR="00417594" w:rsidRPr="00A60FD5" w:rsidRDefault="00417594" w:rsidP="00417594">
      <w:pPr>
        <w:spacing w:after="0" w:line="240" w:lineRule="auto"/>
        <w:jc w:val="center"/>
        <w:rPr>
          <w:rFonts w:ascii="Times New Roman" w:hAnsi="Times New Roman"/>
          <w:sz w:val="18"/>
          <w:szCs w:val="20"/>
        </w:rPr>
      </w:pPr>
    </w:p>
    <w:p w14:paraId="6C06E5BB" w14:textId="77777777" w:rsidR="00417594" w:rsidRPr="00A60FD5" w:rsidRDefault="00417594" w:rsidP="00417594">
      <w:pPr>
        <w:spacing w:after="0" w:line="240" w:lineRule="auto"/>
        <w:jc w:val="center"/>
        <w:rPr>
          <w:rFonts w:ascii="Times New Roman" w:hAnsi="Times New Roman"/>
          <w:sz w:val="18"/>
          <w:szCs w:val="20"/>
        </w:rPr>
      </w:pPr>
    </w:p>
    <w:p w14:paraId="5FA8284C" w14:textId="77777777" w:rsidR="00417594" w:rsidRPr="00A60FD5" w:rsidRDefault="00417594" w:rsidP="00417594">
      <w:pPr>
        <w:spacing w:after="0" w:line="240" w:lineRule="auto"/>
        <w:jc w:val="center"/>
        <w:rPr>
          <w:rFonts w:ascii="Times New Roman" w:hAnsi="Times New Roman" w:cs="Times New Roman"/>
          <w:sz w:val="18"/>
          <w:szCs w:val="24"/>
        </w:rPr>
      </w:pPr>
    </w:p>
    <w:p w14:paraId="353581A8" w14:textId="289B2FD3" w:rsidR="00417594" w:rsidRPr="00A60FD5" w:rsidRDefault="00DE06D5" w:rsidP="00417594">
      <w:pPr>
        <w:spacing w:after="0" w:line="240" w:lineRule="auto"/>
        <w:jc w:val="center"/>
        <w:rPr>
          <w:rFonts w:ascii="Times New Roman" w:hAnsi="Times New Roman"/>
          <w:b/>
          <w:sz w:val="24"/>
          <w:szCs w:val="20"/>
          <w:vertAlign w:val="superscript"/>
        </w:rPr>
      </w:pPr>
      <w:r w:rsidRPr="00A60FD5">
        <w:rPr>
          <w:rFonts w:ascii="Times New Roman" w:hAnsi="Times New Roman"/>
          <w:b/>
          <w:sz w:val="24"/>
          <w:szCs w:val="18"/>
        </w:rPr>
        <w:lastRenderedPageBreak/>
        <w:t xml:space="preserve">TABLE </w:t>
      </w:r>
      <w:r w:rsidR="006F129E" w:rsidRPr="00A60FD5">
        <w:rPr>
          <w:rFonts w:ascii="Times New Roman" w:hAnsi="Times New Roman"/>
          <w:b/>
          <w:sz w:val="24"/>
          <w:szCs w:val="18"/>
        </w:rPr>
        <w:t>4</w:t>
      </w:r>
      <w:r w:rsidR="00A6616B" w:rsidRPr="00A60FD5">
        <w:rPr>
          <w:rFonts w:ascii="Times New Roman" w:hAnsi="Times New Roman"/>
          <w:b/>
          <w:sz w:val="24"/>
          <w:szCs w:val="18"/>
        </w:rPr>
        <w:t xml:space="preserve"> (second part): </w:t>
      </w:r>
      <w:r w:rsidR="00417594" w:rsidRPr="00A60FD5">
        <w:rPr>
          <w:rFonts w:ascii="Times New Roman" w:hAnsi="Times New Roman"/>
          <w:b/>
          <w:sz w:val="24"/>
          <w:szCs w:val="18"/>
        </w:rPr>
        <w:t>Determinants of arbitration provision (CMP regressions)</w:t>
      </w:r>
      <w:r w:rsidR="00417594" w:rsidRPr="00A60FD5">
        <w:rPr>
          <w:rFonts w:ascii="Times New Roman" w:hAnsi="Times New Roman"/>
          <w:b/>
          <w:sz w:val="24"/>
          <w:szCs w:val="20"/>
          <w:vertAlign w:val="superscript"/>
        </w:rPr>
        <w:t>a</w:t>
      </w:r>
    </w:p>
    <w:p w14:paraId="60BBEA63" w14:textId="77777777" w:rsidR="00417594" w:rsidRPr="00A60FD5" w:rsidRDefault="00417594" w:rsidP="00417594">
      <w:pPr>
        <w:spacing w:after="0" w:line="240" w:lineRule="auto"/>
        <w:jc w:val="center"/>
        <w:rPr>
          <w:rFonts w:ascii="Times New Roman" w:hAnsi="Times New Roman"/>
          <w:b/>
          <w:sz w:val="24"/>
          <w:szCs w:val="20"/>
          <w:vertAlign w:val="superscript"/>
        </w:rPr>
      </w:pPr>
    </w:p>
    <w:tbl>
      <w:tblPr>
        <w:tblW w:w="100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37"/>
        <w:gridCol w:w="1063"/>
        <w:gridCol w:w="921"/>
        <w:gridCol w:w="1064"/>
        <w:gridCol w:w="991"/>
        <w:gridCol w:w="1156"/>
        <w:gridCol w:w="1366"/>
      </w:tblGrid>
      <w:tr w:rsidR="00C70404" w:rsidRPr="00A60FD5" w14:paraId="07A8F81D" w14:textId="77777777" w:rsidTr="000810C3">
        <w:trPr>
          <w:trHeight w:val="144"/>
          <w:jc w:val="center"/>
        </w:trPr>
        <w:tc>
          <w:tcPr>
            <w:tcW w:w="3537" w:type="dxa"/>
            <w:tcBorders>
              <w:top w:val="double" w:sz="4" w:space="0" w:color="auto"/>
              <w:left w:val="nil"/>
              <w:bottom w:val="single" w:sz="4" w:space="0" w:color="auto"/>
              <w:right w:val="nil"/>
            </w:tcBorders>
          </w:tcPr>
          <w:p w14:paraId="4830FA4D" w14:textId="77777777" w:rsidR="00C70404" w:rsidRPr="00A60FD5" w:rsidRDefault="00C70404" w:rsidP="002D2C4A">
            <w:pPr>
              <w:spacing w:after="0" w:line="240" w:lineRule="auto"/>
              <w:rPr>
                <w:rFonts w:ascii="Times New Roman" w:hAnsi="Times New Roman" w:cs="Times New Roman"/>
                <w:sz w:val="18"/>
                <w:szCs w:val="18"/>
              </w:rPr>
            </w:pPr>
          </w:p>
        </w:tc>
        <w:tc>
          <w:tcPr>
            <w:tcW w:w="3048" w:type="dxa"/>
            <w:gridSpan w:val="3"/>
            <w:tcBorders>
              <w:top w:val="double" w:sz="4" w:space="0" w:color="auto"/>
              <w:left w:val="nil"/>
              <w:bottom w:val="single" w:sz="4" w:space="0" w:color="auto"/>
              <w:right w:val="dotted" w:sz="4" w:space="0" w:color="auto"/>
            </w:tcBorders>
          </w:tcPr>
          <w:p w14:paraId="01EADF8F" w14:textId="3B46138D" w:rsidR="00C70404" w:rsidRPr="00A60FD5" w:rsidRDefault="00C70404" w:rsidP="00C70404">
            <w:pPr>
              <w:spacing w:after="0" w:line="240" w:lineRule="auto"/>
              <w:jc w:val="center"/>
              <w:rPr>
                <w:rFonts w:ascii="Times New Roman" w:hAnsi="Times New Roman" w:cs="Times New Roman"/>
                <w:sz w:val="18"/>
                <w:szCs w:val="18"/>
              </w:rPr>
            </w:pPr>
            <w:r w:rsidRPr="00A60FD5">
              <w:rPr>
                <w:rFonts w:ascii="Times New Roman" w:hAnsi="Times New Roman" w:cs="Times New Roman"/>
                <w:sz w:val="18"/>
                <w:szCs w:val="18"/>
              </w:rPr>
              <w:t>IV</w:t>
            </w:r>
          </w:p>
        </w:tc>
        <w:tc>
          <w:tcPr>
            <w:tcW w:w="3513" w:type="dxa"/>
            <w:gridSpan w:val="3"/>
            <w:tcBorders>
              <w:top w:val="double" w:sz="4" w:space="0" w:color="auto"/>
              <w:left w:val="dotted" w:sz="4" w:space="0" w:color="auto"/>
              <w:bottom w:val="single" w:sz="4" w:space="0" w:color="auto"/>
              <w:right w:val="nil"/>
            </w:tcBorders>
          </w:tcPr>
          <w:p w14:paraId="28B01F2E" w14:textId="0A68EA15" w:rsidR="00C70404" w:rsidRPr="00A60FD5" w:rsidRDefault="00C70404" w:rsidP="00C70404">
            <w:pPr>
              <w:spacing w:after="0" w:line="240" w:lineRule="auto"/>
              <w:jc w:val="center"/>
              <w:rPr>
                <w:rFonts w:ascii="Times New Roman" w:hAnsi="Times New Roman" w:cs="Times New Roman"/>
                <w:sz w:val="18"/>
                <w:szCs w:val="18"/>
              </w:rPr>
            </w:pPr>
            <w:r w:rsidRPr="00A60FD5">
              <w:rPr>
                <w:rFonts w:ascii="Times New Roman" w:hAnsi="Times New Roman" w:cs="Times New Roman"/>
                <w:sz w:val="18"/>
                <w:szCs w:val="18"/>
              </w:rPr>
              <w:t>V</w:t>
            </w:r>
          </w:p>
        </w:tc>
      </w:tr>
      <w:tr w:rsidR="00C70404" w:rsidRPr="00A60FD5" w14:paraId="2156D212" w14:textId="77777777" w:rsidTr="000810C3">
        <w:trPr>
          <w:trHeight w:val="144"/>
          <w:jc w:val="center"/>
        </w:trPr>
        <w:tc>
          <w:tcPr>
            <w:tcW w:w="3537" w:type="dxa"/>
            <w:tcBorders>
              <w:top w:val="nil"/>
              <w:left w:val="nil"/>
              <w:bottom w:val="single" w:sz="4" w:space="0" w:color="auto"/>
              <w:right w:val="nil"/>
            </w:tcBorders>
          </w:tcPr>
          <w:p w14:paraId="606735C4" w14:textId="77777777" w:rsidR="00C70404" w:rsidRPr="00A60FD5" w:rsidRDefault="00C70404" w:rsidP="002D2C4A">
            <w:pPr>
              <w:spacing w:after="0" w:line="240" w:lineRule="auto"/>
              <w:rPr>
                <w:rFonts w:ascii="Times New Roman" w:hAnsi="Times New Roman" w:cs="Times New Roman"/>
                <w:sz w:val="18"/>
                <w:szCs w:val="18"/>
              </w:rPr>
            </w:pPr>
          </w:p>
        </w:tc>
        <w:tc>
          <w:tcPr>
            <w:tcW w:w="1063" w:type="dxa"/>
            <w:tcBorders>
              <w:top w:val="nil"/>
              <w:left w:val="nil"/>
              <w:bottom w:val="single" w:sz="4" w:space="0" w:color="auto"/>
              <w:right w:val="nil"/>
            </w:tcBorders>
          </w:tcPr>
          <w:p w14:paraId="0D7F380F" w14:textId="1B325710" w:rsidR="00C70404" w:rsidRPr="00A60FD5" w:rsidRDefault="00C70404" w:rsidP="007A0E9F">
            <w:pPr>
              <w:spacing w:after="0" w:line="240" w:lineRule="auto"/>
              <w:jc w:val="center"/>
              <w:rPr>
                <w:rFonts w:ascii="Times New Roman" w:hAnsi="Times New Roman" w:cs="Times New Roman"/>
                <w:sz w:val="18"/>
                <w:szCs w:val="18"/>
              </w:rPr>
            </w:pPr>
            <w:r w:rsidRPr="00A60FD5">
              <w:rPr>
                <w:rFonts w:ascii="Times New Roman" w:hAnsi="Times New Roman" w:cs="Times New Roman"/>
                <w:sz w:val="18"/>
                <w:szCs w:val="18"/>
              </w:rPr>
              <w:t>Monit</w:t>
            </w:r>
            <w:r w:rsidR="002145BC" w:rsidRPr="00A60FD5">
              <w:rPr>
                <w:rFonts w:ascii="Times New Roman" w:hAnsi="Times New Roman" w:cs="Times New Roman"/>
                <w:sz w:val="18"/>
                <w:szCs w:val="18"/>
              </w:rPr>
              <w:t>.</w:t>
            </w:r>
          </w:p>
        </w:tc>
        <w:tc>
          <w:tcPr>
            <w:tcW w:w="921" w:type="dxa"/>
            <w:tcBorders>
              <w:top w:val="nil"/>
              <w:left w:val="nil"/>
              <w:bottom w:val="single" w:sz="4" w:space="0" w:color="auto"/>
              <w:right w:val="nil"/>
            </w:tcBorders>
          </w:tcPr>
          <w:p w14:paraId="301DFA77" w14:textId="677BA53E" w:rsidR="00C70404" w:rsidRPr="00A60FD5" w:rsidRDefault="00C70404" w:rsidP="007A0E9F">
            <w:pPr>
              <w:spacing w:after="0" w:line="240" w:lineRule="auto"/>
              <w:jc w:val="center"/>
              <w:rPr>
                <w:rFonts w:ascii="Times New Roman" w:hAnsi="Times New Roman" w:cs="Times New Roman"/>
                <w:sz w:val="18"/>
                <w:szCs w:val="18"/>
              </w:rPr>
            </w:pPr>
            <w:r w:rsidRPr="00A60FD5">
              <w:rPr>
                <w:rFonts w:ascii="Times New Roman" w:hAnsi="Times New Roman" w:cs="Times New Roman"/>
                <w:sz w:val="18"/>
                <w:szCs w:val="18"/>
              </w:rPr>
              <w:t>Coord.</w:t>
            </w:r>
          </w:p>
        </w:tc>
        <w:tc>
          <w:tcPr>
            <w:tcW w:w="1064" w:type="dxa"/>
            <w:tcBorders>
              <w:top w:val="nil"/>
              <w:left w:val="nil"/>
              <w:bottom w:val="single" w:sz="4" w:space="0" w:color="auto"/>
              <w:right w:val="dotted" w:sz="4" w:space="0" w:color="auto"/>
            </w:tcBorders>
          </w:tcPr>
          <w:p w14:paraId="091E78AE" w14:textId="77777777" w:rsidR="00C70404" w:rsidRPr="00A60FD5" w:rsidRDefault="00C70404" w:rsidP="007A0E9F">
            <w:pPr>
              <w:spacing w:after="0" w:line="240" w:lineRule="auto"/>
              <w:jc w:val="center"/>
              <w:rPr>
                <w:rFonts w:ascii="Times New Roman" w:hAnsi="Times New Roman" w:cs="Times New Roman"/>
                <w:sz w:val="18"/>
                <w:szCs w:val="18"/>
              </w:rPr>
            </w:pPr>
            <w:r w:rsidRPr="00A60FD5">
              <w:rPr>
                <w:rFonts w:ascii="Times New Roman" w:hAnsi="Times New Roman" w:cs="Times New Roman"/>
                <w:sz w:val="18"/>
                <w:szCs w:val="18"/>
              </w:rPr>
              <w:t>Arbitration</w:t>
            </w:r>
          </w:p>
        </w:tc>
        <w:tc>
          <w:tcPr>
            <w:tcW w:w="991" w:type="dxa"/>
            <w:tcBorders>
              <w:top w:val="nil"/>
              <w:left w:val="dotted" w:sz="4" w:space="0" w:color="auto"/>
              <w:bottom w:val="single" w:sz="4" w:space="0" w:color="auto"/>
              <w:right w:val="nil"/>
            </w:tcBorders>
          </w:tcPr>
          <w:p w14:paraId="71086FB1" w14:textId="77777777" w:rsidR="00C70404" w:rsidRPr="00A60FD5" w:rsidRDefault="00C70404" w:rsidP="007A0E9F">
            <w:pPr>
              <w:spacing w:after="0" w:line="240" w:lineRule="auto"/>
              <w:jc w:val="center"/>
              <w:rPr>
                <w:rFonts w:ascii="Times New Roman" w:hAnsi="Times New Roman" w:cs="Times New Roman"/>
                <w:sz w:val="18"/>
                <w:szCs w:val="18"/>
              </w:rPr>
            </w:pPr>
            <w:r w:rsidRPr="00A60FD5">
              <w:rPr>
                <w:rFonts w:ascii="Times New Roman" w:hAnsi="Times New Roman" w:cs="Times New Roman"/>
                <w:sz w:val="18"/>
                <w:szCs w:val="18"/>
              </w:rPr>
              <w:t>Monit.</w:t>
            </w:r>
          </w:p>
        </w:tc>
        <w:tc>
          <w:tcPr>
            <w:tcW w:w="1156" w:type="dxa"/>
            <w:tcBorders>
              <w:top w:val="nil"/>
              <w:left w:val="nil"/>
              <w:bottom w:val="single" w:sz="4" w:space="0" w:color="auto"/>
              <w:right w:val="nil"/>
            </w:tcBorders>
          </w:tcPr>
          <w:p w14:paraId="6BB1DA40" w14:textId="77777777" w:rsidR="00C70404" w:rsidRPr="00A60FD5" w:rsidRDefault="00C70404" w:rsidP="007A0E9F">
            <w:pPr>
              <w:spacing w:after="0" w:line="240" w:lineRule="auto"/>
              <w:jc w:val="center"/>
              <w:rPr>
                <w:rFonts w:ascii="Times New Roman" w:hAnsi="Times New Roman" w:cs="Times New Roman"/>
                <w:sz w:val="18"/>
                <w:szCs w:val="18"/>
              </w:rPr>
            </w:pPr>
            <w:r w:rsidRPr="00A60FD5">
              <w:rPr>
                <w:rFonts w:ascii="Times New Roman" w:hAnsi="Times New Roman" w:cs="Times New Roman"/>
                <w:sz w:val="18"/>
                <w:szCs w:val="18"/>
              </w:rPr>
              <w:t>Coord.</w:t>
            </w:r>
          </w:p>
        </w:tc>
        <w:tc>
          <w:tcPr>
            <w:tcW w:w="1366" w:type="dxa"/>
            <w:tcBorders>
              <w:top w:val="nil"/>
              <w:left w:val="nil"/>
              <w:bottom w:val="single" w:sz="4" w:space="0" w:color="auto"/>
              <w:right w:val="nil"/>
            </w:tcBorders>
          </w:tcPr>
          <w:p w14:paraId="210EBA52" w14:textId="77777777" w:rsidR="00C70404" w:rsidRPr="00A60FD5" w:rsidRDefault="00C70404" w:rsidP="007A0E9F">
            <w:pPr>
              <w:spacing w:after="0" w:line="240" w:lineRule="auto"/>
              <w:jc w:val="center"/>
              <w:rPr>
                <w:rFonts w:ascii="Times New Roman" w:hAnsi="Times New Roman" w:cs="Times New Roman"/>
                <w:sz w:val="18"/>
                <w:szCs w:val="18"/>
              </w:rPr>
            </w:pPr>
            <w:r w:rsidRPr="00A60FD5">
              <w:rPr>
                <w:rFonts w:ascii="Times New Roman" w:hAnsi="Times New Roman" w:cs="Times New Roman"/>
                <w:sz w:val="18"/>
                <w:szCs w:val="18"/>
              </w:rPr>
              <w:t>Arbitration</w:t>
            </w:r>
          </w:p>
        </w:tc>
      </w:tr>
      <w:tr w:rsidR="00707129" w:rsidRPr="00A60FD5" w14:paraId="24EFCCE9" w14:textId="77777777" w:rsidTr="000810C3">
        <w:trPr>
          <w:trHeight w:hRule="exact" w:val="483"/>
          <w:jc w:val="center"/>
        </w:trPr>
        <w:tc>
          <w:tcPr>
            <w:tcW w:w="3537" w:type="dxa"/>
            <w:tcBorders>
              <w:top w:val="single" w:sz="4" w:space="0" w:color="auto"/>
              <w:left w:val="nil"/>
              <w:bottom w:val="nil"/>
              <w:right w:val="nil"/>
            </w:tcBorders>
          </w:tcPr>
          <w:p w14:paraId="1AC5B1AA" w14:textId="1B578611" w:rsidR="00707129" w:rsidRPr="00A60FD5" w:rsidRDefault="00707129" w:rsidP="002D2C4A">
            <w:pPr>
              <w:spacing w:before="80" w:after="0" w:line="200" w:lineRule="exact"/>
              <w:rPr>
                <w:rFonts w:ascii="Times New Roman" w:hAnsi="Times New Roman" w:cs="Times New Roman"/>
                <w:sz w:val="18"/>
                <w:szCs w:val="18"/>
              </w:rPr>
            </w:pPr>
            <w:r w:rsidRPr="00A60FD5">
              <w:rPr>
                <w:rFonts w:ascii="Times New Roman" w:hAnsi="Times New Roman" w:cs="Times New Roman"/>
                <w:sz w:val="18"/>
                <w:szCs w:val="18"/>
              </w:rPr>
              <w:t>Monitoring</w:t>
            </w:r>
          </w:p>
        </w:tc>
        <w:tc>
          <w:tcPr>
            <w:tcW w:w="1063" w:type="dxa"/>
            <w:tcBorders>
              <w:top w:val="single" w:sz="4" w:space="0" w:color="auto"/>
              <w:left w:val="nil"/>
              <w:bottom w:val="nil"/>
              <w:right w:val="nil"/>
            </w:tcBorders>
          </w:tcPr>
          <w:p w14:paraId="741E7F44" w14:textId="77777777" w:rsidR="00707129" w:rsidRPr="00A60FD5" w:rsidRDefault="00707129" w:rsidP="00F4357D">
            <w:pPr>
              <w:spacing w:after="0"/>
              <w:jc w:val="center"/>
              <w:rPr>
                <w:rFonts w:ascii="Times New Roman" w:hAnsi="Times New Roman" w:cs="Times New Roman"/>
                <w:sz w:val="18"/>
                <w:szCs w:val="18"/>
              </w:rPr>
            </w:pPr>
          </w:p>
        </w:tc>
        <w:tc>
          <w:tcPr>
            <w:tcW w:w="921" w:type="dxa"/>
            <w:tcBorders>
              <w:top w:val="single" w:sz="4" w:space="0" w:color="auto"/>
              <w:left w:val="nil"/>
              <w:bottom w:val="nil"/>
              <w:right w:val="nil"/>
            </w:tcBorders>
          </w:tcPr>
          <w:p w14:paraId="2F07CD9C" w14:textId="64964694" w:rsidR="00707129" w:rsidRPr="00A60FD5" w:rsidRDefault="00707129" w:rsidP="00F4357D">
            <w:pPr>
              <w:spacing w:after="0"/>
              <w:jc w:val="center"/>
              <w:rPr>
                <w:rFonts w:ascii="Times New Roman" w:hAnsi="Times New Roman" w:cs="Times New Roman"/>
                <w:sz w:val="18"/>
                <w:szCs w:val="18"/>
              </w:rPr>
            </w:pPr>
          </w:p>
        </w:tc>
        <w:tc>
          <w:tcPr>
            <w:tcW w:w="1064" w:type="dxa"/>
            <w:tcBorders>
              <w:top w:val="single" w:sz="4" w:space="0" w:color="auto"/>
              <w:left w:val="nil"/>
              <w:bottom w:val="nil"/>
              <w:right w:val="dotted" w:sz="4" w:space="0" w:color="auto"/>
            </w:tcBorders>
          </w:tcPr>
          <w:p w14:paraId="7F0776A0" w14:textId="62A2D743" w:rsidR="0098043F" w:rsidRPr="00A60FD5" w:rsidRDefault="00606034" w:rsidP="00F4357D">
            <w:pPr>
              <w:spacing w:after="0"/>
              <w:jc w:val="center"/>
              <w:rPr>
                <w:rFonts w:ascii="Times New Roman" w:hAnsi="Times New Roman" w:cs="Times New Roman"/>
                <w:sz w:val="18"/>
                <w:szCs w:val="18"/>
              </w:rPr>
            </w:pPr>
            <w:r w:rsidRPr="00A60FD5">
              <w:rPr>
                <w:rFonts w:ascii="Times New Roman" w:hAnsi="Times New Roman" w:cs="Times New Roman"/>
                <w:sz w:val="18"/>
                <w:szCs w:val="18"/>
              </w:rPr>
              <w:t>-0.</w:t>
            </w:r>
            <w:r w:rsidR="004154CF" w:rsidRPr="00A60FD5">
              <w:rPr>
                <w:rFonts w:ascii="Times New Roman" w:hAnsi="Times New Roman" w:cs="Times New Roman"/>
                <w:sz w:val="18"/>
                <w:szCs w:val="18"/>
              </w:rPr>
              <w:t>04</w:t>
            </w:r>
          </w:p>
          <w:p w14:paraId="5967B023" w14:textId="1C28FFB5" w:rsidR="00606034" w:rsidRPr="00A60FD5" w:rsidRDefault="00606034" w:rsidP="00F4357D">
            <w:pPr>
              <w:spacing w:after="0"/>
              <w:jc w:val="center"/>
              <w:rPr>
                <w:rFonts w:ascii="Times New Roman" w:hAnsi="Times New Roman" w:cs="Times New Roman"/>
                <w:sz w:val="18"/>
                <w:szCs w:val="18"/>
              </w:rPr>
            </w:pPr>
            <w:r w:rsidRPr="00A60FD5">
              <w:rPr>
                <w:rFonts w:ascii="Times New Roman" w:hAnsi="Times New Roman" w:cs="Times New Roman"/>
                <w:sz w:val="18"/>
                <w:szCs w:val="18"/>
              </w:rPr>
              <w:t>(1.</w:t>
            </w:r>
            <w:r w:rsidR="004154CF" w:rsidRPr="00A60FD5">
              <w:rPr>
                <w:rFonts w:ascii="Times New Roman" w:hAnsi="Times New Roman" w:cs="Times New Roman"/>
                <w:sz w:val="18"/>
                <w:szCs w:val="18"/>
              </w:rPr>
              <w:t>30</w:t>
            </w:r>
            <w:r w:rsidRPr="00A60FD5">
              <w:rPr>
                <w:rFonts w:ascii="Times New Roman" w:hAnsi="Times New Roman" w:cs="Times New Roman"/>
                <w:sz w:val="18"/>
                <w:szCs w:val="18"/>
              </w:rPr>
              <w:t>)</w:t>
            </w:r>
          </w:p>
        </w:tc>
        <w:tc>
          <w:tcPr>
            <w:tcW w:w="991" w:type="dxa"/>
            <w:tcBorders>
              <w:top w:val="single" w:sz="4" w:space="0" w:color="auto"/>
              <w:left w:val="dotted" w:sz="4" w:space="0" w:color="auto"/>
              <w:bottom w:val="nil"/>
              <w:right w:val="nil"/>
            </w:tcBorders>
          </w:tcPr>
          <w:p w14:paraId="79DD2014" w14:textId="77777777" w:rsidR="00707129" w:rsidRPr="00A60FD5" w:rsidRDefault="00707129" w:rsidP="00F4357D">
            <w:pPr>
              <w:spacing w:after="0"/>
              <w:jc w:val="center"/>
              <w:rPr>
                <w:rFonts w:ascii="Times New Roman" w:hAnsi="Times New Roman" w:cs="Times New Roman"/>
                <w:sz w:val="18"/>
                <w:szCs w:val="18"/>
              </w:rPr>
            </w:pPr>
          </w:p>
        </w:tc>
        <w:tc>
          <w:tcPr>
            <w:tcW w:w="1156" w:type="dxa"/>
            <w:tcBorders>
              <w:top w:val="single" w:sz="4" w:space="0" w:color="auto"/>
              <w:left w:val="nil"/>
              <w:bottom w:val="nil"/>
              <w:right w:val="nil"/>
            </w:tcBorders>
          </w:tcPr>
          <w:p w14:paraId="332498A7" w14:textId="77777777" w:rsidR="00707129" w:rsidRPr="00A60FD5" w:rsidRDefault="00707129" w:rsidP="00F4357D">
            <w:pPr>
              <w:spacing w:after="0"/>
              <w:jc w:val="center"/>
              <w:rPr>
                <w:rFonts w:ascii="Times New Roman" w:hAnsi="Times New Roman" w:cs="Times New Roman"/>
                <w:sz w:val="18"/>
                <w:szCs w:val="18"/>
              </w:rPr>
            </w:pPr>
          </w:p>
        </w:tc>
        <w:tc>
          <w:tcPr>
            <w:tcW w:w="1366" w:type="dxa"/>
            <w:tcBorders>
              <w:top w:val="single" w:sz="4" w:space="0" w:color="auto"/>
              <w:left w:val="nil"/>
              <w:bottom w:val="nil"/>
              <w:right w:val="nil"/>
            </w:tcBorders>
          </w:tcPr>
          <w:p w14:paraId="7D46AA2E" w14:textId="3834042D" w:rsidR="005D6152" w:rsidRPr="00A60FD5" w:rsidRDefault="00206B30" w:rsidP="00F4357D">
            <w:pPr>
              <w:spacing w:after="0"/>
              <w:jc w:val="center"/>
              <w:rPr>
                <w:rFonts w:ascii="Times New Roman" w:hAnsi="Times New Roman" w:cs="Times New Roman"/>
                <w:sz w:val="18"/>
                <w:szCs w:val="18"/>
              </w:rPr>
            </w:pPr>
            <w:r w:rsidRPr="00A60FD5">
              <w:rPr>
                <w:rFonts w:ascii="Times New Roman" w:hAnsi="Times New Roman" w:cs="Times New Roman"/>
                <w:sz w:val="18"/>
                <w:szCs w:val="18"/>
              </w:rPr>
              <w:t>-</w:t>
            </w:r>
            <w:r w:rsidR="00FD0473" w:rsidRPr="00A60FD5">
              <w:rPr>
                <w:rFonts w:ascii="Times New Roman" w:hAnsi="Times New Roman" w:cs="Times New Roman"/>
                <w:sz w:val="18"/>
                <w:szCs w:val="18"/>
              </w:rPr>
              <w:t>1.15</w:t>
            </w:r>
          </w:p>
          <w:p w14:paraId="26D1B60B" w14:textId="4FFD527A" w:rsidR="00206B30" w:rsidRPr="00A60FD5" w:rsidRDefault="00206B30" w:rsidP="00F4357D">
            <w:pPr>
              <w:spacing w:after="0"/>
              <w:jc w:val="center"/>
              <w:rPr>
                <w:rFonts w:ascii="Times New Roman" w:hAnsi="Times New Roman" w:cs="Times New Roman"/>
                <w:sz w:val="18"/>
                <w:szCs w:val="18"/>
              </w:rPr>
            </w:pPr>
            <w:r w:rsidRPr="00A60FD5">
              <w:rPr>
                <w:rFonts w:ascii="Times New Roman" w:hAnsi="Times New Roman" w:cs="Times New Roman"/>
                <w:sz w:val="18"/>
                <w:szCs w:val="18"/>
              </w:rPr>
              <w:t>(1.</w:t>
            </w:r>
            <w:r w:rsidR="00FD0473" w:rsidRPr="00A60FD5">
              <w:rPr>
                <w:rFonts w:ascii="Times New Roman" w:hAnsi="Times New Roman" w:cs="Times New Roman"/>
                <w:sz w:val="18"/>
                <w:szCs w:val="18"/>
              </w:rPr>
              <w:t>44</w:t>
            </w:r>
            <w:r w:rsidRPr="00A60FD5">
              <w:rPr>
                <w:rFonts w:ascii="Times New Roman" w:hAnsi="Times New Roman" w:cs="Times New Roman"/>
                <w:sz w:val="18"/>
                <w:szCs w:val="18"/>
              </w:rPr>
              <w:t>)</w:t>
            </w:r>
          </w:p>
        </w:tc>
      </w:tr>
      <w:tr w:rsidR="00707129" w:rsidRPr="00A60FD5" w14:paraId="340865D7" w14:textId="77777777" w:rsidTr="000810C3">
        <w:trPr>
          <w:trHeight w:hRule="exact" w:val="497"/>
          <w:jc w:val="center"/>
        </w:trPr>
        <w:tc>
          <w:tcPr>
            <w:tcW w:w="3537" w:type="dxa"/>
            <w:tcBorders>
              <w:top w:val="nil"/>
              <w:left w:val="nil"/>
              <w:bottom w:val="nil"/>
              <w:right w:val="nil"/>
            </w:tcBorders>
          </w:tcPr>
          <w:p w14:paraId="1E94D240" w14:textId="5C5EDE18" w:rsidR="00707129" w:rsidRPr="00A60FD5" w:rsidRDefault="00707129" w:rsidP="002D2C4A">
            <w:pPr>
              <w:spacing w:before="80" w:after="0" w:line="200" w:lineRule="exact"/>
              <w:rPr>
                <w:rFonts w:ascii="Times New Roman" w:hAnsi="Times New Roman" w:cs="Times New Roman"/>
                <w:sz w:val="18"/>
                <w:szCs w:val="18"/>
              </w:rPr>
            </w:pPr>
            <w:r w:rsidRPr="00A60FD5">
              <w:rPr>
                <w:rFonts w:ascii="Times New Roman" w:hAnsi="Times New Roman" w:cs="Times New Roman"/>
                <w:sz w:val="18"/>
                <w:szCs w:val="18"/>
              </w:rPr>
              <w:t>Coordination</w:t>
            </w:r>
          </w:p>
        </w:tc>
        <w:tc>
          <w:tcPr>
            <w:tcW w:w="1063" w:type="dxa"/>
            <w:tcBorders>
              <w:top w:val="nil"/>
              <w:left w:val="nil"/>
              <w:bottom w:val="nil"/>
              <w:right w:val="nil"/>
            </w:tcBorders>
          </w:tcPr>
          <w:p w14:paraId="55B2AE8B" w14:textId="77777777" w:rsidR="00707129" w:rsidRPr="00A60FD5" w:rsidRDefault="00707129" w:rsidP="00F4357D">
            <w:pPr>
              <w:spacing w:after="0"/>
              <w:jc w:val="center"/>
              <w:rPr>
                <w:rFonts w:ascii="Times New Roman" w:hAnsi="Times New Roman" w:cs="Times New Roman"/>
                <w:sz w:val="18"/>
                <w:szCs w:val="18"/>
              </w:rPr>
            </w:pPr>
          </w:p>
        </w:tc>
        <w:tc>
          <w:tcPr>
            <w:tcW w:w="921" w:type="dxa"/>
            <w:tcBorders>
              <w:top w:val="nil"/>
              <w:left w:val="nil"/>
              <w:bottom w:val="nil"/>
              <w:right w:val="nil"/>
            </w:tcBorders>
          </w:tcPr>
          <w:p w14:paraId="52B5C302" w14:textId="51055C4C" w:rsidR="00707129" w:rsidRPr="00A60FD5" w:rsidRDefault="00707129" w:rsidP="00F4357D">
            <w:pPr>
              <w:spacing w:after="0"/>
              <w:jc w:val="center"/>
              <w:rPr>
                <w:rFonts w:ascii="Times New Roman" w:hAnsi="Times New Roman" w:cs="Times New Roman"/>
                <w:sz w:val="18"/>
                <w:szCs w:val="18"/>
              </w:rPr>
            </w:pPr>
          </w:p>
        </w:tc>
        <w:tc>
          <w:tcPr>
            <w:tcW w:w="1064" w:type="dxa"/>
            <w:tcBorders>
              <w:top w:val="nil"/>
              <w:left w:val="nil"/>
              <w:bottom w:val="nil"/>
              <w:right w:val="dotted" w:sz="4" w:space="0" w:color="auto"/>
            </w:tcBorders>
          </w:tcPr>
          <w:p w14:paraId="17DC4469" w14:textId="6BE6787A" w:rsidR="0098043F" w:rsidRPr="00A60FD5" w:rsidRDefault="00606034" w:rsidP="00F4357D">
            <w:pPr>
              <w:spacing w:after="0"/>
              <w:jc w:val="center"/>
              <w:rPr>
                <w:rFonts w:ascii="Times New Roman" w:hAnsi="Times New Roman" w:cs="Times New Roman"/>
                <w:sz w:val="18"/>
                <w:szCs w:val="18"/>
              </w:rPr>
            </w:pPr>
            <w:r w:rsidRPr="00A60FD5">
              <w:rPr>
                <w:rFonts w:ascii="Times New Roman" w:hAnsi="Times New Roman" w:cs="Times New Roman"/>
                <w:sz w:val="18"/>
                <w:szCs w:val="18"/>
              </w:rPr>
              <w:t>0.</w:t>
            </w:r>
            <w:r w:rsidR="004154CF" w:rsidRPr="00A60FD5">
              <w:rPr>
                <w:rFonts w:ascii="Times New Roman" w:hAnsi="Times New Roman" w:cs="Times New Roman"/>
                <w:sz w:val="18"/>
                <w:szCs w:val="18"/>
              </w:rPr>
              <w:t>51</w:t>
            </w:r>
            <w:r w:rsidRPr="00A60FD5">
              <w:rPr>
                <w:rFonts w:ascii="Times New Roman" w:hAnsi="Times New Roman" w:cs="Times New Roman"/>
                <w:sz w:val="18"/>
                <w:szCs w:val="18"/>
              </w:rPr>
              <w:t>*</w:t>
            </w:r>
          </w:p>
          <w:p w14:paraId="2206F780" w14:textId="03A8C33B" w:rsidR="00606034" w:rsidRPr="00A60FD5" w:rsidRDefault="00606034" w:rsidP="00F4357D">
            <w:pPr>
              <w:spacing w:after="0"/>
              <w:jc w:val="center"/>
              <w:rPr>
                <w:rFonts w:ascii="Times New Roman" w:hAnsi="Times New Roman" w:cs="Times New Roman"/>
                <w:sz w:val="18"/>
                <w:szCs w:val="18"/>
              </w:rPr>
            </w:pPr>
            <w:r w:rsidRPr="00A60FD5">
              <w:rPr>
                <w:rFonts w:ascii="Times New Roman" w:hAnsi="Times New Roman" w:cs="Times New Roman"/>
                <w:sz w:val="18"/>
                <w:szCs w:val="18"/>
              </w:rPr>
              <w:t>(0.</w:t>
            </w:r>
            <w:r w:rsidR="004154CF" w:rsidRPr="00A60FD5">
              <w:rPr>
                <w:rFonts w:ascii="Times New Roman" w:hAnsi="Times New Roman" w:cs="Times New Roman"/>
                <w:sz w:val="18"/>
                <w:szCs w:val="18"/>
              </w:rPr>
              <w:t>21</w:t>
            </w:r>
            <w:r w:rsidRPr="00A60FD5">
              <w:rPr>
                <w:rFonts w:ascii="Times New Roman" w:hAnsi="Times New Roman" w:cs="Times New Roman"/>
                <w:sz w:val="18"/>
                <w:szCs w:val="18"/>
              </w:rPr>
              <w:t>)</w:t>
            </w:r>
          </w:p>
        </w:tc>
        <w:tc>
          <w:tcPr>
            <w:tcW w:w="991" w:type="dxa"/>
            <w:tcBorders>
              <w:top w:val="nil"/>
              <w:left w:val="dotted" w:sz="4" w:space="0" w:color="auto"/>
              <w:bottom w:val="nil"/>
              <w:right w:val="nil"/>
            </w:tcBorders>
          </w:tcPr>
          <w:p w14:paraId="00519FD4" w14:textId="77777777" w:rsidR="00707129" w:rsidRPr="00A60FD5" w:rsidRDefault="00707129" w:rsidP="00F4357D">
            <w:pPr>
              <w:spacing w:after="0"/>
              <w:jc w:val="center"/>
              <w:rPr>
                <w:rFonts w:ascii="Times New Roman" w:hAnsi="Times New Roman" w:cs="Times New Roman"/>
                <w:sz w:val="18"/>
                <w:szCs w:val="18"/>
              </w:rPr>
            </w:pPr>
          </w:p>
        </w:tc>
        <w:tc>
          <w:tcPr>
            <w:tcW w:w="1156" w:type="dxa"/>
            <w:tcBorders>
              <w:top w:val="nil"/>
              <w:left w:val="nil"/>
              <w:bottom w:val="nil"/>
              <w:right w:val="nil"/>
            </w:tcBorders>
          </w:tcPr>
          <w:p w14:paraId="566D2F94" w14:textId="77777777" w:rsidR="00707129" w:rsidRPr="00A60FD5" w:rsidRDefault="00707129" w:rsidP="00F4357D">
            <w:pPr>
              <w:spacing w:after="0"/>
              <w:jc w:val="center"/>
              <w:rPr>
                <w:rFonts w:ascii="Times New Roman" w:hAnsi="Times New Roman" w:cs="Times New Roman"/>
                <w:sz w:val="18"/>
                <w:szCs w:val="18"/>
              </w:rPr>
            </w:pPr>
          </w:p>
        </w:tc>
        <w:tc>
          <w:tcPr>
            <w:tcW w:w="1366" w:type="dxa"/>
            <w:tcBorders>
              <w:top w:val="nil"/>
              <w:left w:val="nil"/>
              <w:bottom w:val="nil"/>
              <w:right w:val="nil"/>
            </w:tcBorders>
          </w:tcPr>
          <w:p w14:paraId="07804813" w14:textId="16452DEA" w:rsidR="005D6152" w:rsidRPr="00A60FD5" w:rsidRDefault="00206B30" w:rsidP="00F4357D">
            <w:pPr>
              <w:spacing w:after="0"/>
              <w:jc w:val="center"/>
              <w:rPr>
                <w:rFonts w:ascii="Times New Roman" w:hAnsi="Times New Roman" w:cs="Times New Roman"/>
                <w:sz w:val="18"/>
                <w:szCs w:val="18"/>
              </w:rPr>
            </w:pPr>
            <w:r w:rsidRPr="00A60FD5">
              <w:rPr>
                <w:rFonts w:ascii="Times New Roman" w:hAnsi="Times New Roman" w:cs="Times New Roman"/>
                <w:sz w:val="18"/>
                <w:szCs w:val="18"/>
              </w:rPr>
              <w:t>0.</w:t>
            </w:r>
            <w:r w:rsidR="00FD0473" w:rsidRPr="00A60FD5">
              <w:rPr>
                <w:rFonts w:ascii="Times New Roman" w:hAnsi="Times New Roman" w:cs="Times New Roman"/>
                <w:sz w:val="18"/>
                <w:szCs w:val="18"/>
              </w:rPr>
              <w:t>44</w:t>
            </w:r>
            <w:r w:rsidR="00FD0473" w:rsidRPr="00A60FD5">
              <w:rPr>
                <w:rFonts w:ascii="Times New Roman" w:hAnsi="Times New Roman"/>
                <w:sz w:val="18"/>
                <w:szCs w:val="20"/>
              </w:rPr>
              <w:t>†</w:t>
            </w:r>
          </w:p>
          <w:p w14:paraId="35C71703" w14:textId="76FF2220" w:rsidR="00206B30" w:rsidRPr="00A60FD5" w:rsidRDefault="00206B30" w:rsidP="00F4357D">
            <w:pPr>
              <w:spacing w:after="0"/>
              <w:jc w:val="center"/>
              <w:rPr>
                <w:rFonts w:ascii="Times New Roman" w:hAnsi="Times New Roman" w:cs="Times New Roman"/>
                <w:sz w:val="18"/>
                <w:szCs w:val="18"/>
              </w:rPr>
            </w:pPr>
            <w:r w:rsidRPr="00A60FD5">
              <w:rPr>
                <w:rFonts w:ascii="Times New Roman" w:hAnsi="Times New Roman" w:cs="Times New Roman"/>
                <w:sz w:val="18"/>
                <w:szCs w:val="18"/>
              </w:rPr>
              <w:t>(0.</w:t>
            </w:r>
            <w:r w:rsidR="00FD0473" w:rsidRPr="00A60FD5">
              <w:rPr>
                <w:rFonts w:ascii="Times New Roman" w:hAnsi="Times New Roman" w:cs="Times New Roman"/>
                <w:sz w:val="18"/>
                <w:szCs w:val="18"/>
              </w:rPr>
              <w:t>24</w:t>
            </w:r>
            <w:r w:rsidRPr="00A60FD5">
              <w:rPr>
                <w:rFonts w:ascii="Times New Roman" w:hAnsi="Times New Roman" w:cs="Times New Roman"/>
                <w:sz w:val="18"/>
                <w:szCs w:val="18"/>
              </w:rPr>
              <w:t>)</w:t>
            </w:r>
          </w:p>
        </w:tc>
      </w:tr>
      <w:tr w:rsidR="00707129" w:rsidRPr="00A60FD5" w14:paraId="15052388" w14:textId="77777777" w:rsidTr="000810C3">
        <w:trPr>
          <w:trHeight w:hRule="exact" w:val="566"/>
          <w:jc w:val="center"/>
        </w:trPr>
        <w:tc>
          <w:tcPr>
            <w:tcW w:w="3537" w:type="dxa"/>
            <w:tcBorders>
              <w:top w:val="nil"/>
              <w:left w:val="nil"/>
              <w:bottom w:val="nil"/>
              <w:right w:val="nil"/>
            </w:tcBorders>
          </w:tcPr>
          <w:p w14:paraId="0CE54574" w14:textId="783934DA" w:rsidR="00707129" w:rsidRPr="00A60FD5" w:rsidRDefault="00707129" w:rsidP="00895FF8">
            <w:pPr>
              <w:spacing w:before="80" w:after="0" w:line="200" w:lineRule="exact"/>
              <w:rPr>
                <w:rFonts w:ascii="Times New Roman" w:hAnsi="Times New Roman" w:cs="Times New Roman"/>
                <w:sz w:val="18"/>
                <w:szCs w:val="18"/>
              </w:rPr>
            </w:pPr>
            <w:r w:rsidRPr="00A60FD5">
              <w:rPr>
                <w:rFonts w:ascii="Times New Roman" w:hAnsi="Times New Roman" w:cs="Times New Roman"/>
                <w:sz w:val="18"/>
                <w:szCs w:val="18"/>
              </w:rPr>
              <w:t>Monitoring * Coordination</w:t>
            </w:r>
          </w:p>
        </w:tc>
        <w:tc>
          <w:tcPr>
            <w:tcW w:w="1063" w:type="dxa"/>
            <w:tcBorders>
              <w:top w:val="nil"/>
              <w:left w:val="nil"/>
              <w:bottom w:val="nil"/>
              <w:right w:val="nil"/>
            </w:tcBorders>
          </w:tcPr>
          <w:p w14:paraId="7CB69FBA" w14:textId="77777777" w:rsidR="00707129" w:rsidRPr="00A60FD5" w:rsidRDefault="00707129" w:rsidP="00F4357D">
            <w:pPr>
              <w:spacing w:after="0"/>
              <w:jc w:val="center"/>
              <w:rPr>
                <w:rFonts w:ascii="Times New Roman" w:hAnsi="Times New Roman" w:cs="Times New Roman"/>
                <w:sz w:val="18"/>
                <w:szCs w:val="18"/>
              </w:rPr>
            </w:pPr>
          </w:p>
        </w:tc>
        <w:tc>
          <w:tcPr>
            <w:tcW w:w="921" w:type="dxa"/>
            <w:tcBorders>
              <w:top w:val="nil"/>
              <w:left w:val="nil"/>
              <w:bottom w:val="nil"/>
              <w:right w:val="nil"/>
            </w:tcBorders>
          </w:tcPr>
          <w:p w14:paraId="49E81B4C" w14:textId="42DEE9A8" w:rsidR="00707129" w:rsidRPr="00A60FD5" w:rsidRDefault="00707129" w:rsidP="00F4357D">
            <w:pPr>
              <w:spacing w:after="0"/>
              <w:jc w:val="center"/>
              <w:rPr>
                <w:rFonts w:ascii="Times New Roman" w:hAnsi="Times New Roman" w:cs="Times New Roman"/>
                <w:sz w:val="18"/>
                <w:szCs w:val="18"/>
              </w:rPr>
            </w:pPr>
          </w:p>
        </w:tc>
        <w:tc>
          <w:tcPr>
            <w:tcW w:w="1064" w:type="dxa"/>
            <w:tcBorders>
              <w:top w:val="nil"/>
              <w:left w:val="nil"/>
              <w:bottom w:val="nil"/>
              <w:right w:val="dotted" w:sz="4" w:space="0" w:color="auto"/>
            </w:tcBorders>
          </w:tcPr>
          <w:p w14:paraId="686C04F4" w14:textId="5B52DBF5" w:rsidR="0098043F" w:rsidRPr="00A60FD5" w:rsidRDefault="0098043F" w:rsidP="00F4357D">
            <w:pPr>
              <w:spacing w:after="0"/>
              <w:jc w:val="center"/>
              <w:rPr>
                <w:rFonts w:ascii="Times New Roman" w:hAnsi="Times New Roman" w:cs="Times New Roman"/>
                <w:sz w:val="18"/>
                <w:szCs w:val="18"/>
              </w:rPr>
            </w:pPr>
          </w:p>
        </w:tc>
        <w:tc>
          <w:tcPr>
            <w:tcW w:w="991" w:type="dxa"/>
            <w:tcBorders>
              <w:top w:val="nil"/>
              <w:left w:val="dotted" w:sz="4" w:space="0" w:color="auto"/>
              <w:bottom w:val="nil"/>
              <w:right w:val="nil"/>
            </w:tcBorders>
          </w:tcPr>
          <w:p w14:paraId="1306F663" w14:textId="77777777" w:rsidR="00707129" w:rsidRPr="00A60FD5" w:rsidRDefault="00707129" w:rsidP="00F4357D">
            <w:pPr>
              <w:spacing w:after="0"/>
              <w:jc w:val="center"/>
              <w:rPr>
                <w:rFonts w:ascii="Times New Roman" w:hAnsi="Times New Roman" w:cs="Times New Roman"/>
                <w:sz w:val="18"/>
                <w:szCs w:val="18"/>
              </w:rPr>
            </w:pPr>
          </w:p>
        </w:tc>
        <w:tc>
          <w:tcPr>
            <w:tcW w:w="1156" w:type="dxa"/>
            <w:tcBorders>
              <w:top w:val="nil"/>
              <w:left w:val="nil"/>
              <w:bottom w:val="nil"/>
              <w:right w:val="nil"/>
            </w:tcBorders>
          </w:tcPr>
          <w:p w14:paraId="0D26DD1B" w14:textId="77777777" w:rsidR="00707129" w:rsidRPr="00A60FD5" w:rsidRDefault="00707129" w:rsidP="00F4357D">
            <w:pPr>
              <w:spacing w:after="0"/>
              <w:jc w:val="center"/>
              <w:rPr>
                <w:rFonts w:ascii="Times New Roman" w:hAnsi="Times New Roman" w:cs="Times New Roman"/>
                <w:sz w:val="18"/>
                <w:szCs w:val="18"/>
              </w:rPr>
            </w:pPr>
          </w:p>
        </w:tc>
        <w:tc>
          <w:tcPr>
            <w:tcW w:w="1366" w:type="dxa"/>
            <w:tcBorders>
              <w:top w:val="nil"/>
              <w:left w:val="nil"/>
              <w:bottom w:val="nil"/>
              <w:right w:val="nil"/>
            </w:tcBorders>
          </w:tcPr>
          <w:p w14:paraId="1E5B2739" w14:textId="3D78E474" w:rsidR="005D6152" w:rsidRPr="00A60FD5" w:rsidRDefault="00206B30" w:rsidP="00F4357D">
            <w:pPr>
              <w:spacing w:after="0"/>
              <w:jc w:val="center"/>
              <w:rPr>
                <w:rFonts w:ascii="Times New Roman" w:hAnsi="Times New Roman"/>
                <w:sz w:val="18"/>
                <w:szCs w:val="20"/>
              </w:rPr>
            </w:pPr>
            <w:r w:rsidRPr="00A60FD5">
              <w:rPr>
                <w:rFonts w:ascii="Times New Roman" w:hAnsi="Times New Roman" w:cs="Times New Roman"/>
                <w:sz w:val="18"/>
                <w:szCs w:val="18"/>
              </w:rPr>
              <w:t>0.</w:t>
            </w:r>
            <w:r w:rsidR="00FD0473" w:rsidRPr="00A60FD5">
              <w:rPr>
                <w:rFonts w:ascii="Times New Roman" w:hAnsi="Times New Roman" w:cs="Times New Roman"/>
                <w:sz w:val="18"/>
                <w:szCs w:val="18"/>
              </w:rPr>
              <w:t>39*</w:t>
            </w:r>
          </w:p>
          <w:p w14:paraId="26FCFD92" w14:textId="61E11B97" w:rsidR="00206B30" w:rsidRPr="00A60FD5" w:rsidRDefault="00206B30" w:rsidP="00F4357D">
            <w:pPr>
              <w:spacing w:after="0"/>
              <w:jc w:val="center"/>
              <w:rPr>
                <w:rFonts w:ascii="Times New Roman" w:hAnsi="Times New Roman" w:cs="Times New Roman"/>
                <w:sz w:val="18"/>
                <w:szCs w:val="18"/>
              </w:rPr>
            </w:pPr>
            <w:r w:rsidRPr="00A60FD5">
              <w:rPr>
                <w:rFonts w:ascii="Times New Roman" w:hAnsi="Times New Roman"/>
                <w:sz w:val="18"/>
                <w:szCs w:val="20"/>
              </w:rPr>
              <w:t>(0.</w:t>
            </w:r>
            <w:r w:rsidR="00FD0473" w:rsidRPr="00A60FD5">
              <w:rPr>
                <w:rFonts w:ascii="Times New Roman" w:hAnsi="Times New Roman"/>
                <w:sz w:val="18"/>
                <w:szCs w:val="20"/>
              </w:rPr>
              <w:t>17</w:t>
            </w:r>
            <w:r w:rsidRPr="00A60FD5">
              <w:rPr>
                <w:rFonts w:ascii="Times New Roman" w:hAnsi="Times New Roman"/>
                <w:sz w:val="18"/>
                <w:szCs w:val="20"/>
              </w:rPr>
              <w:t>)</w:t>
            </w:r>
          </w:p>
        </w:tc>
      </w:tr>
      <w:tr w:rsidR="00CB3C32" w:rsidRPr="00A60FD5" w14:paraId="7C8AF870" w14:textId="77777777" w:rsidTr="000810C3">
        <w:trPr>
          <w:trHeight w:hRule="exact" w:val="560"/>
          <w:jc w:val="center"/>
        </w:trPr>
        <w:tc>
          <w:tcPr>
            <w:tcW w:w="3537" w:type="dxa"/>
            <w:tcBorders>
              <w:top w:val="nil"/>
              <w:left w:val="nil"/>
              <w:bottom w:val="nil"/>
              <w:right w:val="nil"/>
            </w:tcBorders>
          </w:tcPr>
          <w:p w14:paraId="3145097B" w14:textId="20E5F9F0" w:rsidR="00CB3C32" w:rsidRPr="00A60FD5" w:rsidRDefault="00CB3C32" w:rsidP="002D2C4A">
            <w:pPr>
              <w:spacing w:before="80" w:after="0" w:line="200" w:lineRule="exact"/>
              <w:rPr>
                <w:rFonts w:ascii="Times New Roman" w:hAnsi="Times New Roman" w:cs="Times New Roman"/>
                <w:sz w:val="18"/>
                <w:szCs w:val="18"/>
              </w:rPr>
            </w:pPr>
            <w:r w:rsidRPr="00A60FD5">
              <w:rPr>
                <w:rFonts w:ascii="Times New Roman" w:hAnsi="Times New Roman" w:cs="Times New Roman"/>
                <w:sz w:val="18"/>
                <w:szCs w:val="18"/>
              </w:rPr>
              <w:t>Tacitness</w:t>
            </w:r>
          </w:p>
        </w:tc>
        <w:tc>
          <w:tcPr>
            <w:tcW w:w="1063" w:type="dxa"/>
            <w:tcBorders>
              <w:top w:val="nil"/>
              <w:left w:val="nil"/>
              <w:bottom w:val="nil"/>
              <w:right w:val="nil"/>
            </w:tcBorders>
          </w:tcPr>
          <w:p w14:paraId="4E5F3A1A" w14:textId="77777777" w:rsidR="00CB3C32" w:rsidRPr="00A60FD5" w:rsidRDefault="00026CA5" w:rsidP="00F4357D">
            <w:pPr>
              <w:spacing w:after="0"/>
              <w:jc w:val="center"/>
              <w:rPr>
                <w:rFonts w:ascii="Times New Roman" w:hAnsi="Times New Roman" w:cs="Times New Roman"/>
                <w:sz w:val="18"/>
                <w:szCs w:val="18"/>
              </w:rPr>
            </w:pPr>
            <w:r w:rsidRPr="00A60FD5">
              <w:rPr>
                <w:rFonts w:ascii="Times New Roman" w:hAnsi="Times New Roman" w:cs="Times New Roman"/>
                <w:sz w:val="18"/>
                <w:szCs w:val="18"/>
              </w:rPr>
              <w:t>0.07</w:t>
            </w:r>
          </w:p>
          <w:p w14:paraId="40898F79" w14:textId="0C8D479F" w:rsidR="00026CA5" w:rsidRPr="00A60FD5" w:rsidRDefault="00026CA5" w:rsidP="00F4357D">
            <w:pPr>
              <w:spacing w:after="0"/>
              <w:jc w:val="center"/>
              <w:rPr>
                <w:rFonts w:ascii="Times New Roman" w:hAnsi="Times New Roman" w:cs="Times New Roman"/>
                <w:sz w:val="18"/>
                <w:szCs w:val="18"/>
              </w:rPr>
            </w:pPr>
            <w:r w:rsidRPr="00A60FD5">
              <w:rPr>
                <w:rFonts w:ascii="Times New Roman" w:hAnsi="Times New Roman" w:cs="Times New Roman"/>
                <w:sz w:val="18"/>
                <w:szCs w:val="18"/>
              </w:rPr>
              <w:t>(0.05)</w:t>
            </w:r>
          </w:p>
        </w:tc>
        <w:tc>
          <w:tcPr>
            <w:tcW w:w="921" w:type="dxa"/>
            <w:tcBorders>
              <w:top w:val="nil"/>
              <w:left w:val="nil"/>
              <w:bottom w:val="nil"/>
              <w:right w:val="nil"/>
            </w:tcBorders>
          </w:tcPr>
          <w:p w14:paraId="41A276C4" w14:textId="77777777" w:rsidR="00CB3C32" w:rsidRPr="00A60FD5" w:rsidRDefault="001824B4" w:rsidP="00F4357D">
            <w:pPr>
              <w:spacing w:after="0"/>
              <w:jc w:val="center"/>
              <w:rPr>
                <w:rFonts w:ascii="Times New Roman" w:hAnsi="Times New Roman" w:cs="Times New Roman"/>
                <w:sz w:val="18"/>
                <w:szCs w:val="18"/>
              </w:rPr>
            </w:pPr>
            <w:r w:rsidRPr="00A60FD5">
              <w:rPr>
                <w:rFonts w:ascii="Times New Roman" w:hAnsi="Times New Roman" w:cs="Times New Roman"/>
                <w:sz w:val="18"/>
                <w:szCs w:val="18"/>
              </w:rPr>
              <w:t>-0.03</w:t>
            </w:r>
          </w:p>
          <w:p w14:paraId="7851DBFC" w14:textId="429EA620" w:rsidR="001824B4" w:rsidRPr="00A60FD5" w:rsidRDefault="001824B4" w:rsidP="00F4357D">
            <w:pPr>
              <w:spacing w:after="0"/>
              <w:jc w:val="center"/>
              <w:rPr>
                <w:rFonts w:ascii="Times New Roman" w:hAnsi="Times New Roman" w:cs="Times New Roman"/>
                <w:sz w:val="18"/>
                <w:szCs w:val="18"/>
              </w:rPr>
            </w:pPr>
            <w:r w:rsidRPr="00A60FD5">
              <w:rPr>
                <w:rFonts w:ascii="Times New Roman" w:hAnsi="Times New Roman" w:cs="Times New Roman"/>
                <w:sz w:val="18"/>
                <w:szCs w:val="18"/>
              </w:rPr>
              <w:t>(0.11)</w:t>
            </w:r>
          </w:p>
        </w:tc>
        <w:tc>
          <w:tcPr>
            <w:tcW w:w="1064" w:type="dxa"/>
            <w:tcBorders>
              <w:top w:val="nil"/>
              <w:left w:val="nil"/>
              <w:bottom w:val="nil"/>
              <w:right w:val="dotted" w:sz="4" w:space="0" w:color="auto"/>
            </w:tcBorders>
          </w:tcPr>
          <w:p w14:paraId="3DA36892" w14:textId="77777777" w:rsidR="00CB3C32" w:rsidRPr="00A60FD5" w:rsidRDefault="004154CF" w:rsidP="00F4357D">
            <w:pPr>
              <w:spacing w:after="0"/>
              <w:jc w:val="center"/>
              <w:rPr>
                <w:rFonts w:ascii="Times New Roman" w:hAnsi="Times New Roman" w:cs="Times New Roman"/>
                <w:sz w:val="18"/>
                <w:szCs w:val="18"/>
              </w:rPr>
            </w:pPr>
            <w:r w:rsidRPr="00A60FD5">
              <w:rPr>
                <w:rFonts w:ascii="Times New Roman" w:hAnsi="Times New Roman" w:cs="Times New Roman"/>
                <w:sz w:val="18"/>
                <w:szCs w:val="18"/>
              </w:rPr>
              <w:t>0.15</w:t>
            </w:r>
          </w:p>
          <w:p w14:paraId="77715A3D" w14:textId="3C214A14" w:rsidR="004154CF" w:rsidRPr="00A60FD5" w:rsidRDefault="004154CF" w:rsidP="00F4357D">
            <w:pPr>
              <w:spacing w:after="0"/>
              <w:jc w:val="center"/>
              <w:rPr>
                <w:rFonts w:ascii="Times New Roman" w:hAnsi="Times New Roman" w:cs="Times New Roman"/>
                <w:sz w:val="18"/>
                <w:szCs w:val="18"/>
              </w:rPr>
            </w:pPr>
            <w:r w:rsidRPr="00A60FD5">
              <w:rPr>
                <w:rFonts w:ascii="Times New Roman" w:hAnsi="Times New Roman" w:cs="Times New Roman"/>
                <w:sz w:val="18"/>
                <w:szCs w:val="18"/>
              </w:rPr>
              <w:t>(0.17)</w:t>
            </w:r>
          </w:p>
        </w:tc>
        <w:tc>
          <w:tcPr>
            <w:tcW w:w="991" w:type="dxa"/>
            <w:tcBorders>
              <w:top w:val="nil"/>
              <w:left w:val="dotted" w:sz="4" w:space="0" w:color="auto"/>
              <w:bottom w:val="nil"/>
              <w:right w:val="nil"/>
            </w:tcBorders>
          </w:tcPr>
          <w:p w14:paraId="75EC4C68" w14:textId="77777777" w:rsidR="00CB3C32" w:rsidRPr="00A60FD5" w:rsidRDefault="004154CF" w:rsidP="00F4357D">
            <w:pPr>
              <w:spacing w:after="0"/>
              <w:jc w:val="center"/>
              <w:rPr>
                <w:rFonts w:ascii="Times New Roman" w:hAnsi="Times New Roman" w:cs="Times New Roman"/>
                <w:sz w:val="18"/>
                <w:szCs w:val="18"/>
              </w:rPr>
            </w:pPr>
            <w:r w:rsidRPr="00A60FD5">
              <w:rPr>
                <w:rFonts w:ascii="Times New Roman" w:hAnsi="Times New Roman" w:cs="Times New Roman"/>
                <w:sz w:val="18"/>
                <w:szCs w:val="18"/>
              </w:rPr>
              <w:t>0.07</w:t>
            </w:r>
          </w:p>
          <w:p w14:paraId="529FD490" w14:textId="6EF4FDB5" w:rsidR="004154CF" w:rsidRPr="00A60FD5" w:rsidRDefault="004154CF" w:rsidP="00F4357D">
            <w:pPr>
              <w:spacing w:after="0"/>
              <w:jc w:val="center"/>
              <w:rPr>
                <w:rFonts w:ascii="Times New Roman" w:hAnsi="Times New Roman" w:cs="Times New Roman"/>
                <w:sz w:val="18"/>
                <w:szCs w:val="18"/>
              </w:rPr>
            </w:pPr>
            <w:r w:rsidRPr="00A60FD5">
              <w:rPr>
                <w:rFonts w:ascii="Times New Roman" w:hAnsi="Times New Roman" w:cs="Times New Roman"/>
                <w:sz w:val="18"/>
                <w:szCs w:val="18"/>
              </w:rPr>
              <w:t>(0.05)</w:t>
            </w:r>
          </w:p>
        </w:tc>
        <w:tc>
          <w:tcPr>
            <w:tcW w:w="1156" w:type="dxa"/>
            <w:tcBorders>
              <w:top w:val="nil"/>
              <w:left w:val="nil"/>
              <w:bottom w:val="nil"/>
              <w:right w:val="nil"/>
            </w:tcBorders>
          </w:tcPr>
          <w:p w14:paraId="5D2FCB3A" w14:textId="77777777" w:rsidR="00CB3C32" w:rsidRPr="00A60FD5" w:rsidRDefault="00FE5660" w:rsidP="00F4357D">
            <w:pPr>
              <w:spacing w:after="0"/>
              <w:jc w:val="center"/>
              <w:rPr>
                <w:rFonts w:ascii="Times New Roman" w:hAnsi="Times New Roman" w:cs="Times New Roman"/>
                <w:sz w:val="18"/>
                <w:szCs w:val="18"/>
              </w:rPr>
            </w:pPr>
            <w:r w:rsidRPr="00A60FD5">
              <w:rPr>
                <w:rFonts w:ascii="Times New Roman" w:hAnsi="Times New Roman" w:cs="Times New Roman"/>
                <w:sz w:val="18"/>
                <w:szCs w:val="18"/>
              </w:rPr>
              <w:t>-0.03</w:t>
            </w:r>
          </w:p>
          <w:p w14:paraId="58AA82A2" w14:textId="0E5150E5" w:rsidR="00FE5660" w:rsidRPr="00A60FD5" w:rsidRDefault="00FE5660" w:rsidP="00F4357D">
            <w:pPr>
              <w:spacing w:after="0"/>
              <w:jc w:val="center"/>
              <w:rPr>
                <w:rFonts w:ascii="Times New Roman" w:hAnsi="Times New Roman" w:cs="Times New Roman"/>
                <w:sz w:val="18"/>
                <w:szCs w:val="18"/>
              </w:rPr>
            </w:pPr>
            <w:r w:rsidRPr="00A60FD5">
              <w:rPr>
                <w:rFonts w:ascii="Times New Roman" w:hAnsi="Times New Roman" w:cs="Times New Roman"/>
                <w:sz w:val="18"/>
                <w:szCs w:val="18"/>
              </w:rPr>
              <w:t>(0.11)</w:t>
            </w:r>
          </w:p>
        </w:tc>
        <w:tc>
          <w:tcPr>
            <w:tcW w:w="1366" w:type="dxa"/>
            <w:tcBorders>
              <w:top w:val="nil"/>
              <w:left w:val="nil"/>
              <w:bottom w:val="nil"/>
              <w:right w:val="nil"/>
            </w:tcBorders>
          </w:tcPr>
          <w:p w14:paraId="0297AD75" w14:textId="77777777" w:rsidR="00CB3C32" w:rsidRPr="00A60FD5" w:rsidRDefault="00FD0473" w:rsidP="00F4357D">
            <w:pPr>
              <w:spacing w:after="0"/>
              <w:jc w:val="center"/>
              <w:rPr>
                <w:rFonts w:ascii="Times New Roman" w:hAnsi="Times New Roman" w:cs="Times New Roman"/>
                <w:sz w:val="18"/>
                <w:szCs w:val="18"/>
              </w:rPr>
            </w:pPr>
            <w:r w:rsidRPr="00A60FD5">
              <w:rPr>
                <w:rFonts w:ascii="Times New Roman" w:hAnsi="Times New Roman" w:cs="Times New Roman"/>
                <w:sz w:val="18"/>
                <w:szCs w:val="18"/>
              </w:rPr>
              <w:t>0.13</w:t>
            </w:r>
          </w:p>
          <w:p w14:paraId="20627764" w14:textId="4E99AABD" w:rsidR="00FD0473" w:rsidRPr="00A60FD5" w:rsidRDefault="00FD0473" w:rsidP="00F4357D">
            <w:pPr>
              <w:spacing w:after="0"/>
              <w:jc w:val="center"/>
              <w:rPr>
                <w:rFonts w:ascii="Times New Roman" w:hAnsi="Times New Roman" w:cs="Times New Roman"/>
                <w:sz w:val="18"/>
                <w:szCs w:val="18"/>
              </w:rPr>
            </w:pPr>
            <w:r w:rsidRPr="00A60FD5">
              <w:rPr>
                <w:rFonts w:ascii="Times New Roman" w:hAnsi="Times New Roman" w:cs="Times New Roman"/>
                <w:sz w:val="18"/>
                <w:szCs w:val="18"/>
              </w:rPr>
              <w:t>(0.18)</w:t>
            </w:r>
          </w:p>
        </w:tc>
      </w:tr>
      <w:tr w:rsidR="00CB3C32" w:rsidRPr="00A60FD5" w14:paraId="13DF2BDB" w14:textId="77777777" w:rsidTr="000810C3">
        <w:trPr>
          <w:trHeight w:hRule="exact" w:val="560"/>
          <w:jc w:val="center"/>
        </w:trPr>
        <w:tc>
          <w:tcPr>
            <w:tcW w:w="3537" w:type="dxa"/>
            <w:tcBorders>
              <w:top w:val="nil"/>
              <w:left w:val="nil"/>
              <w:bottom w:val="nil"/>
              <w:right w:val="nil"/>
            </w:tcBorders>
          </w:tcPr>
          <w:p w14:paraId="7A69DAF8" w14:textId="3644E837" w:rsidR="00CB3C32" w:rsidRPr="00A60FD5" w:rsidRDefault="00CB3C32" w:rsidP="002D2C4A">
            <w:pPr>
              <w:spacing w:before="80" w:after="0" w:line="200" w:lineRule="exact"/>
              <w:rPr>
                <w:rFonts w:ascii="Times New Roman" w:hAnsi="Times New Roman" w:cs="Times New Roman"/>
                <w:sz w:val="18"/>
                <w:szCs w:val="18"/>
              </w:rPr>
            </w:pPr>
            <w:r w:rsidRPr="00A60FD5">
              <w:rPr>
                <w:rFonts w:ascii="Times New Roman" w:hAnsi="Times New Roman" w:cs="Times New Roman"/>
                <w:sz w:val="18"/>
                <w:szCs w:val="18"/>
              </w:rPr>
              <w:t>Specific investments by the licensee</w:t>
            </w:r>
          </w:p>
        </w:tc>
        <w:tc>
          <w:tcPr>
            <w:tcW w:w="1063" w:type="dxa"/>
            <w:tcBorders>
              <w:top w:val="nil"/>
              <w:left w:val="nil"/>
              <w:bottom w:val="nil"/>
              <w:right w:val="nil"/>
            </w:tcBorders>
          </w:tcPr>
          <w:p w14:paraId="230156BC" w14:textId="77777777" w:rsidR="00CB3C32" w:rsidRPr="00A60FD5" w:rsidRDefault="00026CA5" w:rsidP="00F4357D">
            <w:pPr>
              <w:spacing w:after="0"/>
              <w:jc w:val="center"/>
              <w:rPr>
                <w:rFonts w:ascii="Times New Roman" w:hAnsi="Times New Roman" w:cs="Times New Roman"/>
                <w:sz w:val="18"/>
                <w:szCs w:val="18"/>
              </w:rPr>
            </w:pPr>
            <w:r w:rsidRPr="00A60FD5">
              <w:rPr>
                <w:rFonts w:ascii="Times New Roman" w:hAnsi="Times New Roman" w:cs="Times New Roman"/>
                <w:sz w:val="18"/>
                <w:szCs w:val="18"/>
              </w:rPr>
              <w:t>-0.03</w:t>
            </w:r>
          </w:p>
          <w:p w14:paraId="4A0246B7" w14:textId="3098F936" w:rsidR="00026CA5" w:rsidRPr="00A60FD5" w:rsidRDefault="00026CA5" w:rsidP="00F4357D">
            <w:pPr>
              <w:spacing w:after="0"/>
              <w:jc w:val="center"/>
              <w:rPr>
                <w:rFonts w:ascii="Times New Roman" w:hAnsi="Times New Roman" w:cs="Times New Roman"/>
                <w:sz w:val="18"/>
                <w:szCs w:val="18"/>
              </w:rPr>
            </w:pPr>
            <w:r w:rsidRPr="00A60FD5">
              <w:rPr>
                <w:rFonts w:ascii="Times New Roman" w:hAnsi="Times New Roman" w:cs="Times New Roman"/>
                <w:sz w:val="18"/>
                <w:szCs w:val="18"/>
              </w:rPr>
              <w:t>(0.06)</w:t>
            </w:r>
          </w:p>
        </w:tc>
        <w:tc>
          <w:tcPr>
            <w:tcW w:w="921" w:type="dxa"/>
            <w:tcBorders>
              <w:top w:val="nil"/>
              <w:left w:val="nil"/>
              <w:bottom w:val="nil"/>
              <w:right w:val="nil"/>
            </w:tcBorders>
          </w:tcPr>
          <w:p w14:paraId="5B57E2E7" w14:textId="2F9D074E" w:rsidR="00CB3C32" w:rsidRPr="00A60FD5" w:rsidRDefault="001824B4" w:rsidP="00F4357D">
            <w:pPr>
              <w:spacing w:after="0"/>
              <w:jc w:val="center"/>
              <w:rPr>
                <w:rFonts w:ascii="Times New Roman" w:hAnsi="Times New Roman" w:cs="Times New Roman"/>
                <w:sz w:val="18"/>
                <w:szCs w:val="18"/>
              </w:rPr>
            </w:pPr>
            <w:r w:rsidRPr="00A60FD5">
              <w:rPr>
                <w:rFonts w:ascii="Times New Roman" w:hAnsi="Times New Roman" w:cs="Times New Roman"/>
                <w:sz w:val="18"/>
                <w:szCs w:val="18"/>
              </w:rPr>
              <w:t>0.29*</w:t>
            </w:r>
          </w:p>
          <w:p w14:paraId="545FC69A" w14:textId="42A12679" w:rsidR="001824B4" w:rsidRPr="00A60FD5" w:rsidRDefault="001824B4" w:rsidP="00F4357D">
            <w:pPr>
              <w:spacing w:after="0"/>
              <w:jc w:val="center"/>
              <w:rPr>
                <w:rFonts w:ascii="Times New Roman" w:hAnsi="Times New Roman" w:cs="Times New Roman"/>
                <w:sz w:val="18"/>
                <w:szCs w:val="18"/>
              </w:rPr>
            </w:pPr>
            <w:r w:rsidRPr="00A60FD5">
              <w:rPr>
                <w:rFonts w:ascii="Times New Roman" w:hAnsi="Times New Roman" w:cs="Times New Roman"/>
                <w:sz w:val="18"/>
                <w:szCs w:val="18"/>
              </w:rPr>
              <w:t>(0.15)</w:t>
            </w:r>
          </w:p>
        </w:tc>
        <w:tc>
          <w:tcPr>
            <w:tcW w:w="1064" w:type="dxa"/>
            <w:tcBorders>
              <w:top w:val="nil"/>
              <w:left w:val="nil"/>
              <w:bottom w:val="nil"/>
              <w:right w:val="dotted" w:sz="4" w:space="0" w:color="auto"/>
            </w:tcBorders>
          </w:tcPr>
          <w:p w14:paraId="2AF5C940" w14:textId="77777777" w:rsidR="00CB3C32" w:rsidRPr="00A60FD5" w:rsidRDefault="004154CF" w:rsidP="00F4357D">
            <w:pPr>
              <w:spacing w:after="0"/>
              <w:jc w:val="center"/>
              <w:rPr>
                <w:rFonts w:ascii="Times New Roman" w:hAnsi="Times New Roman" w:cs="Times New Roman"/>
                <w:sz w:val="18"/>
                <w:szCs w:val="18"/>
              </w:rPr>
            </w:pPr>
            <w:r w:rsidRPr="00A60FD5">
              <w:rPr>
                <w:rFonts w:ascii="Times New Roman" w:hAnsi="Times New Roman" w:cs="Times New Roman"/>
                <w:sz w:val="18"/>
                <w:szCs w:val="18"/>
              </w:rPr>
              <w:t>0.24</w:t>
            </w:r>
          </w:p>
          <w:p w14:paraId="7952DFE7" w14:textId="511FD4ED" w:rsidR="004154CF" w:rsidRPr="00A60FD5" w:rsidRDefault="004154CF" w:rsidP="00F4357D">
            <w:pPr>
              <w:spacing w:after="0"/>
              <w:jc w:val="center"/>
              <w:rPr>
                <w:rFonts w:ascii="Times New Roman" w:hAnsi="Times New Roman" w:cs="Times New Roman"/>
                <w:sz w:val="18"/>
                <w:szCs w:val="18"/>
              </w:rPr>
            </w:pPr>
            <w:r w:rsidRPr="00A60FD5">
              <w:rPr>
                <w:rFonts w:ascii="Times New Roman" w:hAnsi="Times New Roman" w:cs="Times New Roman"/>
                <w:sz w:val="18"/>
                <w:szCs w:val="18"/>
              </w:rPr>
              <w:t>(0.20)</w:t>
            </w:r>
          </w:p>
        </w:tc>
        <w:tc>
          <w:tcPr>
            <w:tcW w:w="991" w:type="dxa"/>
            <w:tcBorders>
              <w:top w:val="nil"/>
              <w:left w:val="dotted" w:sz="4" w:space="0" w:color="auto"/>
              <w:bottom w:val="nil"/>
              <w:right w:val="nil"/>
            </w:tcBorders>
          </w:tcPr>
          <w:p w14:paraId="47B606C8" w14:textId="77777777" w:rsidR="00CB3C32" w:rsidRPr="00A60FD5" w:rsidRDefault="004154CF" w:rsidP="00F4357D">
            <w:pPr>
              <w:spacing w:after="0"/>
              <w:jc w:val="center"/>
              <w:rPr>
                <w:rFonts w:ascii="Times New Roman" w:hAnsi="Times New Roman" w:cs="Times New Roman"/>
                <w:sz w:val="18"/>
                <w:szCs w:val="18"/>
              </w:rPr>
            </w:pPr>
            <w:r w:rsidRPr="00A60FD5">
              <w:rPr>
                <w:rFonts w:ascii="Times New Roman" w:hAnsi="Times New Roman" w:cs="Times New Roman"/>
                <w:sz w:val="18"/>
                <w:szCs w:val="18"/>
              </w:rPr>
              <w:t>-0.03</w:t>
            </w:r>
          </w:p>
          <w:p w14:paraId="7B649893" w14:textId="02353727" w:rsidR="004154CF" w:rsidRPr="00A60FD5" w:rsidRDefault="004154CF" w:rsidP="00F4357D">
            <w:pPr>
              <w:spacing w:after="0"/>
              <w:jc w:val="center"/>
              <w:rPr>
                <w:rFonts w:ascii="Times New Roman" w:hAnsi="Times New Roman" w:cs="Times New Roman"/>
                <w:sz w:val="18"/>
                <w:szCs w:val="18"/>
              </w:rPr>
            </w:pPr>
            <w:r w:rsidRPr="00A60FD5">
              <w:rPr>
                <w:rFonts w:ascii="Times New Roman" w:hAnsi="Times New Roman" w:cs="Times New Roman"/>
                <w:sz w:val="18"/>
                <w:szCs w:val="18"/>
              </w:rPr>
              <w:t>(0.06)</w:t>
            </w:r>
          </w:p>
        </w:tc>
        <w:tc>
          <w:tcPr>
            <w:tcW w:w="1156" w:type="dxa"/>
            <w:tcBorders>
              <w:top w:val="nil"/>
              <w:left w:val="nil"/>
              <w:bottom w:val="nil"/>
              <w:right w:val="nil"/>
            </w:tcBorders>
          </w:tcPr>
          <w:p w14:paraId="609921EE" w14:textId="77777777" w:rsidR="00CB3C32" w:rsidRPr="00A60FD5" w:rsidRDefault="00FE5660" w:rsidP="00F4357D">
            <w:pPr>
              <w:spacing w:after="0"/>
              <w:jc w:val="center"/>
              <w:rPr>
                <w:rFonts w:ascii="Times New Roman" w:hAnsi="Times New Roman" w:cs="Times New Roman"/>
                <w:sz w:val="18"/>
                <w:szCs w:val="18"/>
              </w:rPr>
            </w:pPr>
            <w:r w:rsidRPr="00A60FD5">
              <w:rPr>
                <w:rFonts w:ascii="Times New Roman" w:hAnsi="Times New Roman" w:cs="Times New Roman"/>
                <w:sz w:val="18"/>
                <w:szCs w:val="18"/>
              </w:rPr>
              <w:t>0.29*</w:t>
            </w:r>
          </w:p>
          <w:p w14:paraId="5D3E42C0" w14:textId="338C3CC9" w:rsidR="00FE5660" w:rsidRPr="00A60FD5" w:rsidRDefault="00FE5660" w:rsidP="00F4357D">
            <w:pPr>
              <w:spacing w:after="0"/>
              <w:jc w:val="center"/>
              <w:rPr>
                <w:rFonts w:ascii="Times New Roman" w:hAnsi="Times New Roman" w:cs="Times New Roman"/>
                <w:sz w:val="18"/>
                <w:szCs w:val="18"/>
              </w:rPr>
            </w:pPr>
            <w:r w:rsidRPr="00A60FD5">
              <w:rPr>
                <w:rFonts w:ascii="Times New Roman" w:hAnsi="Times New Roman" w:cs="Times New Roman"/>
                <w:sz w:val="18"/>
                <w:szCs w:val="18"/>
              </w:rPr>
              <w:t>(0.15)</w:t>
            </w:r>
          </w:p>
        </w:tc>
        <w:tc>
          <w:tcPr>
            <w:tcW w:w="1366" w:type="dxa"/>
            <w:tcBorders>
              <w:top w:val="nil"/>
              <w:left w:val="nil"/>
              <w:bottom w:val="nil"/>
              <w:right w:val="nil"/>
            </w:tcBorders>
          </w:tcPr>
          <w:p w14:paraId="7837FC22" w14:textId="77777777" w:rsidR="00CB3C32" w:rsidRPr="00A60FD5" w:rsidRDefault="00FD0473" w:rsidP="00F4357D">
            <w:pPr>
              <w:spacing w:after="0"/>
              <w:jc w:val="center"/>
              <w:rPr>
                <w:rFonts w:ascii="Times New Roman" w:hAnsi="Times New Roman" w:cs="Times New Roman"/>
                <w:sz w:val="18"/>
                <w:szCs w:val="18"/>
              </w:rPr>
            </w:pPr>
            <w:r w:rsidRPr="00A60FD5">
              <w:rPr>
                <w:rFonts w:ascii="Times New Roman" w:hAnsi="Times New Roman" w:cs="Times New Roman"/>
                <w:sz w:val="18"/>
                <w:szCs w:val="18"/>
              </w:rPr>
              <w:t>0.25</w:t>
            </w:r>
          </w:p>
          <w:p w14:paraId="3893A9A0" w14:textId="4D59E901" w:rsidR="00FD0473" w:rsidRPr="00A60FD5" w:rsidRDefault="00FD0473" w:rsidP="00F4357D">
            <w:pPr>
              <w:spacing w:after="0"/>
              <w:jc w:val="center"/>
              <w:rPr>
                <w:rFonts w:ascii="Times New Roman" w:hAnsi="Times New Roman" w:cs="Times New Roman"/>
                <w:sz w:val="18"/>
                <w:szCs w:val="18"/>
              </w:rPr>
            </w:pPr>
            <w:r w:rsidRPr="00A60FD5">
              <w:rPr>
                <w:rFonts w:ascii="Times New Roman" w:hAnsi="Times New Roman" w:cs="Times New Roman"/>
                <w:sz w:val="18"/>
                <w:szCs w:val="18"/>
              </w:rPr>
              <w:t>(0.20)</w:t>
            </w:r>
          </w:p>
        </w:tc>
      </w:tr>
      <w:tr w:rsidR="00CB3C32" w:rsidRPr="00A60FD5" w14:paraId="54DBE925" w14:textId="77777777" w:rsidTr="000810C3">
        <w:trPr>
          <w:trHeight w:hRule="exact" w:val="560"/>
          <w:jc w:val="center"/>
        </w:trPr>
        <w:tc>
          <w:tcPr>
            <w:tcW w:w="3537" w:type="dxa"/>
            <w:tcBorders>
              <w:top w:val="nil"/>
              <w:left w:val="nil"/>
              <w:bottom w:val="nil"/>
              <w:right w:val="nil"/>
            </w:tcBorders>
          </w:tcPr>
          <w:p w14:paraId="73A22408" w14:textId="230D4BEF" w:rsidR="00CB3C32" w:rsidRPr="00A60FD5" w:rsidRDefault="00CB3C32" w:rsidP="005C69EC">
            <w:pPr>
              <w:spacing w:before="80" w:after="0" w:line="200" w:lineRule="exact"/>
              <w:rPr>
                <w:rFonts w:ascii="Times New Roman" w:hAnsi="Times New Roman" w:cs="Times New Roman"/>
                <w:sz w:val="18"/>
                <w:szCs w:val="18"/>
              </w:rPr>
            </w:pPr>
            <w:r w:rsidRPr="00A60FD5">
              <w:rPr>
                <w:rFonts w:ascii="Times New Roman" w:hAnsi="Times New Roman" w:cs="Times New Roman"/>
                <w:sz w:val="18"/>
                <w:szCs w:val="18"/>
              </w:rPr>
              <w:t xml:space="preserve">Observability of licensee’s behavior </w:t>
            </w:r>
          </w:p>
        </w:tc>
        <w:tc>
          <w:tcPr>
            <w:tcW w:w="1063" w:type="dxa"/>
            <w:tcBorders>
              <w:top w:val="nil"/>
              <w:left w:val="nil"/>
              <w:bottom w:val="nil"/>
              <w:right w:val="nil"/>
            </w:tcBorders>
          </w:tcPr>
          <w:p w14:paraId="779D4AF4" w14:textId="77777777" w:rsidR="00CB3C32" w:rsidRPr="00A60FD5" w:rsidRDefault="00026CA5" w:rsidP="00F4357D">
            <w:pPr>
              <w:spacing w:after="0"/>
              <w:jc w:val="center"/>
              <w:rPr>
                <w:rFonts w:ascii="Times New Roman" w:hAnsi="Times New Roman" w:cs="Times New Roman"/>
                <w:sz w:val="18"/>
                <w:szCs w:val="18"/>
              </w:rPr>
            </w:pPr>
            <w:r w:rsidRPr="00A60FD5">
              <w:rPr>
                <w:rFonts w:ascii="Times New Roman" w:hAnsi="Times New Roman" w:cs="Times New Roman"/>
                <w:sz w:val="18"/>
                <w:szCs w:val="18"/>
              </w:rPr>
              <w:t>0.11*</w:t>
            </w:r>
          </w:p>
          <w:p w14:paraId="2E4D3EF1" w14:textId="186791F1" w:rsidR="00026CA5" w:rsidRPr="00A60FD5" w:rsidRDefault="00026CA5" w:rsidP="00F4357D">
            <w:pPr>
              <w:spacing w:after="0"/>
              <w:jc w:val="center"/>
              <w:rPr>
                <w:rFonts w:ascii="Times New Roman" w:hAnsi="Times New Roman" w:cs="Times New Roman"/>
                <w:sz w:val="18"/>
                <w:szCs w:val="18"/>
              </w:rPr>
            </w:pPr>
            <w:r w:rsidRPr="00A60FD5">
              <w:rPr>
                <w:rFonts w:ascii="Times New Roman" w:hAnsi="Times New Roman" w:cs="Times New Roman"/>
                <w:sz w:val="18"/>
                <w:szCs w:val="18"/>
              </w:rPr>
              <w:t>(0.05)</w:t>
            </w:r>
          </w:p>
        </w:tc>
        <w:tc>
          <w:tcPr>
            <w:tcW w:w="921" w:type="dxa"/>
            <w:tcBorders>
              <w:top w:val="nil"/>
              <w:left w:val="nil"/>
              <w:bottom w:val="nil"/>
              <w:right w:val="nil"/>
            </w:tcBorders>
          </w:tcPr>
          <w:p w14:paraId="362DFBDA" w14:textId="77777777" w:rsidR="00CB3C32" w:rsidRPr="00A60FD5" w:rsidRDefault="001824B4" w:rsidP="00F4357D">
            <w:pPr>
              <w:spacing w:after="0"/>
              <w:jc w:val="center"/>
              <w:rPr>
                <w:rFonts w:ascii="Times New Roman" w:hAnsi="Times New Roman" w:cs="Times New Roman"/>
                <w:sz w:val="18"/>
                <w:szCs w:val="18"/>
              </w:rPr>
            </w:pPr>
            <w:r w:rsidRPr="00A60FD5">
              <w:rPr>
                <w:rFonts w:ascii="Times New Roman" w:hAnsi="Times New Roman" w:cs="Times New Roman"/>
                <w:sz w:val="18"/>
                <w:szCs w:val="18"/>
              </w:rPr>
              <w:t>0.15</w:t>
            </w:r>
          </w:p>
          <w:p w14:paraId="64747CF0" w14:textId="7A409729" w:rsidR="001824B4" w:rsidRPr="00A60FD5" w:rsidRDefault="001824B4" w:rsidP="00F4357D">
            <w:pPr>
              <w:spacing w:after="0"/>
              <w:jc w:val="center"/>
              <w:rPr>
                <w:rFonts w:ascii="Times New Roman" w:hAnsi="Times New Roman" w:cs="Times New Roman"/>
                <w:sz w:val="18"/>
                <w:szCs w:val="18"/>
              </w:rPr>
            </w:pPr>
            <w:r w:rsidRPr="00A60FD5">
              <w:rPr>
                <w:rFonts w:ascii="Times New Roman" w:hAnsi="Times New Roman" w:cs="Times New Roman"/>
                <w:sz w:val="18"/>
                <w:szCs w:val="18"/>
              </w:rPr>
              <w:t>(0.13)</w:t>
            </w:r>
          </w:p>
        </w:tc>
        <w:tc>
          <w:tcPr>
            <w:tcW w:w="1064" w:type="dxa"/>
            <w:tcBorders>
              <w:top w:val="nil"/>
              <w:left w:val="nil"/>
              <w:bottom w:val="nil"/>
              <w:right w:val="dotted" w:sz="4" w:space="0" w:color="auto"/>
            </w:tcBorders>
          </w:tcPr>
          <w:p w14:paraId="0CF64A72" w14:textId="77777777" w:rsidR="00CB3C32" w:rsidRPr="00A60FD5" w:rsidRDefault="000943F0" w:rsidP="00F4357D">
            <w:pPr>
              <w:spacing w:after="0"/>
              <w:jc w:val="center"/>
              <w:rPr>
                <w:rFonts w:ascii="Times New Roman" w:hAnsi="Times New Roman" w:cs="Times New Roman"/>
                <w:sz w:val="18"/>
                <w:szCs w:val="18"/>
              </w:rPr>
            </w:pPr>
            <w:r w:rsidRPr="00A60FD5">
              <w:rPr>
                <w:rFonts w:ascii="Times New Roman" w:hAnsi="Times New Roman" w:cs="Times New Roman"/>
                <w:sz w:val="18"/>
                <w:szCs w:val="18"/>
              </w:rPr>
              <w:t>-0.15</w:t>
            </w:r>
          </w:p>
          <w:p w14:paraId="63E9F7C6" w14:textId="1C339627" w:rsidR="000943F0" w:rsidRPr="00A60FD5" w:rsidRDefault="000943F0" w:rsidP="00F4357D">
            <w:pPr>
              <w:spacing w:after="0"/>
              <w:jc w:val="center"/>
              <w:rPr>
                <w:rFonts w:ascii="Times New Roman" w:hAnsi="Times New Roman" w:cs="Times New Roman"/>
                <w:sz w:val="18"/>
                <w:szCs w:val="18"/>
              </w:rPr>
            </w:pPr>
            <w:r w:rsidRPr="00A60FD5">
              <w:rPr>
                <w:rFonts w:ascii="Times New Roman" w:hAnsi="Times New Roman" w:cs="Times New Roman"/>
                <w:sz w:val="18"/>
                <w:szCs w:val="18"/>
              </w:rPr>
              <w:t>(0.20)</w:t>
            </w:r>
          </w:p>
        </w:tc>
        <w:tc>
          <w:tcPr>
            <w:tcW w:w="991" w:type="dxa"/>
            <w:tcBorders>
              <w:top w:val="nil"/>
              <w:left w:val="dotted" w:sz="4" w:space="0" w:color="auto"/>
              <w:bottom w:val="nil"/>
              <w:right w:val="nil"/>
            </w:tcBorders>
          </w:tcPr>
          <w:p w14:paraId="4E918E49" w14:textId="77777777" w:rsidR="00CB3C32" w:rsidRPr="00A60FD5" w:rsidRDefault="004154CF" w:rsidP="00F4357D">
            <w:pPr>
              <w:spacing w:after="0"/>
              <w:jc w:val="center"/>
              <w:rPr>
                <w:rFonts w:ascii="Times New Roman" w:hAnsi="Times New Roman" w:cs="Times New Roman"/>
                <w:sz w:val="18"/>
                <w:szCs w:val="18"/>
              </w:rPr>
            </w:pPr>
            <w:r w:rsidRPr="00A60FD5">
              <w:rPr>
                <w:rFonts w:ascii="Times New Roman" w:hAnsi="Times New Roman" w:cs="Times New Roman"/>
                <w:sz w:val="18"/>
                <w:szCs w:val="18"/>
              </w:rPr>
              <w:t>0.11*</w:t>
            </w:r>
          </w:p>
          <w:p w14:paraId="21D3590C" w14:textId="14A85D47" w:rsidR="004154CF" w:rsidRPr="00A60FD5" w:rsidRDefault="004154CF" w:rsidP="00F4357D">
            <w:pPr>
              <w:spacing w:after="0"/>
              <w:jc w:val="center"/>
              <w:rPr>
                <w:rFonts w:ascii="Times New Roman" w:hAnsi="Times New Roman" w:cs="Times New Roman"/>
                <w:sz w:val="18"/>
                <w:szCs w:val="18"/>
              </w:rPr>
            </w:pPr>
            <w:r w:rsidRPr="00A60FD5">
              <w:rPr>
                <w:rFonts w:ascii="Times New Roman" w:hAnsi="Times New Roman" w:cs="Times New Roman"/>
                <w:sz w:val="18"/>
                <w:szCs w:val="18"/>
              </w:rPr>
              <w:t>(0.05)</w:t>
            </w:r>
          </w:p>
        </w:tc>
        <w:tc>
          <w:tcPr>
            <w:tcW w:w="1156" w:type="dxa"/>
            <w:tcBorders>
              <w:top w:val="nil"/>
              <w:left w:val="nil"/>
              <w:bottom w:val="nil"/>
              <w:right w:val="nil"/>
            </w:tcBorders>
          </w:tcPr>
          <w:p w14:paraId="2604AEFB" w14:textId="77777777" w:rsidR="00CB3C32" w:rsidRPr="00A60FD5" w:rsidRDefault="00FE5660" w:rsidP="00F4357D">
            <w:pPr>
              <w:spacing w:after="0"/>
              <w:jc w:val="center"/>
              <w:rPr>
                <w:rFonts w:ascii="Times New Roman" w:hAnsi="Times New Roman" w:cs="Times New Roman"/>
                <w:sz w:val="18"/>
                <w:szCs w:val="18"/>
              </w:rPr>
            </w:pPr>
            <w:r w:rsidRPr="00A60FD5">
              <w:rPr>
                <w:rFonts w:ascii="Times New Roman" w:hAnsi="Times New Roman" w:cs="Times New Roman"/>
                <w:sz w:val="18"/>
                <w:szCs w:val="18"/>
              </w:rPr>
              <w:t>0.15</w:t>
            </w:r>
          </w:p>
          <w:p w14:paraId="440BED56" w14:textId="18BCC18A" w:rsidR="00FE5660" w:rsidRPr="00A60FD5" w:rsidRDefault="00FE5660" w:rsidP="00F4357D">
            <w:pPr>
              <w:spacing w:after="0"/>
              <w:jc w:val="center"/>
              <w:rPr>
                <w:rFonts w:ascii="Times New Roman" w:hAnsi="Times New Roman" w:cs="Times New Roman"/>
                <w:sz w:val="18"/>
                <w:szCs w:val="18"/>
              </w:rPr>
            </w:pPr>
            <w:r w:rsidRPr="00A60FD5">
              <w:rPr>
                <w:rFonts w:ascii="Times New Roman" w:hAnsi="Times New Roman" w:cs="Times New Roman"/>
                <w:sz w:val="18"/>
                <w:szCs w:val="18"/>
              </w:rPr>
              <w:t>(0.13)</w:t>
            </w:r>
          </w:p>
        </w:tc>
        <w:tc>
          <w:tcPr>
            <w:tcW w:w="1366" w:type="dxa"/>
            <w:tcBorders>
              <w:top w:val="nil"/>
              <w:left w:val="nil"/>
              <w:bottom w:val="nil"/>
              <w:right w:val="nil"/>
            </w:tcBorders>
          </w:tcPr>
          <w:p w14:paraId="3E90F901" w14:textId="77777777" w:rsidR="00CB3C32" w:rsidRPr="00A60FD5" w:rsidRDefault="00FD0473" w:rsidP="00F4357D">
            <w:pPr>
              <w:spacing w:after="0"/>
              <w:jc w:val="center"/>
              <w:rPr>
                <w:rFonts w:ascii="Times New Roman" w:hAnsi="Times New Roman" w:cs="Times New Roman"/>
                <w:sz w:val="18"/>
                <w:szCs w:val="18"/>
              </w:rPr>
            </w:pPr>
            <w:r w:rsidRPr="00A60FD5">
              <w:rPr>
                <w:rFonts w:ascii="Times New Roman" w:hAnsi="Times New Roman" w:cs="Times New Roman"/>
                <w:sz w:val="18"/>
                <w:szCs w:val="18"/>
              </w:rPr>
              <w:t>-0.17</w:t>
            </w:r>
          </w:p>
          <w:p w14:paraId="189CDD21" w14:textId="4D1CAA8D" w:rsidR="00FD0473" w:rsidRPr="00A60FD5" w:rsidRDefault="00FD0473" w:rsidP="00F4357D">
            <w:pPr>
              <w:spacing w:after="0"/>
              <w:jc w:val="center"/>
              <w:rPr>
                <w:rFonts w:ascii="Times New Roman" w:hAnsi="Times New Roman" w:cs="Times New Roman"/>
                <w:sz w:val="18"/>
                <w:szCs w:val="18"/>
              </w:rPr>
            </w:pPr>
            <w:r w:rsidRPr="00A60FD5">
              <w:rPr>
                <w:rFonts w:ascii="Times New Roman" w:hAnsi="Times New Roman" w:cs="Times New Roman"/>
                <w:sz w:val="18"/>
                <w:szCs w:val="18"/>
              </w:rPr>
              <w:t>(0.19)</w:t>
            </w:r>
          </w:p>
        </w:tc>
      </w:tr>
      <w:tr w:rsidR="00CB3C32" w:rsidRPr="00A60FD5" w14:paraId="72CC40FC" w14:textId="77777777" w:rsidTr="000810C3">
        <w:trPr>
          <w:trHeight w:hRule="exact" w:val="560"/>
          <w:jc w:val="center"/>
        </w:trPr>
        <w:tc>
          <w:tcPr>
            <w:tcW w:w="3537" w:type="dxa"/>
            <w:tcBorders>
              <w:top w:val="nil"/>
              <w:left w:val="nil"/>
              <w:bottom w:val="nil"/>
              <w:right w:val="nil"/>
            </w:tcBorders>
          </w:tcPr>
          <w:p w14:paraId="138C0616" w14:textId="685177A3" w:rsidR="00CB3C32" w:rsidRPr="00A60FD5" w:rsidRDefault="00CB3C32" w:rsidP="002D2C4A">
            <w:pPr>
              <w:spacing w:before="80" w:after="0" w:line="200" w:lineRule="exact"/>
              <w:rPr>
                <w:rFonts w:ascii="Times New Roman" w:hAnsi="Times New Roman" w:cs="Times New Roman"/>
                <w:sz w:val="18"/>
                <w:szCs w:val="18"/>
              </w:rPr>
            </w:pPr>
            <w:r w:rsidRPr="00A60FD5">
              <w:rPr>
                <w:rFonts w:ascii="Times New Roman" w:hAnsi="Times New Roman" w:cs="Times New Roman"/>
                <w:sz w:val="18"/>
                <w:szCs w:val="18"/>
              </w:rPr>
              <w:t>Technological capabilities of the licensor</w:t>
            </w:r>
          </w:p>
        </w:tc>
        <w:tc>
          <w:tcPr>
            <w:tcW w:w="1063" w:type="dxa"/>
            <w:tcBorders>
              <w:top w:val="nil"/>
              <w:left w:val="nil"/>
              <w:bottom w:val="nil"/>
              <w:right w:val="nil"/>
            </w:tcBorders>
          </w:tcPr>
          <w:p w14:paraId="0211AA5C" w14:textId="77777777" w:rsidR="00026CA5" w:rsidRPr="00A60FD5" w:rsidRDefault="00026CA5" w:rsidP="00F4357D">
            <w:pPr>
              <w:spacing w:after="0"/>
              <w:jc w:val="center"/>
              <w:rPr>
                <w:rFonts w:ascii="Times New Roman" w:hAnsi="Times New Roman" w:cs="Times New Roman"/>
                <w:sz w:val="18"/>
                <w:szCs w:val="18"/>
              </w:rPr>
            </w:pPr>
            <w:r w:rsidRPr="00A60FD5">
              <w:rPr>
                <w:rFonts w:ascii="Times New Roman" w:hAnsi="Times New Roman" w:cs="Times New Roman"/>
                <w:sz w:val="18"/>
                <w:szCs w:val="18"/>
              </w:rPr>
              <w:t>0.11*</w:t>
            </w:r>
          </w:p>
          <w:p w14:paraId="7DD24511" w14:textId="61E1B760" w:rsidR="00026CA5" w:rsidRPr="00A60FD5" w:rsidRDefault="00026CA5" w:rsidP="00F4357D">
            <w:pPr>
              <w:spacing w:after="0"/>
              <w:jc w:val="center"/>
              <w:rPr>
                <w:rFonts w:ascii="Times New Roman" w:hAnsi="Times New Roman" w:cs="Times New Roman"/>
                <w:sz w:val="18"/>
                <w:szCs w:val="18"/>
              </w:rPr>
            </w:pPr>
            <w:r w:rsidRPr="00A60FD5">
              <w:rPr>
                <w:rFonts w:ascii="Times New Roman" w:hAnsi="Times New Roman" w:cs="Times New Roman"/>
                <w:sz w:val="18"/>
                <w:szCs w:val="18"/>
              </w:rPr>
              <w:t>(0.04)</w:t>
            </w:r>
          </w:p>
        </w:tc>
        <w:tc>
          <w:tcPr>
            <w:tcW w:w="921" w:type="dxa"/>
            <w:tcBorders>
              <w:top w:val="nil"/>
              <w:left w:val="nil"/>
              <w:bottom w:val="nil"/>
              <w:right w:val="nil"/>
            </w:tcBorders>
          </w:tcPr>
          <w:p w14:paraId="1AF3E8F2" w14:textId="77777777" w:rsidR="00CB3C32" w:rsidRPr="00A60FD5" w:rsidRDefault="001824B4" w:rsidP="00F4357D">
            <w:pPr>
              <w:spacing w:after="0"/>
              <w:jc w:val="center"/>
              <w:rPr>
                <w:rFonts w:ascii="Times New Roman" w:hAnsi="Times New Roman" w:cs="Times New Roman"/>
                <w:sz w:val="18"/>
                <w:szCs w:val="18"/>
              </w:rPr>
            </w:pPr>
            <w:r w:rsidRPr="00A60FD5">
              <w:rPr>
                <w:rFonts w:ascii="Times New Roman" w:hAnsi="Times New Roman" w:cs="Times New Roman"/>
                <w:sz w:val="18"/>
                <w:szCs w:val="18"/>
              </w:rPr>
              <w:t>-0.01</w:t>
            </w:r>
          </w:p>
          <w:p w14:paraId="06B09D88" w14:textId="182A0508" w:rsidR="001824B4" w:rsidRPr="00A60FD5" w:rsidRDefault="001824B4" w:rsidP="00F4357D">
            <w:pPr>
              <w:spacing w:after="0"/>
              <w:jc w:val="center"/>
              <w:rPr>
                <w:rFonts w:ascii="Times New Roman" w:hAnsi="Times New Roman" w:cs="Times New Roman"/>
                <w:sz w:val="18"/>
                <w:szCs w:val="18"/>
              </w:rPr>
            </w:pPr>
            <w:r w:rsidRPr="00A60FD5">
              <w:rPr>
                <w:rFonts w:ascii="Times New Roman" w:hAnsi="Times New Roman" w:cs="Times New Roman"/>
                <w:sz w:val="18"/>
                <w:szCs w:val="18"/>
              </w:rPr>
              <w:t>(0.12)</w:t>
            </w:r>
          </w:p>
        </w:tc>
        <w:tc>
          <w:tcPr>
            <w:tcW w:w="1064" w:type="dxa"/>
            <w:tcBorders>
              <w:top w:val="nil"/>
              <w:left w:val="nil"/>
              <w:bottom w:val="nil"/>
              <w:right w:val="dotted" w:sz="4" w:space="0" w:color="auto"/>
            </w:tcBorders>
          </w:tcPr>
          <w:p w14:paraId="02141BC8" w14:textId="77777777" w:rsidR="00CB3C32" w:rsidRPr="00A60FD5" w:rsidRDefault="000943F0" w:rsidP="00F4357D">
            <w:pPr>
              <w:spacing w:after="0"/>
              <w:jc w:val="center"/>
              <w:rPr>
                <w:rFonts w:ascii="Times New Roman" w:hAnsi="Times New Roman" w:cs="Times New Roman"/>
                <w:sz w:val="18"/>
                <w:szCs w:val="18"/>
              </w:rPr>
            </w:pPr>
            <w:r w:rsidRPr="00A60FD5">
              <w:rPr>
                <w:rFonts w:ascii="Times New Roman" w:hAnsi="Times New Roman" w:cs="Times New Roman"/>
                <w:sz w:val="18"/>
                <w:szCs w:val="18"/>
              </w:rPr>
              <w:t>-0.11</w:t>
            </w:r>
          </w:p>
          <w:p w14:paraId="409823BA" w14:textId="6C5A09F7" w:rsidR="000943F0" w:rsidRPr="00A60FD5" w:rsidRDefault="000943F0" w:rsidP="00F4357D">
            <w:pPr>
              <w:spacing w:after="0"/>
              <w:jc w:val="center"/>
              <w:rPr>
                <w:rFonts w:ascii="Times New Roman" w:hAnsi="Times New Roman" w:cs="Times New Roman"/>
                <w:sz w:val="18"/>
                <w:szCs w:val="18"/>
              </w:rPr>
            </w:pPr>
            <w:r w:rsidRPr="00A60FD5">
              <w:rPr>
                <w:rFonts w:ascii="Times New Roman" w:hAnsi="Times New Roman" w:cs="Times New Roman"/>
                <w:sz w:val="18"/>
                <w:szCs w:val="18"/>
              </w:rPr>
              <w:t>(0.19)</w:t>
            </w:r>
          </w:p>
        </w:tc>
        <w:tc>
          <w:tcPr>
            <w:tcW w:w="991" w:type="dxa"/>
            <w:tcBorders>
              <w:top w:val="nil"/>
              <w:left w:val="dotted" w:sz="4" w:space="0" w:color="auto"/>
              <w:bottom w:val="nil"/>
              <w:right w:val="nil"/>
            </w:tcBorders>
          </w:tcPr>
          <w:p w14:paraId="1A0F31CE" w14:textId="77777777" w:rsidR="00CB3C32" w:rsidRPr="00A60FD5" w:rsidRDefault="004154CF" w:rsidP="00F4357D">
            <w:pPr>
              <w:spacing w:after="0"/>
              <w:jc w:val="center"/>
              <w:rPr>
                <w:rFonts w:ascii="Times New Roman" w:hAnsi="Times New Roman" w:cs="Times New Roman"/>
                <w:sz w:val="18"/>
                <w:szCs w:val="18"/>
              </w:rPr>
            </w:pPr>
            <w:r w:rsidRPr="00A60FD5">
              <w:rPr>
                <w:rFonts w:ascii="Times New Roman" w:hAnsi="Times New Roman" w:cs="Times New Roman"/>
                <w:sz w:val="18"/>
                <w:szCs w:val="18"/>
              </w:rPr>
              <w:t>0.11*</w:t>
            </w:r>
          </w:p>
          <w:p w14:paraId="279F6EB0" w14:textId="024F1466" w:rsidR="004154CF" w:rsidRPr="00A60FD5" w:rsidRDefault="004154CF" w:rsidP="00F4357D">
            <w:pPr>
              <w:spacing w:after="0"/>
              <w:jc w:val="center"/>
              <w:rPr>
                <w:rFonts w:ascii="Times New Roman" w:hAnsi="Times New Roman" w:cs="Times New Roman"/>
                <w:sz w:val="18"/>
                <w:szCs w:val="18"/>
              </w:rPr>
            </w:pPr>
            <w:r w:rsidRPr="00A60FD5">
              <w:rPr>
                <w:rFonts w:ascii="Times New Roman" w:hAnsi="Times New Roman" w:cs="Times New Roman"/>
                <w:sz w:val="18"/>
                <w:szCs w:val="18"/>
              </w:rPr>
              <w:t>(0.04)</w:t>
            </w:r>
          </w:p>
        </w:tc>
        <w:tc>
          <w:tcPr>
            <w:tcW w:w="1156" w:type="dxa"/>
            <w:tcBorders>
              <w:top w:val="nil"/>
              <w:left w:val="nil"/>
              <w:bottom w:val="nil"/>
              <w:right w:val="nil"/>
            </w:tcBorders>
          </w:tcPr>
          <w:p w14:paraId="1C5978B1" w14:textId="77777777" w:rsidR="00CB3C32" w:rsidRPr="00A60FD5" w:rsidRDefault="00FE5660" w:rsidP="00F4357D">
            <w:pPr>
              <w:spacing w:after="0"/>
              <w:jc w:val="center"/>
              <w:rPr>
                <w:rFonts w:ascii="Times New Roman" w:hAnsi="Times New Roman" w:cs="Times New Roman"/>
                <w:sz w:val="18"/>
                <w:szCs w:val="18"/>
              </w:rPr>
            </w:pPr>
            <w:r w:rsidRPr="00A60FD5">
              <w:rPr>
                <w:rFonts w:ascii="Times New Roman" w:hAnsi="Times New Roman" w:cs="Times New Roman"/>
                <w:sz w:val="18"/>
                <w:szCs w:val="18"/>
              </w:rPr>
              <w:t>-0.01</w:t>
            </w:r>
          </w:p>
          <w:p w14:paraId="2A6620CB" w14:textId="253B73FF" w:rsidR="00FE5660" w:rsidRPr="00A60FD5" w:rsidRDefault="00FE5660" w:rsidP="00F4357D">
            <w:pPr>
              <w:spacing w:after="0"/>
              <w:jc w:val="center"/>
              <w:rPr>
                <w:rFonts w:ascii="Times New Roman" w:hAnsi="Times New Roman" w:cs="Times New Roman"/>
                <w:sz w:val="18"/>
                <w:szCs w:val="18"/>
              </w:rPr>
            </w:pPr>
            <w:r w:rsidRPr="00A60FD5">
              <w:rPr>
                <w:rFonts w:ascii="Times New Roman" w:hAnsi="Times New Roman" w:cs="Times New Roman"/>
                <w:sz w:val="18"/>
                <w:szCs w:val="18"/>
              </w:rPr>
              <w:t>(0.12)</w:t>
            </w:r>
          </w:p>
        </w:tc>
        <w:tc>
          <w:tcPr>
            <w:tcW w:w="1366" w:type="dxa"/>
            <w:tcBorders>
              <w:top w:val="nil"/>
              <w:left w:val="nil"/>
              <w:bottom w:val="nil"/>
              <w:right w:val="nil"/>
            </w:tcBorders>
          </w:tcPr>
          <w:p w14:paraId="5FC7C4A1" w14:textId="77777777" w:rsidR="00CB3C32" w:rsidRPr="00A60FD5" w:rsidRDefault="00FD0473" w:rsidP="00F4357D">
            <w:pPr>
              <w:spacing w:after="0"/>
              <w:jc w:val="center"/>
              <w:rPr>
                <w:rFonts w:ascii="Times New Roman" w:hAnsi="Times New Roman" w:cs="Times New Roman"/>
                <w:sz w:val="18"/>
                <w:szCs w:val="18"/>
              </w:rPr>
            </w:pPr>
            <w:r w:rsidRPr="00A60FD5">
              <w:rPr>
                <w:rFonts w:ascii="Times New Roman" w:hAnsi="Times New Roman" w:cs="Times New Roman"/>
                <w:sz w:val="18"/>
                <w:szCs w:val="18"/>
              </w:rPr>
              <w:t>-0.13</w:t>
            </w:r>
          </w:p>
          <w:p w14:paraId="2B04D0D5" w14:textId="60F49564" w:rsidR="00FD0473" w:rsidRPr="00A60FD5" w:rsidRDefault="00FD0473" w:rsidP="00F4357D">
            <w:pPr>
              <w:spacing w:after="0"/>
              <w:jc w:val="center"/>
              <w:rPr>
                <w:rFonts w:ascii="Times New Roman" w:hAnsi="Times New Roman" w:cs="Times New Roman"/>
                <w:sz w:val="18"/>
                <w:szCs w:val="18"/>
              </w:rPr>
            </w:pPr>
            <w:r w:rsidRPr="00A60FD5">
              <w:rPr>
                <w:rFonts w:ascii="Times New Roman" w:hAnsi="Times New Roman" w:cs="Times New Roman"/>
                <w:sz w:val="18"/>
                <w:szCs w:val="18"/>
              </w:rPr>
              <w:t>(0.19)</w:t>
            </w:r>
          </w:p>
        </w:tc>
      </w:tr>
      <w:tr w:rsidR="0098043F" w:rsidRPr="00A60FD5" w14:paraId="14092D98" w14:textId="77777777" w:rsidTr="000810C3">
        <w:trPr>
          <w:trHeight w:hRule="exact" w:val="560"/>
          <w:jc w:val="center"/>
        </w:trPr>
        <w:tc>
          <w:tcPr>
            <w:tcW w:w="3537" w:type="dxa"/>
            <w:tcBorders>
              <w:top w:val="nil"/>
              <w:left w:val="nil"/>
              <w:bottom w:val="nil"/>
              <w:right w:val="nil"/>
            </w:tcBorders>
          </w:tcPr>
          <w:p w14:paraId="2BD94FDB" w14:textId="7AC13A2D" w:rsidR="0098043F" w:rsidRPr="00A60FD5" w:rsidRDefault="00CB3C32" w:rsidP="002D2C4A">
            <w:pPr>
              <w:spacing w:before="80" w:after="0" w:line="200" w:lineRule="exact"/>
              <w:rPr>
                <w:rFonts w:ascii="Times New Roman" w:hAnsi="Times New Roman" w:cs="Times New Roman"/>
                <w:sz w:val="18"/>
                <w:szCs w:val="18"/>
              </w:rPr>
            </w:pPr>
            <w:r w:rsidRPr="00A60FD5">
              <w:rPr>
                <w:rFonts w:ascii="Times New Roman" w:hAnsi="Times New Roman" w:cs="Times New Roman"/>
                <w:sz w:val="18"/>
                <w:szCs w:val="18"/>
              </w:rPr>
              <w:t>Exclusivity</w:t>
            </w:r>
          </w:p>
        </w:tc>
        <w:tc>
          <w:tcPr>
            <w:tcW w:w="1063" w:type="dxa"/>
            <w:tcBorders>
              <w:top w:val="nil"/>
              <w:left w:val="nil"/>
              <w:bottom w:val="nil"/>
              <w:right w:val="nil"/>
            </w:tcBorders>
          </w:tcPr>
          <w:p w14:paraId="16033CBC" w14:textId="59564328" w:rsidR="005D6152" w:rsidRPr="00A60FD5" w:rsidRDefault="009356FA" w:rsidP="00F4357D">
            <w:pPr>
              <w:spacing w:after="0"/>
              <w:jc w:val="center"/>
              <w:rPr>
                <w:rFonts w:ascii="Times New Roman" w:hAnsi="Times New Roman" w:cs="Times New Roman"/>
                <w:sz w:val="18"/>
                <w:szCs w:val="18"/>
              </w:rPr>
            </w:pPr>
            <w:r w:rsidRPr="00A60FD5">
              <w:rPr>
                <w:rFonts w:ascii="Times New Roman" w:hAnsi="Times New Roman" w:cs="Times New Roman"/>
                <w:sz w:val="18"/>
                <w:szCs w:val="18"/>
              </w:rPr>
              <w:t>0.</w:t>
            </w:r>
            <w:r w:rsidR="00026CA5" w:rsidRPr="00A60FD5">
              <w:rPr>
                <w:rFonts w:ascii="Times New Roman" w:hAnsi="Times New Roman" w:cs="Times New Roman"/>
                <w:sz w:val="18"/>
                <w:szCs w:val="18"/>
              </w:rPr>
              <w:t>05</w:t>
            </w:r>
          </w:p>
          <w:p w14:paraId="6BF71FAD" w14:textId="5D5B3B0F" w:rsidR="009356FA" w:rsidRPr="00A60FD5" w:rsidRDefault="009356FA" w:rsidP="00F4357D">
            <w:pPr>
              <w:spacing w:after="0"/>
              <w:jc w:val="center"/>
              <w:rPr>
                <w:rFonts w:ascii="Times New Roman" w:hAnsi="Times New Roman" w:cs="Times New Roman"/>
                <w:sz w:val="18"/>
                <w:szCs w:val="18"/>
              </w:rPr>
            </w:pPr>
            <w:r w:rsidRPr="00A60FD5">
              <w:rPr>
                <w:rFonts w:ascii="Times New Roman" w:hAnsi="Times New Roman" w:cs="Times New Roman"/>
                <w:sz w:val="18"/>
                <w:szCs w:val="18"/>
              </w:rPr>
              <w:t>(0.</w:t>
            </w:r>
            <w:r w:rsidR="00026CA5" w:rsidRPr="00A60FD5">
              <w:rPr>
                <w:rFonts w:ascii="Times New Roman" w:hAnsi="Times New Roman" w:cs="Times New Roman"/>
                <w:sz w:val="18"/>
                <w:szCs w:val="18"/>
              </w:rPr>
              <w:t>13</w:t>
            </w:r>
            <w:r w:rsidRPr="00A60FD5">
              <w:rPr>
                <w:rFonts w:ascii="Times New Roman" w:hAnsi="Times New Roman" w:cs="Times New Roman"/>
                <w:sz w:val="18"/>
                <w:szCs w:val="18"/>
              </w:rPr>
              <w:t>)</w:t>
            </w:r>
          </w:p>
        </w:tc>
        <w:tc>
          <w:tcPr>
            <w:tcW w:w="921" w:type="dxa"/>
            <w:tcBorders>
              <w:top w:val="nil"/>
              <w:left w:val="nil"/>
              <w:bottom w:val="nil"/>
              <w:right w:val="nil"/>
            </w:tcBorders>
          </w:tcPr>
          <w:p w14:paraId="6F57CE6C" w14:textId="179E08D7" w:rsidR="005D6152" w:rsidRPr="00A60FD5" w:rsidRDefault="009356FA" w:rsidP="00F4357D">
            <w:pPr>
              <w:spacing w:after="0"/>
              <w:jc w:val="center"/>
              <w:rPr>
                <w:rFonts w:ascii="Times New Roman" w:hAnsi="Times New Roman" w:cs="Times New Roman"/>
                <w:sz w:val="18"/>
                <w:szCs w:val="18"/>
              </w:rPr>
            </w:pPr>
            <w:r w:rsidRPr="00A60FD5">
              <w:rPr>
                <w:rFonts w:ascii="Times New Roman" w:hAnsi="Times New Roman" w:cs="Times New Roman"/>
                <w:sz w:val="18"/>
                <w:szCs w:val="18"/>
              </w:rPr>
              <w:t>0.</w:t>
            </w:r>
            <w:r w:rsidR="001824B4" w:rsidRPr="00A60FD5">
              <w:rPr>
                <w:rFonts w:ascii="Times New Roman" w:hAnsi="Times New Roman" w:cs="Times New Roman"/>
                <w:sz w:val="18"/>
                <w:szCs w:val="18"/>
              </w:rPr>
              <w:t>08</w:t>
            </w:r>
          </w:p>
          <w:p w14:paraId="4B0A2E6E" w14:textId="24C5CF16" w:rsidR="009356FA" w:rsidRPr="00A60FD5" w:rsidRDefault="009356FA" w:rsidP="00F4357D">
            <w:pPr>
              <w:spacing w:after="0"/>
              <w:jc w:val="center"/>
              <w:rPr>
                <w:rFonts w:ascii="Times New Roman" w:hAnsi="Times New Roman" w:cs="Times New Roman"/>
                <w:sz w:val="18"/>
                <w:szCs w:val="18"/>
              </w:rPr>
            </w:pPr>
            <w:r w:rsidRPr="00A60FD5">
              <w:rPr>
                <w:rFonts w:ascii="Times New Roman" w:hAnsi="Times New Roman" w:cs="Times New Roman"/>
                <w:sz w:val="18"/>
                <w:szCs w:val="18"/>
              </w:rPr>
              <w:t>(0.</w:t>
            </w:r>
            <w:r w:rsidR="001824B4" w:rsidRPr="00A60FD5">
              <w:rPr>
                <w:rFonts w:ascii="Times New Roman" w:hAnsi="Times New Roman" w:cs="Times New Roman"/>
                <w:sz w:val="18"/>
                <w:szCs w:val="18"/>
              </w:rPr>
              <w:t>30</w:t>
            </w:r>
            <w:r w:rsidRPr="00A60FD5">
              <w:rPr>
                <w:rFonts w:ascii="Times New Roman" w:hAnsi="Times New Roman" w:cs="Times New Roman"/>
                <w:sz w:val="18"/>
                <w:szCs w:val="18"/>
              </w:rPr>
              <w:t>)</w:t>
            </w:r>
          </w:p>
        </w:tc>
        <w:tc>
          <w:tcPr>
            <w:tcW w:w="1064" w:type="dxa"/>
            <w:tcBorders>
              <w:top w:val="nil"/>
              <w:left w:val="nil"/>
              <w:bottom w:val="nil"/>
              <w:right w:val="dotted" w:sz="4" w:space="0" w:color="auto"/>
            </w:tcBorders>
          </w:tcPr>
          <w:p w14:paraId="19BC3458" w14:textId="53A6548F" w:rsidR="0098043F" w:rsidRPr="00A60FD5" w:rsidRDefault="000943F0" w:rsidP="00F4357D">
            <w:pPr>
              <w:spacing w:after="0"/>
              <w:jc w:val="center"/>
              <w:rPr>
                <w:rFonts w:ascii="Times New Roman" w:hAnsi="Times New Roman" w:cs="Times New Roman"/>
                <w:sz w:val="18"/>
                <w:szCs w:val="18"/>
              </w:rPr>
            </w:pPr>
            <w:r w:rsidRPr="00A60FD5">
              <w:rPr>
                <w:rFonts w:ascii="Times New Roman" w:hAnsi="Times New Roman" w:cs="Times New Roman"/>
                <w:sz w:val="18"/>
                <w:szCs w:val="18"/>
              </w:rPr>
              <w:t>-</w:t>
            </w:r>
            <w:r w:rsidR="00606034" w:rsidRPr="00A60FD5">
              <w:rPr>
                <w:rFonts w:ascii="Times New Roman" w:hAnsi="Times New Roman" w:cs="Times New Roman"/>
                <w:sz w:val="18"/>
                <w:szCs w:val="18"/>
              </w:rPr>
              <w:t>0.</w:t>
            </w:r>
            <w:r w:rsidRPr="00A60FD5">
              <w:rPr>
                <w:rFonts w:ascii="Times New Roman" w:hAnsi="Times New Roman" w:cs="Times New Roman"/>
                <w:sz w:val="18"/>
                <w:szCs w:val="18"/>
              </w:rPr>
              <w:t>85*</w:t>
            </w:r>
          </w:p>
          <w:p w14:paraId="60A412FE" w14:textId="2F06DC6C" w:rsidR="00606034" w:rsidRPr="00A60FD5" w:rsidRDefault="00606034" w:rsidP="00F4357D">
            <w:pPr>
              <w:spacing w:after="0"/>
              <w:jc w:val="center"/>
              <w:rPr>
                <w:rFonts w:ascii="Times New Roman" w:hAnsi="Times New Roman" w:cs="Times New Roman"/>
                <w:sz w:val="18"/>
                <w:szCs w:val="18"/>
              </w:rPr>
            </w:pPr>
            <w:r w:rsidRPr="00A60FD5">
              <w:rPr>
                <w:rFonts w:ascii="Times New Roman" w:hAnsi="Times New Roman" w:cs="Times New Roman"/>
                <w:sz w:val="18"/>
                <w:szCs w:val="18"/>
              </w:rPr>
              <w:t>(0.</w:t>
            </w:r>
            <w:r w:rsidR="000943F0" w:rsidRPr="00A60FD5">
              <w:rPr>
                <w:rFonts w:ascii="Times New Roman" w:hAnsi="Times New Roman" w:cs="Times New Roman"/>
                <w:sz w:val="18"/>
                <w:szCs w:val="18"/>
              </w:rPr>
              <w:t>40</w:t>
            </w:r>
            <w:r w:rsidRPr="00A60FD5">
              <w:rPr>
                <w:rFonts w:ascii="Times New Roman" w:hAnsi="Times New Roman" w:cs="Times New Roman"/>
                <w:sz w:val="18"/>
                <w:szCs w:val="18"/>
              </w:rPr>
              <w:t>)</w:t>
            </w:r>
          </w:p>
        </w:tc>
        <w:tc>
          <w:tcPr>
            <w:tcW w:w="991" w:type="dxa"/>
            <w:tcBorders>
              <w:top w:val="nil"/>
              <w:left w:val="dotted" w:sz="4" w:space="0" w:color="auto"/>
              <w:bottom w:val="nil"/>
              <w:right w:val="nil"/>
            </w:tcBorders>
          </w:tcPr>
          <w:p w14:paraId="58D15472" w14:textId="176F103C" w:rsidR="005D6152" w:rsidRPr="00A60FD5" w:rsidRDefault="00206B30" w:rsidP="00F4357D">
            <w:pPr>
              <w:spacing w:after="0"/>
              <w:jc w:val="center"/>
              <w:rPr>
                <w:rFonts w:ascii="Times New Roman" w:hAnsi="Times New Roman" w:cs="Times New Roman"/>
                <w:sz w:val="18"/>
                <w:szCs w:val="18"/>
              </w:rPr>
            </w:pPr>
            <w:r w:rsidRPr="00A60FD5">
              <w:rPr>
                <w:rFonts w:ascii="Times New Roman" w:hAnsi="Times New Roman" w:cs="Times New Roman"/>
                <w:sz w:val="18"/>
                <w:szCs w:val="18"/>
              </w:rPr>
              <w:t>0.</w:t>
            </w:r>
            <w:r w:rsidR="004154CF" w:rsidRPr="00A60FD5">
              <w:rPr>
                <w:rFonts w:ascii="Times New Roman" w:hAnsi="Times New Roman" w:cs="Times New Roman"/>
                <w:sz w:val="18"/>
                <w:szCs w:val="18"/>
              </w:rPr>
              <w:t>05</w:t>
            </w:r>
          </w:p>
          <w:p w14:paraId="7CB2DF55" w14:textId="1ACE94E8" w:rsidR="00206B30" w:rsidRPr="00A60FD5" w:rsidRDefault="00206B30" w:rsidP="00F4357D">
            <w:pPr>
              <w:spacing w:after="0"/>
              <w:jc w:val="center"/>
              <w:rPr>
                <w:rFonts w:ascii="Times New Roman" w:hAnsi="Times New Roman" w:cs="Times New Roman"/>
                <w:sz w:val="18"/>
                <w:szCs w:val="18"/>
              </w:rPr>
            </w:pPr>
            <w:r w:rsidRPr="00A60FD5">
              <w:rPr>
                <w:rFonts w:ascii="Times New Roman" w:hAnsi="Times New Roman" w:cs="Times New Roman"/>
                <w:sz w:val="18"/>
                <w:szCs w:val="18"/>
              </w:rPr>
              <w:t>(0.</w:t>
            </w:r>
            <w:r w:rsidR="004154CF" w:rsidRPr="00A60FD5">
              <w:rPr>
                <w:rFonts w:ascii="Times New Roman" w:hAnsi="Times New Roman" w:cs="Times New Roman"/>
                <w:sz w:val="18"/>
                <w:szCs w:val="18"/>
              </w:rPr>
              <w:t>13</w:t>
            </w:r>
            <w:r w:rsidRPr="00A60FD5">
              <w:rPr>
                <w:rFonts w:ascii="Times New Roman" w:hAnsi="Times New Roman" w:cs="Times New Roman"/>
                <w:sz w:val="18"/>
                <w:szCs w:val="18"/>
              </w:rPr>
              <w:t>)</w:t>
            </w:r>
          </w:p>
        </w:tc>
        <w:tc>
          <w:tcPr>
            <w:tcW w:w="1156" w:type="dxa"/>
            <w:tcBorders>
              <w:top w:val="nil"/>
              <w:left w:val="nil"/>
              <w:bottom w:val="nil"/>
              <w:right w:val="nil"/>
            </w:tcBorders>
          </w:tcPr>
          <w:p w14:paraId="0360D5D9" w14:textId="2321990B" w:rsidR="00D80A53" w:rsidRPr="00A60FD5" w:rsidRDefault="00206B30" w:rsidP="00F4357D">
            <w:pPr>
              <w:spacing w:after="0"/>
              <w:jc w:val="center"/>
              <w:rPr>
                <w:rFonts w:ascii="Times New Roman" w:hAnsi="Times New Roman" w:cs="Times New Roman"/>
                <w:sz w:val="18"/>
                <w:szCs w:val="18"/>
              </w:rPr>
            </w:pPr>
            <w:r w:rsidRPr="00A60FD5">
              <w:rPr>
                <w:rFonts w:ascii="Times New Roman" w:hAnsi="Times New Roman" w:cs="Times New Roman"/>
                <w:sz w:val="18"/>
                <w:szCs w:val="18"/>
              </w:rPr>
              <w:t>0.</w:t>
            </w:r>
            <w:r w:rsidR="00FE5660" w:rsidRPr="00A60FD5">
              <w:rPr>
                <w:rFonts w:ascii="Times New Roman" w:hAnsi="Times New Roman" w:cs="Times New Roman"/>
                <w:sz w:val="18"/>
                <w:szCs w:val="18"/>
              </w:rPr>
              <w:t>09</w:t>
            </w:r>
          </w:p>
          <w:p w14:paraId="1B722F7D" w14:textId="5AF903FA" w:rsidR="00206B30" w:rsidRPr="00A60FD5" w:rsidRDefault="00206B30" w:rsidP="00F4357D">
            <w:pPr>
              <w:spacing w:after="0"/>
              <w:jc w:val="center"/>
              <w:rPr>
                <w:rFonts w:ascii="Times New Roman" w:hAnsi="Times New Roman" w:cs="Times New Roman"/>
                <w:sz w:val="18"/>
                <w:szCs w:val="18"/>
              </w:rPr>
            </w:pPr>
            <w:r w:rsidRPr="00A60FD5">
              <w:rPr>
                <w:rFonts w:ascii="Times New Roman" w:hAnsi="Times New Roman" w:cs="Times New Roman"/>
                <w:sz w:val="18"/>
                <w:szCs w:val="18"/>
              </w:rPr>
              <w:t>(</w:t>
            </w:r>
            <w:r w:rsidR="00FC4951" w:rsidRPr="00A60FD5">
              <w:rPr>
                <w:rFonts w:ascii="Times New Roman" w:hAnsi="Times New Roman" w:cs="Times New Roman"/>
                <w:sz w:val="18"/>
                <w:szCs w:val="18"/>
              </w:rPr>
              <w:t>0.</w:t>
            </w:r>
            <w:r w:rsidR="00FE5660" w:rsidRPr="00A60FD5">
              <w:rPr>
                <w:rFonts w:ascii="Times New Roman" w:hAnsi="Times New Roman" w:cs="Times New Roman"/>
                <w:sz w:val="18"/>
                <w:szCs w:val="18"/>
              </w:rPr>
              <w:t>30</w:t>
            </w:r>
            <w:r w:rsidR="00FC4951" w:rsidRPr="00A60FD5">
              <w:rPr>
                <w:rFonts w:ascii="Times New Roman" w:hAnsi="Times New Roman" w:cs="Times New Roman"/>
                <w:sz w:val="18"/>
                <w:szCs w:val="18"/>
              </w:rPr>
              <w:t>)</w:t>
            </w:r>
          </w:p>
        </w:tc>
        <w:tc>
          <w:tcPr>
            <w:tcW w:w="1366" w:type="dxa"/>
            <w:tcBorders>
              <w:top w:val="nil"/>
              <w:left w:val="nil"/>
              <w:bottom w:val="nil"/>
              <w:right w:val="nil"/>
            </w:tcBorders>
          </w:tcPr>
          <w:p w14:paraId="56CE7A0B" w14:textId="43437E9F" w:rsidR="005D6152" w:rsidRPr="00A60FD5" w:rsidRDefault="00FD0473" w:rsidP="00F4357D">
            <w:pPr>
              <w:spacing w:after="0"/>
              <w:jc w:val="center"/>
              <w:rPr>
                <w:rFonts w:ascii="Times New Roman" w:hAnsi="Times New Roman" w:cs="Times New Roman"/>
                <w:sz w:val="18"/>
                <w:szCs w:val="18"/>
              </w:rPr>
            </w:pPr>
            <w:r w:rsidRPr="00A60FD5">
              <w:rPr>
                <w:rFonts w:ascii="Times New Roman" w:hAnsi="Times New Roman" w:cs="Times New Roman"/>
                <w:sz w:val="18"/>
                <w:szCs w:val="18"/>
              </w:rPr>
              <w:t>-1.05</w:t>
            </w:r>
            <w:r w:rsidR="00CF22F4" w:rsidRPr="00A60FD5">
              <w:rPr>
                <w:rFonts w:ascii="Times New Roman" w:hAnsi="Times New Roman" w:cs="Times New Roman"/>
                <w:sz w:val="18"/>
                <w:szCs w:val="18"/>
              </w:rPr>
              <w:t>*</w:t>
            </w:r>
          </w:p>
          <w:p w14:paraId="069484E3" w14:textId="0F5D66F1" w:rsidR="00206B30" w:rsidRPr="00A60FD5" w:rsidRDefault="00206B30" w:rsidP="00F4357D">
            <w:pPr>
              <w:spacing w:after="0"/>
              <w:jc w:val="center"/>
              <w:rPr>
                <w:rFonts w:ascii="Times New Roman" w:hAnsi="Times New Roman" w:cs="Times New Roman"/>
                <w:sz w:val="18"/>
                <w:szCs w:val="18"/>
              </w:rPr>
            </w:pPr>
            <w:r w:rsidRPr="00A60FD5">
              <w:rPr>
                <w:rFonts w:ascii="Times New Roman" w:hAnsi="Times New Roman" w:cs="Times New Roman"/>
                <w:sz w:val="18"/>
                <w:szCs w:val="18"/>
              </w:rPr>
              <w:t>(0.</w:t>
            </w:r>
            <w:r w:rsidR="00CF22F4" w:rsidRPr="00A60FD5">
              <w:rPr>
                <w:rFonts w:ascii="Times New Roman" w:hAnsi="Times New Roman" w:cs="Times New Roman"/>
                <w:sz w:val="18"/>
                <w:szCs w:val="18"/>
              </w:rPr>
              <w:t>42</w:t>
            </w:r>
            <w:r w:rsidRPr="00A60FD5">
              <w:rPr>
                <w:rFonts w:ascii="Times New Roman" w:hAnsi="Times New Roman" w:cs="Times New Roman"/>
                <w:sz w:val="18"/>
                <w:szCs w:val="18"/>
              </w:rPr>
              <w:t>)</w:t>
            </w:r>
          </w:p>
        </w:tc>
      </w:tr>
      <w:tr w:rsidR="00EB08AC" w:rsidRPr="00A60FD5" w14:paraId="5998F9AC" w14:textId="77777777" w:rsidTr="000810C3">
        <w:trPr>
          <w:trHeight w:hRule="exact" w:val="568"/>
          <w:jc w:val="center"/>
        </w:trPr>
        <w:tc>
          <w:tcPr>
            <w:tcW w:w="3537" w:type="dxa"/>
            <w:tcBorders>
              <w:top w:val="nil"/>
              <w:left w:val="nil"/>
              <w:bottom w:val="nil"/>
              <w:right w:val="nil"/>
            </w:tcBorders>
          </w:tcPr>
          <w:p w14:paraId="3F26E6F4" w14:textId="40F24831" w:rsidR="00EB08AC" w:rsidRPr="00A60FD5" w:rsidRDefault="00EB08AC" w:rsidP="00CB3C32">
            <w:pPr>
              <w:spacing w:before="80" w:after="0" w:line="200" w:lineRule="exact"/>
              <w:rPr>
                <w:rFonts w:ascii="Times New Roman" w:hAnsi="Times New Roman" w:cs="Times New Roman"/>
                <w:sz w:val="18"/>
                <w:szCs w:val="18"/>
              </w:rPr>
            </w:pPr>
            <w:r w:rsidRPr="00A60FD5">
              <w:rPr>
                <w:rFonts w:ascii="Times New Roman" w:hAnsi="Times New Roman" w:cs="Times New Roman"/>
                <w:sz w:val="18"/>
                <w:szCs w:val="18"/>
              </w:rPr>
              <w:t xml:space="preserve">License’s scope- </w:t>
            </w:r>
            <w:r w:rsidRPr="00A60FD5">
              <w:rPr>
                <w:rFonts w:ascii="Times New Roman" w:hAnsi="Times New Roman" w:cs="Times New Roman"/>
                <w:sz w:val="18"/>
                <w:szCs w:val="18"/>
                <w:vertAlign w:val="subscript"/>
              </w:rPr>
              <w:t>manuf or market</w:t>
            </w:r>
          </w:p>
        </w:tc>
        <w:tc>
          <w:tcPr>
            <w:tcW w:w="1063" w:type="dxa"/>
            <w:tcBorders>
              <w:top w:val="nil"/>
              <w:left w:val="nil"/>
              <w:bottom w:val="nil"/>
              <w:right w:val="nil"/>
            </w:tcBorders>
          </w:tcPr>
          <w:p w14:paraId="2BD704D4" w14:textId="5A2F6868" w:rsidR="00EB08AC" w:rsidRPr="00A60FD5" w:rsidRDefault="00EB08AC" w:rsidP="00F4357D">
            <w:pPr>
              <w:spacing w:after="0"/>
              <w:jc w:val="center"/>
              <w:rPr>
                <w:rFonts w:ascii="Times New Roman" w:hAnsi="Times New Roman" w:cs="Times New Roman"/>
                <w:sz w:val="18"/>
                <w:szCs w:val="18"/>
              </w:rPr>
            </w:pPr>
            <w:r w:rsidRPr="00A60FD5">
              <w:rPr>
                <w:rFonts w:ascii="Times New Roman" w:hAnsi="Times New Roman" w:cs="Times New Roman"/>
                <w:sz w:val="18"/>
                <w:szCs w:val="18"/>
              </w:rPr>
              <w:t>0.33</w:t>
            </w:r>
            <w:r w:rsidRPr="00A60FD5">
              <w:rPr>
                <w:rFonts w:ascii="Times New Roman" w:hAnsi="Times New Roman"/>
                <w:sz w:val="18"/>
                <w:szCs w:val="20"/>
              </w:rPr>
              <w:t>†</w:t>
            </w:r>
          </w:p>
          <w:p w14:paraId="12350F22" w14:textId="67C54016" w:rsidR="00EB08AC" w:rsidRPr="00A60FD5" w:rsidRDefault="00EB08AC" w:rsidP="00F4357D">
            <w:pPr>
              <w:spacing w:after="0"/>
              <w:jc w:val="center"/>
              <w:rPr>
                <w:rFonts w:ascii="Times New Roman" w:hAnsi="Times New Roman" w:cs="Times New Roman"/>
                <w:sz w:val="18"/>
                <w:szCs w:val="18"/>
              </w:rPr>
            </w:pPr>
            <w:r w:rsidRPr="00A60FD5">
              <w:rPr>
                <w:rFonts w:ascii="Times New Roman" w:hAnsi="Times New Roman" w:cs="Times New Roman"/>
                <w:sz w:val="18"/>
                <w:szCs w:val="18"/>
              </w:rPr>
              <w:t>(0.19)</w:t>
            </w:r>
          </w:p>
        </w:tc>
        <w:tc>
          <w:tcPr>
            <w:tcW w:w="921" w:type="dxa"/>
            <w:tcBorders>
              <w:top w:val="nil"/>
              <w:left w:val="nil"/>
              <w:bottom w:val="nil"/>
              <w:right w:val="nil"/>
            </w:tcBorders>
          </w:tcPr>
          <w:p w14:paraId="21F0B317" w14:textId="65648433" w:rsidR="00EB08AC" w:rsidRPr="00A60FD5" w:rsidRDefault="00EB08AC" w:rsidP="00F4357D">
            <w:pPr>
              <w:spacing w:after="0"/>
              <w:jc w:val="center"/>
              <w:rPr>
                <w:rFonts w:ascii="Times New Roman" w:hAnsi="Times New Roman" w:cs="Times New Roman"/>
                <w:sz w:val="18"/>
                <w:szCs w:val="18"/>
              </w:rPr>
            </w:pPr>
            <w:r w:rsidRPr="00A60FD5">
              <w:rPr>
                <w:rFonts w:ascii="Times New Roman" w:hAnsi="Times New Roman" w:cs="Times New Roman"/>
                <w:sz w:val="18"/>
                <w:szCs w:val="18"/>
              </w:rPr>
              <w:t>1.42***</w:t>
            </w:r>
          </w:p>
          <w:p w14:paraId="74EBF6D9" w14:textId="5C30938F" w:rsidR="00EB08AC" w:rsidRPr="00A60FD5" w:rsidRDefault="00EB08AC" w:rsidP="00F4357D">
            <w:pPr>
              <w:spacing w:after="0"/>
              <w:jc w:val="center"/>
              <w:rPr>
                <w:rFonts w:ascii="Times New Roman" w:hAnsi="Times New Roman" w:cs="Times New Roman"/>
                <w:sz w:val="18"/>
                <w:szCs w:val="18"/>
              </w:rPr>
            </w:pPr>
            <w:r w:rsidRPr="00A60FD5">
              <w:rPr>
                <w:rFonts w:ascii="Times New Roman" w:hAnsi="Times New Roman" w:cs="Times New Roman"/>
                <w:sz w:val="18"/>
                <w:szCs w:val="18"/>
              </w:rPr>
              <w:t>(0.32)</w:t>
            </w:r>
          </w:p>
        </w:tc>
        <w:tc>
          <w:tcPr>
            <w:tcW w:w="1064" w:type="dxa"/>
            <w:tcBorders>
              <w:top w:val="nil"/>
              <w:left w:val="nil"/>
              <w:bottom w:val="nil"/>
              <w:right w:val="dotted" w:sz="4" w:space="0" w:color="auto"/>
            </w:tcBorders>
          </w:tcPr>
          <w:p w14:paraId="2098564D" w14:textId="4E99B887" w:rsidR="00EB08AC" w:rsidRPr="00A60FD5" w:rsidRDefault="00EB08AC" w:rsidP="00F4357D">
            <w:pPr>
              <w:spacing w:after="0"/>
              <w:jc w:val="center"/>
              <w:rPr>
                <w:rFonts w:ascii="Times New Roman" w:hAnsi="Times New Roman" w:cs="Times New Roman"/>
                <w:sz w:val="18"/>
                <w:szCs w:val="18"/>
              </w:rPr>
            </w:pPr>
            <w:r w:rsidRPr="00A60FD5">
              <w:rPr>
                <w:rFonts w:ascii="Times New Roman" w:hAnsi="Times New Roman" w:cs="Times New Roman"/>
                <w:sz w:val="18"/>
                <w:szCs w:val="18"/>
              </w:rPr>
              <w:t>-0.29</w:t>
            </w:r>
          </w:p>
          <w:p w14:paraId="1B69D3C0" w14:textId="7A48FC3D" w:rsidR="00EB08AC" w:rsidRPr="00A60FD5" w:rsidRDefault="00EB08AC" w:rsidP="00F4357D">
            <w:pPr>
              <w:spacing w:after="0"/>
              <w:jc w:val="center"/>
              <w:rPr>
                <w:rFonts w:ascii="Times New Roman" w:hAnsi="Times New Roman" w:cs="Times New Roman"/>
                <w:sz w:val="18"/>
                <w:szCs w:val="18"/>
              </w:rPr>
            </w:pPr>
            <w:r w:rsidRPr="00A60FD5">
              <w:rPr>
                <w:rFonts w:ascii="Times New Roman" w:hAnsi="Times New Roman" w:cs="Times New Roman"/>
                <w:sz w:val="18"/>
                <w:szCs w:val="18"/>
              </w:rPr>
              <w:t>(0.58)</w:t>
            </w:r>
          </w:p>
        </w:tc>
        <w:tc>
          <w:tcPr>
            <w:tcW w:w="991" w:type="dxa"/>
            <w:tcBorders>
              <w:top w:val="nil"/>
              <w:left w:val="dotted" w:sz="4" w:space="0" w:color="auto"/>
              <w:bottom w:val="nil"/>
              <w:right w:val="nil"/>
            </w:tcBorders>
          </w:tcPr>
          <w:p w14:paraId="620C2F64" w14:textId="04B31A31" w:rsidR="00EB08AC" w:rsidRPr="00A60FD5" w:rsidRDefault="00EB08AC" w:rsidP="00F4357D">
            <w:pPr>
              <w:spacing w:after="0"/>
              <w:jc w:val="center"/>
              <w:rPr>
                <w:rFonts w:ascii="Times New Roman" w:hAnsi="Times New Roman" w:cs="Times New Roman"/>
                <w:sz w:val="18"/>
                <w:szCs w:val="18"/>
              </w:rPr>
            </w:pPr>
            <w:r w:rsidRPr="00A60FD5">
              <w:rPr>
                <w:rFonts w:ascii="Times New Roman" w:hAnsi="Times New Roman" w:cs="Times New Roman"/>
                <w:sz w:val="18"/>
                <w:szCs w:val="18"/>
              </w:rPr>
              <w:t>0.33</w:t>
            </w:r>
            <w:r w:rsidRPr="00A60FD5">
              <w:rPr>
                <w:rFonts w:ascii="Times New Roman" w:hAnsi="Times New Roman"/>
                <w:sz w:val="18"/>
                <w:szCs w:val="20"/>
              </w:rPr>
              <w:t>†</w:t>
            </w:r>
          </w:p>
          <w:p w14:paraId="3932F21E" w14:textId="66008718" w:rsidR="00EB08AC" w:rsidRPr="00A60FD5" w:rsidRDefault="00EB08AC" w:rsidP="00F4357D">
            <w:pPr>
              <w:spacing w:after="0"/>
              <w:jc w:val="center"/>
              <w:rPr>
                <w:rFonts w:ascii="Times New Roman" w:hAnsi="Times New Roman" w:cs="Times New Roman"/>
                <w:sz w:val="18"/>
                <w:szCs w:val="18"/>
              </w:rPr>
            </w:pPr>
            <w:r w:rsidRPr="00A60FD5">
              <w:rPr>
                <w:rFonts w:ascii="Times New Roman" w:hAnsi="Times New Roman" w:cs="Times New Roman"/>
                <w:sz w:val="18"/>
                <w:szCs w:val="18"/>
              </w:rPr>
              <w:t>(0.19)</w:t>
            </w:r>
          </w:p>
        </w:tc>
        <w:tc>
          <w:tcPr>
            <w:tcW w:w="1156" w:type="dxa"/>
            <w:tcBorders>
              <w:top w:val="nil"/>
              <w:left w:val="nil"/>
              <w:bottom w:val="nil"/>
              <w:right w:val="nil"/>
            </w:tcBorders>
          </w:tcPr>
          <w:p w14:paraId="46BDB08A" w14:textId="1E1A6484" w:rsidR="00EB08AC" w:rsidRPr="00A60FD5" w:rsidRDefault="00EB08AC" w:rsidP="00F4357D">
            <w:pPr>
              <w:spacing w:after="0"/>
              <w:jc w:val="center"/>
              <w:rPr>
                <w:rFonts w:ascii="Times New Roman" w:hAnsi="Times New Roman" w:cs="Times New Roman"/>
                <w:sz w:val="18"/>
                <w:szCs w:val="18"/>
              </w:rPr>
            </w:pPr>
            <w:r w:rsidRPr="00A60FD5">
              <w:rPr>
                <w:rFonts w:ascii="Times New Roman" w:hAnsi="Times New Roman" w:cs="Times New Roman"/>
                <w:sz w:val="18"/>
                <w:szCs w:val="18"/>
              </w:rPr>
              <w:t>1.43***</w:t>
            </w:r>
          </w:p>
          <w:p w14:paraId="14DFF8FA" w14:textId="7656E325" w:rsidR="00EB08AC" w:rsidRPr="00A60FD5" w:rsidRDefault="00EB08AC" w:rsidP="00F4357D">
            <w:pPr>
              <w:spacing w:after="0"/>
              <w:jc w:val="center"/>
              <w:rPr>
                <w:rFonts w:ascii="Times New Roman" w:hAnsi="Times New Roman" w:cs="Times New Roman"/>
                <w:sz w:val="18"/>
                <w:szCs w:val="18"/>
              </w:rPr>
            </w:pPr>
            <w:r w:rsidRPr="00A60FD5">
              <w:rPr>
                <w:rFonts w:ascii="Times New Roman" w:hAnsi="Times New Roman" w:cs="Times New Roman"/>
                <w:sz w:val="18"/>
                <w:szCs w:val="18"/>
              </w:rPr>
              <w:t>(0.33)</w:t>
            </w:r>
          </w:p>
        </w:tc>
        <w:tc>
          <w:tcPr>
            <w:tcW w:w="1366" w:type="dxa"/>
            <w:tcBorders>
              <w:top w:val="nil"/>
              <w:left w:val="nil"/>
              <w:bottom w:val="nil"/>
              <w:right w:val="nil"/>
            </w:tcBorders>
          </w:tcPr>
          <w:p w14:paraId="58DC15CB" w14:textId="0D42E27A" w:rsidR="00EB08AC" w:rsidRPr="00A60FD5" w:rsidRDefault="00EB08AC" w:rsidP="00F4357D">
            <w:pPr>
              <w:spacing w:after="0"/>
              <w:jc w:val="center"/>
              <w:rPr>
                <w:rFonts w:ascii="Times New Roman" w:hAnsi="Times New Roman" w:cs="Times New Roman"/>
                <w:sz w:val="18"/>
                <w:szCs w:val="18"/>
              </w:rPr>
            </w:pPr>
            <w:r w:rsidRPr="00A60FD5">
              <w:rPr>
                <w:rFonts w:ascii="Times New Roman" w:hAnsi="Times New Roman" w:cs="Times New Roman"/>
                <w:sz w:val="18"/>
                <w:szCs w:val="18"/>
              </w:rPr>
              <w:t>-0.47</w:t>
            </w:r>
          </w:p>
          <w:p w14:paraId="6F5F46CA" w14:textId="59F71B44" w:rsidR="00EB08AC" w:rsidRPr="00A60FD5" w:rsidRDefault="00EB08AC" w:rsidP="00F4357D">
            <w:pPr>
              <w:spacing w:after="0"/>
              <w:jc w:val="center"/>
              <w:rPr>
                <w:rFonts w:ascii="Times New Roman" w:hAnsi="Times New Roman" w:cs="Times New Roman"/>
                <w:sz w:val="18"/>
                <w:szCs w:val="18"/>
              </w:rPr>
            </w:pPr>
            <w:r w:rsidRPr="00A60FD5">
              <w:rPr>
                <w:rFonts w:ascii="Times New Roman" w:hAnsi="Times New Roman" w:cs="Times New Roman"/>
                <w:sz w:val="18"/>
                <w:szCs w:val="18"/>
              </w:rPr>
              <w:t>(0.55)</w:t>
            </w:r>
          </w:p>
        </w:tc>
      </w:tr>
      <w:tr w:rsidR="00EB08AC" w:rsidRPr="00A60FD5" w14:paraId="36BCD240" w14:textId="77777777" w:rsidTr="000810C3">
        <w:trPr>
          <w:trHeight w:hRule="exact" w:val="483"/>
          <w:jc w:val="center"/>
        </w:trPr>
        <w:tc>
          <w:tcPr>
            <w:tcW w:w="3537" w:type="dxa"/>
            <w:tcBorders>
              <w:top w:val="nil"/>
              <w:left w:val="nil"/>
              <w:bottom w:val="nil"/>
              <w:right w:val="nil"/>
            </w:tcBorders>
          </w:tcPr>
          <w:p w14:paraId="54E296EF" w14:textId="50E1DD2F" w:rsidR="00EB08AC" w:rsidRPr="00A60FD5" w:rsidRDefault="00EB08AC" w:rsidP="00CB3C32">
            <w:pPr>
              <w:spacing w:before="80" w:after="0" w:line="200" w:lineRule="exact"/>
              <w:rPr>
                <w:rFonts w:ascii="Times New Roman" w:hAnsi="Times New Roman" w:cs="Times New Roman"/>
                <w:sz w:val="18"/>
                <w:szCs w:val="18"/>
              </w:rPr>
            </w:pPr>
            <w:r w:rsidRPr="00A60FD5">
              <w:rPr>
                <w:rFonts w:ascii="Times New Roman" w:hAnsi="Times New Roman" w:cs="Times New Roman"/>
                <w:sz w:val="18"/>
                <w:szCs w:val="18"/>
              </w:rPr>
              <w:t xml:space="preserve">License’s scope- </w:t>
            </w:r>
            <w:r w:rsidRPr="00A60FD5">
              <w:rPr>
                <w:rFonts w:ascii="Times New Roman" w:hAnsi="Times New Roman" w:cs="Times New Roman"/>
                <w:sz w:val="18"/>
                <w:szCs w:val="18"/>
                <w:vertAlign w:val="subscript"/>
              </w:rPr>
              <w:t>manuf and market</w:t>
            </w:r>
          </w:p>
        </w:tc>
        <w:tc>
          <w:tcPr>
            <w:tcW w:w="1063" w:type="dxa"/>
            <w:tcBorders>
              <w:top w:val="nil"/>
              <w:left w:val="nil"/>
              <w:bottom w:val="nil"/>
              <w:right w:val="nil"/>
            </w:tcBorders>
          </w:tcPr>
          <w:p w14:paraId="0C3A6139" w14:textId="153871D3" w:rsidR="00EB08AC" w:rsidRPr="00A60FD5" w:rsidRDefault="00EB08AC" w:rsidP="00F4357D">
            <w:pPr>
              <w:spacing w:after="0"/>
              <w:jc w:val="center"/>
              <w:rPr>
                <w:rFonts w:ascii="Times New Roman" w:hAnsi="Times New Roman" w:cs="Times New Roman"/>
                <w:sz w:val="18"/>
                <w:szCs w:val="18"/>
              </w:rPr>
            </w:pPr>
            <w:r w:rsidRPr="00A60FD5">
              <w:rPr>
                <w:rFonts w:ascii="Times New Roman" w:hAnsi="Times New Roman" w:cs="Times New Roman"/>
                <w:sz w:val="18"/>
                <w:szCs w:val="18"/>
              </w:rPr>
              <w:t>-0.33*</w:t>
            </w:r>
          </w:p>
          <w:p w14:paraId="13C5218C" w14:textId="3173595C" w:rsidR="00EB08AC" w:rsidRPr="00A60FD5" w:rsidRDefault="00EB08AC" w:rsidP="00F4357D">
            <w:pPr>
              <w:spacing w:after="0"/>
              <w:jc w:val="center"/>
              <w:rPr>
                <w:rFonts w:ascii="Times New Roman" w:hAnsi="Times New Roman" w:cs="Times New Roman"/>
                <w:sz w:val="18"/>
                <w:szCs w:val="18"/>
              </w:rPr>
            </w:pPr>
            <w:r w:rsidRPr="00A60FD5">
              <w:rPr>
                <w:rFonts w:ascii="Times New Roman" w:hAnsi="Times New Roman" w:cs="Times New Roman"/>
                <w:sz w:val="18"/>
                <w:szCs w:val="18"/>
              </w:rPr>
              <w:t>(0.16)</w:t>
            </w:r>
          </w:p>
        </w:tc>
        <w:tc>
          <w:tcPr>
            <w:tcW w:w="921" w:type="dxa"/>
            <w:tcBorders>
              <w:top w:val="nil"/>
              <w:left w:val="nil"/>
              <w:bottom w:val="nil"/>
              <w:right w:val="nil"/>
            </w:tcBorders>
          </w:tcPr>
          <w:p w14:paraId="1C77A648" w14:textId="24FA2FFB" w:rsidR="00EB08AC" w:rsidRPr="00A60FD5" w:rsidRDefault="00EB08AC" w:rsidP="00F4357D">
            <w:pPr>
              <w:spacing w:after="0"/>
              <w:jc w:val="center"/>
              <w:rPr>
                <w:rFonts w:ascii="Times New Roman" w:hAnsi="Times New Roman" w:cs="Times New Roman"/>
                <w:sz w:val="18"/>
                <w:szCs w:val="18"/>
              </w:rPr>
            </w:pPr>
            <w:r w:rsidRPr="00A60FD5">
              <w:rPr>
                <w:rFonts w:ascii="Times New Roman" w:hAnsi="Times New Roman" w:cs="Times New Roman"/>
                <w:sz w:val="18"/>
                <w:szCs w:val="18"/>
              </w:rPr>
              <w:t>0.01</w:t>
            </w:r>
          </w:p>
          <w:p w14:paraId="0CA4BFB8" w14:textId="2D0F8574" w:rsidR="00EB08AC" w:rsidRPr="00A60FD5" w:rsidRDefault="00EB08AC" w:rsidP="00F4357D">
            <w:pPr>
              <w:spacing w:after="0"/>
              <w:jc w:val="center"/>
              <w:rPr>
                <w:rFonts w:ascii="Times New Roman" w:hAnsi="Times New Roman" w:cs="Times New Roman"/>
                <w:sz w:val="18"/>
                <w:szCs w:val="18"/>
              </w:rPr>
            </w:pPr>
            <w:r w:rsidRPr="00A60FD5">
              <w:rPr>
                <w:rFonts w:ascii="Times New Roman" w:hAnsi="Times New Roman" w:cs="Times New Roman"/>
                <w:sz w:val="18"/>
                <w:szCs w:val="18"/>
              </w:rPr>
              <w:t>(0.44)</w:t>
            </w:r>
          </w:p>
        </w:tc>
        <w:tc>
          <w:tcPr>
            <w:tcW w:w="1064" w:type="dxa"/>
            <w:tcBorders>
              <w:top w:val="nil"/>
              <w:left w:val="nil"/>
              <w:bottom w:val="nil"/>
              <w:right w:val="dotted" w:sz="4" w:space="0" w:color="auto"/>
            </w:tcBorders>
          </w:tcPr>
          <w:p w14:paraId="46C5C8EC" w14:textId="477F81BE" w:rsidR="00EB08AC" w:rsidRPr="00A60FD5" w:rsidRDefault="00EB08AC" w:rsidP="00F4357D">
            <w:pPr>
              <w:spacing w:after="0"/>
              <w:jc w:val="center"/>
              <w:rPr>
                <w:rFonts w:ascii="Times New Roman" w:hAnsi="Times New Roman" w:cs="Times New Roman"/>
                <w:sz w:val="18"/>
                <w:szCs w:val="18"/>
              </w:rPr>
            </w:pPr>
            <w:r w:rsidRPr="00A60FD5">
              <w:rPr>
                <w:rFonts w:ascii="Times New Roman" w:hAnsi="Times New Roman" w:cs="Times New Roman"/>
                <w:sz w:val="18"/>
                <w:szCs w:val="18"/>
              </w:rPr>
              <w:t>0.27</w:t>
            </w:r>
          </w:p>
          <w:p w14:paraId="275BB0BD" w14:textId="01A11E42" w:rsidR="00EB08AC" w:rsidRPr="00A60FD5" w:rsidRDefault="00EB08AC" w:rsidP="00F4357D">
            <w:pPr>
              <w:spacing w:after="0"/>
              <w:jc w:val="center"/>
              <w:rPr>
                <w:rFonts w:ascii="Times New Roman" w:hAnsi="Times New Roman" w:cs="Times New Roman"/>
                <w:sz w:val="18"/>
                <w:szCs w:val="18"/>
              </w:rPr>
            </w:pPr>
            <w:r w:rsidRPr="00A60FD5">
              <w:rPr>
                <w:rFonts w:ascii="Times New Roman" w:hAnsi="Times New Roman" w:cs="Times New Roman"/>
                <w:sz w:val="18"/>
                <w:szCs w:val="18"/>
              </w:rPr>
              <w:t>(0.84)</w:t>
            </w:r>
          </w:p>
        </w:tc>
        <w:tc>
          <w:tcPr>
            <w:tcW w:w="991" w:type="dxa"/>
            <w:tcBorders>
              <w:top w:val="nil"/>
              <w:left w:val="dotted" w:sz="4" w:space="0" w:color="auto"/>
              <w:bottom w:val="nil"/>
              <w:right w:val="nil"/>
            </w:tcBorders>
          </w:tcPr>
          <w:p w14:paraId="6D10AEEE" w14:textId="3D4B8484" w:rsidR="00EB08AC" w:rsidRPr="00A60FD5" w:rsidRDefault="00EB08AC" w:rsidP="00F4357D">
            <w:pPr>
              <w:spacing w:after="0"/>
              <w:jc w:val="center"/>
              <w:rPr>
                <w:rFonts w:ascii="Times New Roman" w:hAnsi="Times New Roman" w:cs="Times New Roman"/>
                <w:sz w:val="18"/>
                <w:szCs w:val="18"/>
              </w:rPr>
            </w:pPr>
            <w:r w:rsidRPr="00A60FD5">
              <w:rPr>
                <w:rFonts w:ascii="Times New Roman" w:hAnsi="Times New Roman" w:cs="Times New Roman"/>
                <w:sz w:val="18"/>
                <w:szCs w:val="18"/>
              </w:rPr>
              <w:t>-0.33*</w:t>
            </w:r>
          </w:p>
          <w:p w14:paraId="039813A9" w14:textId="2C484BCC" w:rsidR="00EB08AC" w:rsidRPr="00A60FD5" w:rsidRDefault="00EB08AC" w:rsidP="00F4357D">
            <w:pPr>
              <w:spacing w:after="0"/>
              <w:jc w:val="center"/>
              <w:rPr>
                <w:rFonts w:ascii="Times New Roman" w:hAnsi="Times New Roman" w:cs="Times New Roman"/>
                <w:sz w:val="18"/>
                <w:szCs w:val="18"/>
              </w:rPr>
            </w:pPr>
            <w:r w:rsidRPr="00A60FD5">
              <w:rPr>
                <w:rFonts w:ascii="Times New Roman" w:hAnsi="Times New Roman" w:cs="Times New Roman"/>
                <w:sz w:val="18"/>
                <w:szCs w:val="18"/>
              </w:rPr>
              <w:t>(0.15)</w:t>
            </w:r>
          </w:p>
        </w:tc>
        <w:tc>
          <w:tcPr>
            <w:tcW w:w="1156" w:type="dxa"/>
            <w:tcBorders>
              <w:top w:val="nil"/>
              <w:left w:val="nil"/>
              <w:bottom w:val="nil"/>
              <w:right w:val="nil"/>
            </w:tcBorders>
          </w:tcPr>
          <w:p w14:paraId="3064BD37" w14:textId="1D6D5009" w:rsidR="00EB08AC" w:rsidRPr="00A60FD5" w:rsidRDefault="00EB08AC" w:rsidP="00F4357D">
            <w:pPr>
              <w:spacing w:after="0"/>
              <w:jc w:val="center"/>
              <w:rPr>
                <w:rFonts w:ascii="Times New Roman" w:hAnsi="Times New Roman" w:cs="Times New Roman"/>
                <w:sz w:val="18"/>
                <w:szCs w:val="18"/>
              </w:rPr>
            </w:pPr>
            <w:r w:rsidRPr="00A60FD5">
              <w:rPr>
                <w:rFonts w:ascii="Times New Roman" w:hAnsi="Times New Roman" w:cs="Times New Roman"/>
                <w:sz w:val="18"/>
                <w:szCs w:val="18"/>
              </w:rPr>
              <w:t>0.01</w:t>
            </w:r>
          </w:p>
          <w:p w14:paraId="7C36FB6E" w14:textId="05A43A1F" w:rsidR="00EB08AC" w:rsidRPr="00A60FD5" w:rsidRDefault="00EB08AC" w:rsidP="00F4357D">
            <w:pPr>
              <w:spacing w:after="0"/>
              <w:jc w:val="center"/>
              <w:rPr>
                <w:rFonts w:ascii="Times New Roman" w:hAnsi="Times New Roman" w:cs="Times New Roman"/>
                <w:sz w:val="18"/>
                <w:szCs w:val="18"/>
              </w:rPr>
            </w:pPr>
            <w:r w:rsidRPr="00A60FD5">
              <w:rPr>
                <w:rFonts w:ascii="Times New Roman" w:hAnsi="Times New Roman" w:cs="Times New Roman"/>
                <w:sz w:val="18"/>
                <w:szCs w:val="18"/>
              </w:rPr>
              <w:t>(0.44)</w:t>
            </w:r>
          </w:p>
        </w:tc>
        <w:tc>
          <w:tcPr>
            <w:tcW w:w="1366" w:type="dxa"/>
            <w:tcBorders>
              <w:top w:val="nil"/>
              <w:left w:val="nil"/>
              <w:bottom w:val="nil"/>
              <w:right w:val="nil"/>
            </w:tcBorders>
          </w:tcPr>
          <w:p w14:paraId="484726EB" w14:textId="15347811" w:rsidR="00EB08AC" w:rsidRPr="00A60FD5" w:rsidRDefault="00EB08AC" w:rsidP="00F4357D">
            <w:pPr>
              <w:spacing w:after="0"/>
              <w:jc w:val="center"/>
              <w:rPr>
                <w:rFonts w:ascii="Times New Roman" w:hAnsi="Times New Roman" w:cs="Times New Roman"/>
                <w:sz w:val="18"/>
                <w:szCs w:val="18"/>
              </w:rPr>
            </w:pPr>
            <w:r w:rsidRPr="00A60FD5">
              <w:rPr>
                <w:rFonts w:ascii="Times New Roman" w:hAnsi="Times New Roman" w:cs="Times New Roman"/>
                <w:sz w:val="18"/>
                <w:szCs w:val="18"/>
              </w:rPr>
              <w:t>0.26</w:t>
            </w:r>
          </w:p>
          <w:p w14:paraId="64589E46" w14:textId="3C7DC900" w:rsidR="00EB08AC" w:rsidRPr="00A60FD5" w:rsidRDefault="00EB08AC" w:rsidP="00F4357D">
            <w:pPr>
              <w:spacing w:after="0"/>
              <w:jc w:val="center"/>
              <w:rPr>
                <w:rFonts w:ascii="Times New Roman" w:hAnsi="Times New Roman" w:cs="Times New Roman"/>
                <w:sz w:val="18"/>
                <w:szCs w:val="18"/>
              </w:rPr>
            </w:pPr>
            <w:r w:rsidRPr="00A60FD5">
              <w:rPr>
                <w:rFonts w:ascii="Times New Roman" w:hAnsi="Times New Roman" w:cs="Times New Roman"/>
                <w:sz w:val="18"/>
                <w:szCs w:val="18"/>
              </w:rPr>
              <w:t>(0.87)</w:t>
            </w:r>
          </w:p>
        </w:tc>
      </w:tr>
      <w:tr w:rsidR="00CB3C32" w:rsidRPr="00A60FD5" w14:paraId="4A675531" w14:textId="77777777" w:rsidTr="000810C3">
        <w:trPr>
          <w:trHeight w:hRule="exact" w:val="483"/>
          <w:jc w:val="center"/>
        </w:trPr>
        <w:tc>
          <w:tcPr>
            <w:tcW w:w="3537" w:type="dxa"/>
            <w:tcBorders>
              <w:top w:val="nil"/>
              <w:left w:val="nil"/>
              <w:bottom w:val="nil"/>
              <w:right w:val="nil"/>
            </w:tcBorders>
          </w:tcPr>
          <w:p w14:paraId="5CAF1ED6" w14:textId="1FD407BA" w:rsidR="00CB3C32" w:rsidRPr="00A60FD5" w:rsidRDefault="00CB3C32" w:rsidP="002D2C4A">
            <w:pPr>
              <w:spacing w:before="80" w:after="0" w:line="200" w:lineRule="exact"/>
              <w:rPr>
                <w:rFonts w:ascii="Times New Roman" w:hAnsi="Times New Roman" w:cs="Times New Roman"/>
                <w:sz w:val="18"/>
                <w:szCs w:val="18"/>
              </w:rPr>
            </w:pPr>
            <w:r w:rsidRPr="00A60FD5">
              <w:rPr>
                <w:rFonts w:ascii="Times New Roman" w:hAnsi="Times New Roman" w:cs="Times New Roman"/>
                <w:sz w:val="18"/>
                <w:szCs w:val="18"/>
              </w:rPr>
              <w:t xml:space="preserve">Patent–rights index </w:t>
            </w:r>
          </w:p>
        </w:tc>
        <w:tc>
          <w:tcPr>
            <w:tcW w:w="1063" w:type="dxa"/>
            <w:tcBorders>
              <w:top w:val="nil"/>
              <w:left w:val="nil"/>
              <w:bottom w:val="nil"/>
              <w:right w:val="nil"/>
            </w:tcBorders>
          </w:tcPr>
          <w:p w14:paraId="273C7B63" w14:textId="3137F09F" w:rsidR="00CB3C32" w:rsidRPr="00A60FD5" w:rsidRDefault="00026CA5" w:rsidP="00F4357D">
            <w:pPr>
              <w:spacing w:after="0"/>
              <w:jc w:val="center"/>
              <w:rPr>
                <w:rFonts w:ascii="Times New Roman" w:hAnsi="Times New Roman" w:cs="Times New Roman"/>
                <w:sz w:val="18"/>
                <w:szCs w:val="18"/>
              </w:rPr>
            </w:pPr>
            <w:r w:rsidRPr="00A60FD5">
              <w:rPr>
                <w:rFonts w:ascii="Times New Roman" w:hAnsi="Times New Roman" w:cs="Times New Roman"/>
                <w:sz w:val="18"/>
                <w:szCs w:val="18"/>
              </w:rPr>
              <w:t>-</w:t>
            </w:r>
            <w:r w:rsidR="00CB3C32" w:rsidRPr="00A60FD5">
              <w:rPr>
                <w:rFonts w:ascii="Times New Roman" w:hAnsi="Times New Roman" w:cs="Times New Roman"/>
                <w:sz w:val="18"/>
                <w:szCs w:val="18"/>
              </w:rPr>
              <w:t>0.</w:t>
            </w:r>
            <w:r w:rsidRPr="00A60FD5">
              <w:rPr>
                <w:rFonts w:ascii="Times New Roman" w:hAnsi="Times New Roman" w:cs="Times New Roman"/>
                <w:sz w:val="18"/>
                <w:szCs w:val="18"/>
              </w:rPr>
              <w:t>48**</w:t>
            </w:r>
          </w:p>
          <w:p w14:paraId="3D9552C9" w14:textId="4A16C134" w:rsidR="00CB3C32" w:rsidRPr="00A60FD5" w:rsidRDefault="00CB3C32" w:rsidP="00F4357D">
            <w:pPr>
              <w:spacing w:after="0"/>
              <w:jc w:val="center"/>
              <w:rPr>
                <w:rFonts w:ascii="Times New Roman" w:hAnsi="Times New Roman" w:cs="Times New Roman"/>
                <w:sz w:val="18"/>
                <w:szCs w:val="18"/>
              </w:rPr>
            </w:pPr>
            <w:r w:rsidRPr="00A60FD5">
              <w:rPr>
                <w:rFonts w:ascii="Times New Roman" w:hAnsi="Times New Roman" w:cs="Times New Roman"/>
                <w:sz w:val="18"/>
                <w:szCs w:val="18"/>
              </w:rPr>
              <w:t>(0.</w:t>
            </w:r>
            <w:r w:rsidR="00026CA5" w:rsidRPr="00A60FD5">
              <w:rPr>
                <w:rFonts w:ascii="Times New Roman" w:hAnsi="Times New Roman" w:cs="Times New Roman"/>
                <w:sz w:val="18"/>
                <w:szCs w:val="18"/>
              </w:rPr>
              <w:t>18</w:t>
            </w:r>
            <w:r w:rsidRPr="00A60FD5">
              <w:rPr>
                <w:rFonts w:ascii="Times New Roman" w:hAnsi="Times New Roman" w:cs="Times New Roman"/>
                <w:sz w:val="18"/>
                <w:szCs w:val="18"/>
              </w:rPr>
              <w:t>)</w:t>
            </w:r>
          </w:p>
        </w:tc>
        <w:tc>
          <w:tcPr>
            <w:tcW w:w="921" w:type="dxa"/>
            <w:tcBorders>
              <w:top w:val="nil"/>
              <w:left w:val="nil"/>
              <w:bottom w:val="nil"/>
              <w:right w:val="nil"/>
            </w:tcBorders>
          </w:tcPr>
          <w:p w14:paraId="6F1D1231" w14:textId="1D12815A" w:rsidR="00CB3C32" w:rsidRPr="00A60FD5" w:rsidRDefault="001824B4" w:rsidP="00F4357D">
            <w:pPr>
              <w:spacing w:after="0"/>
              <w:jc w:val="center"/>
              <w:rPr>
                <w:rFonts w:ascii="Times New Roman" w:hAnsi="Times New Roman" w:cs="Times New Roman"/>
                <w:sz w:val="18"/>
                <w:szCs w:val="18"/>
              </w:rPr>
            </w:pPr>
            <w:r w:rsidRPr="00A60FD5">
              <w:rPr>
                <w:rFonts w:ascii="Times New Roman" w:hAnsi="Times New Roman" w:cs="Times New Roman"/>
                <w:sz w:val="18"/>
                <w:szCs w:val="18"/>
              </w:rPr>
              <w:t>-</w:t>
            </w:r>
            <w:r w:rsidR="00CB3C32" w:rsidRPr="00A60FD5">
              <w:rPr>
                <w:rFonts w:ascii="Times New Roman" w:hAnsi="Times New Roman" w:cs="Times New Roman"/>
                <w:sz w:val="18"/>
                <w:szCs w:val="18"/>
              </w:rPr>
              <w:t>0.</w:t>
            </w:r>
            <w:r w:rsidRPr="00A60FD5">
              <w:rPr>
                <w:rFonts w:ascii="Times New Roman" w:hAnsi="Times New Roman" w:cs="Times New Roman"/>
                <w:sz w:val="18"/>
                <w:szCs w:val="18"/>
              </w:rPr>
              <w:t>25</w:t>
            </w:r>
          </w:p>
          <w:p w14:paraId="2283F453" w14:textId="69F91616" w:rsidR="00CB3C32" w:rsidRPr="00A60FD5" w:rsidRDefault="00CB3C32" w:rsidP="00F4357D">
            <w:pPr>
              <w:spacing w:after="0"/>
              <w:jc w:val="center"/>
              <w:rPr>
                <w:rFonts w:ascii="Times New Roman" w:hAnsi="Times New Roman" w:cs="Times New Roman"/>
                <w:sz w:val="18"/>
                <w:szCs w:val="18"/>
              </w:rPr>
            </w:pPr>
            <w:r w:rsidRPr="00A60FD5">
              <w:rPr>
                <w:rFonts w:ascii="Times New Roman" w:hAnsi="Times New Roman" w:cs="Times New Roman"/>
                <w:sz w:val="18"/>
                <w:szCs w:val="18"/>
              </w:rPr>
              <w:t>(0.</w:t>
            </w:r>
            <w:r w:rsidR="001824B4" w:rsidRPr="00A60FD5">
              <w:rPr>
                <w:rFonts w:ascii="Times New Roman" w:hAnsi="Times New Roman" w:cs="Times New Roman"/>
                <w:sz w:val="18"/>
                <w:szCs w:val="18"/>
              </w:rPr>
              <w:t>16</w:t>
            </w:r>
            <w:r w:rsidRPr="00A60FD5">
              <w:rPr>
                <w:rFonts w:ascii="Times New Roman" w:hAnsi="Times New Roman" w:cs="Times New Roman"/>
                <w:sz w:val="18"/>
                <w:szCs w:val="18"/>
              </w:rPr>
              <w:t>)</w:t>
            </w:r>
          </w:p>
        </w:tc>
        <w:tc>
          <w:tcPr>
            <w:tcW w:w="1064" w:type="dxa"/>
            <w:tcBorders>
              <w:top w:val="nil"/>
              <w:left w:val="nil"/>
              <w:bottom w:val="nil"/>
              <w:right w:val="dotted" w:sz="4" w:space="0" w:color="auto"/>
            </w:tcBorders>
          </w:tcPr>
          <w:p w14:paraId="245AFB39" w14:textId="0D4C13BF" w:rsidR="00CB3C32" w:rsidRPr="00A60FD5" w:rsidRDefault="00CB3C32" w:rsidP="00F4357D">
            <w:pPr>
              <w:spacing w:after="0"/>
              <w:jc w:val="center"/>
              <w:rPr>
                <w:rFonts w:ascii="Times New Roman" w:hAnsi="Times New Roman"/>
                <w:sz w:val="18"/>
                <w:szCs w:val="20"/>
              </w:rPr>
            </w:pPr>
            <w:r w:rsidRPr="00A60FD5">
              <w:rPr>
                <w:rFonts w:ascii="Times New Roman" w:hAnsi="Times New Roman" w:cs="Times New Roman"/>
                <w:sz w:val="18"/>
                <w:szCs w:val="18"/>
              </w:rPr>
              <w:t>0.</w:t>
            </w:r>
            <w:r w:rsidR="000943F0" w:rsidRPr="00A60FD5">
              <w:rPr>
                <w:rFonts w:ascii="Times New Roman" w:hAnsi="Times New Roman" w:cs="Times New Roman"/>
                <w:sz w:val="18"/>
                <w:szCs w:val="18"/>
              </w:rPr>
              <w:t>15</w:t>
            </w:r>
          </w:p>
          <w:p w14:paraId="3B40D7F7" w14:textId="3A9E2C9A" w:rsidR="00CB3C32" w:rsidRPr="00A60FD5" w:rsidRDefault="00CB3C32" w:rsidP="00F4357D">
            <w:pPr>
              <w:spacing w:after="0"/>
              <w:jc w:val="center"/>
              <w:rPr>
                <w:rFonts w:ascii="Times New Roman" w:hAnsi="Times New Roman" w:cs="Times New Roman"/>
                <w:sz w:val="18"/>
                <w:szCs w:val="18"/>
              </w:rPr>
            </w:pPr>
            <w:r w:rsidRPr="00A60FD5">
              <w:rPr>
                <w:rFonts w:ascii="Times New Roman" w:hAnsi="Times New Roman"/>
                <w:sz w:val="18"/>
                <w:szCs w:val="20"/>
              </w:rPr>
              <w:t>(0.</w:t>
            </w:r>
            <w:r w:rsidR="000943F0" w:rsidRPr="00A60FD5">
              <w:rPr>
                <w:rFonts w:ascii="Times New Roman" w:hAnsi="Times New Roman"/>
                <w:sz w:val="18"/>
                <w:szCs w:val="20"/>
              </w:rPr>
              <w:t>75</w:t>
            </w:r>
            <w:r w:rsidRPr="00A60FD5">
              <w:rPr>
                <w:rFonts w:ascii="Times New Roman" w:hAnsi="Times New Roman"/>
                <w:sz w:val="18"/>
                <w:szCs w:val="20"/>
              </w:rPr>
              <w:t>)</w:t>
            </w:r>
          </w:p>
        </w:tc>
        <w:tc>
          <w:tcPr>
            <w:tcW w:w="991" w:type="dxa"/>
            <w:tcBorders>
              <w:top w:val="nil"/>
              <w:left w:val="dotted" w:sz="4" w:space="0" w:color="auto"/>
              <w:bottom w:val="nil"/>
              <w:right w:val="nil"/>
            </w:tcBorders>
          </w:tcPr>
          <w:p w14:paraId="57A2C8A6" w14:textId="6C909883" w:rsidR="00CB3C32" w:rsidRPr="00A60FD5" w:rsidRDefault="004154CF" w:rsidP="00F4357D">
            <w:pPr>
              <w:spacing w:after="0"/>
              <w:jc w:val="center"/>
              <w:rPr>
                <w:rFonts w:ascii="Times New Roman" w:hAnsi="Times New Roman" w:cs="Times New Roman"/>
                <w:sz w:val="18"/>
                <w:szCs w:val="18"/>
              </w:rPr>
            </w:pPr>
            <w:r w:rsidRPr="00A60FD5">
              <w:rPr>
                <w:rFonts w:ascii="Times New Roman" w:hAnsi="Times New Roman" w:cs="Times New Roman"/>
                <w:sz w:val="18"/>
                <w:szCs w:val="18"/>
              </w:rPr>
              <w:t>-</w:t>
            </w:r>
            <w:r w:rsidR="00CB3C32" w:rsidRPr="00A60FD5">
              <w:rPr>
                <w:rFonts w:ascii="Times New Roman" w:hAnsi="Times New Roman" w:cs="Times New Roman"/>
                <w:sz w:val="18"/>
                <w:szCs w:val="18"/>
              </w:rPr>
              <w:t>0.</w:t>
            </w:r>
            <w:r w:rsidRPr="00A60FD5">
              <w:rPr>
                <w:rFonts w:ascii="Times New Roman" w:hAnsi="Times New Roman" w:cs="Times New Roman"/>
                <w:sz w:val="18"/>
                <w:szCs w:val="18"/>
              </w:rPr>
              <w:t>48**</w:t>
            </w:r>
          </w:p>
          <w:p w14:paraId="2D285373" w14:textId="0237DDC4" w:rsidR="00CB3C32" w:rsidRPr="00A60FD5" w:rsidRDefault="00CB3C32" w:rsidP="00F4357D">
            <w:pPr>
              <w:spacing w:after="0"/>
              <w:jc w:val="center"/>
              <w:rPr>
                <w:rFonts w:ascii="Times New Roman" w:hAnsi="Times New Roman" w:cs="Times New Roman"/>
                <w:sz w:val="18"/>
                <w:szCs w:val="18"/>
              </w:rPr>
            </w:pPr>
            <w:r w:rsidRPr="00A60FD5">
              <w:rPr>
                <w:rFonts w:ascii="Times New Roman" w:hAnsi="Times New Roman" w:cs="Times New Roman"/>
                <w:sz w:val="18"/>
                <w:szCs w:val="18"/>
              </w:rPr>
              <w:t>(0.</w:t>
            </w:r>
            <w:r w:rsidR="004154CF" w:rsidRPr="00A60FD5">
              <w:rPr>
                <w:rFonts w:ascii="Times New Roman" w:hAnsi="Times New Roman" w:cs="Times New Roman"/>
                <w:sz w:val="18"/>
                <w:szCs w:val="18"/>
              </w:rPr>
              <w:t>18</w:t>
            </w:r>
            <w:r w:rsidRPr="00A60FD5">
              <w:rPr>
                <w:rFonts w:ascii="Times New Roman" w:hAnsi="Times New Roman" w:cs="Times New Roman"/>
                <w:sz w:val="18"/>
                <w:szCs w:val="18"/>
              </w:rPr>
              <w:t>)</w:t>
            </w:r>
          </w:p>
        </w:tc>
        <w:tc>
          <w:tcPr>
            <w:tcW w:w="1156" w:type="dxa"/>
            <w:tcBorders>
              <w:top w:val="nil"/>
              <w:left w:val="nil"/>
              <w:bottom w:val="nil"/>
              <w:right w:val="nil"/>
            </w:tcBorders>
          </w:tcPr>
          <w:p w14:paraId="0C64EA5C" w14:textId="08566A5E" w:rsidR="00CB3C32" w:rsidRPr="00A60FD5" w:rsidRDefault="00FE5660" w:rsidP="00F4357D">
            <w:pPr>
              <w:spacing w:after="0"/>
              <w:jc w:val="center"/>
              <w:rPr>
                <w:rFonts w:ascii="Times New Roman" w:hAnsi="Times New Roman" w:cs="Times New Roman"/>
                <w:sz w:val="18"/>
                <w:szCs w:val="18"/>
              </w:rPr>
            </w:pPr>
            <w:r w:rsidRPr="00A60FD5">
              <w:rPr>
                <w:rFonts w:ascii="Times New Roman" w:hAnsi="Times New Roman" w:cs="Times New Roman"/>
                <w:sz w:val="18"/>
                <w:szCs w:val="18"/>
              </w:rPr>
              <w:t>-0.26</w:t>
            </w:r>
          </w:p>
          <w:p w14:paraId="12207695" w14:textId="763B46FA" w:rsidR="00CB3C32" w:rsidRPr="00A60FD5" w:rsidRDefault="00CB3C32" w:rsidP="00F4357D">
            <w:pPr>
              <w:spacing w:after="0"/>
              <w:jc w:val="center"/>
              <w:rPr>
                <w:rFonts w:ascii="Times New Roman" w:hAnsi="Times New Roman" w:cs="Times New Roman"/>
                <w:sz w:val="18"/>
                <w:szCs w:val="18"/>
              </w:rPr>
            </w:pPr>
            <w:r w:rsidRPr="00A60FD5">
              <w:rPr>
                <w:rFonts w:ascii="Times New Roman" w:hAnsi="Times New Roman" w:cs="Times New Roman"/>
                <w:sz w:val="18"/>
                <w:szCs w:val="18"/>
              </w:rPr>
              <w:t>(0.</w:t>
            </w:r>
            <w:r w:rsidR="00FE5660" w:rsidRPr="00A60FD5">
              <w:rPr>
                <w:rFonts w:ascii="Times New Roman" w:hAnsi="Times New Roman" w:cs="Times New Roman"/>
                <w:sz w:val="18"/>
                <w:szCs w:val="18"/>
              </w:rPr>
              <w:t>16</w:t>
            </w:r>
            <w:r w:rsidRPr="00A60FD5">
              <w:rPr>
                <w:rFonts w:ascii="Times New Roman" w:hAnsi="Times New Roman" w:cs="Times New Roman"/>
                <w:sz w:val="18"/>
                <w:szCs w:val="18"/>
              </w:rPr>
              <w:t>)</w:t>
            </w:r>
          </w:p>
        </w:tc>
        <w:tc>
          <w:tcPr>
            <w:tcW w:w="1366" w:type="dxa"/>
            <w:tcBorders>
              <w:top w:val="nil"/>
              <w:left w:val="nil"/>
              <w:bottom w:val="nil"/>
              <w:right w:val="nil"/>
            </w:tcBorders>
          </w:tcPr>
          <w:p w14:paraId="398A7FDE" w14:textId="39D66AE0" w:rsidR="00CB3C32" w:rsidRPr="00A60FD5" w:rsidRDefault="00CB3C32" w:rsidP="00F4357D">
            <w:pPr>
              <w:spacing w:after="0"/>
              <w:jc w:val="center"/>
              <w:rPr>
                <w:rFonts w:ascii="Times New Roman" w:hAnsi="Times New Roman"/>
                <w:sz w:val="18"/>
                <w:szCs w:val="20"/>
              </w:rPr>
            </w:pPr>
            <w:r w:rsidRPr="00A60FD5">
              <w:rPr>
                <w:rFonts w:ascii="Times New Roman" w:hAnsi="Times New Roman" w:cs="Times New Roman"/>
                <w:sz w:val="18"/>
                <w:szCs w:val="18"/>
              </w:rPr>
              <w:t>0.</w:t>
            </w:r>
            <w:r w:rsidR="00CF22F4" w:rsidRPr="00A60FD5">
              <w:rPr>
                <w:rFonts w:ascii="Times New Roman" w:hAnsi="Times New Roman" w:cs="Times New Roman"/>
                <w:sz w:val="18"/>
                <w:szCs w:val="18"/>
              </w:rPr>
              <w:t>08</w:t>
            </w:r>
          </w:p>
          <w:p w14:paraId="0271FABD" w14:textId="397ADAD1" w:rsidR="00CB3C32" w:rsidRPr="00A60FD5" w:rsidRDefault="00CB3C32" w:rsidP="00F4357D">
            <w:pPr>
              <w:spacing w:after="0"/>
              <w:jc w:val="center"/>
              <w:rPr>
                <w:rFonts w:ascii="Times New Roman" w:hAnsi="Times New Roman" w:cs="Times New Roman"/>
                <w:sz w:val="18"/>
                <w:szCs w:val="18"/>
              </w:rPr>
            </w:pPr>
            <w:r w:rsidRPr="00A60FD5">
              <w:rPr>
                <w:rFonts w:ascii="Times New Roman" w:hAnsi="Times New Roman"/>
                <w:sz w:val="18"/>
                <w:szCs w:val="20"/>
              </w:rPr>
              <w:t>(0.</w:t>
            </w:r>
            <w:r w:rsidR="00CF22F4" w:rsidRPr="00A60FD5">
              <w:rPr>
                <w:rFonts w:ascii="Times New Roman" w:hAnsi="Times New Roman"/>
                <w:sz w:val="18"/>
                <w:szCs w:val="20"/>
              </w:rPr>
              <w:t>75</w:t>
            </w:r>
            <w:r w:rsidRPr="00A60FD5">
              <w:rPr>
                <w:rFonts w:ascii="Times New Roman" w:hAnsi="Times New Roman"/>
                <w:sz w:val="18"/>
                <w:szCs w:val="20"/>
              </w:rPr>
              <w:t>)</w:t>
            </w:r>
          </w:p>
        </w:tc>
      </w:tr>
      <w:tr w:rsidR="00CF22F4" w:rsidRPr="00A60FD5" w14:paraId="70B1BB72" w14:textId="77777777" w:rsidTr="000810C3">
        <w:trPr>
          <w:trHeight w:hRule="exact" w:val="483"/>
          <w:jc w:val="center"/>
        </w:trPr>
        <w:tc>
          <w:tcPr>
            <w:tcW w:w="3537" w:type="dxa"/>
            <w:tcBorders>
              <w:top w:val="nil"/>
              <w:left w:val="nil"/>
              <w:bottom w:val="nil"/>
              <w:right w:val="nil"/>
            </w:tcBorders>
          </w:tcPr>
          <w:p w14:paraId="52FDFF45" w14:textId="6D70E8AA" w:rsidR="00CF22F4" w:rsidRPr="00A60FD5" w:rsidRDefault="00CF22F4" w:rsidP="00750912">
            <w:pPr>
              <w:spacing w:before="80" w:after="0" w:line="200" w:lineRule="exact"/>
              <w:rPr>
                <w:rFonts w:ascii="Times New Roman" w:hAnsi="Times New Roman" w:cs="Times New Roman"/>
                <w:sz w:val="18"/>
                <w:szCs w:val="18"/>
              </w:rPr>
            </w:pPr>
            <w:r w:rsidRPr="00A60FD5">
              <w:rPr>
                <w:rFonts w:ascii="Times New Roman" w:hAnsi="Times New Roman" w:cs="Times New Roman"/>
                <w:sz w:val="18"/>
                <w:szCs w:val="18"/>
              </w:rPr>
              <w:t>Prior ties</w:t>
            </w:r>
          </w:p>
        </w:tc>
        <w:tc>
          <w:tcPr>
            <w:tcW w:w="1063" w:type="dxa"/>
            <w:tcBorders>
              <w:top w:val="nil"/>
              <w:left w:val="nil"/>
              <w:bottom w:val="nil"/>
              <w:right w:val="nil"/>
            </w:tcBorders>
          </w:tcPr>
          <w:p w14:paraId="020B28BC" w14:textId="77777777" w:rsidR="00CF22F4" w:rsidRPr="00A60FD5" w:rsidRDefault="00026CA5" w:rsidP="00F4357D">
            <w:pPr>
              <w:spacing w:after="0"/>
              <w:jc w:val="center"/>
              <w:rPr>
                <w:rFonts w:ascii="Times New Roman" w:hAnsi="Times New Roman" w:cs="Times New Roman"/>
                <w:sz w:val="18"/>
                <w:szCs w:val="18"/>
              </w:rPr>
            </w:pPr>
            <w:r w:rsidRPr="00A60FD5">
              <w:rPr>
                <w:rFonts w:ascii="Times New Roman" w:hAnsi="Times New Roman" w:cs="Times New Roman"/>
                <w:sz w:val="18"/>
                <w:szCs w:val="18"/>
              </w:rPr>
              <w:t>0.31</w:t>
            </w:r>
          </w:p>
          <w:p w14:paraId="7536D4A7" w14:textId="3B59323B" w:rsidR="00026CA5" w:rsidRPr="00A60FD5" w:rsidRDefault="00026CA5" w:rsidP="00F4357D">
            <w:pPr>
              <w:spacing w:after="0"/>
              <w:jc w:val="center"/>
              <w:rPr>
                <w:rFonts w:ascii="Times New Roman" w:hAnsi="Times New Roman" w:cs="Times New Roman"/>
                <w:sz w:val="18"/>
                <w:szCs w:val="18"/>
              </w:rPr>
            </w:pPr>
            <w:r w:rsidRPr="00A60FD5">
              <w:rPr>
                <w:rFonts w:ascii="Times New Roman" w:hAnsi="Times New Roman" w:cs="Times New Roman"/>
                <w:sz w:val="18"/>
                <w:szCs w:val="18"/>
              </w:rPr>
              <w:t>(0.21)</w:t>
            </w:r>
          </w:p>
        </w:tc>
        <w:tc>
          <w:tcPr>
            <w:tcW w:w="921" w:type="dxa"/>
            <w:tcBorders>
              <w:top w:val="nil"/>
              <w:left w:val="nil"/>
              <w:bottom w:val="nil"/>
              <w:right w:val="nil"/>
            </w:tcBorders>
          </w:tcPr>
          <w:p w14:paraId="6617647B" w14:textId="77777777" w:rsidR="00CF22F4" w:rsidRPr="00A60FD5" w:rsidRDefault="001824B4" w:rsidP="00F4357D">
            <w:pPr>
              <w:spacing w:after="0"/>
              <w:jc w:val="center"/>
              <w:rPr>
                <w:rFonts w:ascii="Times New Roman" w:hAnsi="Times New Roman" w:cs="Times New Roman"/>
                <w:sz w:val="18"/>
                <w:szCs w:val="18"/>
              </w:rPr>
            </w:pPr>
            <w:r w:rsidRPr="00A60FD5">
              <w:rPr>
                <w:rFonts w:ascii="Times New Roman" w:hAnsi="Times New Roman" w:cs="Times New Roman"/>
                <w:sz w:val="18"/>
                <w:szCs w:val="18"/>
              </w:rPr>
              <w:t>-0.29</w:t>
            </w:r>
          </w:p>
          <w:p w14:paraId="5388FBA9" w14:textId="25B57774" w:rsidR="001824B4" w:rsidRPr="00A60FD5" w:rsidRDefault="001824B4" w:rsidP="00F4357D">
            <w:pPr>
              <w:spacing w:after="0"/>
              <w:jc w:val="center"/>
              <w:rPr>
                <w:rFonts w:ascii="Times New Roman" w:hAnsi="Times New Roman" w:cs="Times New Roman"/>
                <w:sz w:val="18"/>
                <w:szCs w:val="18"/>
              </w:rPr>
            </w:pPr>
            <w:r w:rsidRPr="00A60FD5">
              <w:rPr>
                <w:rFonts w:ascii="Times New Roman" w:hAnsi="Times New Roman" w:cs="Times New Roman"/>
                <w:sz w:val="18"/>
                <w:szCs w:val="18"/>
              </w:rPr>
              <w:t>(0.31)</w:t>
            </w:r>
          </w:p>
        </w:tc>
        <w:tc>
          <w:tcPr>
            <w:tcW w:w="1064" w:type="dxa"/>
            <w:tcBorders>
              <w:top w:val="nil"/>
              <w:left w:val="nil"/>
              <w:bottom w:val="nil"/>
              <w:right w:val="dotted" w:sz="4" w:space="0" w:color="auto"/>
            </w:tcBorders>
          </w:tcPr>
          <w:p w14:paraId="512EA01C" w14:textId="77777777" w:rsidR="00CF22F4" w:rsidRPr="00A60FD5" w:rsidRDefault="000943F0" w:rsidP="00F4357D">
            <w:pPr>
              <w:spacing w:after="0"/>
              <w:jc w:val="center"/>
              <w:rPr>
                <w:rFonts w:ascii="Times New Roman" w:hAnsi="Times New Roman" w:cs="Times New Roman"/>
                <w:sz w:val="18"/>
                <w:szCs w:val="18"/>
              </w:rPr>
            </w:pPr>
            <w:r w:rsidRPr="00A60FD5">
              <w:rPr>
                <w:rFonts w:ascii="Times New Roman" w:hAnsi="Times New Roman" w:cs="Times New Roman"/>
                <w:sz w:val="18"/>
                <w:szCs w:val="18"/>
              </w:rPr>
              <w:t>-1.56**</w:t>
            </w:r>
          </w:p>
          <w:p w14:paraId="492B58F0" w14:textId="05293994" w:rsidR="000943F0" w:rsidRPr="00A60FD5" w:rsidRDefault="000943F0" w:rsidP="00F4357D">
            <w:pPr>
              <w:spacing w:after="0"/>
              <w:jc w:val="center"/>
              <w:rPr>
                <w:rFonts w:ascii="Times New Roman" w:hAnsi="Times New Roman" w:cs="Times New Roman"/>
                <w:sz w:val="18"/>
                <w:szCs w:val="18"/>
              </w:rPr>
            </w:pPr>
            <w:r w:rsidRPr="00A60FD5">
              <w:rPr>
                <w:rFonts w:ascii="Times New Roman" w:hAnsi="Times New Roman" w:cs="Times New Roman"/>
                <w:sz w:val="18"/>
                <w:szCs w:val="18"/>
              </w:rPr>
              <w:t>(0.57)</w:t>
            </w:r>
          </w:p>
        </w:tc>
        <w:tc>
          <w:tcPr>
            <w:tcW w:w="991" w:type="dxa"/>
            <w:tcBorders>
              <w:top w:val="nil"/>
              <w:left w:val="dotted" w:sz="4" w:space="0" w:color="auto"/>
              <w:bottom w:val="nil"/>
              <w:right w:val="nil"/>
            </w:tcBorders>
          </w:tcPr>
          <w:p w14:paraId="142E5227" w14:textId="77777777" w:rsidR="00CF22F4" w:rsidRPr="00A60FD5" w:rsidRDefault="004154CF" w:rsidP="00F4357D">
            <w:pPr>
              <w:spacing w:after="0"/>
              <w:jc w:val="center"/>
              <w:rPr>
                <w:rFonts w:ascii="Times New Roman" w:hAnsi="Times New Roman" w:cs="Times New Roman"/>
                <w:sz w:val="18"/>
                <w:szCs w:val="18"/>
              </w:rPr>
            </w:pPr>
            <w:r w:rsidRPr="00A60FD5">
              <w:rPr>
                <w:rFonts w:ascii="Times New Roman" w:hAnsi="Times New Roman" w:cs="Times New Roman"/>
                <w:sz w:val="18"/>
                <w:szCs w:val="18"/>
              </w:rPr>
              <w:t>0.31</w:t>
            </w:r>
          </w:p>
          <w:p w14:paraId="1EFFC129" w14:textId="693BBA52" w:rsidR="004154CF" w:rsidRPr="00A60FD5" w:rsidRDefault="004154CF" w:rsidP="00F4357D">
            <w:pPr>
              <w:spacing w:after="0"/>
              <w:jc w:val="center"/>
              <w:rPr>
                <w:rFonts w:ascii="Times New Roman" w:hAnsi="Times New Roman" w:cs="Times New Roman"/>
                <w:sz w:val="18"/>
                <w:szCs w:val="18"/>
              </w:rPr>
            </w:pPr>
            <w:r w:rsidRPr="00A60FD5">
              <w:rPr>
                <w:rFonts w:ascii="Times New Roman" w:hAnsi="Times New Roman" w:cs="Times New Roman"/>
                <w:sz w:val="18"/>
                <w:szCs w:val="18"/>
              </w:rPr>
              <w:t>(0.21)</w:t>
            </w:r>
          </w:p>
        </w:tc>
        <w:tc>
          <w:tcPr>
            <w:tcW w:w="1156" w:type="dxa"/>
            <w:tcBorders>
              <w:top w:val="nil"/>
              <w:left w:val="nil"/>
              <w:bottom w:val="nil"/>
              <w:right w:val="nil"/>
            </w:tcBorders>
          </w:tcPr>
          <w:p w14:paraId="0F93CEE4" w14:textId="77777777" w:rsidR="00CF22F4" w:rsidRPr="00A60FD5" w:rsidRDefault="00FE5660" w:rsidP="00F4357D">
            <w:pPr>
              <w:spacing w:after="0"/>
              <w:jc w:val="center"/>
              <w:rPr>
                <w:rFonts w:ascii="Times New Roman" w:hAnsi="Times New Roman" w:cs="Times New Roman"/>
                <w:sz w:val="18"/>
                <w:szCs w:val="18"/>
              </w:rPr>
            </w:pPr>
            <w:r w:rsidRPr="00A60FD5">
              <w:rPr>
                <w:rFonts w:ascii="Times New Roman" w:hAnsi="Times New Roman" w:cs="Times New Roman"/>
                <w:sz w:val="18"/>
                <w:szCs w:val="18"/>
              </w:rPr>
              <w:t>-0.19</w:t>
            </w:r>
          </w:p>
          <w:p w14:paraId="54A210CB" w14:textId="7D5838F1" w:rsidR="00FE5660" w:rsidRPr="00A60FD5" w:rsidRDefault="00FE5660" w:rsidP="00F4357D">
            <w:pPr>
              <w:spacing w:after="0"/>
              <w:jc w:val="center"/>
              <w:rPr>
                <w:rFonts w:ascii="Times New Roman" w:hAnsi="Times New Roman" w:cs="Times New Roman"/>
                <w:sz w:val="18"/>
                <w:szCs w:val="18"/>
              </w:rPr>
            </w:pPr>
            <w:r w:rsidRPr="00A60FD5">
              <w:rPr>
                <w:rFonts w:ascii="Times New Roman" w:hAnsi="Times New Roman" w:cs="Times New Roman"/>
                <w:sz w:val="18"/>
                <w:szCs w:val="18"/>
              </w:rPr>
              <w:t>(0.31)</w:t>
            </w:r>
          </w:p>
        </w:tc>
        <w:tc>
          <w:tcPr>
            <w:tcW w:w="1366" w:type="dxa"/>
            <w:tcBorders>
              <w:top w:val="nil"/>
              <w:left w:val="nil"/>
              <w:bottom w:val="nil"/>
              <w:right w:val="nil"/>
            </w:tcBorders>
          </w:tcPr>
          <w:p w14:paraId="1F9AC376" w14:textId="77777777" w:rsidR="00CF22F4" w:rsidRPr="00A60FD5" w:rsidRDefault="00CF22F4" w:rsidP="00F4357D">
            <w:pPr>
              <w:spacing w:after="0"/>
              <w:jc w:val="center"/>
              <w:rPr>
                <w:rFonts w:ascii="Times New Roman" w:hAnsi="Times New Roman" w:cs="Times New Roman"/>
                <w:sz w:val="18"/>
                <w:szCs w:val="18"/>
              </w:rPr>
            </w:pPr>
            <w:r w:rsidRPr="00A60FD5">
              <w:rPr>
                <w:rFonts w:ascii="Times New Roman" w:hAnsi="Times New Roman" w:cs="Times New Roman"/>
                <w:sz w:val="18"/>
                <w:szCs w:val="18"/>
              </w:rPr>
              <w:t>-1.72**</w:t>
            </w:r>
          </w:p>
          <w:p w14:paraId="09969AB6" w14:textId="3FE43F3F" w:rsidR="00CF22F4" w:rsidRPr="00A60FD5" w:rsidRDefault="00CF22F4" w:rsidP="00F4357D">
            <w:pPr>
              <w:spacing w:after="0"/>
              <w:jc w:val="center"/>
              <w:rPr>
                <w:rFonts w:ascii="Times New Roman" w:hAnsi="Times New Roman" w:cs="Times New Roman"/>
                <w:sz w:val="18"/>
                <w:szCs w:val="18"/>
              </w:rPr>
            </w:pPr>
            <w:r w:rsidRPr="00A60FD5">
              <w:rPr>
                <w:rFonts w:ascii="Times New Roman" w:hAnsi="Times New Roman" w:cs="Times New Roman"/>
                <w:sz w:val="18"/>
                <w:szCs w:val="18"/>
              </w:rPr>
              <w:t>(0.63)</w:t>
            </w:r>
          </w:p>
          <w:p w14:paraId="686B1FD9" w14:textId="77777777" w:rsidR="00CF22F4" w:rsidRPr="00A60FD5" w:rsidRDefault="00CF22F4" w:rsidP="00F4357D">
            <w:pPr>
              <w:spacing w:after="0"/>
              <w:jc w:val="center"/>
              <w:rPr>
                <w:rFonts w:ascii="Times New Roman" w:hAnsi="Times New Roman" w:cs="Times New Roman"/>
                <w:sz w:val="18"/>
                <w:szCs w:val="18"/>
              </w:rPr>
            </w:pPr>
          </w:p>
        </w:tc>
      </w:tr>
      <w:tr w:rsidR="00CF22F4" w:rsidRPr="00A60FD5" w14:paraId="68B7ABFA" w14:textId="77777777" w:rsidTr="000810C3">
        <w:trPr>
          <w:trHeight w:hRule="exact" w:val="483"/>
          <w:jc w:val="center"/>
        </w:trPr>
        <w:tc>
          <w:tcPr>
            <w:tcW w:w="3537" w:type="dxa"/>
            <w:tcBorders>
              <w:top w:val="nil"/>
              <w:left w:val="nil"/>
              <w:bottom w:val="nil"/>
              <w:right w:val="nil"/>
            </w:tcBorders>
          </w:tcPr>
          <w:p w14:paraId="4F393C4B" w14:textId="012674BD" w:rsidR="00CF22F4" w:rsidRPr="00A60FD5" w:rsidRDefault="00CF22F4" w:rsidP="00750912">
            <w:pPr>
              <w:spacing w:before="80" w:after="0" w:line="200" w:lineRule="exact"/>
              <w:rPr>
                <w:rFonts w:ascii="Times New Roman" w:hAnsi="Times New Roman" w:cs="Times New Roman"/>
                <w:sz w:val="18"/>
                <w:szCs w:val="18"/>
              </w:rPr>
            </w:pPr>
            <w:r w:rsidRPr="00A60FD5">
              <w:rPr>
                <w:rFonts w:ascii="Times New Roman" w:hAnsi="Times New Roman" w:cs="Times New Roman"/>
                <w:sz w:val="18"/>
                <w:szCs w:val="18"/>
              </w:rPr>
              <w:t xml:space="preserve">Same sector </w:t>
            </w:r>
          </w:p>
        </w:tc>
        <w:tc>
          <w:tcPr>
            <w:tcW w:w="1063" w:type="dxa"/>
            <w:tcBorders>
              <w:top w:val="nil"/>
              <w:left w:val="nil"/>
              <w:bottom w:val="nil"/>
              <w:right w:val="nil"/>
            </w:tcBorders>
          </w:tcPr>
          <w:p w14:paraId="00106A5B" w14:textId="790A7839" w:rsidR="00CF22F4" w:rsidRPr="00A60FD5" w:rsidRDefault="00CF22F4" w:rsidP="00F4357D">
            <w:pPr>
              <w:spacing w:after="0"/>
              <w:jc w:val="center"/>
              <w:rPr>
                <w:rFonts w:ascii="Times New Roman" w:hAnsi="Times New Roman" w:cs="Times New Roman"/>
                <w:sz w:val="18"/>
                <w:szCs w:val="18"/>
              </w:rPr>
            </w:pPr>
            <w:r w:rsidRPr="00A60FD5">
              <w:rPr>
                <w:rFonts w:ascii="Times New Roman" w:hAnsi="Times New Roman" w:cs="Times New Roman"/>
                <w:sz w:val="18"/>
                <w:szCs w:val="18"/>
              </w:rPr>
              <w:t>-0.</w:t>
            </w:r>
            <w:r w:rsidR="00026CA5" w:rsidRPr="00A60FD5">
              <w:rPr>
                <w:rFonts w:ascii="Times New Roman" w:hAnsi="Times New Roman" w:cs="Times New Roman"/>
                <w:sz w:val="18"/>
                <w:szCs w:val="18"/>
              </w:rPr>
              <w:t>07</w:t>
            </w:r>
          </w:p>
          <w:p w14:paraId="61CAD9B8" w14:textId="21B322C3" w:rsidR="00CF22F4" w:rsidRPr="00A60FD5" w:rsidRDefault="00CF22F4" w:rsidP="00F4357D">
            <w:pPr>
              <w:spacing w:after="0"/>
              <w:jc w:val="center"/>
              <w:rPr>
                <w:rFonts w:ascii="Times New Roman" w:hAnsi="Times New Roman" w:cs="Times New Roman"/>
                <w:sz w:val="18"/>
                <w:szCs w:val="18"/>
              </w:rPr>
            </w:pPr>
            <w:r w:rsidRPr="00A60FD5">
              <w:rPr>
                <w:rFonts w:ascii="Times New Roman" w:hAnsi="Times New Roman" w:cs="Times New Roman"/>
                <w:sz w:val="18"/>
                <w:szCs w:val="18"/>
              </w:rPr>
              <w:t>(0.</w:t>
            </w:r>
            <w:r w:rsidR="00026CA5" w:rsidRPr="00A60FD5">
              <w:rPr>
                <w:rFonts w:ascii="Times New Roman" w:hAnsi="Times New Roman" w:cs="Times New Roman"/>
                <w:sz w:val="18"/>
                <w:szCs w:val="18"/>
              </w:rPr>
              <w:t>12</w:t>
            </w:r>
            <w:r w:rsidRPr="00A60FD5">
              <w:rPr>
                <w:rFonts w:ascii="Times New Roman" w:hAnsi="Times New Roman" w:cs="Times New Roman"/>
                <w:sz w:val="18"/>
                <w:szCs w:val="18"/>
              </w:rPr>
              <w:t>)</w:t>
            </w:r>
          </w:p>
        </w:tc>
        <w:tc>
          <w:tcPr>
            <w:tcW w:w="921" w:type="dxa"/>
            <w:tcBorders>
              <w:top w:val="nil"/>
              <w:left w:val="nil"/>
              <w:bottom w:val="nil"/>
              <w:right w:val="nil"/>
            </w:tcBorders>
          </w:tcPr>
          <w:p w14:paraId="1C821E1F" w14:textId="5DDC9107" w:rsidR="00CF22F4" w:rsidRPr="00A60FD5" w:rsidRDefault="00CF22F4" w:rsidP="00F4357D">
            <w:pPr>
              <w:spacing w:after="0"/>
              <w:jc w:val="center"/>
              <w:rPr>
                <w:rFonts w:ascii="Times New Roman" w:hAnsi="Times New Roman" w:cs="Times New Roman"/>
                <w:sz w:val="18"/>
                <w:szCs w:val="18"/>
              </w:rPr>
            </w:pPr>
            <w:r w:rsidRPr="00A60FD5">
              <w:rPr>
                <w:rFonts w:ascii="Times New Roman" w:hAnsi="Times New Roman" w:cs="Times New Roman"/>
                <w:sz w:val="18"/>
                <w:szCs w:val="18"/>
              </w:rPr>
              <w:t>0.</w:t>
            </w:r>
            <w:r w:rsidR="001824B4" w:rsidRPr="00A60FD5">
              <w:rPr>
                <w:rFonts w:ascii="Times New Roman" w:hAnsi="Times New Roman" w:cs="Times New Roman"/>
                <w:sz w:val="18"/>
                <w:szCs w:val="18"/>
              </w:rPr>
              <w:t>53</w:t>
            </w:r>
            <w:r w:rsidR="001824B4" w:rsidRPr="00A60FD5">
              <w:rPr>
                <w:rFonts w:ascii="Times New Roman" w:hAnsi="Times New Roman"/>
                <w:sz w:val="18"/>
                <w:szCs w:val="20"/>
              </w:rPr>
              <w:t>†</w:t>
            </w:r>
          </w:p>
          <w:p w14:paraId="3E0F44D5" w14:textId="4BDEE616" w:rsidR="00CF22F4" w:rsidRPr="00A60FD5" w:rsidRDefault="00CF22F4" w:rsidP="00F4357D">
            <w:pPr>
              <w:spacing w:after="0"/>
              <w:jc w:val="center"/>
              <w:rPr>
                <w:rFonts w:ascii="Times New Roman" w:hAnsi="Times New Roman" w:cs="Times New Roman"/>
                <w:sz w:val="18"/>
                <w:szCs w:val="18"/>
              </w:rPr>
            </w:pPr>
            <w:r w:rsidRPr="00A60FD5">
              <w:rPr>
                <w:rFonts w:ascii="Times New Roman" w:hAnsi="Times New Roman" w:cs="Times New Roman"/>
                <w:sz w:val="18"/>
                <w:szCs w:val="18"/>
              </w:rPr>
              <w:t>(0.</w:t>
            </w:r>
            <w:r w:rsidR="001824B4" w:rsidRPr="00A60FD5">
              <w:rPr>
                <w:rFonts w:ascii="Times New Roman" w:hAnsi="Times New Roman" w:cs="Times New Roman"/>
                <w:sz w:val="18"/>
                <w:szCs w:val="18"/>
              </w:rPr>
              <w:t>31</w:t>
            </w:r>
            <w:r w:rsidRPr="00A60FD5">
              <w:rPr>
                <w:rFonts w:ascii="Times New Roman" w:hAnsi="Times New Roman" w:cs="Times New Roman"/>
                <w:sz w:val="18"/>
                <w:szCs w:val="18"/>
              </w:rPr>
              <w:t>)</w:t>
            </w:r>
          </w:p>
        </w:tc>
        <w:tc>
          <w:tcPr>
            <w:tcW w:w="1064" w:type="dxa"/>
            <w:tcBorders>
              <w:top w:val="nil"/>
              <w:left w:val="nil"/>
              <w:bottom w:val="nil"/>
              <w:right w:val="dotted" w:sz="4" w:space="0" w:color="auto"/>
            </w:tcBorders>
          </w:tcPr>
          <w:p w14:paraId="5718AAD1" w14:textId="71B48EE2" w:rsidR="00CF22F4" w:rsidRPr="00A60FD5" w:rsidRDefault="000943F0" w:rsidP="00F4357D">
            <w:pPr>
              <w:spacing w:after="0"/>
              <w:jc w:val="center"/>
              <w:rPr>
                <w:rFonts w:ascii="Times New Roman" w:hAnsi="Times New Roman" w:cs="Times New Roman"/>
                <w:sz w:val="18"/>
                <w:szCs w:val="18"/>
              </w:rPr>
            </w:pPr>
            <w:r w:rsidRPr="00A60FD5">
              <w:rPr>
                <w:rFonts w:ascii="Times New Roman" w:hAnsi="Times New Roman" w:cs="Times New Roman"/>
                <w:sz w:val="18"/>
                <w:szCs w:val="18"/>
              </w:rPr>
              <w:t>-</w:t>
            </w:r>
            <w:r w:rsidR="00CF22F4" w:rsidRPr="00A60FD5">
              <w:rPr>
                <w:rFonts w:ascii="Times New Roman" w:hAnsi="Times New Roman" w:cs="Times New Roman"/>
                <w:sz w:val="18"/>
                <w:szCs w:val="18"/>
              </w:rPr>
              <w:t>0.</w:t>
            </w:r>
            <w:r w:rsidRPr="00A60FD5">
              <w:rPr>
                <w:rFonts w:ascii="Times New Roman" w:hAnsi="Times New Roman" w:cs="Times New Roman"/>
                <w:sz w:val="18"/>
                <w:szCs w:val="18"/>
              </w:rPr>
              <w:t>44</w:t>
            </w:r>
          </w:p>
          <w:p w14:paraId="6AD062D0" w14:textId="36DA7009" w:rsidR="00CF22F4" w:rsidRPr="00A60FD5" w:rsidRDefault="00CF22F4" w:rsidP="00F4357D">
            <w:pPr>
              <w:spacing w:after="0"/>
              <w:jc w:val="center"/>
              <w:rPr>
                <w:rFonts w:ascii="Times New Roman" w:hAnsi="Times New Roman" w:cs="Times New Roman"/>
                <w:sz w:val="18"/>
                <w:szCs w:val="18"/>
              </w:rPr>
            </w:pPr>
            <w:r w:rsidRPr="00A60FD5">
              <w:rPr>
                <w:rFonts w:ascii="Times New Roman" w:hAnsi="Times New Roman" w:cs="Times New Roman"/>
                <w:sz w:val="18"/>
                <w:szCs w:val="18"/>
              </w:rPr>
              <w:t>(0.</w:t>
            </w:r>
            <w:r w:rsidR="000943F0" w:rsidRPr="00A60FD5">
              <w:rPr>
                <w:rFonts w:ascii="Times New Roman" w:hAnsi="Times New Roman" w:cs="Times New Roman"/>
                <w:sz w:val="18"/>
                <w:szCs w:val="18"/>
              </w:rPr>
              <w:t>28</w:t>
            </w:r>
            <w:r w:rsidRPr="00A60FD5">
              <w:rPr>
                <w:rFonts w:ascii="Times New Roman" w:hAnsi="Times New Roman" w:cs="Times New Roman"/>
                <w:sz w:val="18"/>
                <w:szCs w:val="18"/>
              </w:rPr>
              <w:t>)</w:t>
            </w:r>
          </w:p>
        </w:tc>
        <w:tc>
          <w:tcPr>
            <w:tcW w:w="991" w:type="dxa"/>
            <w:tcBorders>
              <w:top w:val="nil"/>
              <w:left w:val="dotted" w:sz="4" w:space="0" w:color="auto"/>
              <w:bottom w:val="nil"/>
              <w:right w:val="nil"/>
            </w:tcBorders>
          </w:tcPr>
          <w:p w14:paraId="767FE97C" w14:textId="19825879" w:rsidR="00CF22F4" w:rsidRPr="00A60FD5" w:rsidRDefault="00CF22F4" w:rsidP="00F4357D">
            <w:pPr>
              <w:spacing w:after="0"/>
              <w:jc w:val="center"/>
              <w:rPr>
                <w:rFonts w:ascii="Times New Roman" w:hAnsi="Times New Roman" w:cs="Times New Roman"/>
                <w:sz w:val="18"/>
                <w:szCs w:val="18"/>
              </w:rPr>
            </w:pPr>
            <w:r w:rsidRPr="00A60FD5">
              <w:rPr>
                <w:rFonts w:ascii="Times New Roman" w:hAnsi="Times New Roman" w:cs="Times New Roman"/>
                <w:sz w:val="18"/>
                <w:szCs w:val="18"/>
              </w:rPr>
              <w:t>-0.</w:t>
            </w:r>
            <w:r w:rsidR="004154CF" w:rsidRPr="00A60FD5">
              <w:rPr>
                <w:rFonts w:ascii="Times New Roman" w:hAnsi="Times New Roman" w:cs="Times New Roman"/>
                <w:sz w:val="18"/>
                <w:szCs w:val="18"/>
              </w:rPr>
              <w:t>07</w:t>
            </w:r>
          </w:p>
          <w:p w14:paraId="576BB1AF" w14:textId="3888C651" w:rsidR="00CF22F4" w:rsidRPr="00A60FD5" w:rsidRDefault="00CF22F4" w:rsidP="00F4357D">
            <w:pPr>
              <w:spacing w:after="0"/>
              <w:jc w:val="center"/>
              <w:rPr>
                <w:rFonts w:ascii="Times New Roman" w:hAnsi="Times New Roman" w:cs="Times New Roman"/>
                <w:sz w:val="18"/>
                <w:szCs w:val="18"/>
              </w:rPr>
            </w:pPr>
            <w:r w:rsidRPr="00A60FD5">
              <w:rPr>
                <w:rFonts w:ascii="Times New Roman" w:hAnsi="Times New Roman" w:cs="Times New Roman"/>
                <w:sz w:val="18"/>
                <w:szCs w:val="18"/>
              </w:rPr>
              <w:t>(0.</w:t>
            </w:r>
            <w:r w:rsidR="004154CF" w:rsidRPr="00A60FD5">
              <w:rPr>
                <w:rFonts w:ascii="Times New Roman" w:hAnsi="Times New Roman" w:cs="Times New Roman"/>
                <w:sz w:val="18"/>
                <w:szCs w:val="18"/>
              </w:rPr>
              <w:t>12</w:t>
            </w:r>
            <w:r w:rsidRPr="00A60FD5">
              <w:rPr>
                <w:rFonts w:ascii="Times New Roman" w:hAnsi="Times New Roman" w:cs="Times New Roman"/>
                <w:sz w:val="18"/>
                <w:szCs w:val="18"/>
              </w:rPr>
              <w:t>)</w:t>
            </w:r>
          </w:p>
        </w:tc>
        <w:tc>
          <w:tcPr>
            <w:tcW w:w="1156" w:type="dxa"/>
            <w:tcBorders>
              <w:top w:val="nil"/>
              <w:left w:val="nil"/>
              <w:bottom w:val="nil"/>
              <w:right w:val="nil"/>
            </w:tcBorders>
          </w:tcPr>
          <w:p w14:paraId="7434F109" w14:textId="00CF4928" w:rsidR="00CF22F4" w:rsidRPr="00A60FD5" w:rsidRDefault="00CF22F4" w:rsidP="00F4357D">
            <w:pPr>
              <w:spacing w:after="0"/>
              <w:jc w:val="center"/>
              <w:rPr>
                <w:rFonts w:ascii="Times New Roman" w:hAnsi="Times New Roman" w:cs="Times New Roman"/>
                <w:sz w:val="18"/>
                <w:szCs w:val="18"/>
              </w:rPr>
            </w:pPr>
            <w:r w:rsidRPr="00A60FD5">
              <w:rPr>
                <w:rFonts w:ascii="Times New Roman" w:hAnsi="Times New Roman" w:cs="Times New Roman"/>
                <w:sz w:val="18"/>
                <w:szCs w:val="18"/>
              </w:rPr>
              <w:t>0.</w:t>
            </w:r>
            <w:r w:rsidR="00FE5660" w:rsidRPr="00A60FD5">
              <w:rPr>
                <w:rFonts w:ascii="Times New Roman" w:hAnsi="Times New Roman" w:cs="Times New Roman"/>
                <w:sz w:val="18"/>
                <w:szCs w:val="18"/>
              </w:rPr>
              <w:t>53</w:t>
            </w:r>
            <w:r w:rsidR="00FE5660" w:rsidRPr="00A60FD5">
              <w:rPr>
                <w:rFonts w:ascii="Times New Roman" w:hAnsi="Times New Roman"/>
                <w:sz w:val="18"/>
                <w:szCs w:val="20"/>
              </w:rPr>
              <w:t>†</w:t>
            </w:r>
          </w:p>
          <w:p w14:paraId="598C649C" w14:textId="2B364372" w:rsidR="00CF22F4" w:rsidRPr="00A60FD5" w:rsidRDefault="00CF22F4" w:rsidP="00F4357D">
            <w:pPr>
              <w:spacing w:after="0"/>
              <w:jc w:val="center"/>
              <w:rPr>
                <w:rFonts w:ascii="Times New Roman" w:hAnsi="Times New Roman" w:cs="Times New Roman"/>
                <w:sz w:val="18"/>
                <w:szCs w:val="18"/>
              </w:rPr>
            </w:pPr>
            <w:r w:rsidRPr="00A60FD5">
              <w:rPr>
                <w:rFonts w:ascii="Times New Roman" w:hAnsi="Times New Roman" w:cs="Times New Roman"/>
                <w:sz w:val="18"/>
                <w:szCs w:val="18"/>
              </w:rPr>
              <w:t>(0.</w:t>
            </w:r>
            <w:r w:rsidR="004154CF" w:rsidRPr="00A60FD5">
              <w:rPr>
                <w:rFonts w:ascii="Times New Roman" w:hAnsi="Times New Roman" w:cs="Times New Roman"/>
                <w:sz w:val="18"/>
                <w:szCs w:val="18"/>
              </w:rPr>
              <w:t>31</w:t>
            </w:r>
            <w:r w:rsidRPr="00A60FD5">
              <w:rPr>
                <w:rFonts w:ascii="Times New Roman" w:hAnsi="Times New Roman" w:cs="Times New Roman"/>
                <w:sz w:val="18"/>
                <w:szCs w:val="18"/>
              </w:rPr>
              <w:t>)</w:t>
            </w:r>
          </w:p>
        </w:tc>
        <w:tc>
          <w:tcPr>
            <w:tcW w:w="1366" w:type="dxa"/>
            <w:tcBorders>
              <w:top w:val="nil"/>
              <w:left w:val="nil"/>
              <w:bottom w:val="nil"/>
              <w:right w:val="nil"/>
            </w:tcBorders>
          </w:tcPr>
          <w:p w14:paraId="2F57CC54" w14:textId="5BC643EE" w:rsidR="00CF22F4" w:rsidRPr="00A60FD5" w:rsidRDefault="00CF22F4" w:rsidP="00F4357D">
            <w:pPr>
              <w:spacing w:after="0"/>
              <w:jc w:val="center"/>
              <w:rPr>
                <w:rFonts w:ascii="Times New Roman" w:hAnsi="Times New Roman" w:cs="Times New Roman"/>
                <w:sz w:val="18"/>
                <w:szCs w:val="18"/>
              </w:rPr>
            </w:pPr>
            <w:r w:rsidRPr="00A60FD5">
              <w:rPr>
                <w:rFonts w:ascii="Times New Roman" w:hAnsi="Times New Roman" w:cs="Times New Roman"/>
                <w:sz w:val="18"/>
                <w:szCs w:val="18"/>
              </w:rPr>
              <w:t>-0.61</w:t>
            </w:r>
            <w:r w:rsidR="00FE5660" w:rsidRPr="00A60FD5">
              <w:rPr>
                <w:rFonts w:ascii="Times New Roman" w:hAnsi="Times New Roman" w:cs="Times New Roman"/>
                <w:sz w:val="18"/>
                <w:szCs w:val="18"/>
              </w:rPr>
              <w:t>*</w:t>
            </w:r>
          </w:p>
          <w:p w14:paraId="79FC8CEF" w14:textId="6028ECCB" w:rsidR="00CF22F4" w:rsidRPr="00A60FD5" w:rsidRDefault="00CF22F4" w:rsidP="00F4357D">
            <w:pPr>
              <w:spacing w:after="0"/>
              <w:jc w:val="center"/>
              <w:rPr>
                <w:rFonts w:ascii="Times New Roman" w:hAnsi="Times New Roman" w:cs="Times New Roman"/>
                <w:sz w:val="18"/>
                <w:szCs w:val="18"/>
              </w:rPr>
            </w:pPr>
            <w:r w:rsidRPr="00A60FD5">
              <w:rPr>
                <w:rFonts w:ascii="Times New Roman" w:hAnsi="Times New Roman" w:cs="Times New Roman"/>
                <w:sz w:val="18"/>
                <w:szCs w:val="18"/>
              </w:rPr>
              <w:t>(0.</w:t>
            </w:r>
            <w:r w:rsidR="00FE5660" w:rsidRPr="00A60FD5">
              <w:rPr>
                <w:rFonts w:ascii="Times New Roman" w:hAnsi="Times New Roman" w:cs="Times New Roman"/>
                <w:sz w:val="18"/>
                <w:szCs w:val="18"/>
              </w:rPr>
              <w:t>30</w:t>
            </w:r>
            <w:r w:rsidRPr="00A60FD5">
              <w:rPr>
                <w:rFonts w:ascii="Times New Roman" w:hAnsi="Times New Roman" w:cs="Times New Roman"/>
                <w:sz w:val="18"/>
                <w:szCs w:val="18"/>
              </w:rPr>
              <w:t>)</w:t>
            </w:r>
          </w:p>
        </w:tc>
      </w:tr>
      <w:tr w:rsidR="00CF22F4" w:rsidRPr="00A60FD5" w14:paraId="14563139" w14:textId="77777777" w:rsidTr="000810C3">
        <w:trPr>
          <w:trHeight w:hRule="exact" w:val="483"/>
          <w:jc w:val="center"/>
        </w:trPr>
        <w:tc>
          <w:tcPr>
            <w:tcW w:w="3537" w:type="dxa"/>
            <w:tcBorders>
              <w:top w:val="nil"/>
              <w:left w:val="nil"/>
              <w:bottom w:val="nil"/>
              <w:right w:val="nil"/>
            </w:tcBorders>
          </w:tcPr>
          <w:p w14:paraId="23F81B4B" w14:textId="71B9E359" w:rsidR="00CF22F4" w:rsidRPr="00A60FD5" w:rsidRDefault="00CF22F4" w:rsidP="00750912">
            <w:pPr>
              <w:spacing w:before="80" w:after="0" w:line="200" w:lineRule="exact"/>
              <w:rPr>
                <w:rFonts w:ascii="Times New Roman" w:hAnsi="Times New Roman" w:cs="Times New Roman"/>
                <w:sz w:val="18"/>
                <w:szCs w:val="18"/>
              </w:rPr>
            </w:pPr>
            <w:r w:rsidRPr="00A60FD5">
              <w:rPr>
                <w:rFonts w:ascii="Times New Roman" w:hAnsi="Times New Roman" w:cs="Times New Roman"/>
                <w:sz w:val="18"/>
                <w:szCs w:val="18"/>
              </w:rPr>
              <w:t>Legal assistance</w:t>
            </w:r>
            <w:r w:rsidRPr="00A60FD5" w:rsidDel="00CB3C32">
              <w:rPr>
                <w:rFonts w:ascii="Times New Roman" w:hAnsi="Times New Roman" w:cs="Times New Roman"/>
                <w:sz w:val="18"/>
                <w:szCs w:val="18"/>
              </w:rPr>
              <w:t xml:space="preserve"> </w:t>
            </w:r>
          </w:p>
        </w:tc>
        <w:tc>
          <w:tcPr>
            <w:tcW w:w="1063" w:type="dxa"/>
            <w:tcBorders>
              <w:top w:val="nil"/>
              <w:left w:val="nil"/>
              <w:bottom w:val="nil"/>
              <w:right w:val="nil"/>
            </w:tcBorders>
          </w:tcPr>
          <w:p w14:paraId="1BDBB473" w14:textId="704956A6" w:rsidR="00CF22F4" w:rsidRPr="00A60FD5" w:rsidRDefault="00CF22F4" w:rsidP="00F4357D">
            <w:pPr>
              <w:spacing w:after="0"/>
              <w:jc w:val="center"/>
              <w:rPr>
                <w:rFonts w:ascii="Times New Roman" w:hAnsi="Times New Roman" w:cs="Times New Roman"/>
                <w:sz w:val="18"/>
                <w:szCs w:val="18"/>
              </w:rPr>
            </w:pPr>
            <w:r w:rsidRPr="00A60FD5">
              <w:rPr>
                <w:rFonts w:ascii="Times New Roman" w:hAnsi="Times New Roman" w:cs="Times New Roman"/>
                <w:sz w:val="18"/>
                <w:szCs w:val="18"/>
              </w:rPr>
              <w:t>-0.</w:t>
            </w:r>
            <w:r w:rsidR="00026CA5" w:rsidRPr="00A60FD5">
              <w:rPr>
                <w:rFonts w:ascii="Times New Roman" w:hAnsi="Times New Roman" w:cs="Times New Roman"/>
                <w:sz w:val="18"/>
                <w:szCs w:val="18"/>
              </w:rPr>
              <w:t>19</w:t>
            </w:r>
          </w:p>
          <w:p w14:paraId="04A2EAC1" w14:textId="488E06E8" w:rsidR="00CF22F4" w:rsidRPr="00A60FD5" w:rsidRDefault="00CF22F4" w:rsidP="00F4357D">
            <w:pPr>
              <w:spacing w:after="0"/>
              <w:jc w:val="center"/>
              <w:rPr>
                <w:rFonts w:ascii="Times New Roman" w:hAnsi="Times New Roman" w:cs="Times New Roman"/>
                <w:sz w:val="18"/>
                <w:szCs w:val="18"/>
              </w:rPr>
            </w:pPr>
            <w:r w:rsidRPr="00A60FD5">
              <w:rPr>
                <w:rFonts w:ascii="Times New Roman" w:hAnsi="Times New Roman" w:cs="Times New Roman"/>
                <w:sz w:val="18"/>
                <w:szCs w:val="18"/>
              </w:rPr>
              <w:t>(0.</w:t>
            </w:r>
            <w:r w:rsidR="00026CA5" w:rsidRPr="00A60FD5">
              <w:rPr>
                <w:rFonts w:ascii="Times New Roman" w:hAnsi="Times New Roman" w:cs="Times New Roman"/>
                <w:sz w:val="18"/>
                <w:szCs w:val="18"/>
              </w:rPr>
              <w:t>14</w:t>
            </w:r>
            <w:r w:rsidRPr="00A60FD5">
              <w:rPr>
                <w:rFonts w:ascii="Times New Roman" w:hAnsi="Times New Roman" w:cs="Times New Roman"/>
                <w:sz w:val="18"/>
                <w:szCs w:val="18"/>
              </w:rPr>
              <w:t>)</w:t>
            </w:r>
          </w:p>
        </w:tc>
        <w:tc>
          <w:tcPr>
            <w:tcW w:w="921" w:type="dxa"/>
            <w:tcBorders>
              <w:top w:val="nil"/>
              <w:left w:val="nil"/>
              <w:bottom w:val="nil"/>
              <w:right w:val="nil"/>
            </w:tcBorders>
          </w:tcPr>
          <w:p w14:paraId="0D4B89CC" w14:textId="11DFDDFA" w:rsidR="00CF22F4" w:rsidRPr="00A60FD5" w:rsidRDefault="001824B4" w:rsidP="00F4357D">
            <w:pPr>
              <w:spacing w:after="0"/>
              <w:jc w:val="center"/>
              <w:rPr>
                <w:rFonts w:ascii="Times New Roman" w:hAnsi="Times New Roman" w:cs="Times New Roman"/>
                <w:sz w:val="18"/>
                <w:szCs w:val="18"/>
              </w:rPr>
            </w:pPr>
            <w:r w:rsidRPr="00A60FD5">
              <w:rPr>
                <w:rFonts w:ascii="Times New Roman" w:hAnsi="Times New Roman" w:cs="Times New Roman"/>
                <w:sz w:val="18"/>
                <w:szCs w:val="18"/>
              </w:rPr>
              <w:t>-</w:t>
            </w:r>
            <w:r w:rsidR="00CF22F4" w:rsidRPr="00A60FD5">
              <w:rPr>
                <w:rFonts w:ascii="Times New Roman" w:hAnsi="Times New Roman" w:cs="Times New Roman"/>
                <w:sz w:val="18"/>
                <w:szCs w:val="18"/>
              </w:rPr>
              <w:t>0.</w:t>
            </w:r>
            <w:r w:rsidRPr="00A60FD5">
              <w:rPr>
                <w:rFonts w:ascii="Times New Roman" w:hAnsi="Times New Roman" w:cs="Times New Roman"/>
                <w:sz w:val="18"/>
                <w:szCs w:val="18"/>
              </w:rPr>
              <w:t>38</w:t>
            </w:r>
          </w:p>
          <w:p w14:paraId="11C93044" w14:textId="0BABBBA4" w:rsidR="00CF22F4" w:rsidRPr="00A60FD5" w:rsidRDefault="00CF22F4" w:rsidP="00F4357D">
            <w:pPr>
              <w:spacing w:after="0"/>
              <w:jc w:val="center"/>
              <w:rPr>
                <w:rFonts w:ascii="Times New Roman" w:hAnsi="Times New Roman" w:cs="Times New Roman"/>
                <w:sz w:val="18"/>
                <w:szCs w:val="18"/>
              </w:rPr>
            </w:pPr>
            <w:r w:rsidRPr="00A60FD5">
              <w:rPr>
                <w:rFonts w:ascii="Times New Roman" w:hAnsi="Times New Roman" w:cs="Times New Roman"/>
                <w:sz w:val="18"/>
                <w:szCs w:val="18"/>
              </w:rPr>
              <w:t>(0.</w:t>
            </w:r>
            <w:r w:rsidR="001824B4" w:rsidRPr="00A60FD5">
              <w:rPr>
                <w:rFonts w:ascii="Times New Roman" w:hAnsi="Times New Roman" w:cs="Times New Roman"/>
                <w:sz w:val="18"/>
                <w:szCs w:val="18"/>
              </w:rPr>
              <w:t>26</w:t>
            </w:r>
            <w:r w:rsidRPr="00A60FD5">
              <w:rPr>
                <w:rFonts w:ascii="Times New Roman" w:hAnsi="Times New Roman" w:cs="Times New Roman"/>
                <w:sz w:val="18"/>
                <w:szCs w:val="18"/>
              </w:rPr>
              <w:t>)</w:t>
            </w:r>
          </w:p>
        </w:tc>
        <w:tc>
          <w:tcPr>
            <w:tcW w:w="1064" w:type="dxa"/>
            <w:tcBorders>
              <w:top w:val="nil"/>
              <w:left w:val="nil"/>
              <w:bottom w:val="nil"/>
              <w:right w:val="dotted" w:sz="4" w:space="0" w:color="auto"/>
            </w:tcBorders>
          </w:tcPr>
          <w:p w14:paraId="7EC963C3" w14:textId="6DC1A016" w:rsidR="00CF22F4" w:rsidRPr="00A60FD5" w:rsidRDefault="00CF22F4" w:rsidP="00F4357D">
            <w:pPr>
              <w:spacing w:after="0"/>
              <w:jc w:val="center"/>
              <w:rPr>
                <w:rFonts w:ascii="Times New Roman" w:hAnsi="Times New Roman"/>
                <w:sz w:val="18"/>
                <w:szCs w:val="20"/>
              </w:rPr>
            </w:pPr>
            <w:r w:rsidRPr="00A60FD5">
              <w:rPr>
                <w:rFonts w:ascii="Times New Roman" w:hAnsi="Times New Roman" w:cs="Times New Roman"/>
                <w:sz w:val="18"/>
                <w:szCs w:val="18"/>
              </w:rPr>
              <w:t>0.</w:t>
            </w:r>
            <w:r w:rsidR="000943F0" w:rsidRPr="00A60FD5">
              <w:rPr>
                <w:rFonts w:ascii="Times New Roman" w:hAnsi="Times New Roman" w:cs="Times New Roman"/>
                <w:sz w:val="18"/>
                <w:szCs w:val="18"/>
              </w:rPr>
              <w:t>83</w:t>
            </w:r>
            <w:r w:rsidRPr="00A60FD5">
              <w:rPr>
                <w:rFonts w:ascii="Times New Roman" w:hAnsi="Times New Roman"/>
                <w:sz w:val="18"/>
                <w:szCs w:val="20"/>
              </w:rPr>
              <w:t>†</w:t>
            </w:r>
          </w:p>
          <w:p w14:paraId="6E4D6317" w14:textId="3827697F" w:rsidR="00CF22F4" w:rsidRPr="00A60FD5" w:rsidRDefault="00CF22F4" w:rsidP="00F4357D">
            <w:pPr>
              <w:spacing w:after="0"/>
              <w:jc w:val="center"/>
              <w:rPr>
                <w:rFonts w:ascii="Times New Roman" w:hAnsi="Times New Roman" w:cs="Times New Roman"/>
                <w:sz w:val="18"/>
                <w:szCs w:val="18"/>
              </w:rPr>
            </w:pPr>
            <w:r w:rsidRPr="00A60FD5">
              <w:rPr>
                <w:rFonts w:ascii="Times New Roman" w:hAnsi="Times New Roman"/>
                <w:sz w:val="18"/>
                <w:szCs w:val="20"/>
              </w:rPr>
              <w:t>(0.</w:t>
            </w:r>
            <w:r w:rsidR="000943F0" w:rsidRPr="00A60FD5">
              <w:rPr>
                <w:rFonts w:ascii="Times New Roman" w:hAnsi="Times New Roman"/>
                <w:sz w:val="18"/>
                <w:szCs w:val="20"/>
              </w:rPr>
              <w:t>51</w:t>
            </w:r>
            <w:r w:rsidRPr="00A60FD5">
              <w:rPr>
                <w:rFonts w:ascii="Times New Roman" w:hAnsi="Times New Roman"/>
                <w:sz w:val="18"/>
                <w:szCs w:val="20"/>
              </w:rPr>
              <w:t>)</w:t>
            </w:r>
          </w:p>
        </w:tc>
        <w:tc>
          <w:tcPr>
            <w:tcW w:w="991" w:type="dxa"/>
            <w:tcBorders>
              <w:top w:val="nil"/>
              <w:left w:val="dotted" w:sz="4" w:space="0" w:color="auto"/>
              <w:bottom w:val="nil"/>
              <w:right w:val="nil"/>
            </w:tcBorders>
          </w:tcPr>
          <w:p w14:paraId="172731E1" w14:textId="722CD947" w:rsidR="00CF22F4" w:rsidRPr="00A60FD5" w:rsidRDefault="00CF22F4" w:rsidP="00F4357D">
            <w:pPr>
              <w:spacing w:after="0"/>
              <w:jc w:val="center"/>
              <w:rPr>
                <w:rFonts w:ascii="Times New Roman" w:hAnsi="Times New Roman" w:cs="Times New Roman"/>
                <w:sz w:val="18"/>
                <w:szCs w:val="18"/>
              </w:rPr>
            </w:pPr>
            <w:r w:rsidRPr="00A60FD5">
              <w:rPr>
                <w:rFonts w:ascii="Times New Roman" w:hAnsi="Times New Roman" w:cs="Times New Roman"/>
                <w:sz w:val="18"/>
                <w:szCs w:val="18"/>
              </w:rPr>
              <w:t>-0.</w:t>
            </w:r>
            <w:r w:rsidR="004154CF" w:rsidRPr="00A60FD5">
              <w:rPr>
                <w:rFonts w:ascii="Times New Roman" w:hAnsi="Times New Roman" w:cs="Times New Roman"/>
                <w:sz w:val="18"/>
                <w:szCs w:val="18"/>
              </w:rPr>
              <w:t>19</w:t>
            </w:r>
          </w:p>
          <w:p w14:paraId="29DF4F04" w14:textId="3D98806A" w:rsidR="00CF22F4" w:rsidRPr="00A60FD5" w:rsidRDefault="00CF22F4" w:rsidP="00F4357D">
            <w:pPr>
              <w:spacing w:after="0"/>
              <w:jc w:val="center"/>
              <w:rPr>
                <w:rFonts w:ascii="Times New Roman" w:hAnsi="Times New Roman" w:cs="Times New Roman"/>
                <w:sz w:val="18"/>
                <w:szCs w:val="18"/>
              </w:rPr>
            </w:pPr>
            <w:r w:rsidRPr="00A60FD5">
              <w:rPr>
                <w:rFonts w:ascii="Times New Roman" w:hAnsi="Times New Roman" w:cs="Times New Roman"/>
                <w:sz w:val="18"/>
                <w:szCs w:val="18"/>
              </w:rPr>
              <w:t>(0.</w:t>
            </w:r>
            <w:r w:rsidR="004154CF" w:rsidRPr="00A60FD5">
              <w:rPr>
                <w:rFonts w:ascii="Times New Roman" w:hAnsi="Times New Roman" w:cs="Times New Roman"/>
                <w:sz w:val="18"/>
                <w:szCs w:val="18"/>
              </w:rPr>
              <w:t>14</w:t>
            </w:r>
            <w:r w:rsidRPr="00A60FD5">
              <w:rPr>
                <w:rFonts w:ascii="Times New Roman" w:hAnsi="Times New Roman" w:cs="Times New Roman"/>
                <w:sz w:val="18"/>
                <w:szCs w:val="18"/>
              </w:rPr>
              <w:t>)</w:t>
            </w:r>
          </w:p>
        </w:tc>
        <w:tc>
          <w:tcPr>
            <w:tcW w:w="1156" w:type="dxa"/>
            <w:tcBorders>
              <w:top w:val="nil"/>
              <w:left w:val="nil"/>
              <w:bottom w:val="nil"/>
              <w:right w:val="nil"/>
            </w:tcBorders>
          </w:tcPr>
          <w:p w14:paraId="5F2C3FFB" w14:textId="347E9ABD" w:rsidR="00CF22F4" w:rsidRPr="00A60FD5" w:rsidRDefault="004154CF" w:rsidP="00F4357D">
            <w:pPr>
              <w:spacing w:after="0"/>
              <w:jc w:val="center"/>
              <w:rPr>
                <w:rFonts w:ascii="Times New Roman" w:hAnsi="Times New Roman" w:cs="Times New Roman"/>
                <w:sz w:val="18"/>
                <w:szCs w:val="18"/>
              </w:rPr>
            </w:pPr>
            <w:r w:rsidRPr="00A60FD5">
              <w:rPr>
                <w:rFonts w:ascii="Times New Roman" w:hAnsi="Times New Roman" w:cs="Times New Roman"/>
                <w:sz w:val="18"/>
                <w:szCs w:val="18"/>
              </w:rPr>
              <w:t>-</w:t>
            </w:r>
            <w:r w:rsidR="00CF22F4" w:rsidRPr="00A60FD5">
              <w:rPr>
                <w:rFonts w:ascii="Times New Roman" w:hAnsi="Times New Roman" w:cs="Times New Roman"/>
                <w:sz w:val="18"/>
                <w:szCs w:val="18"/>
              </w:rPr>
              <w:t>0.</w:t>
            </w:r>
            <w:r w:rsidRPr="00A60FD5">
              <w:rPr>
                <w:rFonts w:ascii="Times New Roman" w:hAnsi="Times New Roman" w:cs="Times New Roman"/>
                <w:sz w:val="18"/>
                <w:szCs w:val="18"/>
              </w:rPr>
              <w:t>38</w:t>
            </w:r>
          </w:p>
          <w:p w14:paraId="76E71A73" w14:textId="78030864" w:rsidR="00CF22F4" w:rsidRPr="00A60FD5" w:rsidRDefault="00CF22F4" w:rsidP="00F4357D">
            <w:pPr>
              <w:spacing w:after="0"/>
              <w:jc w:val="center"/>
              <w:rPr>
                <w:rFonts w:ascii="Times New Roman" w:hAnsi="Times New Roman" w:cs="Times New Roman"/>
                <w:sz w:val="18"/>
                <w:szCs w:val="18"/>
              </w:rPr>
            </w:pPr>
            <w:r w:rsidRPr="00A60FD5">
              <w:rPr>
                <w:rFonts w:ascii="Times New Roman" w:hAnsi="Times New Roman" w:cs="Times New Roman"/>
                <w:sz w:val="18"/>
                <w:szCs w:val="18"/>
              </w:rPr>
              <w:t>(0.</w:t>
            </w:r>
            <w:r w:rsidR="004154CF" w:rsidRPr="00A60FD5">
              <w:rPr>
                <w:rFonts w:ascii="Times New Roman" w:hAnsi="Times New Roman" w:cs="Times New Roman"/>
                <w:sz w:val="18"/>
                <w:szCs w:val="18"/>
              </w:rPr>
              <w:t>26</w:t>
            </w:r>
            <w:r w:rsidRPr="00A60FD5">
              <w:rPr>
                <w:rFonts w:ascii="Times New Roman" w:hAnsi="Times New Roman" w:cs="Times New Roman"/>
                <w:sz w:val="18"/>
                <w:szCs w:val="18"/>
              </w:rPr>
              <w:t>)</w:t>
            </w:r>
          </w:p>
        </w:tc>
        <w:tc>
          <w:tcPr>
            <w:tcW w:w="1366" w:type="dxa"/>
            <w:tcBorders>
              <w:top w:val="nil"/>
              <w:left w:val="nil"/>
              <w:bottom w:val="nil"/>
              <w:right w:val="nil"/>
            </w:tcBorders>
          </w:tcPr>
          <w:p w14:paraId="50461BF7" w14:textId="74A34827" w:rsidR="00CF22F4" w:rsidRPr="00A60FD5" w:rsidRDefault="00CF22F4" w:rsidP="00F4357D">
            <w:pPr>
              <w:spacing w:after="0"/>
              <w:jc w:val="center"/>
              <w:rPr>
                <w:rFonts w:ascii="Times New Roman" w:hAnsi="Times New Roman" w:cs="Times New Roman"/>
                <w:sz w:val="18"/>
                <w:szCs w:val="18"/>
              </w:rPr>
            </w:pPr>
            <w:r w:rsidRPr="00A60FD5">
              <w:rPr>
                <w:rFonts w:ascii="Times New Roman" w:hAnsi="Times New Roman" w:cs="Times New Roman"/>
                <w:sz w:val="18"/>
                <w:szCs w:val="18"/>
              </w:rPr>
              <w:t>0.</w:t>
            </w:r>
            <w:r w:rsidR="00FE5660" w:rsidRPr="00A60FD5">
              <w:rPr>
                <w:rFonts w:ascii="Times New Roman" w:hAnsi="Times New Roman" w:cs="Times New Roman"/>
                <w:sz w:val="18"/>
                <w:szCs w:val="18"/>
              </w:rPr>
              <w:t>99</w:t>
            </w:r>
            <w:r w:rsidRPr="00A60FD5">
              <w:rPr>
                <w:rFonts w:ascii="Times New Roman" w:hAnsi="Times New Roman" w:cs="Times New Roman"/>
                <w:sz w:val="18"/>
                <w:szCs w:val="18"/>
              </w:rPr>
              <w:t>*</w:t>
            </w:r>
          </w:p>
          <w:p w14:paraId="54A9EDD9" w14:textId="3713F13C" w:rsidR="00CF22F4" w:rsidRPr="00A60FD5" w:rsidRDefault="00CF22F4" w:rsidP="00F4357D">
            <w:pPr>
              <w:spacing w:after="0"/>
              <w:jc w:val="center"/>
              <w:rPr>
                <w:rFonts w:ascii="Times New Roman" w:hAnsi="Times New Roman" w:cs="Times New Roman"/>
                <w:sz w:val="18"/>
                <w:szCs w:val="18"/>
              </w:rPr>
            </w:pPr>
            <w:r w:rsidRPr="00A60FD5">
              <w:rPr>
                <w:rFonts w:ascii="Times New Roman" w:hAnsi="Times New Roman" w:cs="Times New Roman"/>
                <w:sz w:val="18"/>
                <w:szCs w:val="18"/>
              </w:rPr>
              <w:t>(0.</w:t>
            </w:r>
            <w:r w:rsidR="00FE5660" w:rsidRPr="00A60FD5">
              <w:rPr>
                <w:rFonts w:ascii="Times New Roman" w:hAnsi="Times New Roman" w:cs="Times New Roman"/>
                <w:sz w:val="18"/>
                <w:szCs w:val="18"/>
              </w:rPr>
              <w:t>49</w:t>
            </w:r>
            <w:r w:rsidRPr="00A60FD5">
              <w:rPr>
                <w:rFonts w:ascii="Times New Roman" w:hAnsi="Times New Roman" w:cs="Times New Roman"/>
                <w:sz w:val="18"/>
                <w:szCs w:val="18"/>
              </w:rPr>
              <w:t>)</w:t>
            </w:r>
          </w:p>
          <w:p w14:paraId="1AEEB15B" w14:textId="1616768D" w:rsidR="00CF22F4" w:rsidRPr="00A60FD5" w:rsidRDefault="00CF22F4" w:rsidP="00F4357D">
            <w:pPr>
              <w:spacing w:after="0"/>
              <w:jc w:val="center"/>
              <w:rPr>
                <w:rFonts w:ascii="Times New Roman" w:hAnsi="Times New Roman" w:cs="Times New Roman"/>
                <w:sz w:val="18"/>
                <w:szCs w:val="18"/>
              </w:rPr>
            </w:pPr>
            <w:r w:rsidRPr="00A60FD5">
              <w:rPr>
                <w:rFonts w:ascii="Times New Roman" w:hAnsi="Times New Roman" w:cs="Times New Roman"/>
                <w:sz w:val="18"/>
                <w:szCs w:val="18"/>
              </w:rPr>
              <w:t>0</w:t>
            </w:r>
          </w:p>
        </w:tc>
      </w:tr>
      <w:tr w:rsidR="00CF22F4" w:rsidRPr="00A60FD5" w14:paraId="1D7F1BC2" w14:textId="77777777" w:rsidTr="000810C3">
        <w:trPr>
          <w:trHeight w:hRule="exact" w:val="443"/>
          <w:jc w:val="center"/>
        </w:trPr>
        <w:tc>
          <w:tcPr>
            <w:tcW w:w="3537" w:type="dxa"/>
            <w:tcBorders>
              <w:top w:val="nil"/>
              <w:left w:val="nil"/>
              <w:bottom w:val="nil"/>
              <w:right w:val="nil"/>
            </w:tcBorders>
          </w:tcPr>
          <w:p w14:paraId="470776F1" w14:textId="77249B08" w:rsidR="00CF22F4" w:rsidRPr="00A60FD5" w:rsidRDefault="00CF22F4" w:rsidP="00750912">
            <w:pPr>
              <w:spacing w:before="80" w:after="0" w:line="200" w:lineRule="exact"/>
              <w:rPr>
                <w:rFonts w:ascii="Times New Roman" w:hAnsi="Times New Roman" w:cs="Times New Roman"/>
                <w:sz w:val="18"/>
                <w:szCs w:val="18"/>
              </w:rPr>
            </w:pPr>
            <w:r w:rsidRPr="00A60FD5">
              <w:rPr>
                <w:rFonts w:ascii="Times New Roman" w:hAnsi="Times New Roman" w:cs="Times New Roman"/>
                <w:sz w:val="18"/>
                <w:szCs w:val="18"/>
              </w:rPr>
              <w:t>Licensor’s size</w:t>
            </w:r>
          </w:p>
        </w:tc>
        <w:tc>
          <w:tcPr>
            <w:tcW w:w="1063" w:type="dxa"/>
            <w:tcBorders>
              <w:top w:val="nil"/>
              <w:left w:val="nil"/>
              <w:bottom w:val="nil"/>
              <w:right w:val="nil"/>
            </w:tcBorders>
          </w:tcPr>
          <w:p w14:paraId="2D90D8BF" w14:textId="564A2F62" w:rsidR="00CF22F4" w:rsidRPr="00A60FD5" w:rsidRDefault="00CF22F4" w:rsidP="00F4357D">
            <w:pPr>
              <w:spacing w:after="0"/>
              <w:jc w:val="center"/>
              <w:rPr>
                <w:rFonts w:ascii="Times New Roman" w:hAnsi="Times New Roman" w:cs="Times New Roman"/>
                <w:sz w:val="18"/>
                <w:szCs w:val="18"/>
              </w:rPr>
            </w:pPr>
            <w:r w:rsidRPr="00A60FD5">
              <w:rPr>
                <w:rFonts w:ascii="Times New Roman" w:hAnsi="Times New Roman" w:cs="Times New Roman"/>
                <w:sz w:val="18"/>
                <w:szCs w:val="18"/>
              </w:rPr>
              <w:t>-0.</w:t>
            </w:r>
            <w:r w:rsidR="00026CA5" w:rsidRPr="00A60FD5">
              <w:rPr>
                <w:rFonts w:ascii="Times New Roman" w:hAnsi="Times New Roman" w:cs="Times New Roman"/>
                <w:sz w:val="18"/>
                <w:szCs w:val="18"/>
              </w:rPr>
              <w:t>04</w:t>
            </w:r>
          </w:p>
          <w:p w14:paraId="29A17758" w14:textId="7708B444" w:rsidR="00CF22F4" w:rsidRPr="00A60FD5" w:rsidRDefault="00CF22F4" w:rsidP="00F4357D">
            <w:pPr>
              <w:spacing w:after="0"/>
              <w:jc w:val="center"/>
              <w:rPr>
                <w:rFonts w:ascii="Times New Roman" w:hAnsi="Times New Roman" w:cs="Times New Roman"/>
                <w:sz w:val="18"/>
                <w:szCs w:val="18"/>
              </w:rPr>
            </w:pPr>
            <w:r w:rsidRPr="00A60FD5">
              <w:rPr>
                <w:rFonts w:ascii="Times New Roman" w:hAnsi="Times New Roman" w:cs="Times New Roman"/>
                <w:sz w:val="18"/>
                <w:szCs w:val="18"/>
              </w:rPr>
              <w:t>(0.</w:t>
            </w:r>
            <w:r w:rsidR="00026CA5" w:rsidRPr="00A60FD5">
              <w:rPr>
                <w:rFonts w:ascii="Times New Roman" w:hAnsi="Times New Roman" w:cs="Times New Roman"/>
                <w:sz w:val="18"/>
                <w:szCs w:val="18"/>
              </w:rPr>
              <w:t>04</w:t>
            </w:r>
            <w:r w:rsidRPr="00A60FD5">
              <w:rPr>
                <w:rFonts w:ascii="Times New Roman" w:hAnsi="Times New Roman" w:cs="Times New Roman"/>
                <w:sz w:val="18"/>
                <w:szCs w:val="18"/>
              </w:rPr>
              <w:t>)</w:t>
            </w:r>
          </w:p>
        </w:tc>
        <w:tc>
          <w:tcPr>
            <w:tcW w:w="921" w:type="dxa"/>
            <w:tcBorders>
              <w:top w:val="nil"/>
              <w:left w:val="nil"/>
              <w:bottom w:val="nil"/>
              <w:right w:val="nil"/>
            </w:tcBorders>
          </w:tcPr>
          <w:p w14:paraId="5DEB7B40" w14:textId="23F88399" w:rsidR="00CF22F4" w:rsidRPr="00A60FD5" w:rsidRDefault="00CF22F4" w:rsidP="00F4357D">
            <w:pPr>
              <w:spacing w:after="0"/>
              <w:jc w:val="center"/>
              <w:rPr>
                <w:rFonts w:ascii="Times New Roman" w:hAnsi="Times New Roman" w:cs="Times New Roman"/>
                <w:sz w:val="18"/>
                <w:szCs w:val="18"/>
              </w:rPr>
            </w:pPr>
            <w:r w:rsidRPr="00A60FD5">
              <w:rPr>
                <w:rFonts w:ascii="Times New Roman" w:hAnsi="Times New Roman" w:cs="Times New Roman"/>
                <w:sz w:val="18"/>
                <w:szCs w:val="18"/>
              </w:rPr>
              <w:t>-0.</w:t>
            </w:r>
            <w:r w:rsidR="001824B4" w:rsidRPr="00A60FD5">
              <w:rPr>
                <w:rFonts w:ascii="Times New Roman" w:hAnsi="Times New Roman" w:cs="Times New Roman"/>
                <w:sz w:val="18"/>
                <w:szCs w:val="18"/>
              </w:rPr>
              <w:t>00</w:t>
            </w:r>
          </w:p>
          <w:p w14:paraId="569EB22D" w14:textId="0FDD57D5" w:rsidR="00CF22F4" w:rsidRPr="00A60FD5" w:rsidRDefault="00CF22F4" w:rsidP="00F4357D">
            <w:pPr>
              <w:spacing w:after="0"/>
              <w:jc w:val="center"/>
              <w:rPr>
                <w:rFonts w:ascii="Times New Roman" w:hAnsi="Times New Roman" w:cs="Times New Roman"/>
                <w:sz w:val="18"/>
                <w:szCs w:val="18"/>
              </w:rPr>
            </w:pPr>
            <w:r w:rsidRPr="00A60FD5">
              <w:rPr>
                <w:rFonts w:ascii="Times New Roman" w:hAnsi="Times New Roman" w:cs="Times New Roman"/>
                <w:sz w:val="18"/>
                <w:szCs w:val="18"/>
              </w:rPr>
              <w:t>(0.</w:t>
            </w:r>
            <w:r w:rsidR="001824B4" w:rsidRPr="00A60FD5">
              <w:rPr>
                <w:rFonts w:ascii="Times New Roman" w:hAnsi="Times New Roman" w:cs="Times New Roman"/>
                <w:sz w:val="18"/>
                <w:szCs w:val="18"/>
              </w:rPr>
              <w:t>08</w:t>
            </w:r>
            <w:r w:rsidRPr="00A60FD5">
              <w:rPr>
                <w:rFonts w:ascii="Times New Roman" w:hAnsi="Times New Roman" w:cs="Times New Roman"/>
                <w:sz w:val="18"/>
                <w:szCs w:val="18"/>
              </w:rPr>
              <w:t>)</w:t>
            </w:r>
          </w:p>
        </w:tc>
        <w:tc>
          <w:tcPr>
            <w:tcW w:w="1064" w:type="dxa"/>
            <w:tcBorders>
              <w:top w:val="nil"/>
              <w:left w:val="nil"/>
              <w:bottom w:val="nil"/>
              <w:right w:val="dotted" w:sz="4" w:space="0" w:color="auto"/>
            </w:tcBorders>
          </w:tcPr>
          <w:p w14:paraId="06D89FE6" w14:textId="5B071091" w:rsidR="00CF22F4" w:rsidRPr="00A60FD5" w:rsidRDefault="000943F0" w:rsidP="00F4357D">
            <w:pPr>
              <w:spacing w:after="0"/>
              <w:jc w:val="center"/>
              <w:rPr>
                <w:rFonts w:ascii="Times New Roman" w:hAnsi="Times New Roman" w:cs="Times New Roman"/>
                <w:sz w:val="18"/>
                <w:szCs w:val="18"/>
              </w:rPr>
            </w:pPr>
            <w:r w:rsidRPr="00A60FD5">
              <w:rPr>
                <w:rFonts w:ascii="Times New Roman" w:hAnsi="Times New Roman" w:cs="Times New Roman"/>
                <w:sz w:val="18"/>
                <w:szCs w:val="18"/>
              </w:rPr>
              <w:t>-</w:t>
            </w:r>
            <w:r w:rsidR="00CF22F4" w:rsidRPr="00A60FD5">
              <w:rPr>
                <w:rFonts w:ascii="Times New Roman" w:hAnsi="Times New Roman" w:cs="Times New Roman"/>
                <w:sz w:val="18"/>
                <w:szCs w:val="18"/>
              </w:rPr>
              <w:t>0.</w:t>
            </w:r>
            <w:r w:rsidRPr="00A60FD5">
              <w:rPr>
                <w:rFonts w:ascii="Times New Roman" w:hAnsi="Times New Roman" w:cs="Times New Roman"/>
                <w:sz w:val="18"/>
                <w:szCs w:val="18"/>
              </w:rPr>
              <w:t>11</w:t>
            </w:r>
          </w:p>
          <w:p w14:paraId="212640EA" w14:textId="391365F0" w:rsidR="00CF22F4" w:rsidRPr="00A60FD5" w:rsidRDefault="00CF22F4" w:rsidP="00F4357D">
            <w:pPr>
              <w:spacing w:after="0"/>
              <w:jc w:val="center"/>
              <w:rPr>
                <w:rFonts w:ascii="Times New Roman" w:hAnsi="Times New Roman" w:cs="Times New Roman"/>
                <w:sz w:val="18"/>
                <w:szCs w:val="18"/>
              </w:rPr>
            </w:pPr>
            <w:r w:rsidRPr="00A60FD5">
              <w:rPr>
                <w:rFonts w:ascii="Times New Roman" w:hAnsi="Times New Roman" w:cs="Times New Roman"/>
                <w:sz w:val="18"/>
                <w:szCs w:val="18"/>
              </w:rPr>
              <w:t>(0.</w:t>
            </w:r>
            <w:r w:rsidR="000943F0" w:rsidRPr="00A60FD5">
              <w:rPr>
                <w:rFonts w:ascii="Times New Roman" w:hAnsi="Times New Roman" w:cs="Times New Roman"/>
                <w:sz w:val="18"/>
                <w:szCs w:val="18"/>
              </w:rPr>
              <w:t>09</w:t>
            </w:r>
            <w:r w:rsidRPr="00A60FD5">
              <w:rPr>
                <w:rFonts w:ascii="Times New Roman" w:hAnsi="Times New Roman" w:cs="Times New Roman"/>
                <w:sz w:val="18"/>
                <w:szCs w:val="18"/>
              </w:rPr>
              <w:t>)</w:t>
            </w:r>
          </w:p>
        </w:tc>
        <w:tc>
          <w:tcPr>
            <w:tcW w:w="991" w:type="dxa"/>
            <w:tcBorders>
              <w:top w:val="nil"/>
              <w:left w:val="dotted" w:sz="4" w:space="0" w:color="auto"/>
              <w:bottom w:val="nil"/>
              <w:right w:val="nil"/>
            </w:tcBorders>
          </w:tcPr>
          <w:p w14:paraId="65DBB52C" w14:textId="1E8333A8" w:rsidR="00CF22F4" w:rsidRPr="00A60FD5" w:rsidRDefault="00CF22F4" w:rsidP="00F4357D">
            <w:pPr>
              <w:spacing w:after="0"/>
              <w:jc w:val="center"/>
              <w:rPr>
                <w:rFonts w:ascii="Times New Roman" w:hAnsi="Times New Roman" w:cs="Times New Roman"/>
                <w:sz w:val="18"/>
                <w:szCs w:val="18"/>
              </w:rPr>
            </w:pPr>
            <w:r w:rsidRPr="00A60FD5">
              <w:rPr>
                <w:rFonts w:ascii="Times New Roman" w:hAnsi="Times New Roman" w:cs="Times New Roman"/>
                <w:sz w:val="18"/>
                <w:szCs w:val="18"/>
              </w:rPr>
              <w:t>-0.</w:t>
            </w:r>
            <w:r w:rsidR="004154CF" w:rsidRPr="00A60FD5">
              <w:rPr>
                <w:rFonts w:ascii="Times New Roman" w:hAnsi="Times New Roman" w:cs="Times New Roman"/>
                <w:sz w:val="18"/>
                <w:szCs w:val="18"/>
              </w:rPr>
              <w:t>04</w:t>
            </w:r>
          </w:p>
          <w:p w14:paraId="1ADEEC6C" w14:textId="2A618302" w:rsidR="00CF22F4" w:rsidRPr="00A60FD5" w:rsidRDefault="00CF22F4" w:rsidP="00F4357D">
            <w:pPr>
              <w:spacing w:after="0"/>
              <w:jc w:val="center"/>
              <w:rPr>
                <w:rFonts w:ascii="Times New Roman" w:hAnsi="Times New Roman" w:cs="Times New Roman"/>
                <w:sz w:val="18"/>
                <w:szCs w:val="18"/>
              </w:rPr>
            </w:pPr>
            <w:r w:rsidRPr="00A60FD5">
              <w:rPr>
                <w:rFonts w:ascii="Times New Roman" w:hAnsi="Times New Roman" w:cs="Times New Roman"/>
                <w:sz w:val="18"/>
                <w:szCs w:val="18"/>
              </w:rPr>
              <w:t>(0.</w:t>
            </w:r>
            <w:r w:rsidR="004154CF" w:rsidRPr="00A60FD5">
              <w:rPr>
                <w:rFonts w:ascii="Times New Roman" w:hAnsi="Times New Roman" w:cs="Times New Roman"/>
                <w:sz w:val="18"/>
                <w:szCs w:val="18"/>
              </w:rPr>
              <w:t>03</w:t>
            </w:r>
            <w:r w:rsidRPr="00A60FD5">
              <w:rPr>
                <w:rFonts w:ascii="Times New Roman" w:hAnsi="Times New Roman" w:cs="Times New Roman"/>
                <w:sz w:val="18"/>
                <w:szCs w:val="18"/>
              </w:rPr>
              <w:t>)</w:t>
            </w:r>
          </w:p>
        </w:tc>
        <w:tc>
          <w:tcPr>
            <w:tcW w:w="1156" w:type="dxa"/>
            <w:tcBorders>
              <w:top w:val="nil"/>
              <w:left w:val="nil"/>
              <w:bottom w:val="nil"/>
              <w:right w:val="nil"/>
            </w:tcBorders>
          </w:tcPr>
          <w:p w14:paraId="7C276F50" w14:textId="131A6863" w:rsidR="00CF22F4" w:rsidRPr="00A60FD5" w:rsidRDefault="00CF22F4" w:rsidP="00F4357D">
            <w:pPr>
              <w:spacing w:after="0"/>
              <w:jc w:val="center"/>
              <w:rPr>
                <w:rFonts w:ascii="Times New Roman" w:hAnsi="Times New Roman" w:cs="Times New Roman"/>
                <w:sz w:val="18"/>
                <w:szCs w:val="18"/>
              </w:rPr>
            </w:pPr>
            <w:r w:rsidRPr="00A60FD5">
              <w:rPr>
                <w:rFonts w:ascii="Times New Roman" w:hAnsi="Times New Roman" w:cs="Times New Roman"/>
                <w:sz w:val="18"/>
                <w:szCs w:val="18"/>
              </w:rPr>
              <w:t>-0.</w:t>
            </w:r>
            <w:r w:rsidR="004154CF" w:rsidRPr="00A60FD5">
              <w:rPr>
                <w:rFonts w:ascii="Times New Roman" w:hAnsi="Times New Roman" w:cs="Times New Roman"/>
                <w:sz w:val="18"/>
                <w:szCs w:val="18"/>
              </w:rPr>
              <w:t>00</w:t>
            </w:r>
          </w:p>
          <w:p w14:paraId="7520B316" w14:textId="77234C6B" w:rsidR="00CF22F4" w:rsidRPr="00A60FD5" w:rsidRDefault="00CF22F4" w:rsidP="00F4357D">
            <w:pPr>
              <w:spacing w:after="0"/>
              <w:jc w:val="center"/>
              <w:rPr>
                <w:rFonts w:ascii="Times New Roman" w:hAnsi="Times New Roman" w:cs="Times New Roman"/>
                <w:sz w:val="18"/>
                <w:szCs w:val="18"/>
              </w:rPr>
            </w:pPr>
            <w:r w:rsidRPr="00A60FD5">
              <w:rPr>
                <w:rFonts w:ascii="Times New Roman" w:hAnsi="Times New Roman" w:cs="Times New Roman"/>
                <w:sz w:val="18"/>
                <w:szCs w:val="18"/>
              </w:rPr>
              <w:t>(0.</w:t>
            </w:r>
            <w:r w:rsidR="004154CF" w:rsidRPr="00A60FD5">
              <w:rPr>
                <w:rFonts w:ascii="Times New Roman" w:hAnsi="Times New Roman" w:cs="Times New Roman"/>
                <w:sz w:val="18"/>
                <w:szCs w:val="18"/>
              </w:rPr>
              <w:t>08</w:t>
            </w:r>
            <w:r w:rsidRPr="00A60FD5">
              <w:rPr>
                <w:rFonts w:ascii="Times New Roman" w:hAnsi="Times New Roman" w:cs="Times New Roman"/>
                <w:sz w:val="18"/>
                <w:szCs w:val="18"/>
              </w:rPr>
              <w:t>)</w:t>
            </w:r>
          </w:p>
        </w:tc>
        <w:tc>
          <w:tcPr>
            <w:tcW w:w="1366" w:type="dxa"/>
            <w:tcBorders>
              <w:top w:val="nil"/>
              <w:left w:val="nil"/>
              <w:bottom w:val="nil"/>
              <w:right w:val="nil"/>
            </w:tcBorders>
          </w:tcPr>
          <w:p w14:paraId="53673EEB" w14:textId="0F913500" w:rsidR="00CF22F4" w:rsidRPr="00A60FD5" w:rsidRDefault="00FE5660" w:rsidP="00F4357D">
            <w:pPr>
              <w:spacing w:after="0"/>
              <w:jc w:val="center"/>
              <w:rPr>
                <w:rFonts w:ascii="Times New Roman" w:hAnsi="Times New Roman"/>
                <w:sz w:val="18"/>
                <w:szCs w:val="20"/>
              </w:rPr>
            </w:pPr>
            <w:r w:rsidRPr="00A60FD5">
              <w:rPr>
                <w:rFonts w:ascii="Times New Roman" w:hAnsi="Times New Roman" w:cs="Times New Roman"/>
                <w:sz w:val="18"/>
                <w:szCs w:val="18"/>
              </w:rPr>
              <w:t>-</w:t>
            </w:r>
            <w:r w:rsidR="00CF22F4" w:rsidRPr="00A60FD5">
              <w:rPr>
                <w:rFonts w:ascii="Times New Roman" w:hAnsi="Times New Roman" w:cs="Times New Roman"/>
                <w:sz w:val="18"/>
                <w:szCs w:val="18"/>
              </w:rPr>
              <w:t>0.</w:t>
            </w:r>
            <w:r w:rsidRPr="00A60FD5">
              <w:rPr>
                <w:rFonts w:ascii="Times New Roman" w:hAnsi="Times New Roman" w:cs="Times New Roman"/>
                <w:sz w:val="18"/>
                <w:szCs w:val="18"/>
              </w:rPr>
              <w:t>06</w:t>
            </w:r>
          </w:p>
          <w:p w14:paraId="02835A9E" w14:textId="50AAFD18" w:rsidR="00CF22F4" w:rsidRPr="00A60FD5" w:rsidRDefault="00CF22F4" w:rsidP="00F4357D">
            <w:pPr>
              <w:spacing w:after="0"/>
              <w:jc w:val="center"/>
              <w:rPr>
                <w:rFonts w:ascii="Times New Roman" w:hAnsi="Times New Roman" w:cs="Times New Roman"/>
                <w:sz w:val="18"/>
                <w:szCs w:val="18"/>
              </w:rPr>
            </w:pPr>
            <w:r w:rsidRPr="00A60FD5">
              <w:rPr>
                <w:rFonts w:ascii="Times New Roman" w:hAnsi="Times New Roman"/>
                <w:sz w:val="18"/>
                <w:szCs w:val="20"/>
              </w:rPr>
              <w:t>(0.</w:t>
            </w:r>
            <w:r w:rsidR="00FE5660" w:rsidRPr="00A60FD5">
              <w:rPr>
                <w:rFonts w:ascii="Times New Roman" w:hAnsi="Times New Roman"/>
                <w:sz w:val="18"/>
                <w:szCs w:val="20"/>
              </w:rPr>
              <w:t>10</w:t>
            </w:r>
            <w:r w:rsidRPr="00A60FD5">
              <w:rPr>
                <w:rFonts w:ascii="Times New Roman" w:hAnsi="Times New Roman"/>
                <w:sz w:val="18"/>
                <w:szCs w:val="20"/>
              </w:rPr>
              <w:t>)</w:t>
            </w:r>
          </w:p>
        </w:tc>
      </w:tr>
      <w:tr w:rsidR="00EB08AC" w:rsidRPr="00A60FD5" w14:paraId="10C83385" w14:textId="77777777" w:rsidTr="000810C3">
        <w:trPr>
          <w:trHeight w:hRule="exact" w:val="483"/>
          <w:jc w:val="center"/>
        </w:trPr>
        <w:tc>
          <w:tcPr>
            <w:tcW w:w="3537" w:type="dxa"/>
            <w:tcBorders>
              <w:top w:val="nil"/>
              <w:left w:val="nil"/>
              <w:bottom w:val="nil"/>
              <w:right w:val="nil"/>
            </w:tcBorders>
          </w:tcPr>
          <w:p w14:paraId="0F19200B" w14:textId="0D81507D" w:rsidR="00EB08AC" w:rsidRPr="00A60FD5" w:rsidRDefault="00EB08AC" w:rsidP="002D2C4A">
            <w:pPr>
              <w:spacing w:before="80" w:after="0" w:line="200" w:lineRule="exact"/>
              <w:rPr>
                <w:rFonts w:ascii="Times New Roman" w:hAnsi="Times New Roman" w:cs="Times New Roman"/>
                <w:sz w:val="18"/>
                <w:szCs w:val="18"/>
              </w:rPr>
            </w:pPr>
            <w:r w:rsidRPr="00A60FD5">
              <w:rPr>
                <w:rFonts w:ascii="Times New Roman" w:hAnsi="Times New Roman" w:cs="Times New Roman"/>
                <w:sz w:val="18"/>
                <w:szCs w:val="18"/>
              </w:rPr>
              <w:t>License age-</w:t>
            </w:r>
            <w:r w:rsidRPr="00A60FD5">
              <w:rPr>
                <w:rFonts w:ascii="Times New Roman" w:hAnsi="Times New Roman" w:cs="Times New Roman"/>
                <w:sz w:val="18"/>
                <w:szCs w:val="18"/>
                <w:vertAlign w:val="subscript"/>
              </w:rPr>
              <w:t>3-10</w:t>
            </w:r>
          </w:p>
        </w:tc>
        <w:tc>
          <w:tcPr>
            <w:tcW w:w="1063" w:type="dxa"/>
            <w:tcBorders>
              <w:top w:val="nil"/>
              <w:left w:val="nil"/>
              <w:bottom w:val="nil"/>
              <w:right w:val="nil"/>
            </w:tcBorders>
          </w:tcPr>
          <w:p w14:paraId="70367D65" w14:textId="5FB9054A" w:rsidR="00EB08AC" w:rsidRPr="00A60FD5" w:rsidRDefault="00EB08AC" w:rsidP="00F4357D">
            <w:pPr>
              <w:spacing w:after="0"/>
              <w:jc w:val="center"/>
              <w:rPr>
                <w:rFonts w:ascii="Times New Roman" w:hAnsi="Times New Roman" w:cs="Times New Roman"/>
                <w:sz w:val="18"/>
                <w:szCs w:val="18"/>
              </w:rPr>
            </w:pPr>
            <w:r w:rsidRPr="00A60FD5">
              <w:rPr>
                <w:rFonts w:ascii="Times New Roman" w:hAnsi="Times New Roman" w:cs="Times New Roman"/>
                <w:sz w:val="18"/>
                <w:szCs w:val="18"/>
              </w:rPr>
              <w:t>0.14</w:t>
            </w:r>
          </w:p>
          <w:p w14:paraId="51EF084F" w14:textId="580CE1DD" w:rsidR="00EB08AC" w:rsidRPr="00A60FD5" w:rsidRDefault="00EB08AC" w:rsidP="00F4357D">
            <w:pPr>
              <w:spacing w:after="0"/>
              <w:jc w:val="center"/>
              <w:rPr>
                <w:rFonts w:ascii="Times New Roman" w:hAnsi="Times New Roman" w:cs="Times New Roman"/>
                <w:sz w:val="18"/>
                <w:szCs w:val="18"/>
              </w:rPr>
            </w:pPr>
            <w:r w:rsidRPr="00A60FD5">
              <w:rPr>
                <w:rFonts w:ascii="Times New Roman" w:hAnsi="Times New Roman" w:cs="Times New Roman"/>
                <w:sz w:val="18"/>
                <w:szCs w:val="18"/>
              </w:rPr>
              <w:t>(0.14)</w:t>
            </w:r>
          </w:p>
        </w:tc>
        <w:tc>
          <w:tcPr>
            <w:tcW w:w="921" w:type="dxa"/>
            <w:tcBorders>
              <w:top w:val="nil"/>
              <w:left w:val="nil"/>
              <w:bottom w:val="nil"/>
              <w:right w:val="nil"/>
            </w:tcBorders>
          </w:tcPr>
          <w:p w14:paraId="6E2121E9" w14:textId="54E4AF39" w:rsidR="00EB08AC" w:rsidRPr="00A60FD5" w:rsidRDefault="00EB08AC" w:rsidP="00F4357D">
            <w:pPr>
              <w:spacing w:after="0"/>
              <w:jc w:val="center"/>
              <w:rPr>
                <w:rFonts w:ascii="Times New Roman" w:hAnsi="Times New Roman" w:cs="Times New Roman"/>
                <w:sz w:val="18"/>
                <w:szCs w:val="18"/>
              </w:rPr>
            </w:pPr>
            <w:r w:rsidRPr="00A60FD5">
              <w:rPr>
                <w:rFonts w:ascii="Times New Roman" w:hAnsi="Times New Roman" w:cs="Times New Roman"/>
                <w:sz w:val="18"/>
                <w:szCs w:val="18"/>
              </w:rPr>
              <w:t>0.14</w:t>
            </w:r>
          </w:p>
          <w:p w14:paraId="5A1E8F05" w14:textId="6422F333" w:rsidR="00EB08AC" w:rsidRPr="00A60FD5" w:rsidRDefault="00EB08AC" w:rsidP="00F4357D">
            <w:pPr>
              <w:spacing w:after="0"/>
              <w:jc w:val="center"/>
              <w:rPr>
                <w:rFonts w:ascii="Times New Roman" w:hAnsi="Times New Roman" w:cs="Times New Roman"/>
                <w:sz w:val="18"/>
                <w:szCs w:val="18"/>
              </w:rPr>
            </w:pPr>
            <w:r w:rsidRPr="00A60FD5">
              <w:rPr>
                <w:rFonts w:ascii="Times New Roman" w:hAnsi="Times New Roman" w:cs="Times New Roman"/>
                <w:sz w:val="18"/>
                <w:szCs w:val="18"/>
              </w:rPr>
              <w:t>(0.27)</w:t>
            </w:r>
          </w:p>
        </w:tc>
        <w:tc>
          <w:tcPr>
            <w:tcW w:w="1064" w:type="dxa"/>
            <w:tcBorders>
              <w:top w:val="nil"/>
              <w:left w:val="nil"/>
              <w:bottom w:val="nil"/>
              <w:right w:val="dotted" w:sz="4" w:space="0" w:color="auto"/>
            </w:tcBorders>
          </w:tcPr>
          <w:p w14:paraId="223150D7" w14:textId="383A8B2B" w:rsidR="00EB08AC" w:rsidRPr="00A60FD5" w:rsidRDefault="00EB08AC" w:rsidP="00F4357D">
            <w:pPr>
              <w:spacing w:after="0"/>
              <w:jc w:val="center"/>
              <w:rPr>
                <w:rFonts w:ascii="Times New Roman" w:hAnsi="Times New Roman" w:cs="Times New Roman"/>
                <w:sz w:val="18"/>
                <w:szCs w:val="18"/>
              </w:rPr>
            </w:pPr>
            <w:r w:rsidRPr="00A60FD5">
              <w:rPr>
                <w:rFonts w:ascii="Times New Roman" w:hAnsi="Times New Roman" w:cs="Times New Roman"/>
                <w:sz w:val="18"/>
                <w:szCs w:val="18"/>
              </w:rPr>
              <w:t>-0.44</w:t>
            </w:r>
          </w:p>
          <w:p w14:paraId="6161A83A" w14:textId="38F9C870" w:rsidR="00EB08AC" w:rsidRPr="00A60FD5" w:rsidRDefault="00EB08AC" w:rsidP="00F4357D">
            <w:pPr>
              <w:spacing w:after="0"/>
              <w:jc w:val="center"/>
              <w:rPr>
                <w:rFonts w:ascii="Times New Roman" w:hAnsi="Times New Roman" w:cs="Times New Roman"/>
                <w:sz w:val="18"/>
                <w:szCs w:val="18"/>
              </w:rPr>
            </w:pPr>
            <w:r w:rsidRPr="00A60FD5">
              <w:rPr>
                <w:rFonts w:ascii="Times New Roman" w:hAnsi="Times New Roman" w:cs="Times New Roman"/>
                <w:sz w:val="18"/>
                <w:szCs w:val="18"/>
              </w:rPr>
              <w:t>(0.35)</w:t>
            </w:r>
          </w:p>
        </w:tc>
        <w:tc>
          <w:tcPr>
            <w:tcW w:w="991" w:type="dxa"/>
            <w:tcBorders>
              <w:top w:val="nil"/>
              <w:left w:val="dotted" w:sz="4" w:space="0" w:color="auto"/>
              <w:bottom w:val="nil"/>
              <w:right w:val="nil"/>
            </w:tcBorders>
          </w:tcPr>
          <w:p w14:paraId="46616FE7" w14:textId="60A999D1" w:rsidR="00EB08AC" w:rsidRPr="00A60FD5" w:rsidRDefault="00EB08AC" w:rsidP="00F4357D">
            <w:pPr>
              <w:spacing w:after="0"/>
              <w:jc w:val="center"/>
              <w:rPr>
                <w:rFonts w:ascii="Times New Roman" w:hAnsi="Times New Roman" w:cs="Times New Roman"/>
                <w:sz w:val="18"/>
                <w:szCs w:val="18"/>
              </w:rPr>
            </w:pPr>
            <w:r w:rsidRPr="00A60FD5">
              <w:rPr>
                <w:rFonts w:ascii="Times New Roman" w:hAnsi="Times New Roman" w:cs="Times New Roman"/>
                <w:sz w:val="18"/>
                <w:szCs w:val="18"/>
              </w:rPr>
              <w:t>0.14</w:t>
            </w:r>
          </w:p>
          <w:p w14:paraId="7A7FAB1C" w14:textId="657ECB8D" w:rsidR="00EB08AC" w:rsidRPr="00A60FD5" w:rsidRDefault="00EB08AC" w:rsidP="00F4357D">
            <w:pPr>
              <w:spacing w:after="0"/>
              <w:jc w:val="center"/>
              <w:rPr>
                <w:rFonts w:ascii="Times New Roman" w:hAnsi="Times New Roman" w:cs="Times New Roman"/>
                <w:sz w:val="18"/>
                <w:szCs w:val="18"/>
              </w:rPr>
            </w:pPr>
            <w:r w:rsidRPr="00A60FD5">
              <w:rPr>
                <w:rFonts w:ascii="Times New Roman" w:hAnsi="Times New Roman" w:cs="Times New Roman"/>
                <w:sz w:val="18"/>
                <w:szCs w:val="18"/>
              </w:rPr>
              <w:t>(0.14)</w:t>
            </w:r>
          </w:p>
        </w:tc>
        <w:tc>
          <w:tcPr>
            <w:tcW w:w="1156" w:type="dxa"/>
            <w:tcBorders>
              <w:top w:val="nil"/>
              <w:left w:val="nil"/>
              <w:bottom w:val="nil"/>
              <w:right w:val="nil"/>
            </w:tcBorders>
          </w:tcPr>
          <w:p w14:paraId="3A527F4F" w14:textId="35342417" w:rsidR="00EB08AC" w:rsidRPr="00A60FD5" w:rsidRDefault="00EB08AC" w:rsidP="00F4357D">
            <w:pPr>
              <w:spacing w:after="0"/>
              <w:jc w:val="center"/>
              <w:rPr>
                <w:rFonts w:ascii="Times New Roman" w:hAnsi="Times New Roman" w:cs="Times New Roman"/>
                <w:sz w:val="18"/>
                <w:szCs w:val="18"/>
              </w:rPr>
            </w:pPr>
            <w:r w:rsidRPr="00A60FD5">
              <w:rPr>
                <w:rFonts w:ascii="Times New Roman" w:hAnsi="Times New Roman" w:cs="Times New Roman"/>
                <w:sz w:val="18"/>
                <w:szCs w:val="18"/>
              </w:rPr>
              <w:t>0.14</w:t>
            </w:r>
          </w:p>
          <w:p w14:paraId="0ED43C8C" w14:textId="2C59594D" w:rsidR="00EB08AC" w:rsidRPr="00A60FD5" w:rsidRDefault="00EB08AC" w:rsidP="00F4357D">
            <w:pPr>
              <w:spacing w:after="0"/>
              <w:jc w:val="center"/>
              <w:rPr>
                <w:rFonts w:ascii="Times New Roman" w:hAnsi="Times New Roman" w:cs="Times New Roman"/>
                <w:sz w:val="18"/>
                <w:szCs w:val="18"/>
              </w:rPr>
            </w:pPr>
            <w:r w:rsidRPr="00A60FD5">
              <w:rPr>
                <w:rFonts w:ascii="Times New Roman" w:hAnsi="Times New Roman" w:cs="Times New Roman"/>
                <w:sz w:val="18"/>
                <w:szCs w:val="18"/>
              </w:rPr>
              <w:t>(0.27)</w:t>
            </w:r>
          </w:p>
        </w:tc>
        <w:tc>
          <w:tcPr>
            <w:tcW w:w="1366" w:type="dxa"/>
            <w:tcBorders>
              <w:top w:val="nil"/>
              <w:left w:val="nil"/>
              <w:bottom w:val="nil"/>
              <w:right w:val="nil"/>
            </w:tcBorders>
          </w:tcPr>
          <w:p w14:paraId="14F80384" w14:textId="7AC3BBBB" w:rsidR="00EB08AC" w:rsidRPr="00A60FD5" w:rsidRDefault="00EB08AC" w:rsidP="00F4357D">
            <w:pPr>
              <w:spacing w:after="0"/>
              <w:jc w:val="center"/>
              <w:rPr>
                <w:rFonts w:ascii="Times New Roman" w:hAnsi="Times New Roman" w:cs="Times New Roman"/>
                <w:sz w:val="18"/>
                <w:szCs w:val="18"/>
              </w:rPr>
            </w:pPr>
            <w:r w:rsidRPr="00A60FD5">
              <w:rPr>
                <w:rFonts w:ascii="Times New Roman" w:hAnsi="Times New Roman" w:cs="Times New Roman"/>
                <w:sz w:val="18"/>
                <w:szCs w:val="18"/>
              </w:rPr>
              <w:t>-0.61</w:t>
            </w:r>
            <w:r w:rsidRPr="00A60FD5">
              <w:rPr>
                <w:rFonts w:ascii="Times New Roman" w:hAnsi="Times New Roman"/>
                <w:sz w:val="18"/>
                <w:szCs w:val="20"/>
              </w:rPr>
              <w:t>†</w:t>
            </w:r>
          </w:p>
          <w:p w14:paraId="7F238592" w14:textId="4205F031" w:rsidR="00EB08AC" w:rsidRPr="00A60FD5" w:rsidRDefault="00EB08AC" w:rsidP="00F4357D">
            <w:pPr>
              <w:spacing w:after="0"/>
              <w:jc w:val="center"/>
              <w:rPr>
                <w:rFonts w:ascii="Times New Roman" w:hAnsi="Times New Roman" w:cs="Times New Roman"/>
                <w:sz w:val="18"/>
                <w:szCs w:val="18"/>
              </w:rPr>
            </w:pPr>
            <w:r w:rsidRPr="00A60FD5">
              <w:rPr>
                <w:rFonts w:ascii="Times New Roman" w:hAnsi="Times New Roman" w:cs="Times New Roman"/>
                <w:sz w:val="18"/>
                <w:szCs w:val="18"/>
              </w:rPr>
              <w:t>(0.36)</w:t>
            </w:r>
          </w:p>
        </w:tc>
      </w:tr>
      <w:tr w:rsidR="00EB08AC" w:rsidRPr="00A60FD5" w14:paraId="25FDD7C9" w14:textId="77777777" w:rsidTr="000810C3">
        <w:trPr>
          <w:trHeight w:hRule="exact" w:val="483"/>
          <w:jc w:val="center"/>
        </w:trPr>
        <w:tc>
          <w:tcPr>
            <w:tcW w:w="3537" w:type="dxa"/>
            <w:tcBorders>
              <w:top w:val="nil"/>
              <w:left w:val="nil"/>
              <w:bottom w:val="nil"/>
              <w:right w:val="nil"/>
            </w:tcBorders>
          </w:tcPr>
          <w:p w14:paraId="02A57CD6" w14:textId="5A2AEDFB" w:rsidR="00EB08AC" w:rsidRPr="00A60FD5" w:rsidRDefault="00EB08AC" w:rsidP="002D2C4A">
            <w:pPr>
              <w:spacing w:before="80" w:after="0" w:line="200" w:lineRule="exact"/>
              <w:rPr>
                <w:rFonts w:ascii="Times New Roman" w:hAnsi="Times New Roman" w:cs="Times New Roman"/>
                <w:sz w:val="18"/>
                <w:szCs w:val="18"/>
              </w:rPr>
            </w:pPr>
            <w:r w:rsidRPr="00A60FD5">
              <w:rPr>
                <w:rFonts w:ascii="Times New Roman" w:hAnsi="Times New Roman" w:cs="Times New Roman"/>
                <w:sz w:val="18"/>
                <w:szCs w:val="18"/>
              </w:rPr>
              <w:t>License age</w:t>
            </w:r>
            <w:r w:rsidRPr="00A60FD5">
              <w:rPr>
                <w:rFonts w:ascii="Times New Roman" w:hAnsi="Times New Roman" w:cs="Times New Roman"/>
                <w:sz w:val="18"/>
                <w:szCs w:val="18"/>
                <w:vertAlign w:val="subscript"/>
              </w:rPr>
              <w:t>-&gt;10</w:t>
            </w:r>
          </w:p>
        </w:tc>
        <w:tc>
          <w:tcPr>
            <w:tcW w:w="1063" w:type="dxa"/>
            <w:tcBorders>
              <w:top w:val="nil"/>
              <w:left w:val="nil"/>
              <w:bottom w:val="nil"/>
              <w:right w:val="nil"/>
            </w:tcBorders>
          </w:tcPr>
          <w:p w14:paraId="59AB673E" w14:textId="5D708ED8" w:rsidR="00EB08AC" w:rsidRPr="00A60FD5" w:rsidRDefault="00EB08AC" w:rsidP="00F4357D">
            <w:pPr>
              <w:spacing w:after="0"/>
              <w:jc w:val="center"/>
              <w:rPr>
                <w:rFonts w:ascii="Times New Roman" w:hAnsi="Times New Roman" w:cs="Times New Roman"/>
                <w:sz w:val="18"/>
                <w:szCs w:val="18"/>
              </w:rPr>
            </w:pPr>
            <w:r w:rsidRPr="00A60FD5">
              <w:rPr>
                <w:rFonts w:ascii="Times New Roman" w:hAnsi="Times New Roman" w:cs="Times New Roman"/>
                <w:sz w:val="18"/>
                <w:szCs w:val="18"/>
              </w:rPr>
              <w:t>0.05</w:t>
            </w:r>
          </w:p>
          <w:p w14:paraId="7E08D155" w14:textId="4224DF9E" w:rsidR="00EB08AC" w:rsidRPr="00A60FD5" w:rsidRDefault="00EB08AC" w:rsidP="00F4357D">
            <w:pPr>
              <w:spacing w:after="0"/>
              <w:jc w:val="center"/>
              <w:rPr>
                <w:rFonts w:ascii="Times New Roman" w:hAnsi="Times New Roman" w:cs="Times New Roman"/>
                <w:sz w:val="18"/>
                <w:szCs w:val="18"/>
              </w:rPr>
            </w:pPr>
            <w:r w:rsidRPr="00A60FD5">
              <w:rPr>
                <w:rFonts w:ascii="Times New Roman" w:hAnsi="Times New Roman" w:cs="Times New Roman"/>
                <w:sz w:val="18"/>
                <w:szCs w:val="18"/>
              </w:rPr>
              <w:t>(0.20)</w:t>
            </w:r>
          </w:p>
        </w:tc>
        <w:tc>
          <w:tcPr>
            <w:tcW w:w="921" w:type="dxa"/>
            <w:tcBorders>
              <w:top w:val="nil"/>
              <w:left w:val="nil"/>
              <w:bottom w:val="nil"/>
              <w:right w:val="nil"/>
            </w:tcBorders>
          </w:tcPr>
          <w:p w14:paraId="35C21960" w14:textId="77777777" w:rsidR="00EB08AC" w:rsidRPr="00A60FD5" w:rsidRDefault="00EB08AC" w:rsidP="00F4357D">
            <w:pPr>
              <w:spacing w:after="0"/>
              <w:jc w:val="center"/>
              <w:rPr>
                <w:rFonts w:ascii="Times New Roman" w:hAnsi="Times New Roman" w:cs="Times New Roman"/>
                <w:sz w:val="18"/>
                <w:szCs w:val="18"/>
              </w:rPr>
            </w:pPr>
            <w:r w:rsidRPr="00A60FD5">
              <w:rPr>
                <w:rFonts w:ascii="Times New Roman" w:hAnsi="Times New Roman" w:cs="Times New Roman"/>
                <w:sz w:val="18"/>
                <w:szCs w:val="18"/>
              </w:rPr>
              <w:t>0.36</w:t>
            </w:r>
          </w:p>
          <w:p w14:paraId="6236D85B" w14:textId="285F64B0" w:rsidR="00EB08AC" w:rsidRPr="00A60FD5" w:rsidRDefault="00EB08AC" w:rsidP="00F4357D">
            <w:pPr>
              <w:spacing w:after="0"/>
              <w:jc w:val="center"/>
              <w:rPr>
                <w:rFonts w:ascii="Times New Roman" w:hAnsi="Times New Roman" w:cs="Times New Roman"/>
                <w:sz w:val="18"/>
                <w:szCs w:val="18"/>
              </w:rPr>
            </w:pPr>
            <w:r w:rsidRPr="00A60FD5">
              <w:rPr>
                <w:rFonts w:ascii="Times New Roman" w:hAnsi="Times New Roman" w:cs="Times New Roman"/>
                <w:sz w:val="18"/>
                <w:szCs w:val="18"/>
              </w:rPr>
              <w:t>(0.48)</w:t>
            </w:r>
          </w:p>
        </w:tc>
        <w:tc>
          <w:tcPr>
            <w:tcW w:w="1064" w:type="dxa"/>
            <w:tcBorders>
              <w:top w:val="nil"/>
              <w:left w:val="nil"/>
              <w:bottom w:val="nil"/>
              <w:right w:val="dotted" w:sz="4" w:space="0" w:color="auto"/>
            </w:tcBorders>
          </w:tcPr>
          <w:p w14:paraId="5247CC07" w14:textId="77777777" w:rsidR="00EB08AC" w:rsidRPr="00A60FD5" w:rsidRDefault="00EB08AC" w:rsidP="00F4357D">
            <w:pPr>
              <w:spacing w:after="0"/>
              <w:jc w:val="center"/>
              <w:rPr>
                <w:rFonts w:ascii="Times New Roman" w:hAnsi="Times New Roman" w:cs="Times New Roman"/>
                <w:sz w:val="18"/>
                <w:szCs w:val="18"/>
              </w:rPr>
            </w:pPr>
            <w:r w:rsidRPr="00A60FD5">
              <w:rPr>
                <w:rFonts w:ascii="Times New Roman" w:hAnsi="Times New Roman" w:cs="Times New Roman"/>
                <w:sz w:val="18"/>
                <w:szCs w:val="18"/>
              </w:rPr>
              <w:t>-0.67</w:t>
            </w:r>
          </w:p>
          <w:p w14:paraId="6D1700E2" w14:textId="4E784496" w:rsidR="00EB08AC" w:rsidRPr="00A60FD5" w:rsidRDefault="00EB08AC" w:rsidP="00F4357D">
            <w:pPr>
              <w:spacing w:after="0"/>
              <w:jc w:val="center"/>
              <w:rPr>
                <w:rFonts w:ascii="Times New Roman" w:hAnsi="Times New Roman" w:cs="Times New Roman"/>
                <w:sz w:val="18"/>
                <w:szCs w:val="18"/>
              </w:rPr>
            </w:pPr>
            <w:r w:rsidRPr="00A60FD5">
              <w:rPr>
                <w:rFonts w:ascii="Times New Roman" w:hAnsi="Times New Roman" w:cs="Times New Roman"/>
                <w:sz w:val="18"/>
                <w:szCs w:val="18"/>
              </w:rPr>
              <w:t>(0.50)</w:t>
            </w:r>
          </w:p>
        </w:tc>
        <w:tc>
          <w:tcPr>
            <w:tcW w:w="991" w:type="dxa"/>
            <w:tcBorders>
              <w:top w:val="nil"/>
              <w:left w:val="dotted" w:sz="4" w:space="0" w:color="auto"/>
              <w:bottom w:val="nil"/>
              <w:right w:val="nil"/>
            </w:tcBorders>
          </w:tcPr>
          <w:p w14:paraId="41EBB12B" w14:textId="44B93CA0" w:rsidR="00EB08AC" w:rsidRPr="00A60FD5" w:rsidRDefault="00EB08AC" w:rsidP="00F4357D">
            <w:pPr>
              <w:spacing w:after="0"/>
              <w:jc w:val="center"/>
              <w:rPr>
                <w:rFonts w:ascii="Times New Roman" w:hAnsi="Times New Roman" w:cs="Times New Roman"/>
                <w:sz w:val="18"/>
                <w:szCs w:val="18"/>
              </w:rPr>
            </w:pPr>
            <w:r w:rsidRPr="00A60FD5">
              <w:rPr>
                <w:rFonts w:ascii="Times New Roman" w:hAnsi="Times New Roman" w:cs="Times New Roman"/>
                <w:sz w:val="18"/>
                <w:szCs w:val="18"/>
              </w:rPr>
              <w:t>0.05</w:t>
            </w:r>
          </w:p>
          <w:p w14:paraId="2689D889" w14:textId="1157AFDA" w:rsidR="00EB08AC" w:rsidRPr="00A60FD5" w:rsidRDefault="00EB08AC" w:rsidP="00F4357D">
            <w:pPr>
              <w:spacing w:after="0"/>
              <w:jc w:val="center"/>
              <w:rPr>
                <w:rFonts w:ascii="Times New Roman" w:hAnsi="Times New Roman" w:cs="Times New Roman"/>
                <w:sz w:val="18"/>
                <w:szCs w:val="18"/>
              </w:rPr>
            </w:pPr>
            <w:r w:rsidRPr="00A60FD5">
              <w:rPr>
                <w:rFonts w:ascii="Times New Roman" w:hAnsi="Times New Roman" w:cs="Times New Roman"/>
                <w:sz w:val="18"/>
                <w:szCs w:val="18"/>
              </w:rPr>
              <w:t>(0.20)</w:t>
            </w:r>
          </w:p>
        </w:tc>
        <w:tc>
          <w:tcPr>
            <w:tcW w:w="1156" w:type="dxa"/>
            <w:tcBorders>
              <w:top w:val="nil"/>
              <w:left w:val="nil"/>
              <w:bottom w:val="nil"/>
              <w:right w:val="nil"/>
            </w:tcBorders>
          </w:tcPr>
          <w:p w14:paraId="14E2DA1F" w14:textId="77777777" w:rsidR="00EB08AC" w:rsidRPr="00A60FD5" w:rsidRDefault="00EB08AC" w:rsidP="00F4357D">
            <w:pPr>
              <w:spacing w:after="0"/>
              <w:jc w:val="center"/>
              <w:rPr>
                <w:rFonts w:ascii="Times New Roman" w:hAnsi="Times New Roman" w:cs="Times New Roman"/>
                <w:sz w:val="18"/>
                <w:szCs w:val="18"/>
              </w:rPr>
            </w:pPr>
            <w:r w:rsidRPr="00A60FD5">
              <w:rPr>
                <w:rFonts w:ascii="Times New Roman" w:hAnsi="Times New Roman" w:cs="Times New Roman"/>
                <w:sz w:val="18"/>
                <w:szCs w:val="18"/>
              </w:rPr>
              <w:t>0.36</w:t>
            </w:r>
          </w:p>
          <w:p w14:paraId="1144D21E" w14:textId="0C4A32AE" w:rsidR="00EB08AC" w:rsidRPr="00A60FD5" w:rsidRDefault="00EB08AC" w:rsidP="00F4357D">
            <w:pPr>
              <w:spacing w:after="0"/>
              <w:jc w:val="center"/>
              <w:rPr>
                <w:rFonts w:ascii="Times New Roman" w:hAnsi="Times New Roman" w:cs="Times New Roman"/>
                <w:sz w:val="18"/>
                <w:szCs w:val="18"/>
              </w:rPr>
            </w:pPr>
            <w:r w:rsidRPr="00A60FD5">
              <w:rPr>
                <w:rFonts w:ascii="Times New Roman" w:hAnsi="Times New Roman" w:cs="Times New Roman"/>
                <w:sz w:val="18"/>
                <w:szCs w:val="18"/>
              </w:rPr>
              <w:t>(0.47)</w:t>
            </w:r>
          </w:p>
        </w:tc>
        <w:tc>
          <w:tcPr>
            <w:tcW w:w="1366" w:type="dxa"/>
            <w:tcBorders>
              <w:top w:val="nil"/>
              <w:left w:val="nil"/>
              <w:bottom w:val="nil"/>
              <w:right w:val="nil"/>
            </w:tcBorders>
          </w:tcPr>
          <w:p w14:paraId="27C90AA3" w14:textId="77777777" w:rsidR="00EB08AC" w:rsidRPr="00A60FD5" w:rsidRDefault="00EB08AC" w:rsidP="00F4357D">
            <w:pPr>
              <w:spacing w:after="0"/>
              <w:jc w:val="center"/>
              <w:rPr>
                <w:rFonts w:ascii="Times New Roman" w:hAnsi="Times New Roman" w:cs="Times New Roman"/>
                <w:sz w:val="18"/>
                <w:szCs w:val="18"/>
              </w:rPr>
            </w:pPr>
            <w:r w:rsidRPr="00A60FD5">
              <w:rPr>
                <w:rFonts w:ascii="Times New Roman" w:hAnsi="Times New Roman" w:cs="Times New Roman"/>
                <w:sz w:val="18"/>
                <w:szCs w:val="18"/>
              </w:rPr>
              <w:t>-0.77</w:t>
            </w:r>
          </w:p>
          <w:p w14:paraId="183D9447" w14:textId="7FC73C14" w:rsidR="00EB08AC" w:rsidRPr="00A60FD5" w:rsidRDefault="00EB08AC" w:rsidP="00F4357D">
            <w:pPr>
              <w:spacing w:after="0"/>
              <w:jc w:val="center"/>
              <w:rPr>
                <w:rFonts w:ascii="Times New Roman" w:hAnsi="Times New Roman" w:cs="Times New Roman"/>
                <w:sz w:val="18"/>
                <w:szCs w:val="18"/>
              </w:rPr>
            </w:pPr>
            <w:r w:rsidRPr="00A60FD5">
              <w:rPr>
                <w:rFonts w:ascii="Times New Roman" w:hAnsi="Times New Roman" w:cs="Times New Roman"/>
                <w:sz w:val="18"/>
                <w:szCs w:val="18"/>
              </w:rPr>
              <w:t>(0.52)</w:t>
            </w:r>
          </w:p>
        </w:tc>
      </w:tr>
      <w:tr w:rsidR="00CF22F4" w:rsidRPr="00A60FD5" w14:paraId="7F62E240" w14:textId="77777777" w:rsidTr="000810C3">
        <w:trPr>
          <w:trHeight w:hRule="exact" w:val="483"/>
          <w:jc w:val="center"/>
        </w:trPr>
        <w:tc>
          <w:tcPr>
            <w:tcW w:w="3537" w:type="dxa"/>
            <w:tcBorders>
              <w:top w:val="nil"/>
              <w:left w:val="nil"/>
              <w:bottom w:val="nil"/>
              <w:right w:val="nil"/>
            </w:tcBorders>
          </w:tcPr>
          <w:p w14:paraId="15978AF5" w14:textId="72545575" w:rsidR="00CF22F4" w:rsidRPr="00A60FD5" w:rsidRDefault="00CF22F4" w:rsidP="00CB3C32">
            <w:pPr>
              <w:spacing w:before="80" w:after="0" w:line="200" w:lineRule="exact"/>
              <w:rPr>
                <w:rFonts w:ascii="Times New Roman" w:hAnsi="Times New Roman" w:cs="Times New Roman"/>
                <w:sz w:val="18"/>
                <w:szCs w:val="18"/>
              </w:rPr>
            </w:pPr>
            <w:r w:rsidRPr="00A60FD5">
              <w:rPr>
                <w:rFonts w:ascii="Times New Roman" w:hAnsi="Times New Roman" w:cs="Times New Roman"/>
                <w:sz w:val="18"/>
                <w:szCs w:val="18"/>
              </w:rPr>
              <w:t>Arm’s length</w:t>
            </w:r>
          </w:p>
        </w:tc>
        <w:tc>
          <w:tcPr>
            <w:tcW w:w="1063" w:type="dxa"/>
            <w:tcBorders>
              <w:top w:val="nil"/>
              <w:left w:val="nil"/>
              <w:bottom w:val="nil"/>
              <w:right w:val="nil"/>
            </w:tcBorders>
          </w:tcPr>
          <w:p w14:paraId="30102213" w14:textId="77777777" w:rsidR="00CF22F4" w:rsidRPr="00A60FD5" w:rsidRDefault="00026CA5" w:rsidP="00F4357D">
            <w:pPr>
              <w:spacing w:after="0"/>
              <w:jc w:val="center"/>
              <w:rPr>
                <w:rFonts w:ascii="Times New Roman" w:hAnsi="Times New Roman" w:cs="Times New Roman"/>
                <w:sz w:val="18"/>
                <w:szCs w:val="18"/>
              </w:rPr>
            </w:pPr>
            <w:r w:rsidRPr="00A60FD5">
              <w:rPr>
                <w:rFonts w:ascii="Times New Roman" w:hAnsi="Times New Roman" w:cs="Times New Roman"/>
                <w:sz w:val="18"/>
                <w:szCs w:val="18"/>
              </w:rPr>
              <w:t>-0.36***</w:t>
            </w:r>
          </w:p>
          <w:p w14:paraId="2DC1A195" w14:textId="477B0D4A" w:rsidR="00026CA5" w:rsidRPr="00A60FD5" w:rsidRDefault="00026CA5" w:rsidP="00F4357D">
            <w:pPr>
              <w:spacing w:after="0"/>
              <w:jc w:val="center"/>
              <w:rPr>
                <w:rFonts w:ascii="Times New Roman" w:hAnsi="Times New Roman" w:cs="Times New Roman"/>
                <w:sz w:val="18"/>
                <w:szCs w:val="18"/>
              </w:rPr>
            </w:pPr>
            <w:r w:rsidRPr="00A60FD5">
              <w:rPr>
                <w:rFonts w:ascii="Times New Roman" w:hAnsi="Times New Roman" w:cs="Times New Roman"/>
                <w:sz w:val="18"/>
                <w:szCs w:val="18"/>
              </w:rPr>
              <w:t>(0.10)</w:t>
            </w:r>
          </w:p>
        </w:tc>
        <w:tc>
          <w:tcPr>
            <w:tcW w:w="921" w:type="dxa"/>
            <w:tcBorders>
              <w:top w:val="nil"/>
              <w:left w:val="nil"/>
              <w:bottom w:val="nil"/>
              <w:right w:val="nil"/>
            </w:tcBorders>
          </w:tcPr>
          <w:p w14:paraId="1EA60599" w14:textId="1BA38080" w:rsidR="00CF22F4" w:rsidRPr="00A60FD5" w:rsidRDefault="00CF22F4" w:rsidP="00F4357D">
            <w:pPr>
              <w:spacing w:after="0"/>
              <w:jc w:val="center"/>
              <w:rPr>
                <w:rFonts w:ascii="Times New Roman" w:hAnsi="Times New Roman" w:cs="Times New Roman"/>
                <w:sz w:val="18"/>
                <w:szCs w:val="18"/>
              </w:rPr>
            </w:pPr>
          </w:p>
        </w:tc>
        <w:tc>
          <w:tcPr>
            <w:tcW w:w="1064" w:type="dxa"/>
            <w:tcBorders>
              <w:top w:val="nil"/>
              <w:left w:val="nil"/>
              <w:bottom w:val="nil"/>
              <w:right w:val="dotted" w:sz="4" w:space="0" w:color="auto"/>
            </w:tcBorders>
          </w:tcPr>
          <w:p w14:paraId="6231755A" w14:textId="77777777" w:rsidR="00CF22F4" w:rsidRPr="00A60FD5" w:rsidRDefault="00CF22F4" w:rsidP="00F4357D">
            <w:pPr>
              <w:spacing w:after="0"/>
              <w:jc w:val="center"/>
              <w:rPr>
                <w:rFonts w:ascii="Times New Roman" w:hAnsi="Times New Roman" w:cs="Times New Roman"/>
                <w:sz w:val="18"/>
                <w:szCs w:val="18"/>
              </w:rPr>
            </w:pPr>
          </w:p>
        </w:tc>
        <w:tc>
          <w:tcPr>
            <w:tcW w:w="991" w:type="dxa"/>
            <w:tcBorders>
              <w:top w:val="nil"/>
              <w:left w:val="dotted" w:sz="4" w:space="0" w:color="auto"/>
              <w:bottom w:val="nil"/>
              <w:right w:val="nil"/>
            </w:tcBorders>
          </w:tcPr>
          <w:p w14:paraId="3290E7E9" w14:textId="77777777" w:rsidR="00CF22F4" w:rsidRPr="00A60FD5" w:rsidRDefault="004154CF" w:rsidP="00F4357D">
            <w:pPr>
              <w:spacing w:after="0"/>
              <w:jc w:val="center"/>
              <w:rPr>
                <w:rFonts w:ascii="Times New Roman" w:hAnsi="Times New Roman" w:cs="Times New Roman"/>
                <w:sz w:val="18"/>
                <w:szCs w:val="18"/>
              </w:rPr>
            </w:pPr>
            <w:r w:rsidRPr="00A60FD5">
              <w:rPr>
                <w:rFonts w:ascii="Times New Roman" w:hAnsi="Times New Roman" w:cs="Times New Roman"/>
                <w:sz w:val="18"/>
                <w:szCs w:val="18"/>
              </w:rPr>
              <w:t>-0.35***</w:t>
            </w:r>
          </w:p>
          <w:p w14:paraId="1E6FF56F" w14:textId="16F69B59" w:rsidR="004154CF" w:rsidRPr="00A60FD5" w:rsidRDefault="004154CF" w:rsidP="00F4357D">
            <w:pPr>
              <w:spacing w:after="0"/>
              <w:jc w:val="center"/>
              <w:rPr>
                <w:rFonts w:ascii="Times New Roman" w:hAnsi="Times New Roman" w:cs="Times New Roman"/>
                <w:sz w:val="18"/>
                <w:szCs w:val="18"/>
              </w:rPr>
            </w:pPr>
            <w:r w:rsidRPr="00A60FD5">
              <w:rPr>
                <w:rFonts w:ascii="Times New Roman" w:hAnsi="Times New Roman" w:cs="Times New Roman"/>
                <w:sz w:val="18"/>
                <w:szCs w:val="18"/>
              </w:rPr>
              <w:t>(0.10)</w:t>
            </w:r>
          </w:p>
        </w:tc>
        <w:tc>
          <w:tcPr>
            <w:tcW w:w="1156" w:type="dxa"/>
            <w:tcBorders>
              <w:top w:val="nil"/>
              <w:left w:val="nil"/>
              <w:bottom w:val="nil"/>
              <w:right w:val="nil"/>
            </w:tcBorders>
          </w:tcPr>
          <w:p w14:paraId="482760D7" w14:textId="78DC59FE" w:rsidR="00CF22F4" w:rsidRPr="00A60FD5" w:rsidRDefault="00CF22F4" w:rsidP="00F4357D">
            <w:pPr>
              <w:spacing w:after="0"/>
              <w:jc w:val="center"/>
              <w:rPr>
                <w:rFonts w:ascii="Times New Roman" w:hAnsi="Times New Roman" w:cs="Times New Roman"/>
                <w:sz w:val="18"/>
                <w:szCs w:val="18"/>
              </w:rPr>
            </w:pPr>
          </w:p>
        </w:tc>
        <w:tc>
          <w:tcPr>
            <w:tcW w:w="1366" w:type="dxa"/>
            <w:tcBorders>
              <w:top w:val="nil"/>
              <w:left w:val="nil"/>
              <w:bottom w:val="nil"/>
              <w:right w:val="nil"/>
            </w:tcBorders>
          </w:tcPr>
          <w:p w14:paraId="29BAF6D1" w14:textId="77777777" w:rsidR="00CF22F4" w:rsidRPr="00A60FD5" w:rsidRDefault="00CF22F4" w:rsidP="00F4357D">
            <w:pPr>
              <w:spacing w:after="0"/>
              <w:jc w:val="center"/>
              <w:rPr>
                <w:rFonts w:ascii="Times New Roman" w:hAnsi="Times New Roman" w:cs="Times New Roman"/>
                <w:sz w:val="18"/>
                <w:szCs w:val="18"/>
              </w:rPr>
            </w:pPr>
          </w:p>
        </w:tc>
      </w:tr>
      <w:tr w:rsidR="00CF22F4" w:rsidRPr="00A60FD5" w14:paraId="74355009" w14:textId="77777777" w:rsidTr="000810C3">
        <w:trPr>
          <w:trHeight w:hRule="exact" w:val="433"/>
          <w:jc w:val="center"/>
        </w:trPr>
        <w:tc>
          <w:tcPr>
            <w:tcW w:w="3537" w:type="dxa"/>
            <w:tcBorders>
              <w:top w:val="nil"/>
              <w:left w:val="nil"/>
              <w:bottom w:val="nil"/>
              <w:right w:val="nil"/>
            </w:tcBorders>
          </w:tcPr>
          <w:p w14:paraId="14C371C4" w14:textId="75F808EB" w:rsidR="00CF22F4" w:rsidRPr="00A60FD5" w:rsidRDefault="00CF22F4" w:rsidP="00CB3C32">
            <w:pPr>
              <w:spacing w:after="0" w:line="240" w:lineRule="auto"/>
              <w:rPr>
                <w:rFonts w:ascii="Times New Roman" w:hAnsi="Times New Roman" w:cs="Times New Roman"/>
                <w:sz w:val="18"/>
                <w:szCs w:val="18"/>
              </w:rPr>
            </w:pPr>
            <w:r w:rsidRPr="00A60FD5">
              <w:rPr>
                <w:rFonts w:ascii="Times New Roman" w:hAnsi="Times New Roman" w:cs="Times New Roman"/>
                <w:sz w:val="18"/>
                <w:szCs w:val="18"/>
              </w:rPr>
              <w:t xml:space="preserve">Technology intensity </w:t>
            </w:r>
          </w:p>
        </w:tc>
        <w:tc>
          <w:tcPr>
            <w:tcW w:w="1063" w:type="dxa"/>
            <w:tcBorders>
              <w:top w:val="nil"/>
              <w:left w:val="nil"/>
              <w:bottom w:val="nil"/>
              <w:right w:val="nil"/>
            </w:tcBorders>
          </w:tcPr>
          <w:p w14:paraId="28F01A83" w14:textId="6A8568A4" w:rsidR="00CF22F4" w:rsidRPr="00A60FD5" w:rsidRDefault="00CF22F4" w:rsidP="00F4357D">
            <w:pPr>
              <w:spacing w:after="0"/>
              <w:jc w:val="center"/>
              <w:rPr>
                <w:rFonts w:ascii="Times New Roman" w:hAnsi="Times New Roman" w:cs="Times New Roman"/>
                <w:sz w:val="18"/>
                <w:szCs w:val="18"/>
              </w:rPr>
            </w:pPr>
          </w:p>
        </w:tc>
        <w:tc>
          <w:tcPr>
            <w:tcW w:w="921" w:type="dxa"/>
            <w:tcBorders>
              <w:top w:val="nil"/>
              <w:left w:val="nil"/>
              <w:bottom w:val="nil"/>
              <w:right w:val="nil"/>
            </w:tcBorders>
          </w:tcPr>
          <w:p w14:paraId="618674DB" w14:textId="43E4DC6F" w:rsidR="00CF22F4" w:rsidRPr="00A60FD5" w:rsidRDefault="00CF22F4" w:rsidP="00F4357D">
            <w:pPr>
              <w:spacing w:after="0"/>
              <w:jc w:val="center"/>
              <w:rPr>
                <w:rFonts w:ascii="Times New Roman" w:hAnsi="Times New Roman" w:cs="Times New Roman"/>
                <w:sz w:val="18"/>
                <w:szCs w:val="18"/>
              </w:rPr>
            </w:pPr>
            <w:r w:rsidRPr="00A60FD5">
              <w:rPr>
                <w:rFonts w:ascii="Times New Roman" w:hAnsi="Times New Roman" w:cs="Times New Roman"/>
                <w:sz w:val="18"/>
                <w:szCs w:val="18"/>
              </w:rPr>
              <w:t>0.</w:t>
            </w:r>
            <w:r w:rsidR="001824B4" w:rsidRPr="00A60FD5">
              <w:rPr>
                <w:rFonts w:ascii="Times New Roman" w:hAnsi="Times New Roman" w:cs="Times New Roman"/>
                <w:sz w:val="18"/>
                <w:szCs w:val="18"/>
              </w:rPr>
              <w:t>43**</w:t>
            </w:r>
          </w:p>
          <w:p w14:paraId="1E35D0CF" w14:textId="3DE95788" w:rsidR="00CF22F4" w:rsidRPr="00A60FD5" w:rsidRDefault="00CF22F4" w:rsidP="00F4357D">
            <w:pPr>
              <w:spacing w:after="0"/>
              <w:jc w:val="center"/>
              <w:rPr>
                <w:rFonts w:ascii="Times New Roman" w:hAnsi="Times New Roman" w:cs="Times New Roman"/>
                <w:sz w:val="18"/>
                <w:szCs w:val="18"/>
              </w:rPr>
            </w:pPr>
            <w:r w:rsidRPr="00A60FD5">
              <w:rPr>
                <w:rFonts w:ascii="Times New Roman" w:hAnsi="Times New Roman" w:cs="Times New Roman"/>
                <w:sz w:val="18"/>
                <w:szCs w:val="18"/>
              </w:rPr>
              <w:t>(0.</w:t>
            </w:r>
            <w:r w:rsidR="001824B4" w:rsidRPr="00A60FD5">
              <w:rPr>
                <w:rFonts w:ascii="Times New Roman" w:hAnsi="Times New Roman" w:cs="Times New Roman"/>
                <w:sz w:val="18"/>
                <w:szCs w:val="18"/>
              </w:rPr>
              <w:t>14</w:t>
            </w:r>
            <w:r w:rsidRPr="00A60FD5">
              <w:rPr>
                <w:rFonts w:ascii="Times New Roman" w:hAnsi="Times New Roman" w:cs="Times New Roman"/>
                <w:sz w:val="18"/>
                <w:szCs w:val="18"/>
              </w:rPr>
              <w:t>)</w:t>
            </w:r>
          </w:p>
        </w:tc>
        <w:tc>
          <w:tcPr>
            <w:tcW w:w="1064" w:type="dxa"/>
            <w:tcBorders>
              <w:top w:val="nil"/>
              <w:left w:val="nil"/>
              <w:bottom w:val="nil"/>
              <w:right w:val="dotted" w:sz="4" w:space="0" w:color="auto"/>
            </w:tcBorders>
          </w:tcPr>
          <w:p w14:paraId="1198580A" w14:textId="618B4607" w:rsidR="00CF22F4" w:rsidRPr="00A60FD5" w:rsidRDefault="00CF22F4" w:rsidP="00F4357D">
            <w:pPr>
              <w:spacing w:after="0"/>
              <w:jc w:val="center"/>
              <w:rPr>
                <w:rFonts w:ascii="Times New Roman" w:hAnsi="Times New Roman" w:cs="Times New Roman"/>
                <w:sz w:val="18"/>
                <w:szCs w:val="18"/>
              </w:rPr>
            </w:pPr>
          </w:p>
        </w:tc>
        <w:tc>
          <w:tcPr>
            <w:tcW w:w="991" w:type="dxa"/>
            <w:tcBorders>
              <w:top w:val="nil"/>
              <w:left w:val="dotted" w:sz="4" w:space="0" w:color="auto"/>
              <w:bottom w:val="nil"/>
              <w:right w:val="nil"/>
            </w:tcBorders>
          </w:tcPr>
          <w:p w14:paraId="1C762C03" w14:textId="6C01FCFC" w:rsidR="00CF22F4" w:rsidRPr="00A60FD5" w:rsidRDefault="00CF22F4" w:rsidP="00F4357D">
            <w:pPr>
              <w:spacing w:after="0"/>
              <w:jc w:val="center"/>
              <w:rPr>
                <w:rFonts w:ascii="Times New Roman" w:hAnsi="Times New Roman" w:cs="Times New Roman"/>
                <w:sz w:val="18"/>
                <w:szCs w:val="18"/>
              </w:rPr>
            </w:pPr>
          </w:p>
        </w:tc>
        <w:tc>
          <w:tcPr>
            <w:tcW w:w="1156" w:type="dxa"/>
            <w:tcBorders>
              <w:top w:val="nil"/>
              <w:left w:val="nil"/>
              <w:bottom w:val="nil"/>
              <w:right w:val="nil"/>
            </w:tcBorders>
          </w:tcPr>
          <w:p w14:paraId="4F939A89" w14:textId="77777777" w:rsidR="004154CF" w:rsidRPr="00A60FD5" w:rsidRDefault="004154CF" w:rsidP="00F4357D">
            <w:pPr>
              <w:spacing w:after="0"/>
              <w:jc w:val="center"/>
              <w:rPr>
                <w:rFonts w:ascii="Times New Roman" w:hAnsi="Times New Roman" w:cs="Times New Roman"/>
                <w:sz w:val="18"/>
                <w:szCs w:val="18"/>
              </w:rPr>
            </w:pPr>
            <w:r w:rsidRPr="00A60FD5">
              <w:rPr>
                <w:rFonts w:ascii="Times New Roman" w:hAnsi="Times New Roman" w:cs="Times New Roman"/>
                <w:sz w:val="18"/>
                <w:szCs w:val="18"/>
              </w:rPr>
              <w:t>0.42**</w:t>
            </w:r>
          </w:p>
          <w:p w14:paraId="7C83214A" w14:textId="0C4119CC" w:rsidR="00CF22F4" w:rsidRPr="00A60FD5" w:rsidRDefault="004154CF" w:rsidP="00F4357D">
            <w:pPr>
              <w:spacing w:after="0"/>
              <w:jc w:val="center"/>
              <w:rPr>
                <w:rFonts w:ascii="Times New Roman" w:hAnsi="Times New Roman" w:cs="Times New Roman"/>
                <w:sz w:val="18"/>
                <w:szCs w:val="18"/>
              </w:rPr>
            </w:pPr>
            <w:r w:rsidRPr="00A60FD5">
              <w:rPr>
                <w:rFonts w:ascii="Times New Roman" w:hAnsi="Times New Roman" w:cs="Times New Roman"/>
                <w:sz w:val="18"/>
                <w:szCs w:val="18"/>
              </w:rPr>
              <w:t>(0.14)</w:t>
            </w:r>
          </w:p>
        </w:tc>
        <w:tc>
          <w:tcPr>
            <w:tcW w:w="1366" w:type="dxa"/>
            <w:tcBorders>
              <w:top w:val="nil"/>
              <w:left w:val="nil"/>
              <w:bottom w:val="nil"/>
              <w:right w:val="nil"/>
            </w:tcBorders>
          </w:tcPr>
          <w:p w14:paraId="4DA1088C" w14:textId="38874F1F" w:rsidR="00CF22F4" w:rsidRPr="00A60FD5" w:rsidRDefault="00CF22F4" w:rsidP="00F4357D">
            <w:pPr>
              <w:spacing w:after="0"/>
              <w:jc w:val="center"/>
              <w:rPr>
                <w:rFonts w:ascii="Times New Roman" w:hAnsi="Times New Roman" w:cs="Times New Roman"/>
                <w:sz w:val="18"/>
                <w:szCs w:val="18"/>
              </w:rPr>
            </w:pPr>
          </w:p>
        </w:tc>
      </w:tr>
      <w:tr w:rsidR="00CF22F4" w:rsidRPr="00A60FD5" w14:paraId="28C798B2" w14:textId="77777777" w:rsidTr="000810C3">
        <w:trPr>
          <w:trHeight w:hRule="exact" w:val="706"/>
          <w:jc w:val="center"/>
        </w:trPr>
        <w:tc>
          <w:tcPr>
            <w:tcW w:w="3537" w:type="dxa"/>
            <w:tcBorders>
              <w:top w:val="nil"/>
              <w:left w:val="nil"/>
              <w:bottom w:val="nil"/>
              <w:right w:val="nil"/>
            </w:tcBorders>
          </w:tcPr>
          <w:p w14:paraId="4DB93FCB" w14:textId="6C9C607E" w:rsidR="00CF22F4" w:rsidRPr="00A60FD5" w:rsidRDefault="00CF22F4" w:rsidP="002D2C4A">
            <w:pPr>
              <w:spacing w:after="0" w:line="240" w:lineRule="auto"/>
              <w:rPr>
                <w:rFonts w:ascii="Times New Roman" w:hAnsi="Times New Roman" w:cs="Times New Roman"/>
                <w:sz w:val="18"/>
                <w:szCs w:val="18"/>
              </w:rPr>
            </w:pPr>
            <w:r w:rsidRPr="00A60FD5">
              <w:rPr>
                <w:rFonts w:ascii="Times New Roman" w:hAnsi="Times New Roman" w:cs="Times New Roman"/>
                <w:sz w:val="18"/>
                <w:szCs w:val="18"/>
              </w:rPr>
              <w:t xml:space="preserve">Third assistance for partner identification </w:t>
            </w:r>
          </w:p>
        </w:tc>
        <w:tc>
          <w:tcPr>
            <w:tcW w:w="1063" w:type="dxa"/>
            <w:tcBorders>
              <w:top w:val="nil"/>
              <w:left w:val="nil"/>
              <w:bottom w:val="nil"/>
              <w:right w:val="nil"/>
            </w:tcBorders>
          </w:tcPr>
          <w:p w14:paraId="56D1304D" w14:textId="3BCFC1A4" w:rsidR="00CF22F4" w:rsidRPr="00A60FD5" w:rsidRDefault="00CF22F4" w:rsidP="00F4357D">
            <w:pPr>
              <w:spacing w:after="0"/>
              <w:jc w:val="center"/>
              <w:rPr>
                <w:rFonts w:ascii="Times New Roman" w:hAnsi="Times New Roman" w:cs="Times New Roman"/>
                <w:sz w:val="18"/>
                <w:szCs w:val="18"/>
              </w:rPr>
            </w:pPr>
          </w:p>
        </w:tc>
        <w:tc>
          <w:tcPr>
            <w:tcW w:w="921" w:type="dxa"/>
            <w:tcBorders>
              <w:top w:val="nil"/>
              <w:left w:val="nil"/>
              <w:bottom w:val="nil"/>
              <w:right w:val="nil"/>
            </w:tcBorders>
          </w:tcPr>
          <w:p w14:paraId="6A4E46CA" w14:textId="2C448420" w:rsidR="00CF22F4" w:rsidRPr="00A60FD5" w:rsidRDefault="001824B4" w:rsidP="00F4357D">
            <w:pPr>
              <w:spacing w:after="0"/>
              <w:jc w:val="center"/>
              <w:rPr>
                <w:rFonts w:ascii="Times New Roman" w:hAnsi="Times New Roman" w:cs="Times New Roman"/>
                <w:sz w:val="18"/>
                <w:szCs w:val="18"/>
              </w:rPr>
            </w:pPr>
            <w:r w:rsidRPr="00A60FD5">
              <w:rPr>
                <w:rFonts w:ascii="Times New Roman" w:hAnsi="Times New Roman" w:cs="Times New Roman"/>
                <w:sz w:val="18"/>
                <w:szCs w:val="18"/>
              </w:rPr>
              <w:t>1.34***</w:t>
            </w:r>
          </w:p>
          <w:p w14:paraId="3236E6D8" w14:textId="5B8D8768" w:rsidR="00CF22F4" w:rsidRPr="00A60FD5" w:rsidRDefault="00CF22F4" w:rsidP="00F4357D">
            <w:pPr>
              <w:spacing w:after="0"/>
              <w:jc w:val="center"/>
              <w:rPr>
                <w:rFonts w:ascii="Times New Roman" w:hAnsi="Times New Roman" w:cs="Times New Roman"/>
                <w:sz w:val="18"/>
                <w:szCs w:val="18"/>
              </w:rPr>
            </w:pPr>
            <w:r w:rsidRPr="00A60FD5">
              <w:rPr>
                <w:rFonts w:ascii="Times New Roman" w:hAnsi="Times New Roman" w:cs="Times New Roman"/>
                <w:sz w:val="18"/>
                <w:szCs w:val="18"/>
              </w:rPr>
              <w:t>(0.</w:t>
            </w:r>
            <w:r w:rsidR="001824B4" w:rsidRPr="00A60FD5">
              <w:rPr>
                <w:rFonts w:ascii="Times New Roman" w:hAnsi="Times New Roman" w:cs="Times New Roman"/>
                <w:sz w:val="18"/>
                <w:szCs w:val="18"/>
              </w:rPr>
              <w:t>33</w:t>
            </w:r>
            <w:r w:rsidRPr="00A60FD5">
              <w:rPr>
                <w:rFonts w:ascii="Times New Roman" w:hAnsi="Times New Roman" w:cs="Times New Roman"/>
                <w:sz w:val="18"/>
                <w:szCs w:val="18"/>
              </w:rPr>
              <w:t>)</w:t>
            </w:r>
          </w:p>
        </w:tc>
        <w:tc>
          <w:tcPr>
            <w:tcW w:w="1064" w:type="dxa"/>
            <w:tcBorders>
              <w:top w:val="nil"/>
              <w:left w:val="nil"/>
              <w:bottom w:val="nil"/>
              <w:right w:val="dotted" w:sz="4" w:space="0" w:color="auto"/>
            </w:tcBorders>
          </w:tcPr>
          <w:p w14:paraId="7F42C362" w14:textId="370A767A" w:rsidR="00CF22F4" w:rsidRPr="00A60FD5" w:rsidRDefault="00CF22F4" w:rsidP="00F4357D">
            <w:pPr>
              <w:spacing w:after="0"/>
              <w:jc w:val="center"/>
              <w:rPr>
                <w:rFonts w:ascii="Times New Roman" w:hAnsi="Times New Roman" w:cs="Times New Roman"/>
                <w:sz w:val="18"/>
                <w:szCs w:val="18"/>
              </w:rPr>
            </w:pPr>
          </w:p>
        </w:tc>
        <w:tc>
          <w:tcPr>
            <w:tcW w:w="991" w:type="dxa"/>
            <w:tcBorders>
              <w:top w:val="nil"/>
              <w:left w:val="dotted" w:sz="4" w:space="0" w:color="auto"/>
              <w:bottom w:val="nil"/>
              <w:right w:val="nil"/>
            </w:tcBorders>
          </w:tcPr>
          <w:p w14:paraId="3F4E7B6A" w14:textId="235331A1" w:rsidR="00CF22F4" w:rsidRPr="00A60FD5" w:rsidRDefault="00CF22F4" w:rsidP="00F4357D">
            <w:pPr>
              <w:spacing w:after="0"/>
              <w:jc w:val="center"/>
              <w:rPr>
                <w:rFonts w:ascii="Times New Roman" w:hAnsi="Times New Roman" w:cs="Times New Roman"/>
                <w:sz w:val="18"/>
                <w:szCs w:val="18"/>
              </w:rPr>
            </w:pPr>
          </w:p>
        </w:tc>
        <w:tc>
          <w:tcPr>
            <w:tcW w:w="1156" w:type="dxa"/>
            <w:tcBorders>
              <w:top w:val="nil"/>
              <w:left w:val="nil"/>
              <w:bottom w:val="nil"/>
              <w:right w:val="nil"/>
            </w:tcBorders>
          </w:tcPr>
          <w:p w14:paraId="076C6045" w14:textId="77777777" w:rsidR="004154CF" w:rsidRPr="00A60FD5" w:rsidRDefault="004154CF" w:rsidP="00F4357D">
            <w:pPr>
              <w:spacing w:after="0"/>
              <w:jc w:val="center"/>
              <w:rPr>
                <w:rFonts w:ascii="Times New Roman" w:hAnsi="Times New Roman" w:cs="Times New Roman"/>
                <w:sz w:val="18"/>
                <w:szCs w:val="18"/>
              </w:rPr>
            </w:pPr>
            <w:r w:rsidRPr="00A60FD5">
              <w:rPr>
                <w:rFonts w:ascii="Times New Roman" w:hAnsi="Times New Roman" w:cs="Times New Roman"/>
                <w:sz w:val="18"/>
                <w:szCs w:val="18"/>
              </w:rPr>
              <w:t>1.34***</w:t>
            </w:r>
          </w:p>
          <w:p w14:paraId="40E1723E" w14:textId="41D02160" w:rsidR="00CF22F4" w:rsidRPr="00A60FD5" w:rsidRDefault="004154CF" w:rsidP="00F4357D">
            <w:pPr>
              <w:spacing w:after="0"/>
              <w:jc w:val="center"/>
              <w:rPr>
                <w:rFonts w:ascii="Times New Roman" w:hAnsi="Times New Roman" w:cs="Times New Roman"/>
                <w:sz w:val="18"/>
                <w:szCs w:val="18"/>
              </w:rPr>
            </w:pPr>
            <w:r w:rsidRPr="00A60FD5">
              <w:rPr>
                <w:rFonts w:ascii="Times New Roman" w:hAnsi="Times New Roman" w:cs="Times New Roman"/>
                <w:sz w:val="18"/>
                <w:szCs w:val="18"/>
              </w:rPr>
              <w:t>(0.33)</w:t>
            </w:r>
          </w:p>
        </w:tc>
        <w:tc>
          <w:tcPr>
            <w:tcW w:w="1366" w:type="dxa"/>
            <w:tcBorders>
              <w:top w:val="nil"/>
              <w:left w:val="nil"/>
              <w:bottom w:val="nil"/>
              <w:right w:val="nil"/>
            </w:tcBorders>
          </w:tcPr>
          <w:p w14:paraId="23E87B1C" w14:textId="689D4181" w:rsidR="00CF22F4" w:rsidRPr="00A60FD5" w:rsidRDefault="00CF22F4" w:rsidP="00F4357D">
            <w:pPr>
              <w:spacing w:after="0"/>
              <w:jc w:val="center"/>
              <w:rPr>
                <w:rFonts w:ascii="Times New Roman" w:hAnsi="Times New Roman" w:cs="Times New Roman"/>
                <w:sz w:val="18"/>
                <w:szCs w:val="18"/>
              </w:rPr>
            </w:pPr>
          </w:p>
        </w:tc>
      </w:tr>
      <w:tr w:rsidR="00CF22F4" w:rsidRPr="00A60FD5" w14:paraId="31E17CD8" w14:textId="77777777" w:rsidTr="000810C3">
        <w:trPr>
          <w:trHeight w:hRule="exact" w:val="623"/>
          <w:jc w:val="center"/>
        </w:trPr>
        <w:tc>
          <w:tcPr>
            <w:tcW w:w="3537" w:type="dxa"/>
            <w:tcBorders>
              <w:top w:val="nil"/>
              <w:left w:val="nil"/>
              <w:bottom w:val="dotted" w:sz="4" w:space="0" w:color="auto"/>
              <w:right w:val="nil"/>
            </w:tcBorders>
          </w:tcPr>
          <w:p w14:paraId="0BE6C5F3" w14:textId="63B5DC4E" w:rsidR="00CF22F4" w:rsidRPr="00A60FD5" w:rsidRDefault="00CF22F4" w:rsidP="002D2C4A">
            <w:pPr>
              <w:spacing w:after="0" w:line="240" w:lineRule="auto"/>
              <w:rPr>
                <w:rFonts w:ascii="Times New Roman" w:hAnsi="Times New Roman" w:cs="Times New Roman"/>
                <w:sz w:val="18"/>
                <w:szCs w:val="18"/>
              </w:rPr>
            </w:pPr>
            <w:r w:rsidRPr="00A60FD5">
              <w:rPr>
                <w:rFonts w:ascii="Times New Roman" w:hAnsi="Times New Roman" w:cs="Times New Roman"/>
                <w:sz w:val="18"/>
                <w:szCs w:val="18"/>
              </w:rPr>
              <w:t>Intercept</w:t>
            </w:r>
          </w:p>
        </w:tc>
        <w:tc>
          <w:tcPr>
            <w:tcW w:w="1063" w:type="dxa"/>
            <w:tcBorders>
              <w:top w:val="nil"/>
              <w:left w:val="nil"/>
              <w:bottom w:val="dotted" w:sz="4" w:space="0" w:color="auto"/>
              <w:right w:val="nil"/>
            </w:tcBorders>
          </w:tcPr>
          <w:p w14:paraId="30F62408" w14:textId="44CE36A8" w:rsidR="00CF22F4" w:rsidRPr="00A60FD5" w:rsidRDefault="00CF22F4" w:rsidP="00F4357D">
            <w:pPr>
              <w:spacing w:after="0"/>
              <w:jc w:val="center"/>
              <w:rPr>
                <w:rFonts w:ascii="Times New Roman" w:hAnsi="Times New Roman" w:cs="Times New Roman"/>
                <w:sz w:val="18"/>
                <w:szCs w:val="18"/>
              </w:rPr>
            </w:pPr>
            <w:r w:rsidRPr="00A60FD5">
              <w:rPr>
                <w:rFonts w:ascii="Times New Roman" w:hAnsi="Times New Roman" w:cs="Times New Roman"/>
                <w:sz w:val="18"/>
                <w:szCs w:val="18"/>
              </w:rPr>
              <w:t>1.</w:t>
            </w:r>
            <w:r w:rsidR="00026CA5" w:rsidRPr="00A60FD5">
              <w:rPr>
                <w:rFonts w:ascii="Times New Roman" w:hAnsi="Times New Roman" w:cs="Times New Roman"/>
                <w:sz w:val="18"/>
                <w:szCs w:val="18"/>
              </w:rPr>
              <w:t>72</w:t>
            </w:r>
            <w:r w:rsidRPr="00A60FD5">
              <w:rPr>
                <w:rFonts w:ascii="Times New Roman" w:hAnsi="Times New Roman" w:cs="Times New Roman"/>
                <w:sz w:val="18"/>
                <w:szCs w:val="18"/>
              </w:rPr>
              <w:t>*</w:t>
            </w:r>
          </w:p>
          <w:p w14:paraId="5221A478" w14:textId="094423AF" w:rsidR="00CF22F4" w:rsidRPr="00A60FD5" w:rsidRDefault="00CF22F4" w:rsidP="00F4357D">
            <w:pPr>
              <w:spacing w:after="0"/>
              <w:jc w:val="center"/>
              <w:rPr>
                <w:rFonts w:ascii="Times New Roman" w:hAnsi="Times New Roman" w:cs="Times New Roman"/>
                <w:sz w:val="18"/>
                <w:szCs w:val="18"/>
              </w:rPr>
            </w:pPr>
            <w:r w:rsidRPr="00A60FD5">
              <w:rPr>
                <w:rFonts w:ascii="Times New Roman" w:hAnsi="Times New Roman" w:cs="Times New Roman"/>
                <w:sz w:val="18"/>
                <w:szCs w:val="18"/>
              </w:rPr>
              <w:t>(0.82)</w:t>
            </w:r>
          </w:p>
        </w:tc>
        <w:tc>
          <w:tcPr>
            <w:tcW w:w="921" w:type="dxa"/>
            <w:tcBorders>
              <w:top w:val="nil"/>
              <w:left w:val="nil"/>
              <w:bottom w:val="dotted" w:sz="4" w:space="0" w:color="auto"/>
              <w:right w:val="nil"/>
            </w:tcBorders>
          </w:tcPr>
          <w:p w14:paraId="592A2EA6" w14:textId="3613B20F" w:rsidR="00CF22F4" w:rsidRPr="00A60FD5" w:rsidRDefault="00CF22F4" w:rsidP="00F4357D">
            <w:pPr>
              <w:spacing w:after="0"/>
              <w:jc w:val="center"/>
              <w:rPr>
                <w:rFonts w:ascii="Times New Roman" w:hAnsi="Times New Roman" w:cs="Times New Roman"/>
                <w:sz w:val="18"/>
                <w:szCs w:val="18"/>
              </w:rPr>
            </w:pPr>
            <w:r w:rsidRPr="00A60FD5">
              <w:rPr>
                <w:rFonts w:ascii="Times New Roman" w:hAnsi="Times New Roman" w:cs="Times New Roman"/>
                <w:sz w:val="18"/>
                <w:szCs w:val="18"/>
              </w:rPr>
              <w:t>1.</w:t>
            </w:r>
            <w:r w:rsidR="001824B4" w:rsidRPr="00A60FD5">
              <w:rPr>
                <w:rFonts w:ascii="Times New Roman" w:hAnsi="Times New Roman" w:cs="Times New Roman"/>
                <w:sz w:val="18"/>
                <w:szCs w:val="18"/>
              </w:rPr>
              <w:t>93</w:t>
            </w:r>
            <w:r w:rsidR="001824B4" w:rsidRPr="00A60FD5">
              <w:rPr>
                <w:rFonts w:ascii="Times New Roman" w:hAnsi="Times New Roman"/>
                <w:sz w:val="18"/>
                <w:szCs w:val="20"/>
              </w:rPr>
              <w:t>†</w:t>
            </w:r>
          </w:p>
          <w:p w14:paraId="69E22CBB" w14:textId="2CA2B9EC" w:rsidR="00CF22F4" w:rsidRPr="00A60FD5" w:rsidRDefault="00CF22F4" w:rsidP="00F4357D">
            <w:pPr>
              <w:spacing w:after="0"/>
              <w:jc w:val="center"/>
              <w:rPr>
                <w:rFonts w:ascii="Times New Roman" w:hAnsi="Times New Roman" w:cs="Times New Roman"/>
                <w:sz w:val="18"/>
                <w:szCs w:val="18"/>
              </w:rPr>
            </w:pPr>
            <w:r w:rsidRPr="00A60FD5">
              <w:rPr>
                <w:rFonts w:ascii="Times New Roman" w:hAnsi="Times New Roman" w:cs="Times New Roman"/>
                <w:sz w:val="18"/>
                <w:szCs w:val="18"/>
              </w:rPr>
              <w:t>(1.</w:t>
            </w:r>
            <w:r w:rsidR="001824B4" w:rsidRPr="00A60FD5">
              <w:rPr>
                <w:rFonts w:ascii="Times New Roman" w:hAnsi="Times New Roman" w:cs="Times New Roman"/>
                <w:sz w:val="18"/>
                <w:szCs w:val="18"/>
              </w:rPr>
              <w:t>01</w:t>
            </w:r>
            <w:r w:rsidRPr="00A60FD5">
              <w:rPr>
                <w:rFonts w:ascii="Times New Roman" w:hAnsi="Times New Roman" w:cs="Times New Roman"/>
                <w:sz w:val="18"/>
                <w:szCs w:val="18"/>
              </w:rPr>
              <w:t>)</w:t>
            </w:r>
          </w:p>
        </w:tc>
        <w:tc>
          <w:tcPr>
            <w:tcW w:w="1064" w:type="dxa"/>
            <w:tcBorders>
              <w:top w:val="nil"/>
              <w:left w:val="nil"/>
              <w:bottom w:val="dotted" w:sz="4" w:space="0" w:color="auto"/>
              <w:right w:val="dotted" w:sz="4" w:space="0" w:color="auto"/>
            </w:tcBorders>
          </w:tcPr>
          <w:p w14:paraId="1C6A8180" w14:textId="2FA7B2B3" w:rsidR="00CF22F4" w:rsidRPr="00A60FD5" w:rsidRDefault="00CF22F4" w:rsidP="00F4357D">
            <w:pPr>
              <w:spacing w:after="0"/>
              <w:jc w:val="center"/>
              <w:rPr>
                <w:rFonts w:ascii="Times New Roman" w:hAnsi="Times New Roman" w:cs="Times New Roman"/>
                <w:sz w:val="18"/>
                <w:szCs w:val="18"/>
              </w:rPr>
            </w:pPr>
            <w:r w:rsidRPr="00A60FD5">
              <w:rPr>
                <w:rFonts w:ascii="Times New Roman" w:hAnsi="Times New Roman" w:cs="Times New Roman"/>
                <w:sz w:val="18"/>
                <w:szCs w:val="18"/>
              </w:rPr>
              <w:t>-1.</w:t>
            </w:r>
            <w:r w:rsidR="000943F0" w:rsidRPr="00A60FD5">
              <w:rPr>
                <w:rFonts w:ascii="Times New Roman" w:hAnsi="Times New Roman" w:cs="Times New Roman"/>
                <w:sz w:val="18"/>
                <w:szCs w:val="18"/>
              </w:rPr>
              <w:t>5</w:t>
            </w:r>
            <w:r w:rsidR="00026CA5" w:rsidRPr="00A60FD5">
              <w:rPr>
                <w:rFonts w:ascii="Times New Roman" w:hAnsi="Times New Roman" w:cs="Times New Roman"/>
                <w:sz w:val="18"/>
                <w:szCs w:val="18"/>
              </w:rPr>
              <w:t>6</w:t>
            </w:r>
          </w:p>
          <w:p w14:paraId="7BA6C72B" w14:textId="62A45BFF" w:rsidR="00CF22F4" w:rsidRPr="00A60FD5" w:rsidRDefault="00CF22F4" w:rsidP="00F4357D">
            <w:pPr>
              <w:spacing w:after="0"/>
              <w:jc w:val="center"/>
              <w:rPr>
                <w:rFonts w:ascii="Times New Roman" w:hAnsi="Times New Roman" w:cs="Times New Roman"/>
                <w:sz w:val="18"/>
                <w:szCs w:val="18"/>
              </w:rPr>
            </w:pPr>
            <w:r w:rsidRPr="00A60FD5">
              <w:rPr>
                <w:rFonts w:ascii="Times New Roman" w:hAnsi="Times New Roman" w:cs="Times New Roman"/>
                <w:sz w:val="18"/>
                <w:szCs w:val="18"/>
              </w:rPr>
              <w:t>(2.93)</w:t>
            </w:r>
          </w:p>
        </w:tc>
        <w:tc>
          <w:tcPr>
            <w:tcW w:w="991" w:type="dxa"/>
            <w:tcBorders>
              <w:top w:val="nil"/>
              <w:left w:val="dotted" w:sz="4" w:space="0" w:color="auto"/>
              <w:bottom w:val="dotted" w:sz="4" w:space="0" w:color="auto"/>
              <w:right w:val="nil"/>
            </w:tcBorders>
          </w:tcPr>
          <w:p w14:paraId="37D0F391" w14:textId="29CF8273" w:rsidR="00CF22F4" w:rsidRPr="00A60FD5" w:rsidRDefault="00CF22F4" w:rsidP="00F4357D">
            <w:pPr>
              <w:spacing w:after="0"/>
              <w:jc w:val="center"/>
              <w:rPr>
                <w:rFonts w:ascii="Times New Roman" w:hAnsi="Times New Roman" w:cs="Times New Roman"/>
                <w:sz w:val="18"/>
                <w:szCs w:val="18"/>
              </w:rPr>
            </w:pPr>
            <w:r w:rsidRPr="00A60FD5">
              <w:rPr>
                <w:rFonts w:ascii="Times New Roman" w:hAnsi="Times New Roman" w:cs="Times New Roman"/>
                <w:sz w:val="18"/>
                <w:szCs w:val="18"/>
              </w:rPr>
              <w:t>1.</w:t>
            </w:r>
            <w:r w:rsidR="004154CF" w:rsidRPr="00A60FD5">
              <w:rPr>
                <w:rFonts w:ascii="Times New Roman" w:hAnsi="Times New Roman" w:cs="Times New Roman"/>
                <w:sz w:val="18"/>
                <w:szCs w:val="18"/>
              </w:rPr>
              <w:t>72</w:t>
            </w:r>
            <w:r w:rsidRPr="00A60FD5">
              <w:rPr>
                <w:rFonts w:ascii="Times New Roman" w:hAnsi="Times New Roman" w:cs="Times New Roman"/>
                <w:sz w:val="18"/>
                <w:szCs w:val="18"/>
              </w:rPr>
              <w:t>*</w:t>
            </w:r>
          </w:p>
          <w:p w14:paraId="4833A8BE" w14:textId="6F21EBD2" w:rsidR="00CF22F4" w:rsidRPr="00A60FD5" w:rsidRDefault="00CF22F4" w:rsidP="00F4357D">
            <w:pPr>
              <w:spacing w:after="0"/>
              <w:jc w:val="center"/>
              <w:rPr>
                <w:rFonts w:ascii="Times New Roman" w:hAnsi="Times New Roman" w:cs="Times New Roman"/>
                <w:sz w:val="18"/>
                <w:szCs w:val="18"/>
              </w:rPr>
            </w:pPr>
            <w:r w:rsidRPr="00A60FD5">
              <w:rPr>
                <w:rFonts w:ascii="Times New Roman" w:hAnsi="Times New Roman" w:cs="Times New Roman"/>
                <w:sz w:val="18"/>
                <w:szCs w:val="18"/>
              </w:rPr>
              <w:t>(0.82)</w:t>
            </w:r>
          </w:p>
        </w:tc>
        <w:tc>
          <w:tcPr>
            <w:tcW w:w="1156" w:type="dxa"/>
            <w:tcBorders>
              <w:top w:val="nil"/>
              <w:left w:val="nil"/>
              <w:bottom w:val="dotted" w:sz="4" w:space="0" w:color="auto"/>
              <w:right w:val="nil"/>
            </w:tcBorders>
          </w:tcPr>
          <w:p w14:paraId="4587051E" w14:textId="73E6E5B3" w:rsidR="00CF22F4" w:rsidRPr="00A60FD5" w:rsidRDefault="00CF22F4" w:rsidP="00F4357D">
            <w:pPr>
              <w:spacing w:after="0"/>
              <w:jc w:val="center"/>
              <w:rPr>
                <w:rFonts w:ascii="Times New Roman" w:hAnsi="Times New Roman" w:cs="Times New Roman"/>
                <w:sz w:val="18"/>
                <w:szCs w:val="18"/>
              </w:rPr>
            </w:pPr>
            <w:r w:rsidRPr="00A60FD5">
              <w:rPr>
                <w:rFonts w:ascii="Times New Roman" w:hAnsi="Times New Roman" w:cs="Times New Roman"/>
                <w:sz w:val="18"/>
                <w:szCs w:val="18"/>
              </w:rPr>
              <w:t>1.</w:t>
            </w:r>
            <w:r w:rsidR="004154CF" w:rsidRPr="00A60FD5">
              <w:rPr>
                <w:rFonts w:ascii="Times New Roman" w:hAnsi="Times New Roman" w:cs="Times New Roman"/>
                <w:sz w:val="18"/>
                <w:szCs w:val="18"/>
              </w:rPr>
              <w:t>97</w:t>
            </w:r>
            <w:r w:rsidR="004154CF" w:rsidRPr="00A60FD5">
              <w:rPr>
                <w:rFonts w:ascii="Times New Roman" w:hAnsi="Times New Roman"/>
                <w:sz w:val="18"/>
                <w:szCs w:val="20"/>
              </w:rPr>
              <w:t>†</w:t>
            </w:r>
          </w:p>
          <w:p w14:paraId="47949AB7" w14:textId="7C06FD2F" w:rsidR="00CF22F4" w:rsidRPr="00A60FD5" w:rsidRDefault="00CF22F4" w:rsidP="00F4357D">
            <w:pPr>
              <w:spacing w:after="0"/>
              <w:jc w:val="center"/>
              <w:rPr>
                <w:rFonts w:ascii="Times New Roman" w:hAnsi="Times New Roman" w:cs="Times New Roman"/>
                <w:sz w:val="18"/>
                <w:szCs w:val="18"/>
              </w:rPr>
            </w:pPr>
            <w:r w:rsidRPr="00A60FD5">
              <w:rPr>
                <w:rFonts w:ascii="Times New Roman" w:hAnsi="Times New Roman" w:cs="Times New Roman"/>
                <w:sz w:val="18"/>
                <w:szCs w:val="18"/>
              </w:rPr>
              <w:t>(1.</w:t>
            </w:r>
            <w:r w:rsidR="004154CF" w:rsidRPr="00A60FD5">
              <w:rPr>
                <w:rFonts w:ascii="Times New Roman" w:hAnsi="Times New Roman" w:cs="Times New Roman"/>
                <w:sz w:val="18"/>
                <w:szCs w:val="18"/>
              </w:rPr>
              <w:t>01</w:t>
            </w:r>
            <w:r w:rsidRPr="00A60FD5">
              <w:rPr>
                <w:rFonts w:ascii="Times New Roman" w:hAnsi="Times New Roman" w:cs="Times New Roman"/>
                <w:sz w:val="18"/>
                <w:szCs w:val="18"/>
              </w:rPr>
              <w:t>)</w:t>
            </w:r>
          </w:p>
        </w:tc>
        <w:tc>
          <w:tcPr>
            <w:tcW w:w="1366" w:type="dxa"/>
            <w:tcBorders>
              <w:top w:val="nil"/>
              <w:left w:val="nil"/>
              <w:bottom w:val="dotted" w:sz="4" w:space="0" w:color="auto"/>
              <w:right w:val="nil"/>
            </w:tcBorders>
          </w:tcPr>
          <w:p w14:paraId="05AAB664" w14:textId="332BE957" w:rsidR="00CF22F4" w:rsidRPr="00A60FD5" w:rsidRDefault="00CF22F4" w:rsidP="00F4357D">
            <w:pPr>
              <w:spacing w:after="0"/>
              <w:jc w:val="center"/>
              <w:rPr>
                <w:rFonts w:ascii="Times New Roman" w:hAnsi="Times New Roman" w:cs="Times New Roman"/>
                <w:sz w:val="18"/>
                <w:szCs w:val="18"/>
              </w:rPr>
            </w:pPr>
            <w:r w:rsidRPr="00A60FD5">
              <w:rPr>
                <w:rFonts w:ascii="Times New Roman" w:hAnsi="Times New Roman" w:cs="Times New Roman"/>
                <w:sz w:val="18"/>
                <w:szCs w:val="18"/>
              </w:rPr>
              <w:t>-</w:t>
            </w:r>
            <w:r w:rsidR="00FE5660" w:rsidRPr="00A60FD5">
              <w:rPr>
                <w:rFonts w:ascii="Times New Roman" w:hAnsi="Times New Roman" w:cs="Times New Roman"/>
                <w:sz w:val="18"/>
                <w:szCs w:val="18"/>
              </w:rPr>
              <w:t>0.87</w:t>
            </w:r>
          </w:p>
          <w:p w14:paraId="425540BC" w14:textId="36A36C6C" w:rsidR="00CF22F4" w:rsidRPr="00A60FD5" w:rsidRDefault="00CF22F4" w:rsidP="00F4357D">
            <w:pPr>
              <w:spacing w:after="0"/>
              <w:jc w:val="center"/>
              <w:rPr>
                <w:rFonts w:ascii="Times New Roman" w:hAnsi="Times New Roman" w:cs="Times New Roman"/>
                <w:sz w:val="18"/>
                <w:szCs w:val="18"/>
              </w:rPr>
            </w:pPr>
            <w:r w:rsidRPr="00A60FD5">
              <w:rPr>
                <w:rFonts w:ascii="Times New Roman" w:hAnsi="Times New Roman" w:cs="Times New Roman"/>
                <w:sz w:val="18"/>
                <w:szCs w:val="18"/>
              </w:rPr>
              <w:t>(2.</w:t>
            </w:r>
            <w:r w:rsidR="00FE5660" w:rsidRPr="00A60FD5">
              <w:rPr>
                <w:rFonts w:ascii="Times New Roman" w:hAnsi="Times New Roman" w:cs="Times New Roman"/>
                <w:sz w:val="18"/>
                <w:szCs w:val="18"/>
              </w:rPr>
              <w:t>91</w:t>
            </w:r>
            <w:r w:rsidRPr="00A60FD5">
              <w:rPr>
                <w:rFonts w:ascii="Times New Roman" w:hAnsi="Times New Roman" w:cs="Times New Roman"/>
                <w:sz w:val="18"/>
                <w:szCs w:val="18"/>
              </w:rPr>
              <w:t>)</w:t>
            </w:r>
          </w:p>
        </w:tc>
      </w:tr>
      <w:tr w:rsidR="00CF22F4" w:rsidRPr="00A60FD5" w14:paraId="0B518556" w14:textId="77777777" w:rsidTr="000810C3">
        <w:trPr>
          <w:trHeight w:hRule="exact" w:val="992"/>
          <w:jc w:val="center"/>
        </w:trPr>
        <w:tc>
          <w:tcPr>
            <w:tcW w:w="3537" w:type="dxa"/>
            <w:tcBorders>
              <w:top w:val="nil"/>
              <w:left w:val="nil"/>
              <w:bottom w:val="dotted" w:sz="4" w:space="0" w:color="auto"/>
              <w:right w:val="nil"/>
            </w:tcBorders>
          </w:tcPr>
          <w:p w14:paraId="02B6B435" w14:textId="424C717E" w:rsidR="00CF22F4" w:rsidRPr="00A60FD5" w:rsidRDefault="00CF22F4" w:rsidP="000327F4">
            <w:pPr>
              <w:spacing w:after="0"/>
              <w:rPr>
                <w:rFonts w:ascii="Times New Roman" w:hAnsi="Times New Roman" w:cs="Times New Roman"/>
                <w:sz w:val="18"/>
                <w:szCs w:val="18"/>
              </w:rPr>
            </w:pPr>
            <w:r w:rsidRPr="00A60FD5">
              <w:rPr>
                <w:rFonts w:ascii="Times New Roman" w:hAnsi="Times New Roman" w:cs="Times New Roman"/>
                <w:sz w:val="18"/>
                <w:szCs w:val="18"/>
              </w:rPr>
              <w:t>Wald chi2</w:t>
            </w:r>
          </w:p>
          <w:p w14:paraId="362C18EA" w14:textId="77777777" w:rsidR="00CF22F4" w:rsidRPr="00A60FD5" w:rsidRDefault="00CF22F4" w:rsidP="000327F4">
            <w:pPr>
              <w:spacing w:after="0" w:line="240" w:lineRule="auto"/>
              <w:rPr>
                <w:rFonts w:ascii="Times New Roman" w:hAnsi="Times New Roman" w:cs="Times New Roman"/>
                <w:sz w:val="18"/>
                <w:szCs w:val="18"/>
              </w:rPr>
            </w:pPr>
            <w:r w:rsidRPr="00A60FD5">
              <w:rPr>
                <w:rFonts w:ascii="Times New Roman" w:hAnsi="Times New Roman" w:cs="Times New Roman"/>
                <w:sz w:val="18"/>
                <w:szCs w:val="18"/>
              </w:rPr>
              <w:t>Atanh-Rho</w:t>
            </w:r>
            <w:r w:rsidRPr="00A60FD5">
              <w:rPr>
                <w:rFonts w:ascii="Times New Roman" w:hAnsi="Times New Roman" w:cs="Times New Roman"/>
                <w:sz w:val="18"/>
                <w:szCs w:val="18"/>
                <w:vertAlign w:val="subscript"/>
              </w:rPr>
              <w:t>arb-monit</w:t>
            </w:r>
          </w:p>
          <w:p w14:paraId="54C4A3AC" w14:textId="77777777" w:rsidR="00CF22F4" w:rsidRPr="00A60FD5" w:rsidRDefault="00CF22F4" w:rsidP="000327F4">
            <w:pPr>
              <w:spacing w:after="0" w:line="240" w:lineRule="auto"/>
              <w:rPr>
                <w:rFonts w:ascii="Times New Roman" w:hAnsi="Times New Roman" w:cs="Times New Roman"/>
                <w:sz w:val="18"/>
                <w:szCs w:val="18"/>
              </w:rPr>
            </w:pPr>
            <w:r w:rsidRPr="00A60FD5">
              <w:rPr>
                <w:rFonts w:ascii="Times New Roman" w:hAnsi="Times New Roman" w:cs="Times New Roman"/>
                <w:sz w:val="18"/>
                <w:szCs w:val="18"/>
              </w:rPr>
              <w:t>Atanh-Rho</w:t>
            </w:r>
            <w:r w:rsidRPr="00A60FD5">
              <w:rPr>
                <w:rFonts w:ascii="Times New Roman" w:hAnsi="Times New Roman" w:cs="Times New Roman"/>
                <w:sz w:val="18"/>
                <w:szCs w:val="18"/>
                <w:vertAlign w:val="subscript"/>
              </w:rPr>
              <w:t>arb-coord</w:t>
            </w:r>
          </w:p>
          <w:p w14:paraId="479A20BA" w14:textId="16C7E616" w:rsidR="00CF22F4" w:rsidRPr="00A60FD5" w:rsidRDefault="00CF22F4" w:rsidP="002D2C4A">
            <w:pPr>
              <w:spacing w:after="0" w:line="240" w:lineRule="auto"/>
              <w:rPr>
                <w:rFonts w:ascii="Times New Roman" w:hAnsi="Times New Roman" w:cs="Times New Roman"/>
                <w:sz w:val="18"/>
                <w:szCs w:val="18"/>
              </w:rPr>
            </w:pPr>
            <w:r w:rsidRPr="00A60FD5">
              <w:rPr>
                <w:rFonts w:ascii="Times New Roman" w:hAnsi="Times New Roman" w:cs="Times New Roman"/>
                <w:sz w:val="18"/>
                <w:szCs w:val="18"/>
              </w:rPr>
              <w:t>Atanh-Rho</w:t>
            </w:r>
            <w:r w:rsidRPr="00A60FD5">
              <w:rPr>
                <w:rFonts w:ascii="Times New Roman" w:hAnsi="Times New Roman" w:cs="Times New Roman"/>
                <w:sz w:val="18"/>
                <w:szCs w:val="18"/>
                <w:vertAlign w:val="subscript"/>
              </w:rPr>
              <w:t>monit-coord</w:t>
            </w:r>
          </w:p>
        </w:tc>
        <w:tc>
          <w:tcPr>
            <w:tcW w:w="3048" w:type="dxa"/>
            <w:gridSpan w:val="3"/>
            <w:tcBorders>
              <w:top w:val="nil"/>
              <w:left w:val="nil"/>
              <w:bottom w:val="dotted" w:sz="4" w:space="0" w:color="auto"/>
              <w:right w:val="dotted" w:sz="4" w:space="0" w:color="auto"/>
            </w:tcBorders>
          </w:tcPr>
          <w:p w14:paraId="3D2A2CBE" w14:textId="6CD56999" w:rsidR="00CF22F4" w:rsidRPr="00A60FD5" w:rsidRDefault="004154CF" w:rsidP="00F4357D">
            <w:pPr>
              <w:spacing w:after="0"/>
              <w:jc w:val="center"/>
              <w:rPr>
                <w:rFonts w:ascii="Times New Roman" w:hAnsi="Times New Roman" w:cs="Times New Roman"/>
                <w:sz w:val="18"/>
                <w:szCs w:val="18"/>
              </w:rPr>
            </w:pPr>
            <w:r w:rsidRPr="00A60FD5">
              <w:rPr>
                <w:rFonts w:ascii="Times New Roman" w:hAnsi="Times New Roman" w:cs="Times New Roman"/>
                <w:sz w:val="18"/>
                <w:szCs w:val="18"/>
              </w:rPr>
              <w:t>501</w:t>
            </w:r>
            <w:r w:rsidR="00CF22F4" w:rsidRPr="00A60FD5">
              <w:rPr>
                <w:rFonts w:ascii="Times New Roman" w:hAnsi="Times New Roman" w:cs="Times New Roman"/>
                <w:sz w:val="18"/>
                <w:szCs w:val="18"/>
              </w:rPr>
              <w:t>.</w:t>
            </w:r>
            <w:r w:rsidRPr="00A60FD5">
              <w:rPr>
                <w:rFonts w:ascii="Times New Roman" w:hAnsi="Times New Roman" w:cs="Times New Roman"/>
                <w:sz w:val="18"/>
                <w:szCs w:val="18"/>
              </w:rPr>
              <w:t>84</w:t>
            </w:r>
          </w:p>
          <w:p w14:paraId="3F24F7F9" w14:textId="5240F650" w:rsidR="00CF22F4" w:rsidRPr="00A60FD5" w:rsidRDefault="00CF22F4" w:rsidP="00F4357D">
            <w:pPr>
              <w:spacing w:after="0"/>
              <w:jc w:val="center"/>
              <w:rPr>
                <w:rFonts w:ascii="Times New Roman" w:hAnsi="Times New Roman" w:cs="Times New Roman"/>
                <w:sz w:val="18"/>
                <w:szCs w:val="18"/>
              </w:rPr>
            </w:pPr>
            <w:r w:rsidRPr="00A60FD5">
              <w:rPr>
                <w:rFonts w:ascii="Times New Roman" w:hAnsi="Times New Roman" w:cs="Times New Roman"/>
                <w:sz w:val="18"/>
                <w:szCs w:val="18"/>
              </w:rPr>
              <w:t>-0.</w:t>
            </w:r>
            <w:r w:rsidR="004154CF" w:rsidRPr="00A60FD5">
              <w:rPr>
                <w:rFonts w:ascii="Times New Roman" w:hAnsi="Times New Roman" w:cs="Times New Roman"/>
                <w:sz w:val="18"/>
                <w:szCs w:val="18"/>
              </w:rPr>
              <w:t>50</w:t>
            </w:r>
          </w:p>
          <w:p w14:paraId="15D1A794" w14:textId="21362BEA" w:rsidR="00CF22F4" w:rsidRPr="00A60FD5" w:rsidRDefault="00CF22F4" w:rsidP="00F4357D">
            <w:pPr>
              <w:spacing w:after="0"/>
              <w:jc w:val="center"/>
              <w:rPr>
                <w:rFonts w:ascii="Times New Roman" w:hAnsi="Times New Roman" w:cs="Times New Roman"/>
                <w:sz w:val="18"/>
                <w:szCs w:val="18"/>
              </w:rPr>
            </w:pPr>
            <w:r w:rsidRPr="00A60FD5">
              <w:rPr>
                <w:rFonts w:ascii="Times New Roman" w:hAnsi="Times New Roman" w:cs="Times New Roman"/>
                <w:sz w:val="18"/>
                <w:szCs w:val="18"/>
              </w:rPr>
              <w:t>-0.</w:t>
            </w:r>
            <w:r w:rsidR="004154CF" w:rsidRPr="00A60FD5">
              <w:rPr>
                <w:rFonts w:ascii="Times New Roman" w:hAnsi="Times New Roman" w:cs="Times New Roman"/>
                <w:sz w:val="18"/>
                <w:szCs w:val="18"/>
              </w:rPr>
              <w:t>10</w:t>
            </w:r>
          </w:p>
          <w:p w14:paraId="3769CB38" w14:textId="363F631C" w:rsidR="00CF22F4" w:rsidRPr="00A60FD5" w:rsidDel="00707129" w:rsidRDefault="00CF22F4" w:rsidP="00F4357D">
            <w:pPr>
              <w:spacing w:after="0"/>
              <w:jc w:val="center"/>
              <w:rPr>
                <w:rFonts w:ascii="Times New Roman" w:hAnsi="Times New Roman" w:cs="Times New Roman"/>
                <w:sz w:val="18"/>
                <w:szCs w:val="18"/>
              </w:rPr>
            </w:pPr>
            <w:r w:rsidRPr="00A60FD5">
              <w:rPr>
                <w:rFonts w:ascii="Times New Roman" w:hAnsi="Times New Roman" w:cs="Times New Roman"/>
                <w:sz w:val="18"/>
                <w:szCs w:val="18"/>
              </w:rPr>
              <w:t>0.</w:t>
            </w:r>
            <w:r w:rsidR="004154CF" w:rsidRPr="00A60FD5">
              <w:rPr>
                <w:rFonts w:ascii="Times New Roman" w:hAnsi="Times New Roman" w:cs="Times New Roman"/>
                <w:sz w:val="18"/>
                <w:szCs w:val="18"/>
              </w:rPr>
              <w:t>15</w:t>
            </w:r>
          </w:p>
        </w:tc>
        <w:tc>
          <w:tcPr>
            <w:tcW w:w="3513" w:type="dxa"/>
            <w:gridSpan w:val="3"/>
            <w:tcBorders>
              <w:top w:val="nil"/>
              <w:left w:val="dotted" w:sz="4" w:space="0" w:color="auto"/>
              <w:bottom w:val="dotted" w:sz="4" w:space="0" w:color="auto"/>
              <w:right w:val="nil"/>
            </w:tcBorders>
          </w:tcPr>
          <w:p w14:paraId="25CC5C6A" w14:textId="36833F74" w:rsidR="00CF22F4" w:rsidRPr="00A60FD5" w:rsidRDefault="00CF22F4" w:rsidP="00F4357D">
            <w:pPr>
              <w:spacing w:after="0"/>
              <w:jc w:val="center"/>
              <w:rPr>
                <w:rFonts w:ascii="Times New Roman" w:hAnsi="Times New Roman" w:cs="Times New Roman"/>
                <w:sz w:val="18"/>
                <w:szCs w:val="18"/>
              </w:rPr>
            </w:pPr>
            <w:r w:rsidRPr="00A60FD5">
              <w:rPr>
                <w:rFonts w:ascii="Times New Roman" w:hAnsi="Times New Roman" w:cs="Times New Roman"/>
                <w:sz w:val="18"/>
                <w:szCs w:val="18"/>
              </w:rPr>
              <w:t>492.72</w:t>
            </w:r>
          </w:p>
          <w:p w14:paraId="76A69065" w14:textId="64262546" w:rsidR="00CF22F4" w:rsidRPr="00A60FD5" w:rsidRDefault="00CF22F4" w:rsidP="00F4357D">
            <w:pPr>
              <w:spacing w:after="0"/>
              <w:jc w:val="center"/>
              <w:rPr>
                <w:rFonts w:ascii="Times New Roman" w:hAnsi="Times New Roman" w:cs="Times New Roman"/>
                <w:sz w:val="18"/>
                <w:szCs w:val="18"/>
              </w:rPr>
            </w:pPr>
            <w:r w:rsidRPr="00A60FD5">
              <w:rPr>
                <w:rFonts w:ascii="Times New Roman" w:hAnsi="Times New Roman" w:cs="Times New Roman"/>
                <w:sz w:val="18"/>
                <w:szCs w:val="18"/>
              </w:rPr>
              <w:t>-0.</w:t>
            </w:r>
            <w:r w:rsidR="00FE5660" w:rsidRPr="00A60FD5">
              <w:rPr>
                <w:rFonts w:ascii="Times New Roman" w:hAnsi="Times New Roman" w:cs="Times New Roman"/>
                <w:sz w:val="18"/>
                <w:szCs w:val="18"/>
              </w:rPr>
              <w:t>53</w:t>
            </w:r>
          </w:p>
          <w:p w14:paraId="6EFE7836" w14:textId="2670C9FE" w:rsidR="00CF22F4" w:rsidRPr="00A60FD5" w:rsidRDefault="00CF22F4" w:rsidP="00F4357D">
            <w:pPr>
              <w:spacing w:after="0"/>
              <w:jc w:val="center"/>
              <w:rPr>
                <w:rFonts w:ascii="Times New Roman" w:hAnsi="Times New Roman" w:cs="Times New Roman"/>
                <w:sz w:val="18"/>
                <w:szCs w:val="18"/>
              </w:rPr>
            </w:pPr>
            <w:r w:rsidRPr="00A60FD5">
              <w:rPr>
                <w:rFonts w:ascii="Times New Roman" w:hAnsi="Times New Roman" w:cs="Times New Roman"/>
                <w:sz w:val="18"/>
                <w:szCs w:val="18"/>
              </w:rPr>
              <w:t>-0.</w:t>
            </w:r>
            <w:r w:rsidR="00FE5660" w:rsidRPr="00A60FD5">
              <w:rPr>
                <w:rFonts w:ascii="Times New Roman" w:hAnsi="Times New Roman" w:cs="Times New Roman"/>
                <w:sz w:val="18"/>
                <w:szCs w:val="18"/>
              </w:rPr>
              <w:t>22</w:t>
            </w:r>
          </w:p>
          <w:p w14:paraId="0DF501C4" w14:textId="5001EDC3" w:rsidR="00CF22F4" w:rsidRPr="00A60FD5" w:rsidDel="00707129" w:rsidRDefault="00CF22F4" w:rsidP="00F4357D">
            <w:pPr>
              <w:spacing w:after="0"/>
              <w:jc w:val="center"/>
              <w:rPr>
                <w:rFonts w:ascii="Times New Roman" w:hAnsi="Times New Roman" w:cs="Times New Roman"/>
                <w:sz w:val="18"/>
                <w:szCs w:val="18"/>
              </w:rPr>
            </w:pPr>
            <w:r w:rsidRPr="00A60FD5">
              <w:rPr>
                <w:rFonts w:ascii="Times New Roman" w:hAnsi="Times New Roman" w:cs="Times New Roman"/>
                <w:sz w:val="18"/>
                <w:szCs w:val="18"/>
              </w:rPr>
              <w:t>0.</w:t>
            </w:r>
            <w:r w:rsidR="00FE5660" w:rsidRPr="00A60FD5">
              <w:rPr>
                <w:rFonts w:ascii="Times New Roman" w:hAnsi="Times New Roman" w:cs="Times New Roman"/>
                <w:sz w:val="18"/>
                <w:szCs w:val="18"/>
              </w:rPr>
              <w:t>15</w:t>
            </w:r>
          </w:p>
        </w:tc>
      </w:tr>
      <w:tr w:rsidR="00CF22F4" w:rsidRPr="00A60FD5" w14:paraId="360DFCD4" w14:textId="77777777" w:rsidTr="000810C3">
        <w:trPr>
          <w:trHeight w:hRule="exact" w:val="425"/>
          <w:jc w:val="center"/>
        </w:trPr>
        <w:tc>
          <w:tcPr>
            <w:tcW w:w="3537" w:type="dxa"/>
            <w:tcBorders>
              <w:top w:val="dotted" w:sz="4" w:space="0" w:color="auto"/>
              <w:left w:val="nil"/>
              <w:bottom w:val="nil"/>
              <w:right w:val="nil"/>
            </w:tcBorders>
          </w:tcPr>
          <w:p w14:paraId="64D16080" w14:textId="27168EA4" w:rsidR="00CF22F4" w:rsidRPr="00A60FD5" w:rsidRDefault="00CF22F4" w:rsidP="000327F4">
            <w:pPr>
              <w:spacing w:after="0"/>
              <w:rPr>
                <w:rFonts w:ascii="Times New Roman" w:hAnsi="Times New Roman" w:cs="Times New Roman"/>
                <w:sz w:val="18"/>
                <w:szCs w:val="18"/>
              </w:rPr>
            </w:pPr>
            <w:r w:rsidRPr="00A60FD5">
              <w:rPr>
                <w:rFonts w:ascii="Times New Roman" w:hAnsi="Times New Roman" w:cs="Times New Roman"/>
                <w:sz w:val="18"/>
                <w:szCs w:val="18"/>
              </w:rPr>
              <w:t>Log pseudolikelihood</w:t>
            </w:r>
          </w:p>
          <w:p w14:paraId="3A212333" w14:textId="085B4714" w:rsidR="00CF22F4" w:rsidRPr="00A60FD5" w:rsidRDefault="00CF22F4" w:rsidP="002D2C4A">
            <w:pPr>
              <w:spacing w:after="0" w:line="240" w:lineRule="auto"/>
              <w:rPr>
                <w:rFonts w:ascii="Times New Roman" w:hAnsi="Times New Roman" w:cs="Times New Roman"/>
                <w:sz w:val="18"/>
                <w:szCs w:val="18"/>
              </w:rPr>
            </w:pPr>
          </w:p>
        </w:tc>
        <w:tc>
          <w:tcPr>
            <w:tcW w:w="3048" w:type="dxa"/>
            <w:gridSpan w:val="3"/>
            <w:tcBorders>
              <w:top w:val="dotted" w:sz="4" w:space="0" w:color="auto"/>
              <w:left w:val="nil"/>
              <w:bottom w:val="nil"/>
              <w:right w:val="dotted" w:sz="4" w:space="0" w:color="auto"/>
            </w:tcBorders>
          </w:tcPr>
          <w:p w14:paraId="6704AB1F" w14:textId="383023C8" w:rsidR="00CF22F4" w:rsidRPr="00A60FD5" w:rsidRDefault="00CF22F4" w:rsidP="00F4357D">
            <w:pPr>
              <w:spacing w:after="0" w:line="240" w:lineRule="auto"/>
              <w:jc w:val="center"/>
              <w:rPr>
                <w:rFonts w:ascii="Times New Roman" w:hAnsi="Times New Roman" w:cs="Times New Roman"/>
                <w:sz w:val="18"/>
                <w:szCs w:val="18"/>
              </w:rPr>
            </w:pPr>
            <w:r w:rsidRPr="00A60FD5">
              <w:rPr>
                <w:rFonts w:ascii="Times New Roman" w:hAnsi="Times New Roman" w:cs="Times New Roman"/>
                <w:sz w:val="18"/>
                <w:szCs w:val="18"/>
              </w:rPr>
              <w:t>-</w:t>
            </w:r>
            <w:r w:rsidR="004154CF" w:rsidRPr="00A60FD5">
              <w:rPr>
                <w:rFonts w:ascii="Times New Roman" w:hAnsi="Times New Roman" w:cs="Times New Roman"/>
                <w:sz w:val="18"/>
                <w:szCs w:val="18"/>
              </w:rPr>
              <w:t>285</w:t>
            </w:r>
            <w:r w:rsidRPr="00A60FD5">
              <w:rPr>
                <w:rFonts w:ascii="Times New Roman" w:hAnsi="Times New Roman" w:cs="Times New Roman"/>
                <w:sz w:val="18"/>
                <w:szCs w:val="18"/>
              </w:rPr>
              <w:t>.</w:t>
            </w:r>
            <w:r w:rsidR="004154CF" w:rsidRPr="00A60FD5">
              <w:rPr>
                <w:rFonts w:ascii="Times New Roman" w:hAnsi="Times New Roman" w:cs="Times New Roman"/>
                <w:sz w:val="18"/>
                <w:szCs w:val="18"/>
              </w:rPr>
              <w:t>77</w:t>
            </w:r>
          </w:p>
          <w:p w14:paraId="6896B6C5" w14:textId="31259D6D" w:rsidR="00CF22F4" w:rsidRPr="00A60FD5" w:rsidRDefault="00CF22F4" w:rsidP="00F4357D">
            <w:pPr>
              <w:spacing w:after="0" w:line="240" w:lineRule="auto"/>
              <w:jc w:val="center"/>
              <w:rPr>
                <w:rFonts w:ascii="Times New Roman" w:hAnsi="Times New Roman" w:cs="Times New Roman"/>
                <w:sz w:val="18"/>
                <w:szCs w:val="18"/>
              </w:rPr>
            </w:pPr>
          </w:p>
        </w:tc>
        <w:tc>
          <w:tcPr>
            <w:tcW w:w="3513" w:type="dxa"/>
            <w:gridSpan w:val="3"/>
            <w:tcBorders>
              <w:top w:val="dotted" w:sz="4" w:space="0" w:color="auto"/>
              <w:left w:val="dotted" w:sz="4" w:space="0" w:color="auto"/>
              <w:bottom w:val="nil"/>
              <w:right w:val="nil"/>
            </w:tcBorders>
          </w:tcPr>
          <w:p w14:paraId="32B3C80A" w14:textId="4B91419C" w:rsidR="00CF22F4" w:rsidRPr="00A60FD5" w:rsidRDefault="00CF22F4" w:rsidP="00F4357D">
            <w:pPr>
              <w:spacing w:after="0" w:line="240" w:lineRule="auto"/>
              <w:jc w:val="center"/>
              <w:rPr>
                <w:rFonts w:ascii="Times New Roman" w:hAnsi="Times New Roman" w:cs="Times New Roman"/>
                <w:sz w:val="18"/>
                <w:szCs w:val="18"/>
              </w:rPr>
            </w:pPr>
            <w:r w:rsidRPr="00A60FD5">
              <w:rPr>
                <w:rFonts w:ascii="Times New Roman" w:hAnsi="Times New Roman" w:cs="Times New Roman"/>
                <w:sz w:val="18"/>
                <w:szCs w:val="18"/>
              </w:rPr>
              <w:t>-</w:t>
            </w:r>
            <w:r w:rsidR="00FE5660" w:rsidRPr="00A60FD5">
              <w:rPr>
                <w:rFonts w:ascii="Times New Roman" w:hAnsi="Times New Roman" w:cs="Times New Roman"/>
                <w:sz w:val="18"/>
                <w:szCs w:val="18"/>
              </w:rPr>
              <w:t>283</w:t>
            </w:r>
            <w:r w:rsidRPr="00A60FD5">
              <w:rPr>
                <w:rFonts w:ascii="Times New Roman" w:hAnsi="Times New Roman" w:cs="Times New Roman"/>
                <w:sz w:val="18"/>
                <w:szCs w:val="18"/>
              </w:rPr>
              <w:t>.</w:t>
            </w:r>
            <w:r w:rsidR="00FE5660" w:rsidRPr="00A60FD5">
              <w:rPr>
                <w:rFonts w:ascii="Times New Roman" w:hAnsi="Times New Roman" w:cs="Times New Roman"/>
                <w:sz w:val="18"/>
                <w:szCs w:val="18"/>
              </w:rPr>
              <w:t>88</w:t>
            </w:r>
          </w:p>
        </w:tc>
      </w:tr>
      <w:tr w:rsidR="00CF22F4" w:rsidRPr="00A60FD5" w14:paraId="7FC058D5" w14:textId="77777777" w:rsidTr="000810C3">
        <w:trPr>
          <w:trHeight w:hRule="exact" w:val="199"/>
          <w:jc w:val="center"/>
        </w:trPr>
        <w:tc>
          <w:tcPr>
            <w:tcW w:w="3537" w:type="dxa"/>
            <w:tcBorders>
              <w:top w:val="nil"/>
              <w:left w:val="nil"/>
              <w:bottom w:val="double" w:sz="4" w:space="0" w:color="auto"/>
              <w:right w:val="nil"/>
            </w:tcBorders>
          </w:tcPr>
          <w:p w14:paraId="572D36CD" w14:textId="3925AF69" w:rsidR="00CF22F4" w:rsidRPr="00A60FD5" w:rsidRDefault="00CF22F4" w:rsidP="002D2C4A">
            <w:pPr>
              <w:spacing w:after="0" w:line="240" w:lineRule="auto"/>
              <w:rPr>
                <w:rFonts w:ascii="Times New Roman" w:hAnsi="Times New Roman" w:cs="Times New Roman"/>
                <w:sz w:val="18"/>
                <w:szCs w:val="18"/>
              </w:rPr>
            </w:pPr>
            <w:r w:rsidRPr="00A60FD5">
              <w:rPr>
                <w:rFonts w:ascii="Times New Roman" w:hAnsi="Times New Roman" w:cs="Times New Roman"/>
                <w:sz w:val="18"/>
                <w:szCs w:val="18"/>
              </w:rPr>
              <w:t>Prob &gt; Chi2</w:t>
            </w:r>
          </w:p>
        </w:tc>
        <w:tc>
          <w:tcPr>
            <w:tcW w:w="3048" w:type="dxa"/>
            <w:gridSpan w:val="3"/>
            <w:tcBorders>
              <w:top w:val="nil"/>
              <w:left w:val="nil"/>
              <w:bottom w:val="double" w:sz="4" w:space="0" w:color="auto"/>
              <w:right w:val="dotted" w:sz="4" w:space="0" w:color="auto"/>
            </w:tcBorders>
          </w:tcPr>
          <w:p w14:paraId="020BF351" w14:textId="0B151DC4" w:rsidR="00CF22F4" w:rsidRPr="00A60FD5" w:rsidRDefault="00CF22F4" w:rsidP="00F4357D">
            <w:pPr>
              <w:spacing w:after="0" w:line="240" w:lineRule="auto"/>
              <w:jc w:val="center"/>
              <w:rPr>
                <w:rFonts w:ascii="Times New Roman" w:hAnsi="Times New Roman" w:cs="Times New Roman"/>
                <w:sz w:val="18"/>
                <w:szCs w:val="18"/>
              </w:rPr>
            </w:pPr>
            <w:r w:rsidRPr="00A60FD5">
              <w:rPr>
                <w:rFonts w:ascii="Times New Roman" w:hAnsi="Times New Roman" w:cs="Times New Roman"/>
                <w:sz w:val="18"/>
                <w:szCs w:val="18"/>
              </w:rPr>
              <w:t>0.00</w:t>
            </w:r>
          </w:p>
        </w:tc>
        <w:tc>
          <w:tcPr>
            <w:tcW w:w="3513" w:type="dxa"/>
            <w:gridSpan w:val="3"/>
            <w:tcBorders>
              <w:top w:val="nil"/>
              <w:left w:val="dotted" w:sz="4" w:space="0" w:color="auto"/>
              <w:bottom w:val="double" w:sz="4" w:space="0" w:color="auto"/>
              <w:right w:val="nil"/>
            </w:tcBorders>
          </w:tcPr>
          <w:p w14:paraId="46AD41C1" w14:textId="2A4C63BF" w:rsidR="00CF22F4" w:rsidRPr="00A60FD5" w:rsidRDefault="00CF22F4" w:rsidP="00F4357D">
            <w:pPr>
              <w:spacing w:after="0" w:line="240" w:lineRule="auto"/>
              <w:jc w:val="center"/>
              <w:rPr>
                <w:rFonts w:ascii="Times New Roman" w:hAnsi="Times New Roman" w:cs="Times New Roman"/>
                <w:sz w:val="18"/>
                <w:szCs w:val="18"/>
              </w:rPr>
            </w:pPr>
            <w:r w:rsidRPr="00A60FD5">
              <w:rPr>
                <w:rFonts w:ascii="Times New Roman" w:hAnsi="Times New Roman" w:cs="Times New Roman"/>
                <w:sz w:val="18"/>
                <w:szCs w:val="18"/>
              </w:rPr>
              <w:t>0.00</w:t>
            </w:r>
          </w:p>
        </w:tc>
      </w:tr>
    </w:tbl>
    <w:p w14:paraId="2501FA57" w14:textId="096E92F2" w:rsidR="00417594" w:rsidRPr="00A60FD5" w:rsidRDefault="00417594" w:rsidP="00417594">
      <w:pPr>
        <w:spacing w:after="0" w:line="240" w:lineRule="auto"/>
        <w:jc w:val="center"/>
      </w:pPr>
      <w:r w:rsidRPr="00A60FD5">
        <w:rPr>
          <w:rFonts w:ascii="Times New Roman" w:hAnsi="Times New Roman"/>
          <w:sz w:val="18"/>
          <w:szCs w:val="20"/>
          <w:vertAlign w:val="superscript"/>
        </w:rPr>
        <w:t>a.</w:t>
      </w:r>
      <w:r w:rsidRPr="00A60FD5">
        <w:rPr>
          <w:rFonts w:ascii="Times New Roman" w:hAnsi="Times New Roman"/>
          <w:sz w:val="18"/>
          <w:szCs w:val="20"/>
        </w:rPr>
        <w:t xml:space="preserve"> N = 10</w:t>
      </w:r>
      <w:r w:rsidR="00A6616B" w:rsidRPr="00A60FD5">
        <w:rPr>
          <w:rFonts w:ascii="Times New Roman" w:hAnsi="Times New Roman"/>
          <w:sz w:val="18"/>
          <w:szCs w:val="20"/>
        </w:rPr>
        <w:t>6</w:t>
      </w:r>
      <w:r w:rsidRPr="00A60FD5">
        <w:rPr>
          <w:rFonts w:ascii="Times New Roman" w:hAnsi="Times New Roman"/>
          <w:sz w:val="18"/>
          <w:szCs w:val="20"/>
        </w:rPr>
        <w:t xml:space="preserve">. Robust standard error in parentheses.  † p &lt; 0.10; </w:t>
      </w:r>
      <w:r w:rsidRPr="00A60FD5">
        <w:rPr>
          <w:rFonts w:ascii="Cambria Math" w:hAnsi="Cambria Math" w:cs="Cambria Math"/>
          <w:position w:val="8"/>
          <w:sz w:val="18"/>
          <w:szCs w:val="20"/>
        </w:rPr>
        <w:t>∗</w:t>
      </w:r>
      <w:r w:rsidRPr="00A60FD5">
        <w:rPr>
          <w:rFonts w:ascii="Times New Roman" w:hAnsi="Times New Roman"/>
          <w:sz w:val="18"/>
          <w:szCs w:val="20"/>
        </w:rPr>
        <w:t xml:space="preserve">p &lt; 0.05; </w:t>
      </w:r>
      <w:r w:rsidRPr="00A60FD5">
        <w:rPr>
          <w:rFonts w:ascii="Cambria Math" w:hAnsi="Cambria Math" w:cs="Cambria Math"/>
          <w:position w:val="8"/>
          <w:sz w:val="18"/>
          <w:szCs w:val="20"/>
        </w:rPr>
        <w:t>∗∗</w:t>
      </w:r>
      <w:r w:rsidRPr="00A60FD5">
        <w:rPr>
          <w:rFonts w:ascii="Times New Roman" w:hAnsi="Times New Roman"/>
          <w:position w:val="8"/>
          <w:sz w:val="18"/>
          <w:szCs w:val="20"/>
        </w:rPr>
        <w:t xml:space="preserve"> </w:t>
      </w:r>
      <w:r w:rsidRPr="00A60FD5">
        <w:rPr>
          <w:rFonts w:ascii="Times New Roman" w:hAnsi="Times New Roman"/>
          <w:sz w:val="18"/>
          <w:szCs w:val="20"/>
        </w:rPr>
        <w:t xml:space="preserve">p &lt; 0.01; </w:t>
      </w:r>
      <w:r w:rsidRPr="00A60FD5">
        <w:rPr>
          <w:rFonts w:ascii="Cambria Math" w:hAnsi="Cambria Math" w:cs="Cambria Math"/>
          <w:position w:val="8"/>
          <w:sz w:val="18"/>
          <w:szCs w:val="20"/>
        </w:rPr>
        <w:t>∗∗∗</w:t>
      </w:r>
      <w:r w:rsidRPr="00A60FD5">
        <w:rPr>
          <w:rFonts w:ascii="Times New Roman" w:hAnsi="Times New Roman"/>
          <w:position w:val="8"/>
          <w:sz w:val="18"/>
          <w:szCs w:val="20"/>
        </w:rPr>
        <w:t xml:space="preserve"> </w:t>
      </w:r>
      <w:r w:rsidRPr="00A60FD5">
        <w:rPr>
          <w:rFonts w:ascii="Times New Roman" w:hAnsi="Times New Roman"/>
          <w:sz w:val="18"/>
          <w:szCs w:val="20"/>
        </w:rPr>
        <w:t>p &lt; 0.001.</w:t>
      </w:r>
      <w:r w:rsidRPr="00A60FD5">
        <w:t xml:space="preserve">  </w:t>
      </w:r>
    </w:p>
    <w:p w14:paraId="7FF3894B" w14:textId="504A4A67" w:rsidR="009211ED" w:rsidRPr="00A60FD5" w:rsidRDefault="009211ED" w:rsidP="009211ED">
      <w:pPr>
        <w:spacing w:after="0" w:line="240" w:lineRule="auto"/>
        <w:jc w:val="center"/>
        <w:rPr>
          <w:rFonts w:ascii="Times New Roman" w:hAnsi="Times New Roman"/>
          <w:b/>
          <w:sz w:val="24"/>
          <w:szCs w:val="20"/>
          <w:vertAlign w:val="superscript"/>
        </w:rPr>
      </w:pPr>
      <w:r w:rsidRPr="00A60FD5">
        <w:rPr>
          <w:rFonts w:ascii="Times New Roman" w:hAnsi="Times New Roman"/>
          <w:b/>
          <w:sz w:val="24"/>
          <w:szCs w:val="18"/>
        </w:rPr>
        <w:lastRenderedPageBreak/>
        <w:t xml:space="preserve">FIGURE 1: Joint effect of monitoring and coordination orientations on </w:t>
      </w:r>
      <w:r w:rsidR="003D1832" w:rsidRPr="00A60FD5">
        <w:rPr>
          <w:rFonts w:ascii="Times New Roman" w:hAnsi="Times New Roman"/>
          <w:b/>
          <w:sz w:val="24"/>
          <w:szCs w:val="18"/>
        </w:rPr>
        <w:t>the likelihood of arbitration provisions</w:t>
      </w:r>
    </w:p>
    <w:p w14:paraId="78D884B3" w14:textId="6D47528E" w:rsidR="00417594" w:rsidRPr="00FD4451" w:rsidRDefault="009211ED" w:rsidP="00417594">
      <w:pPr>
        <w:jc w:val="center"/>
      </w:pPr>
      <w:r w:rsidRPr="00A60FD5">
        <w:rPr>
          <w:noProof/>
        </w:rPr>
        <w:drawing>
          <wp:inline distT="0" distB="0" distL="0" distR="0" wp14:anchorId="659A360B" wp14:editId="53E4C64A">
            <wp:extent cx="5759450" cy="4093409"/>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9450" cy="4093409"/>
                    </a:xfrm>
                    <a:prstGeom prst="rect">
                      <a:avLst/>
                    </a:prstGeom>
                    <a:noFill/>
                    <a:ln>
                      <a:noFill/>
                    </a:ln>
                  </pic:spPr>
                </pic:pic>
              </a:graphicData>
            </a:graphic>
          </wp:inline>
        </w:drawing>
      </w:r>
    </w:p>
    <w:p w14:paraId="5130DEF7" w14:textId="77777777" w:rsidR="00417594" w:rsidRPr="00FD4451" w:rsidRDefault="00417594" w:rsidP="00BF5C21">
      <w:pPr>
        <w:spacing w:after="0" w:line="480" w:lineRule="auto"/>
        <w:ind w:firstLine="708"/>
      </w:pPr>
    </w:p>
    <w:sectPr w:rsidR="00417594" w:rsidRPr="00FD4451" w:rsidSect="00244AE0">
      <w:pgSz w:w="11906" w:h="16838" w:code="9"/>
      <w:pgMar w:top="1418" w:right="1418" w:bottom="1418" w:left="1418"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694679D" w16cid:durableId="1E15D595"/>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AD2F58" w14:textId="77777777" w:rsidR="005F154B" w:rsidRDefault="005F154B" w:rsidP="007567DC">
      <w:pPr>
        <w:spacing w:after="0" w:line="240" w:lineRule="auto"/>
      </w:pPr>
      <w:r>
        <w:separator/>
      </w:r>
    </w:p>
  </w:endnote>
  <w:endnote w:type="continuationSeparator" w:id="0">
    <w:p w14:paraId="136A8576" w14:textId="77777777" w:rsidR="005F154B" w:rsidRDefault="005F154B" w:rsidP="007567DC">
      <w:pPr>
        <w:spacing w:after="0" w:line="240" w:lineRule="auto"/>
      </w:pPr>
      <w:r>
        <w:continuationSeparator/>
      </w:r>
    </w:p>
  </w:endnote>
  <w:endnote w:type="continuationNotice" w:id="1">
    <w:p w14:paraId="164C3F97" w14:textId="77777777" w:rsidR="005F154B" w:rsidRDefault="005F154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SimSun">
    <w:panose1 w:val="02010600030101010101"/>
    <w:charset w:val="86"/>
    <w:family w:val="auto"/>
    <w:pitch w:val="variable"/>
    <w:sig w:usb0="00000003" w:usb1="288F0000" w:usb2="00000016" w:usb3="00000000" w:csb0="00040001" w:csb1="00000000"/>
  </w:font>
  <w:font w:name="宋体">
    <w:charset w:val="86"/>
    <w:family w:val="auto"/>
    <w:pitch w:val="variable"/>
    <w:sig w:usb0="00000003" w:usb1="288F0000" w:usb2="00000016" w:usb3="00000000" w:csb0="00040001"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1014840"/>
      <w:docPartObj>
        <w:docPartGallery w:val="Page Numbers (Bottom of Page)"/>
        <w:docPartUnique/>
      </w:docPartObj>
    </w:sdtPr>
    <w:sdtEndPr/>
    <w:sdtContent>
      <w:p w14:paraId="2624BDC9" w14:textId="2FBF95AB" w:rsidR="00EC5AD6" w:rsidRDefault="00EC5AD6">
        <w:pPr>
          <w:pStyle w:val="Footer"/>
          <w:jc w:val="center"/>
        </w:pPr>
        <w:r>
          <w:fldChar w:fldCharType="begin"/>
        </w:r>
        <w:r>
          <w:instrText>PAGE   \* MERGEFORMAT</w:instrText>
        </w:r>
        <w:r>
          <w:fldChar w:fldCharType="separate"/>
        </w:r>
        <w:r w:rsidR="004E1806" w:rsidRPr="004E1806">
          <w:rPr>
            <w:noProof/>
            <w:lang w:val="fr-FR"/>
          </w:rPr>
          <w:t>1</w:t>
        </w:r>
        <w:r>
          <w:fldChar w:fldCharType="end"/>
        </w:r>
      </w:p>
    </w:sdtContent>
  </w:sdt>
  <w:p w14:paraId="6A91896E" w14:textId="77777777" w:rsidR="00EC5AD6" w:rsidRDefault="00EC5AD6" w:rsidP="0004292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3651752"/>
      <w:docPartObj>
        <w:docPartGallery w:val="Page Numbers (Bottom of Page)"/>
        <w:docPartUnique/>
      </w:docPartObj>
    </w:sdtPr>
    <w:sdtEndPr/>
    <w:sdtContent>
      <w:p w14:paraId="48A5094F" w14:textId="0C9688CA" w:rsidR="00EC5AD6" w:rsidRDefault="00EC5AD6">
        <w:pPr>
          <w:pStyle w:val="Footer"/>
          <w:jc w:val="center"/>
        </w:pPr>
        <w:r>
          <w:fldChar w:fldCharType="begin"/>
        </w:r>
        <w:r>
          <w:instrText>PAGE   \* MERGEFORMAT</w:instrText>
        </w:r>
        <w:r>
          <w:fldChar w:fldCharType="separate"/>
        </w:r>
        <w:r w:rsidR="004E1806" w:rsidRPr="004E1806">
          <w:rPr>
            <w:noProof/>
            <w:lang w:val="fr-FR"/>
          </w:rPr>
          <w:t>55</w:t>
        </w:r>
        <w:r>
          <w:fldChar w:fldCharType="end"/>
        </w:r>
      </w:p>
    </w:sdtContent>
  </w:sdt>
  <w:p w14:paraId="40EBAE3D" w14:textId="77777777" w:rsidR="00EC5AD6" w:rsidRDefault="00EC5AD6" w:rsidP="000B18A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D672F8" w14:textId="77777777" w:rsidR="005F154B" w:rsidRDefault="005F154B" w:rsidP="007567DC">
      <w:pPr>
        <w:spacing w:after="0" w:line="240" w:lineRule="auto"/>
      </w:pPr>
      <w:r>
        <w:separator/>
      </w:r>
    </w:p>
  </w:footnote>
  <w:footnote w:type="continuationSeparator" w:id="0">
    <w:p w14:paraId="43D9C63F" w14:textId="77777777" w:rsidR="005F154B" w:rsidRDefault="005F154B" w:rsidP="007567DC">
      <w:pPr>
        <w:spacing w:after="0" w:line="240" w:lineRule="auto"/>
      </w:pPr>
      <w:r>
        <w:continuationSeparator/>
      </w:r>
    </w:p>
  </w:footnote>
  <w:footnote w:type="continuationNotice" w:id="1">
    <w:p w14:paraId="08DB0413" w14:textId="77777777" w:rsidR="005F154B" w:rsidRDefault="005F154B">
      <w:pPr>
        <w:spacing w:after="0" w:line="240" w:lineRule="auto"/>
      </w:pPr>
    </w:p>
  </w:footnote>
  <w:footnote w:id="2">
    <w:p w14:paraId="4981EA1D" w14:textId="48BA8B7D" w:rsidR="00EC5AD6" w:rsidRPr="001821A2" w:rsidRDefault="00EC5AD6" w:rsidP="001821A2">
      <w:pPr>
        <w:pStyle w:val="FootnoteText"/>
        <w:spacing w:line="276" w:lineRule="auto"/>
        <w:rPr>
          <w:rFonts w:ascii="Times New Roman" w:hAnsi="Times New Roman" w:cs="Times New Roman"/>
        </w:rPr>
      </w:pPr>
      <w:r w:rsidRPr="001821A2">
        <w:rPr>
          <w:rStyle w:val="FootnoteReference"/>
          <w:rFonts w:ascii="Times New Roman" w:hAnsi="Times New Roman" w:cs="Times New Roman"/>
        </w:rPr>
        <w:footnoteRef/>
      </w:r>
      <w:r w:rsidRPr="001821A2">
        <w:rPr>
          <w:rFonts w:ascii="Times New Roman" w:hAnsi="Times New Roman" w:cs="Times New Roman"/>
        </w:rPr>
        <w:t xml:space="preserve"> Speed and cost effectiveness are also explained by the fact that arbitrators have different incentives </w:t>
      </w:r>
      <w:r>
        <w:rPr>
          <w:rFonts w:ascii="Times New Roman" w:hAnsi="Times New Roman" w:cs="Times New Roman"/>
        </w:rPr>
        <w:t>from</w:t>
      </w:r>
      <w:r w:rsidRPr="001821A2">
        <w:rPr>
          <w:rFonts w:ascii="Times New Roman" w:hAnsi="Times New Roman" w:cs="Times New Roman"/>
        </w:rPr>
        <w:t xml:space="preserve"> judges when resolving disputes. Drahozal and Hylton write (2003, p. 559)</w:t>
      </w:r>
      <w:r>
        <w:rPr>
          <w:rFonts w:ascii="Times New Roman" w:hAnsi="Times New Roman" w:cs="Times New Roman"/>
        </w:rPr>
        <w:t xml:space="preserve"> that</w:t>
      </w:r>
      <w:r w:rsidRPr="001821A2">
        <w:rPr>
          <w:rFonts w:ascii="Times New Roman" w:hAnsi="Times New Roman" w:cs="Times New Roman"/>
        </w:rPr>
        <w:t xml:space="preserve"> “arbitrators are selected by the parties and are paid only when they hear a case. Judges, by contrast, are assigned randomly to cases and paid fixed salaries by the government. As a result, arbitrators compete for business and have an incentive to resolve disputes so as to enhance the governance benefits net of dispute-resolution costs for the contracting parties.”</w:t>
      </w:r>
    </w:p>
  </w:footnote>
  <w:footnote w:id="3">
    <w:p w14:paraId="1C871691" w14:textId="03029C18" w:rsidR="00EC5AD6" w:rsidRPr="001821A2" w:rsidRDefault="00EC5AD6" w:rsidP="001821A2">
      <w:pPr>
        <w:pStyle w:val="FootnoteText"/>
        <w:spacing w:line="276" w:lineRule="auto"/>
        <w:rPr>
          <w:rFonts w:ascii="Times New Roman" w:hAnsi="Times New Roman" w:cs="Times New Roman"/>
        </w:rPr>
      </w:pPr>
      <w:r w:rsidRPr="001821A2">
        <w:rPr>
          <w:rStyle w:val="FootnoteReference"/>
          <w:rFonts w:ascii="Times New Roman" w:hAnsi="Times New Roman" w:cs="Times New Roman"/>
        </w:rPr>
        <w:footnoteRef/>
      </w:r>
      <w:r w:rsidRPr="001821A2">
        <w:rPr>
          <w:rFonts w:ascii="Times New Roman" w:hAnsi="Times New Roman" w:cs="Times New Roman"/>
        </w:rPr>
        <w:t xml:space="preserve"> </w:t>
      </w:r>
      <w:r w:rsidRPr="001821A2">
        <w:rPr>
          <w:rFonts w:ascii="Times New Roman" w:hAnsi="Times New Roman" w:cs="Times New Roman"/>
          <w:bCs/>
        </w:rPr>
        <w:t>The sectors represented by the association are: aerospace, industrial automation, electronics, mechanical and mechatronic engineering, automobiles, metals and materials, assembly and cranes, plastics, building products, information and communication technologies, and metal fabrication.</w:t>
      </w:r>
    </w:p>
  </w:footnote>
  <w:footnote w:id="4">
    <w:p w14:paraId="0579773F" w14:textId="77777777" w:rsidR="00EC5AD6" w:rsidRPr="001821A2" w:rsidRDefault="00EC5AD6" w:rsidP="001821A2">
      <w:pPr>
        <w:pStyle w:val="FootnoteText"/>
        <w:spacing w:line="276" w:lineRule="auto"/>
        <w:rPr>
          <w:rFonts w:ascii="Times New Roman" w:hAnsi="Times New Roman" w:cs="Times New Roman"/>
        </w:rPr>
      </w:pPr>
      <w:r w:rsidRPr="001821A2">
        <w:rPr>
          <w:rStyle w:val="FootnoteReference"/>
          <w:rFonts w:ascii="Times New Roman" w:hAnsi="Times New Roman" w:cs="Times New Roman"/>
        </w:rPr>
        <w:footnoteRef/>
      </w:r>
      <w:r w:rsidRPr="001821A2">
        <w:rPr>
          <w:rFonts w:ascii="Times New Roman" w:hAnsi="Times New Roman" w:cs="Times New Roman"/>
        </w:rPr>
        <w:t xml:space="preserve"> Details are available upon request.</w:t>
      </w:r>
    </w:p>
  </w:footnote>
  <w:footnote w:id="5">
    <w:p w14:paraId="7AAB837D" w14:textId="1FBF8D63" w:rsidR="00EC5AD6" w:rsidRPr="00D91B7B" w:rsidRDefault="00EC5AD6" w:rsidP="009168EF">
      <w:pPr>
        <w:pStyle w:val="FootnoteText"/>
        <w:rPr>
          <w:rFonts w:ascii="Times New Roman" w:hAnsi="Times New Roman" w:cs="Times New Roman"/>
        </w:rPr>
      </w:pPr>
      <w:r>
        <w:rPr>
          <w:rStyle w:val="FootnoteReference"/>
        </w:rPr>
        <w:footnoteRef/>
      </w:r>
      <w:r>
        <w:t xml:space="preserve"> </w:t>
      </w:r>
      <w:r w:rsidRPr="009168EF">
        <w:t xml:space="preserve"> </w:t>
      </w:r>
      <w:r w:rsidRPr="009168EF">
        <w:rPr>
          <w:rFonts w:ascii="Times New Roman" w:hAnsi="Times New Roman" w:cs="Times New Roman"/>
        </w:rPr>
        <w:t xml:space="preserve">This relatively low response rate can be explained by the fact that numerous firms contacted did not use licensing and thus the potential informants in those firms did not necessarily feel concerned by the survey topic. Also, executives tend to be reluctant to reveal sensitive information about contract details despite promises of confidentiality (Carson et al., 2006; Weber et al., 2011). This is particularly true for licensing contracts, which are often kept highly confidential (Bessy and Brousseau, 1998). Moreover, the top executives targeted by research on partnerships, as in our study, tend to </w:t>
      </w:r>
      <w:r>
        <w:rPr>
          <w:rFonts w:ascii="Times New Roman" w:hAnsi="Times New Roman" w:cs="Times New Roman"/>
        </w:rPr>
        <w:t>receive a lot of requests to answer</w:t>
      </w:r>
      <w:r w:rsidRPr="009168EF">
        <w:rPr>
          <w:rFonts w:ascii="Times New Roman" w:hAnsi="Times New Roman" w:cs="Times New Roman"/>
        </w:rPr>
        <w:t xml:space="preserve"> surveys (Poppo and Zenger, 2002) </w:t>
      </w:r>
      <w:r>
        <w:rPr>
          <w:rFonts w:ascii="Times New Roman" w:hAnsi="Times New Roman" w:cs="Times New Roman"/>
        </w:rPr>
        <w:t>and are</w:t>
      </w:r>
      <w:r w:rsidRPr="009168EF">
        <w:rPr>
          <w:rFonts w:ascii="Times New Roman" w:hAnsi="Times New Roman" w:cs="Times New Roman"/>
        </w:rPr>
        <w:t xml:space="preserve"> extremely busy individuals (Baruch and Holtom, 2008; Bednar and Westphal, 2006). The targeted respondents were chief executive officers, chief financial officers, R&amp;D department managers, IP department managers or legal department heads. This may also explain the relatively low response rate. Even though questionnaires were sometimes redirected to and completed by mid-level managers, they were initially sent to the contacts that we obtained from the Belgian trade association for high-tech industries, most of whom were top executives. </w:t>
      </w:r>
    </w:p>
  </w:footnote>
  <w:footnote w:id="6">
    <w:p w14:paraId="01EA2F98" w14:textId="2DDAB92A" w:rsidR="00EC5AD6" w:rsidRPr="00EF7841" w:rsidRDefault="00EC5AD6" w:rsidP="001B3E66">
      <w:pPr>
        <w:pStyle w:val="FootnoteText"/>
        <w:rPr>
          <w:rFonts w:ascii="Times New Roman" w:hAnsi="Times New Roman" w:cs="Times New Roman"/>
        </w:rPr>
      </w:pPr>
      <w:r w:rsidRPr="00DE2A18">
        <w:rPr>
          <w:rStyle w:val="FootnoteReference"/>
          <w:rFonts w:ascii="Times New Roman" w:hAnsi="Times New Roman" w:cs="Times New Roman"/>
        </w:rPr>
        <w:footnoteRef/>
      </w:r>
      <w:r w:rsidRPr="00DE2A18">
        <w:rPr>
          <w:rFonts w:ascii="Times New Roman" w:hAnsi="Times New Roman" w:cs="Times New Roman"/>
        </w:rPr>
        <w:t xml:space="preserve"> </w:t>
      </w:r>
      <w:r w:rsidRPr="00481054">
        <w:rPr>
          <w:rFonts w:ascii="Times New Roman" w:hAnsi="Times New Roman" w:cs="Times New Roman"/>
          <w:bCs/>
        </w:rPr>
        <w:t xml:space="preserve">Some firms participated only as a licensor or as a licensee, while others negotiated both in- and out-licensing transactions. When the respondent indicated that his/her firm had exclusively been a licensor, we asked him/her to describe one of the out-licensing transactions. Similarly, if the firm had exclusively been a licensee, we asked the respondent to select an in-licensing transaction. In situations where the respondent mentioned that his/her firm negotiated more out-licensing than in-licensing, he/she was asked to describe one out-licensing partnership, and </w:t>
      </w:r>
      <w:r w:rsidRPr="000175CF">
        <w:rPr>
          <w:rFonts w:ascii="Times New Roman" w:hAnsi="Times New Roman" w:cs="Times New Roman"/>
          <w:bCs/>
          <w:i/>
        </w:rPr>
        <w:t>vice versa</w:t>
      </w:r>
      <w:r w:rsidRPr="00481054">
        <w:rPr>
          <w:rFonts w:ascii="Times New Roman" w:hAnsi="Times New Roman" w:cs="Times New Roman"/>
          <w:bCs/>
        </w:rPr>
        <w:t xml:space="preserve">. In cases where firms had negotiated as many out-licensing partnerships as in-licensing partnerships, the respondent could pick either one or the other. </w:t>
      </w:r>
      <w:r w:rsidRPr="00481054">
        <w:rPr>
          <w:rFonts w:ascii="Times New Roman" w:eastAsiaTheme="minorEastAsia" w:hAnsi="Times New Roman" w:cs="Times New Roman"/>
        </w:rPr>
        <w:t>Respondents had the opportunity to describe more than one licen</w:t>
      </w:r>
      <w:r w:rsidRPr="00EF7841">
        <w:rPr>
          <w:rFonts w:ascii="Times New Roman" w:eastAsiaTheme="minorEastAsia" w:hAnsi="Times New Roman" w:cs="Times New Roman"/>
        </w:rPr>
        <w:t xml:space="preserve">sing partnership if they so desired. </w:t>
      </w:r>
    </w:p>
  </w:footnote>
  <w:footnote w:id="7">
    <w:p w14:paraId="10309ABD" w14:textId="77777777" w:rsidR="00EC5AD6" w:rsidRPr="007C6FF9" w:rsidRDefault="00EC5AD6" w:rsidP="001B3E66">
      <w:pPr>
        <w:pStyle w:val="FootnoteText"/>
        <w:rPr>
          <w:rFonts w:ascii="Times New Roman" w:hAnsi="Times New Roman" w:cs="Times New Roman"/>
        </w:rPr>
      </w:pPr>
      <w:r w:rsidRPr="00EF7841">
        <w:rPr>
          <w:rStyle w:val="FootnoteReference"/>
          <w:rFonts w:ascii="Times New Roman" w:hAnsi="Times New Roman" w:cs="Times New Roman"/>
        </w:rPr>
        <w:footnoteRef/>
      </w:r>
      <w:r w:rsidRPr="00EF7841">
        <w:rPr>
          <w:rFonts w:ascii="Times New Roman" w:hAnsi="Times New Roman" w:cs="Times New Roman"/>
        </w:rPr>
        <w:t xml:space="preserve"> </w:t>
      </w:r>
      <w:r>
        <w:rPr>
          <w:rFonts w:ascii="Times New Roman" w:hAnsi="Times New Roman" w:cs="Times New Roman"/>
        </w:rPr>
        <w:t xml:space="preserve">Although we carefully relied on prior studies for crafting the questions and pre-tested earlier versions of the questionnaire with experts, three scales in particular could lead to potential systematic differences: </w:t>
      </w:r>
      <w:r w:rsidRPr="00EF7841">
        <w:rPr>
          <w:rFonts w:ascii="Times New Roman" w:hAnsi="Times New Roman" w:cs="Times New Roman"/>
          <w:i/>
        </w:rPr>
        <w:t>observability of the</w:t>
      </w:r>
      <w:r>
        <w:rPr>
          <w:rFonts w:ascii="Times New Roman" w:hAnsi="Times New Roman" w:cs="Times New Roman"/>
          <w:i/>
        </w:rPr>
        <w:t xml:space="preserve"> licensee’s behavior, tacitness of the technology transferred </w:t>
      </w:r>
      <w:r>
        <w:rPr>
          <w:rFonts w:ascii="Times New Roman" w:hAnsi="Times New Roman" w:cs="Times New Roman"/>
        </w:rPr>
        <w:t xml:space="preserve">and </w:t>
      </w:r>
      <w:r>
        <w:rPr>
          <w:rFonts w:ascii="Times New Roman" w:hAnsi="Times New Roman" w:cs="Times New Roman"/>
          <w:i/>
        </w:rPr>
        <w:t xml:space="preserve">specific investments made by the licensee. </w:t>
      </w:r>
      <w:r>
        <w:rPr>
          <w:rFonts w:ascii="Times New Roman" w:hAnsi="Times New Roman" w:cs="Times New Roman"/>
        </w:rPr>
        <w:t xml:space="preserve"> </w:t>
      </w:r>
    </w:p>
  </w:footnote>
  <w:footnote w:id="8">
    <w:p w14:paraId="56DE4157" w14:textId="3F62E3BC" w:rsidR="00EC5AD6" w:rsidRPr="00A35B13" w:rsidRDefault="00EC5AD6">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Procedural precautions were undertaken by explicitly asking the respondent to “describe one specific licensing agreement, still active, and representative of the licensing agreements concluded by their firm”.</w:t>
      </w:r>
    </w:p>
  </w:footnote>
  <w:footnote w:id="9">
    <w:p w14:paraId="7926C718" w14:textId="77777777" w:rsidR="00EC5AD6" w:rsidRPr="001821A2" w:rsidRDefault="00EC5AD6" w:rsidP="00853739">
      <w:pPr>
        <w:pStyle w:val="FootnoteText"/>
        <w:spacing w:line="276" w:lineRule="auto"/>
        <w:rPr>
          <w:rFonts w:ascii="Times New Roman" w:hAnsi="Times New Roman" w:cs="Times New Roman"/>
        </w:rPr>
      </w:pPr>
      <w:r w:rsidRPr="001821A2">
        <w:rPr>
          <w:rStyle w:val="FootnoteReference"/>
          <w:rFonts w:ascii="Times New Roman" w:hAnsi="Times New Roman" w:cs="Times New Roman"/>
        </w:rPr>
        <w:footnoteRef/>
      </w:r>
      <w:r w:rsidRPr="001821A2">
        <w:rPr>
          <w:rFonts w:ascii="Times New Roman" w:hAnsi="Times New Roman" w:cs="Times New Roman"/>
        </w:rPr>
        <w:t xml:space="preserve"> Four firms described two licensing exchanges, three firms described three licensing exchanges, and two firms described four licensing exchanges.</w:t>
      </w:r>
    </w:p>
  </w:footnote>
  <w:footnote w:id="10">
    <w:p w14:paraId="50FB11A1" w14:textId="4AABCDE3" w:rsidR="00EC5AD6" w:rsidRDefault="00EC5AD6" w:rsidP="00871F6E">
      <w:pPr>
        <w:pStyle w:val="FootnoteText"/>
      </w:pPr>
      <w:r>
        <w:rPr>
          <w:rStyle w:val="FootnoteReference"/>
        </w:rPr>
        <w:footnoteRef/>
      </w:r>
      <w:r>
        <w:t xml:space="preserve"> </w:t>
      </w:r>
      <w:r>
        <w:rPr>
          <w:rFonts w:ascii="Times New Roman" w:hAnsi="Times New Roman" w:cs="Times New Roman"/>
        </w:rPr>
        <w:t xml:space="preserve">As a robustness check, we create </w:t>
      </w:r>
      <w:r w:rsidRPr="00871F6E">
        <w:rPr>
          <w:rFonts w:ascii="Times New Roman" w:hAnsi="Times New Roman" w:cs="Times New Roman"/>
        </w:rPr>
        <w:t xml:space="preserve">a categorical variable named </w:t>
      </w:r>
      <w:r w:rsidRPr="00853BB9">
        <w:rPr>
          <w:rFonts w:ascii="Times New Roman" w:hAnsi="Times New Roman" w:cs="Times New Roman"/>
          <w:i/>
        </w:rPr>
        <w:t>specific investments made by the licensor</w:t>
      </w:r>
      <w:r>
        <w:rPr>
          <w:rFonts w:ascii="Times New Roman" w:hAnsi="Times New Roman" w:cs="Times New Roman"/>
        </w:rPr>
        <w:t xml:space="preserve">, which </w:t>
      </w:r>
      <w:r w:rsidRPr="00871F6E">
        <w:rPr>
          <w:rFonts w:ascii="Times New Roman" w:hAnsi="Times New Roman" w:cs="Times New Roman"/>
        </w:rPr>
        <w:t xml:space="preserve">takes the value of zero if the license is non-exclusive (66.0%), of one if the license is exclusive and the licensor’s technological capabilities remain below </w:t>
      </w:r>
      <w:r>
        <w:rPr>
          <w:rFonts w:ascii="Times New Roman" w:hAnsi="Times New Roman" w:cs="Times New Roman"/>
        </w:rPr>
        <w:t>its</w:t>
      </w:r>
      <w:r w:rsidRPr="00871F6E">
        <w:rPr>
          <w:rFonts w:ascii="Times New Roman" w:hAnsi="Times New Roman" w:cs="Times New Roman"/>
        </w:rPr>
        <w:t xml:space="preserve"> mean value of 3 (15.1%), and of two if the license is exclusive and the licensor’s technological capabilities are greater than </w:t>
      </w:r>
      <w:r>
        <w:rPr>
          <w:rFonts w:ascii="Times New Roman" w:hAnsi="Times New Roman" w:cs="Times New Roman"/>
        </w:rPr>
        <w:t>its</w:t>
      </w:r>
      <w:r w:rsidRPr="00871F6E">
        <w:rPr>
          <w:rFonts w:ascii="Times New Roman" w:hAnsi="Times New Roman" w:cs="Times New Roman"/>
        </w:rPr>
        <w:t xml:space="preserve"> mean value of 3 (18.9%).</w:t>
      </w:r>
      <w:r>
        <w:rPr>
          <w:rFonts w:ascii="Times New Roman" w:hAnsi="Times New Roman" w:cs="Times New Roman"/>
        </w:rPr>
        <w:t xml:space="preserve"> The results remain stable, as explained in footnote 11.</w:t>
      </w:r>
    </w:p>
  </w:footnote>
  <w:footnote w:id="11">
    <w:p w14:paraId="27A5177B" w14:textId="5DA25777" w:rsidR="00EC5AD6" w:rsidRPr="001821A2" w:rsidRDefault="00EC5AD6" w:rsidP="00220E4C">
      <w:pPr>
        <w:pStyle w:val="FootnoteText"/>
        <w:spacing w:line="276" w:lineRule="auto"/>
        <w:rPr>
          <w:rFonts w:ascii="Times New Roman" w:hAnsi="Times New Roman" w:cs="Times New Roman"/>
        </w:rPr>
      </w:pPr>
      <w:r w:rsidRPr="001821A2">
        <w:rPr>
          <w:rStyle w:val="FootnoteReference"/>
          <w:rFonts w:ascii="Times New Roman" w:hAnsi="Times New Roman" w:cs="Times New Roman"/>
        </w:rPr>
        <w:footnoteRef/>
      </w:r>
      <w:r w:rsidRPr="001821A2">
        <w:rPr>
          <w:rFonts w:ascii="Times New Roman" w:hAnsi="Times New Roman" w:cs="Times New Roman"/>
        </w:rPr>
        <w:t xml:space="preserve"> As a robustness check, we ran the regressions without including observations in which the option “I don’t know” was selected (i.e., 15 observations). We obtain similar results</w:t>
      </w:r>
      <w:r>
        <w:rPr>
          <w:rFonts w:ascii="Times New Roman" w:hAnsi="Times New Roman" w:cs="Times New Roman"/>
        </w:rPr>
        <w:t xml:space="preserve"> which are</w:t>
      </w:r>
      <w:r w:rsidRPr="001821A2">
        <w:rPr>
          <w:rFonts w:ascii="Times New Roman" w:hAnsi="Times New Roman" w:cs="Times New Roman"/>
        </w:rPr>
        <w:t xml:space="preserve"> available upon request. </w:t>
      </w:r>
    </w:p>
  </w:footnote>
  <w:footnote w:id="12">
    <w:p w14:paraId="308C74C6" w14:textId="129FD387" w:rsidR="00EC5AD6" w:rsidRDefault="00EC5AD6">
      <w:pPr>
        <w:pStyle w:val="FootnoteText"/>
      </w:pPr>
      <w:r>
        <w:rPr>
          <w:rStyle w:val="FootnoteReference"/>
        </w:rPr>
        <w:footnoteRef/>
      </w:r>
      <w:r>
        <w:t xml:space="preserve"> </w:t>
      </w:r>
      <w:r>
        <w:rPr>
          <w:rFonts w:ascii="Times New Roman" w:hAnsi="Times New Roman" w:cs="Times New Roman"/>
        </w:rPr>
        <w:t>After</w:t>
      </w:r>
      <w:r w:rsidRPr="00871F6E">
        <w:rPr>
          <w:rFonts w:ascii="Times New Roman" w:hAnsi="Times New Roman" w:cs="Times New Roman"/>
        </w:rPr>
        <w:t xml:space="preserve"> replacing our variables </w:t>
      </w:r>
      <w:r w:rsidRPr="00D1005A">
        <w:rPr>
          <w:rFonts w:ascii="Times New Roman" w:hAnsi="Times New Roman" w:cs="Times New Roman"/>
          <w:i/>
        </w:rPr>
        <w:t>technological capabilities</w:t>
      </w:r>
      <w:r w:rsidRPr="00871F6E">
        <w:rPr>
          <w:rFonts w:ascii="Times New Roman" w:hAnsi="Times New Roman" w:cs="Times New Roman"/>
        </w:rPr>
        <w:t xml:space="preserve"> and </w:t>
      </w:r>
      <w:r w:rsidRPr="00D1005A">
        <w:rPr>
          <w:rFonts w:ascii="Times New Roman" w:hAnsi="Times New Roman" w:cs="Times New Roman"/>
          <w:i/>
        </w:rPr>
        <w:t>exclusivity</w:t>
      </w:r>
      <w:r w:rsidRPr="00871F6E">
        <w:rPr>
          <w:rFonts w:ascii="Times New Roman" w:hAnsi="Times New Roman" w:cs="Times New Roman"/>
        </w:rPr>
        <w:t xml:space="preserve"> by th</w:t>
      </w:r>
      <w:r>
        <w:rPr>
          <w:rFonts w:ascii="Times New Roman" w:hAnsi="Times New Roman" w:cs="Times New Roman"/>
        </w:rPr>
        <w:t>e alternative</w:t>
      </w:r>
      <w:r w:rsidRPr="00871F6E">
        <w:rPr>
          <w:rFonts w:ascii="Times New Roman" w:hAnsi="Times New Roman" w:cs="Times New Roman"/>
        </w:rPr>
        <w:t xml:space="preserve"> variable </w:t>
      </w:r>
      <w:r w:rsidRPr="00D1005A">
        <w:rPr>
          <w:rFonts w:ascii="Times New Roman" w:hAnsi="Times New Roman" w:cs="Times New Roman"/>
          <w:i/>
        </w:rPr>
        <w:t>specific investments made by the licensor</w:t>
      </w:r>
      <w:r w:rsidRPr="00871F6E">
        <w:rPr>
          <w:rFonts w:ascii="Times New Roman" w:hAnsi="Times New Roman" w:cs="Times New Roman"/>
        </w:rPr>
        <w:t xml:space="preserve"> in our models, we do not notice changes in the findings. More precisely, this computed variable does not significantly influence the extent of monitoring and coordination provisions included in the licensing contract. It </w:t>
      </w:r>
      <w:r>
        <w:rPr>
          <w:rFonts w:ascii="Times New Roman" w:hAnsi="Times New Roman" w:cs="Times New Roman"/>
        </w:rPr>
        <w:t xml:space="preserve">does </w:t>
      </w:r>
      <w:r w:rsidRPr="00871F6E">
        <w:rPr>
          <w:rFonts w:ascii="Times New Roman" w:hAnsi="Times New Roman" w:cs="Times New Roman"/>
        </w:rPr>
        <w:t>however negatively influence</w:t>
      </w:r>
      <w:r>
        <w:rPr>
          <w:rFonts w:ascii="Times New Roman" w:hAnsi="Times New Roman" w:cs="Times New Roman"/>
        </w:rPr>
        <w:t xml:space="preserve"> </w:t>
      </w:r>
      <w:r w:rsidRPr="00871F6E">
        <w:rPr>
          <w:rFonts w:ascii="Times New Roman" w:hAnsi="Times New Roman" w:cs="Times New Roman"/>
        </w:rPr>
        <w:t>the occurrence of an arbitration provision (</w:t>
      </w:r>
      <w:r w:rsidRPr="00871F6E">
        <w:rPr>
          <w:rFonts w:ascii="Times New Roman" w:hAnsi="Times New Roman" w:cs="Times New Roman"/>
          <w:i/>
        </w:rPr>
        <w:t>p</w:t>
      </w:r>
      <w:r>
        <w:rPr>
          <w:rFonts w:ascii="Times New Roman" w:hAnsi="Times New Roman" w:cs="Times New Roman"/>
        </w:rPr>
        <w:t xml:space="preserve"> </w:t>
      </w:r>
      <w:r w:rsidRPr="00871F6E">
        <w:rPr>
          <w:rFonts w:ascii="Times New Roman" w:hAnsi="Times New Roman" w:cs="Times New Roman"/>
        </w:rPr>
        <w:t>&lt; 0.01). This latter result supports the findings obtained while considering the variable exclusivity alone.</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730C374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7D82903"/>
    <w:multiLevelType w:val="hybridMultilevel"/>
    <w:tmpl w:val="694AB830"/>
    <w:lvl w:ilvl="0" w:tplc="C20A75CA">
      <w:numFmt w:val="bullet"/>
      <w:lvlText w:val="-"/>
      <w:lvlJc w:val="left"/>
      <w:pPr>
        <w:ind w:left="720" w:hanging="360"/>
      </w:pPr>
      <w:rPr>
        <w:rFonts w:ascii="Calibri" w:eastAsia="Calibri" w:hAnsi="Calibri" w:cs="Times New Roman" w:hint="default"/>
        <w:sz w:val="23"/>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997277F"/>
    <w:multiLevelType w:val="hybridMultilevel"/>
    <w:tmpl w:val="66B836A0"/>
    <w:lvl w:ilvl="0" w:tplc="080C0019">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nsid w:val="0A383389"/>
    <w:multiLevelType w:val="hybridMultilevel"/>
    <w:tmpl w:val="49B4E0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5447D8"/>
    <w:multiLevelType w:val="hybridMultilevel"/>
    <w:tmpl w:val="428C8446"/>
    <w:lvl w:ilvl="0" w:tplc="18B89868">
      <w:start w:val="3"/>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ED368B0"/>
    <w:multiLevelType w:val="hybridMultilevel"/>
    <w:tmpl w:val="D44AB69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0F87502B"/>
    <w:multiLevelType w:val="hybridMultilevel"/>
    <w:tmpl w:val="B5227824"/>
    <w:lvl w:ilvl="0" w:tplc="E726575C">
      <w:numFmt w:val="bullet"/>
      <w:lvlText w:val="-"/>
      <w:lvlJc w:val="left"/>
      <w:pPr>
        <w:ind w:left="720" w:hanging="360"/>
      </w:pPr>
      <w:rPr>
        <w:rFonts w:ascii="Calibri" w:eastAsia="Calibri" w:hAnsi="Calibri"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B61CB4"/>
    <w:multiLevelType w:val="hybridMultilevel"/>
    <w:tmpl w:val="FF1EC166"/>
    <w:lvl w:ilvl="0" w:tplc="7F4E5A62">
      <w:numFmt w:val="bullet"/>
      <w:lvlText w:val="-"/>
      <w:lvlJc w:val="left"/>
      <w:pPr>
        <w:ind w:left="720" w:hanging="360"/>
      </w:pPr>
      <w:rPr>
        <w:rFonts w:ascii="Calibri" w:eastAsia="Calibri" w:hAnsi="Calibri"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6462976"/>
    <w:multiLevelType w:val="hybridMultilevel"/>
    <w:tmpl w:val="E7A2D0F8"/>
    <w:lvl w:ilvl="0" w:tplc="777EA502">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6B67ADB"/>
    <w:multiLevelType w:val="hybridMultilevel"/>
    <w:tmpl w:val="3E189CF8"/>
    <w:lvl w:ilvl="0" w:tplc="A3FEEB3E">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B1F3BBA"/>
    <w:multiLevelType w:val="hybridMultilevel"/>
    <w:tmpl w:val="B9AEEAC8"/>
    <w:lvl w:ilvl="0" w:tplc="FC24AA2A">
      <w:numFmt w:val="bullet"/>
      <w:lvlText w:val=""/>
      <w:lvlJc w:val="left"/>
      <w:pPr>
        <w:ind w:left="390" w:hanging="360"/>
      </w:pPr>
      <w:rPr>
        <w:rFonts w:ascii="Wingdings" w:eastAsia="Calibri" w:hAnsi="Wingdings" w:cs="Times New Roman" w:hint="default"/>
      </w:rPr>
    </w:lvl>
    <w:lvl w:ilvl="1" w:tplc="040C0003" w:tentative="1">
      <w:start w:val="1"/>
      <w:numFmt w:val="bullet"/>
      <w:lvlText w:val="o"/>
      <w:lvlJc w:val="left"/>
      <w:pPr>
        <w:ind w:left="1110" w:hanging="360"/>
      </w:pPr>
      <w:rPr>
        <w:rFonts w:ascii="Courier New" w:hAnsi="Courier New" w:cs="Courier New" w:hint="default"/>
      </w:rPr>
    </w:lvl>
    <w:lvl w:ilvl="2" w:tplc="040C0005" w:tentative="1">
      <w:start w:val="1"/>
      <w:numFmt w:val="bullet"/>
      <w:lvlText w:val=""/>
      <w:lvlJc w:val="left"/>
      <w:pPr>
        <w:ind w:left="1830" w:hanging="360"/>
      </w:pPr>
      <w:rPr>
        <w:rFonts w:ascii="Wingdings" w:hAnsi="Wingdings" w:hint="default"/>
      </w:rPr>
    </w:lvl>
    <w:lvl w:ilvl="3" w:tplc="040C0001" w:tentative="1">
      <w:start w:val="1"/>
      <w:numFmt w:val="bullet"/>
      <w:lvlText w:val=""/>
      <w:lvlJc w:val="left"/>
      <w:pPr>
        <w:ind w:left="2550" w:hanging="360"/>
      </w:pPr>
      <w:rPr>
        <w:rFonts w:ascii="Symbol" w:hAnsi="Symbol" w:hint="default"/>
      </w:rPr>
    </w:lvl>
    <w:lvl w:ilvl="4" w:tplc="040C0003" w:tentative="1">
      <w:start w:val="1"/>
      <w:numFmt w:val="bullet"/>
      <w:lvlText w:val="o"/>
      <w:lvlJc w:val="left"/>
      <w:pPr>
        <w:ind w:left="3270" w:hanging="360"/>
      </w:pPr>
      <w:rPr>
        <w:rFonts w:ascii="Courier New" w:hAnsi="Courier New" w:cs="Courier New" w:hint="default"/>
      </w:rPr>
    </w:lvl>
    <w:lvl w:ilvl="5" w:tplc="040C0005" w:tentative="1">
      <w:start w:val="1"/>
      <w:numFmt w:val="bullet"/>
      <w:lvlText w:val=""/>
      <w:lvlJc w:val="left"/>
      <w:pPr>
        <w:ind w:left="3990" w:hanging="360"/>
      </w:pPr>
      <w:rPr>
        <w:rFonts w:ascii="Wingdings" w:hAnsi="Wingdings" w:hint="default"/>
      </w:rPr>
    </w:lvl>
    <w:lvl w:ilvl="6" w:tplc="040C0001" w:tentative="1">
      <w:start w:val="1"/>
      <w:numFmt w:val="bullet"/>
      <w:lvlText w:val=""/>
      <w:lvlJc w:val="left"/>
      <w:pPr>
        <w:ind w:left="4710" w:hanging="360"/>
      </w:pPr>
      <w:rPr>
        <w:rFonts w:ascii="Symbol" w:hAnsi="Symbol" w:hint="default"/>
      </w:rPr>
    </w:lvl>
    <w:lvl w:ilvl="7" w:tplc="040C0003" w:tentative="1">
      <w:start w:val="1"/>
      <w:numFmt w:val="bullet"/>
      <w:lvlText w:val="o"/>
      <w:lvlJc w:val="left"/>
      <w:pPr>
        <w:ind w:left="5430" w:hanging="360"/>
      </w:pPr>
      <w:rPr>
        <w:rFonts w:ascii="Courier New" w:hAnsi="Courier New" w:cs="Courier New" w:hint="default"/>
      </w:rPr>
    </w:lvl>
    <w:lvl w:ilvl="8" w:tplc="040C0005" w:tentative="1">
      <w:start w:val="1"/>
      <w:numFmt w:val="bullet"/>
      <w:lvlText w:val=""/>
      <w:lvlJc w:val="left"/>
      <w:pPr>
        <w:ind w:left="6150" w:hanging="360"/>
      </w:pPr>
      <w:rPr>
        <w:rFonts w:ascii="Wingdings" w:hAnsi="Wingdings" w:hint="default"/>
      </w:rPr>
    </w:lvl>
  </w:abstractNum>
  <w:abstractNum w:abstractNumId="11">
    <w:nsid w:val="2E900D9E"/>
    <w:multiLevelType w:val="hybridMultilevel"/>
    <w:tmpl w:val="F8EC1658"/>
    <w:lvl w:ilvl="0" w:tplc="E91440EC">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EBF7F2F"/>
    <w:multiLevelType w:val="hybridMultilevel"/>
    <w:tmpl w:val="3C3C58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8722384"/>
    <w:multiLevelType w:val="hybridMultilevel"/>
    <w:tmpl w:val="423451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98B4814"/>
    <w:multiLevelType w:val="hybridMultilevel"/>
    <w:tmpl w:val="1764A3DE"/>
    <w:lvl w:ilvl="0" w:tplc="C3681B50">
      <w:start w:val="3"/>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3A882F26"/>
    <w:multiLevelType w:val="hybridMultilevel"/>
    <w:tmpl w:val="EFC4D5C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3FA00EFA"/>
    <w:multiLevelType w:val="hybridMultilevel"/>
    <w:tmpl w:val="D44AB69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3FD0579E"/>
    <w:multiLevelType w:val="hybridMultilevel"/>
    <w:tmpl w:val="5FB6346C"/>
    <w:lvl w:ilvl="0" w:tplc="C366C476">
      <w:start w:val="6"/>
      <w:numFmt w:val="bullet"/>
      <w:lvlText w:val="-"/>
      <w:lvlJc w:val="left"/>
      <w:pPr>
        <w:ind w:left="405" w:hanging="360"/>
      </w:pPr>
      <w:rPr>
        <w:rFonts w:ascii="Calibri" w:eastAsia="Calibri" w:hAnsi="Calibri"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8">
    <w:nsid w:val="40135A35"/>
    <w:multiLevelType w:val="hybridMultilevel"/>
    <w:tmpl w:val="1E02748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4A50350B"/>
    <w:multiLevelType w:val="hybridMultilevel"/>
    <w:tmpl w:val="F036FC9E"/>
    <w:lvl w:ilvl="0" w:tplc="5EB264B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4C0A54EA"/>
    <w:multiLevelType w:val="hybridMultilevel"/>
    <w:tmpl w:val="15D274C4"/>
    <w:lvl w:ilvl="0" w:tplc="A6EC579A">
      <w:start w:val="1"/>
      <w:numFmt w:val="decimal"/>
      <w:lvlText w:val="(%1)"/>
      <w:lvlJc w:val="left"/>
      <w:pPr>
        <w:ind w:left="1729" w:hanging="1020"/>
      </w:pPr>
      <w:rPr>
        <w:rFonts w:hint="default"/>
      </w:rPr>
    </w:lvl>
    <w:lvl w:ilvl="1" w:tplc="080C0019" w:tentative="1">
      <w:start w:val="1"/>
      <w:numFmt w:val="lowerLetter"/>
      <w:lvlText w:val="%2."/>
      <w:lvlJc w:val="left"/>
      <w:pPr>
        <w:ind w:left="1789" w:hanging="360"/>
      </w:pPr>
    </w:lvl>
    <w:lvl w:ilvl="2" w:tplc="080C001B" w:tentative="1">
      <w:start w:val="1"/>
      <w:numFmt w:val="lowerRoman"/>
      <w:lvlText w:val="%3."/>
      <w:lvlJc w:val="right"/>
      <w:pPr>
        <w:ind w:left="2509" w:hanging="180"/>
      </w:pPr>
    </w:lvl>
    <w:lvl w:ilvl="3" w:tplc="080C000F" w:tentative="1">
      <w:start w:val="1"/>
      <w:numFmt w:val="decimal"/>
      <w:lvlText w:val="%4."/>
      <w:lvlJc w:val="left"/>
      <w:pPr>
        <w:ind w:left="3229" w:hanging="360"/>
      </w:pPr>
    </w:lvl>
    <w:lvl w:ilvl="4" w:tplc="080C0019" w:tentative="1">
      <w:start w:val="1"/>
      <w:numFmt w:val="lowerLetter"/>
      <w:lvlText w:val="%5."/>
      <w:lvlJc w:val="left"/>
      <w:pPr>
        <w:ind w:left="3949" w:hanging="360"/>
      </w:pPr>
    </w:lvl>
    <w:lvl w:ilvl="5" w:tplc="080C001B" w:tentative="1">
      <w:start w:val="1"/>
      <w:numFmt w:val="lowerRoman"/>
      <w:lvlText w:val="%6."/>
      <w:lvlJc w:val="right"/>
      <w:pPr>
        <w:ind w:left="4669" w:hanging="180"/>
      </w:pPr>
    </w:lvl>
    <w:lvl w:ilvl="6" w:tplc="080C000F" w:tentative="1">
      <w:start w:val="1"/>
      <w:numFmt w:val="decimal"/>
      <w:lvlText w:val="%7."/>
      <w:lvlJc w:val="left"/>
      <w:pPr>
        <w:ind w:left="5389" w:hanging="360"/>
      </w:pPr>
    </w:lvl>
    <w:lvl w:ilvl="7" w:tplc="080C0019" w:tentative="1">
      <w:start w:val="1"/>
      <w:numFmt w:val="lowerLetter"/>
      <w:lvlText w:val="%8."/>
      <w:lvlJc w:val="left"/>
      <w:pPr>
        <w:ind w:left="6109" w:hanging="360"/>
      </w:pPr>
    </w:lvl>
    <w:lvl w:ilvl="8" w:tplc="080C001B" w:tentative="1">
      <w:start w:val="1"/>
      <w:numFmt w:val="lowerRoman"/>
      <w:lvlText w:val="%9."/>
      <w:lvlJc w:val="right"/>
      <w:pPr>
        <w:ind w:left="6829" w:hanging="180"/>
      </w:pPr>
    </w:lvl>
  </w:abstractNum>
  <w:abstractNum w:abstractNumId="21">
    <w:nsid w:val="5B63256A"/>
    <w:multiLevelType w:val="hybridMultilevel"/>
    <w:tmpl w:val="4296D6F0"/>
    <w:lvl w:ilvl="0" w:tplc="0409000F">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5EA224F5"/>
    <w:multiLevelType w:val="hybridMultilevel"/>
    <w:tmpl w:val="8DA68976"/>
    <w:lvl w:ilvl="0" w:tplc="4D6EEE40">
      <w:numFmt w:val="bullet"/>
      <w:lvlText w:val="-"/>
      <w:lvlJc w:val="left"/>
      <w:pPr>
        <w:ind w:left="720" w:hanging="360"/>
      </w:pPr>
      <w:rPr>
        <w:rFonts w:ascii="Calibri" w:eastAsia="Calibri" w:hAnsi="Calibri" w:cs="Times New Roman" w:hint="default"/>
        <w:sz w:val="23"/>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6C84464D"/>
    <w:multiLevelType w:val="hybridMultilevel"/>
    <w:tmpl w:val="7ABCFA58"/>
    <w:lvl w:ilvl="0" w:tplc="97A6415A">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6F7D585F"/>
    <w:multiLevelType w:val="multilevel"/>
    <w:tmpl w:val="8CC03D5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5">
    <w:nsid w:val="704264B4"/>
    <w:multiLevelType w:val="hybridMultilevel"/>
    <w:tmpl w:val="FF480386"/>
    <w:lvl w:ilvl="0" w:tplc="DC8ED6D4">
      <w:start w:val="4"/>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3CC23A2"/>
    <w:multiLevelType w:val="hybridMultilevel"/>
    <w:tmpl w:val="33F6ED80"/>
    <w:lvl w:ilvl="0" w:tplc="E718004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DCD62D5"/>
    <w:multiLevelType w:val="hybridMultilevel"/>
    <w:tmpl w:val="12A6D71E"/>
    <w:lvl w:ilvl="0" w:tplc="9146CE4E">
      <w:start w:val="6"/>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num>
  <w:num w:numId="4">
    <w:abstractNumId w:val="14"/>
  </w:num>
  <w:num w:numId="5">
    <w:abstractNumId w:val="15"/>
  </w:num>
  <w:num w:numId="6">
    <w:abstractNumId w:val="22"/>
  </w:num>
  <w:num w:numId="7">
    <w:abstractNumId w:val="8"/>
  </w:num>
  <w:num w:numId="8">
    <w:abstractNumId w:val="1"/>
  </w:num>
  <w:num w:numId="9">
    <w:abstractNumId w:val="4"/>
  </w:num>
  <w:num w:numId="10">
    <w:abstractNumId w:val="10"/>
  </w:num>
  <w:num w:numId="11">
    <w:abstractNumId w:val="18"/>
  </w:num>
  <w:num w:numId="12">
    <w:abstractNumId w:val="6"/>
  </w:num>
  <w:num w:numId="13">
    <w:abstractNumId w:val="11"/>
  </w:num>
  <w:num w:numId="14">
    <w:abstractNumId w:val="13"/>
  </w:num>
  <w:num w:numId="15">
    <w:abstractNumId w:val="12"/>
  </w:num>
  <w:num w:numId="16">
    <w:abstractNumId w:val="9"/>
  </w:num>
  <w:num w:numId="17">
    <w:abstractNumId w:val="17"/>
  </w:num>
  <w:num w:numId="18">
    <w:abstractNumId w:val="26"/>
  </w:num>
  <w:num w:numId="19">
    <w:abstractNumId w:val="7"/>
  </w:num>
  <w:num w:numId="20">
    <w:abstractNumId w:val="27"/>
  </w:num>
  <w:num w:numId="21">
    <w:abstractNumId w:val="3"/>
  </w:num>
  <w:num w:numId="22">
    <w:abstractNumId w:val="0"/>
  </w:num>
  <w:num w:numId="23">
    <w:abstractNumId w:val="19"/>
  </w:num>
  <w:num w:numId="24">
    <w:abstractNumId w:val="20"/>
  </w:num>
  <w:num w:numId="25">
    <w:abstractNumId w:val="2"/>
  </w:num>
  <w:num w:numId="26">
    <w:abstractNumId w:val="25"/>
  </w:num>
  <w:num w:numId="27">
    <w:abstractNumId w:val="24"/>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trackRevisions/>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7DC"/>
    <w:rsid w:val="00001EA5"/>
    <w:rsid w:val="00002096"/>
    <w:rsid w:val="00002D06"/>
    <w:rsid w:val="000032B8"/>
    <w:rsid w:val="000033B1"/>
    <w:rsid w:val="0000351C"/>
    <w:rsid w:val="00003CC6"/>
    <w:rsid w:val="00005E9D"/>
    <w:rsid w:val="000067B3"/>
    <w:rsid w:val="00006B6B"/>
    <w:rsid w:val="00006F58"/>
    <w:rsid w:val="00007D39"/>
    <w:rsid w:val="00010282"/>
    <w:rsid w:val="00010FF9"/>
    <w:rsid w:val="0001195C"/>
    <w:rsid w:val="00014145"/>
    <w:rsid w:val="0001471F"/>
    <w:rsid w:val="00014EF9"/>
    <w:rsid w:val="00015AD7"/>
    <w:rsid w:val="00015B6B"/>
    <w:rsid w:val="000163B3"/>
    <w:rsid w:val="00017183"/>
    <w:rsid w:val="000175CF"/>
    <w:rsid w:val="00017ECB"/>
    <w:rsid w:val="00020E0E"/>
    <w:rsid w:val="00020EB0"/>
    <w:rsid w:val="00022BAC"/>
    <w:rsid w:val="00022FFD"/>
    <w:rsid w:val="00023333"/>
    <w:rsid w:val="000255FB"/>
    <w:rsid w:val="00025B14"/>
    <w:rsid w:val="00025BBF"/>
    <w:rsid w:val="00025EB2"/>
    <w:rsid w:val="00026CA5"/>
    <w:rsid w:val="00026D69"/>
    <w:rsid w:val="00026E84"/>
    <w:rsid w:val="0003041E"/>
    <w:rsid w:val="000320A5"/>
    <w:rsid w:val="000325B7"/>
    <w:rsid w:val="000327F4"/>
    <w:rsid w:val="0003343C"/>
    <w:rsid w:val="00033707"/>
    <w:rsid w:val="00033B32"/>
    <w:rsid w:val="00036B55"/>
    <w:rsid w:val="00037080"/>
    <w:rsid w:val="0004118C"/>
    <w:rsid w:val="00041536"/>
    <w:rsid w:val="000416E8"/>
    <w:rsid w:val="00041B84"/>
    <w:rsid w:val="00042923"/>
    <w:rsid w:val="0004297D"/>
    <w:rsid w:val="00044A52"/>
    <w:rsid w:val="00045239"/>
    <w:rsid w:val="000453F7"/>
    <w:rsid w:val="000461E8"/>
    <w:rsid w:val="0004742F"/>
    <w:rsid w:val="0004779B"/>
    <w:rsid w:val="000501C2"/>
    <w:rsid w:val="000512AE"/>
    <w:rsid w:val="00051BAB"/>
    <w:rsid w:val="0005221E"/>
    <w:rsid w:val="00052C07"/>
    <w:rsid w:val="000541A1"/>
    <w:rsid w:val="00054313"/>
    <w:rsid w:val="00054C52"/>
    <w:rsid w:val="00055C4B"/>
    <w:rsid w:val="00055F12"/>
    <w:rsid w:val="000560C3"/>
    <w:rsid w:val="000562E3"/>
    <w:rsid w:val="0005660B"/>
    <w:rsid w:val="000574E9"/>
    <w:rsid w:val="00057B57"/>
    <w:rsid w:val="00060C8F"/>
    <w:rsid w:val="000614D3"/>
    <w:rsid w:val="00061630"/>
    <w:rsid w:val="0006198D"/>
    <w:rsid w:val="00061EA1"/>
    <w:rsid w:val="000637E7"/>
    <w:rsid w:val="000659EF"/>
    <w:rsid w:val="00065D4C"/>
    <w:rsid w:val="00065F10"/>
    <w:rsid w:val="0007169C"/>
    <w:rsid w:val="00074A97"/>
    <w:rsid w:val="00075E6F"/>
    <w:rsid w:val="000761CC"/>
    <w:rsid w:val="00077519"/>
    <w:rsid w:val="00077D93"/>
    <w:rsid w:val="00080F06"/>
    <w:rsid w:val="000810C3"/>
    <w:rsid w:val="00083243"/>
    <w:rsid w:val="00085AB4"/>
    <w:rsid w:val="00086E35"/>
    <w:rsid w:val="00090F96"/>
    <w:rsid w:val="00094040"/>
    <w:rsid w:val="000943F0"/>
    <w:rsid w:val="00094A62"/>
    <w:rsid w:val="00096D0C"/>
    <w:rsid w:val="000973D1"/>
    <w:rsid w:val="000975F8"/>
    <w:rsid w:val="0009793E"/>
    <w:rsid w:val="000A03A2"/>
    <w:rsid w:val="000A0AC3"/>
    <w:rsid w:val="000A0BA6"/>
    <w:rsid w:val="000A12CC"/>
    <w:rsid w:val="000A174B"/>
    <w:rsid w:val="000A178C"/>
    <w:rsid w:val="000A282B"/>
    <w:rsid w:val="000A4451"/>
    <w:rsid w:val="000A5172"/>
    <w:rsid w:val="000A5808"/>
    <w:rsid w:val="000A69AE"/>
    <w:rsid w:val="000B0717"/>
    <w:rsid w:val="000B0E58"/>
    <w:rsid w:val="000B18A4"/>
    <w:rsid w:val="000B277E"/>
    <w:rsid w:val="000B2D7F"/>
    <w:rsid w:val="000B396A"/>
    <w:rsid w:val="000B7048"/>
    <w:rsid w:val="000B79ED"/>
    <w:rsid w:val="000C0015"/>
    <w:rsid w:val="000C1383"/>
    <w:rsid w:val="000C27B9"/>
    <w:rsid w:val="000C2B3A"/>
    <w:rsid w:val="000C2F20"/>
    <w:rsid w:val="000C3644"/>
    <w:rsid w:val="000C4CC0"/>
    <w:rsid w:val="000C5E6C"/>
    <w:rsid w:val="000C73A3"/>
    <w:rsid w:val="000D069C"/>
    <w:rsid w:val="000D0AC2"/>
    <w:rsid w:val="000D0E91"/>
    <w:rsid w:val="000D24E8"/>
    <w:rsid w:val="000D3792"/>
    <w:rsid w:val="000D4B77"/>
    <w:rsid w:val="000D6117"/>
    <w:rsid w:val="000D731B"/>
    <w:rsid w:val="000E1004"/>
    <w:rsid w:val="000E1400"/>
    <w:rsid w:val="000E2947"/>
    <w:rsid w:val="000E2DAE"/>
    <w:rsid w:val="000E30ED"/>
    <w:rsid w:val="000E4B5E"/>
    <w:rsid w:val="000E56EE"/>
    <w:rsid w:val="000E5C3E"/>
    <w:rsid w:val="000E5FD1"/>
    <w:rsid w:val="000E606F"/>
    <w:rsid w:val="000E7B3B"/>
    <w:rsid w:val="000E7FAE"/>
    <w:rsid w:val="000F2017"/>
    <w:rsid w:val="000F3773"/>
    <w:rsid w:val="000F54C3"/>
    <w:rsid w:val="000F5E75"/>
    <w:rsid w:val="000F7430"/>
    <w:rsid w:val="00100AF4"/>
    <w:rsid w:val="00100FE3"/>
    <w:rsid w:val="00103636"/>
    <w:rsid w:val="00103A12"/>
    <w:rsid w:val="00104021"/>
    <w:rsid w:val="001042AD"/>
    <w:rsid w:val="00105011"/>
    <w:rsid w:val="001053CE"/>
    <w:rsid w:val="0010587A"/>
    <w:rsid w:val="00106611"/>
    <w:rsid w:val="001101A5"/>
    <w:rsid w:val="00110C60"/>
    <w:rsid w:val="001119AC"/>
    <w:rsid w:val="00113247"/>
    <w:rsid w:val="001135E4"/>
    <w:rsid w:val="001141A7"/>
    <w:rsid w:val="00114256"/>
    <w:rsid w:val="001155BE"/>
    <w:rsid w:val="0011604E"/>
    <w:rsid w:val="00116FFB"/>
    <w:rsid w:val="0011749A"/>
    <w:rsid w:val="00120CFB"/>
    <w:rsid w:val="00120FA8"/>
    <w:rsid w:val="00123295"/>
    <w:rsid w:val="00123BBF"/>
    <w:rsid w:val="00125FB4"/>
    <w:rsid w:val="00131E8F"/>
    <w:rsid w:val="0013222C"/>
    <w:rsid w:val="0013466B"/>
    <w:rsid w:val="00135E93"/>
    <w:rsid w:val="001366DB"/>
    <w:rsid w:val="00137CD7"/>
    <w:rsid w:val="00140C14"/>
    <w:rsid w:val="001415FD"/>
    <w:rsid w:val="00143136"/>
    <w:rsid w:val="00143E87"/>
    <w:rsid w:val="001455B4"/>
    <w:rsid w:val="00145A54"/>
    <w:rsid w:val="001461A0"/>
    <w:rsid w:val="001475C6"/>
    <w:rsid w:val="00151F4D"/>
    <w:rsid w:val="00152883"/>
    <w:rsid w:val="00153816"/>
    <w:rsid w:val="00153E67"/>
    <w:rsid w:val="001540D9"/>
    <w:rsid w:val="001558B1"/>
    <w:rsid w:val="00155E18"/>
    <w:rsid w:val="001627EF"/>
    <w:rsid w:val="00164349"/>
    <w:rsid w:val="00165D83"/>
    <w:rsid w:val="00170369"/>
    <w:rsid w:val="00170BAF"/>
    <w:rsid w:val="00171968"/>
    <w:rsid w:val="0017264A"/>
    <w:rsid w:val="001728D1"/>
    <w:rsid w:val="00173EA2"/>
    <w:rsid w:val="00174127"/>
    <w:rsid w:val="0017414D"/>
    <w:rsid w:val="00175459"/>
    <w:rsid w:val="00175DB7"/>
    <w:rsid w:val="00176190"/>
    <w:rsid w:val="00176A10"/>
    <w:rsid w:val="00176EFA"/>
    <w:rsid w:val="00176FB4"/>
    <w:rsid w:val="00177397"/>
    <w:rsid w:val="00177BD4"/>
    <w:rsid w:val="00177F77"/>
    <w:rsid w:val="00180019"/>
    <w:rsid w:val="0018013B"/>
    <w:rsid w:val="00181149"/>
    <w:rsid w:val="001821A2"/>
    <w:rsid w:val="001824B4"/>
    <w:rsid w:val="001832B0"/>
    <w:rsid w:val="001843C9"/>
    <w:rsid w:val="001855C9"/>
    <w:rsid w:val="001856F3"/>
    <w:rsid w:val="0018613D"/>
    <w:rsid w:val="00187A2A"/>
    <w:rsid w:val="00190370"/>
    <w:rsid w:val="001910D6"/>
    <w:rsid w:val="00192D19"/>
    <w:rsid w:val="00194639"/>
    <w:rsid w:val="0019543B"/>
    <w:rsid w:val="00196746"/>
    <w:rsid w:val="00196E32"/>
    <w:rsid w:val="001A1571"/>
    <w:rsid w:val="001A23C9"/>
    <w:rsid w:val="001A2465"/>
    <w:rsid w:val="001A47D3"/>
    <w:rsid w:val="001A53DF"/>
    <w:rsid w:val="001A5CB8"/>
    <w:rsid w:val="001A5E58"/>
    <w:rsid w:val="001A6F7F"/>
    <w:rsid w:val="001A7706"/>
    <w:rsid w:val="001B0D93"/>
    <w:rsid w:val="001B3647"/>
    <w:rsid w:val="001B3E66"/>
    <w:rsid w:val="001B4370"/>
    <w:rsid w:val="001B57FD"/>
    <w:rsid w:val="001C0E9A"/>
    <w:rsid w:val="001C14F8"/>
    <w:rsid w:val="001C1680"/>
    <w:rsid w:val="001C2C56"/>
    <w:rsid w:val="001C2F4B"/>
    <w:rsid w:val="001C3080"/>
    <w:rsid w:val="001C3A98"/>
    <w:rsid w:val="001C48D4"/>
    <w:rsid w:val="001C53B8"/>
    <w:rsid w:val="001C59D5"/>
    <w:rsid w:val="001C622F"/>
    <w:rsid w:val="001C7729"/>
    <w:rsid w:val="001D0AE6"/>
    <w:rsid w:val="001D0B47"/>
    <w:rsid w:val="001D1677"/>
    <w:rsid w:val="001D2452"/>
    <w:rsid w:val="001D439F"/>
    <w:rsid w:val="001D73CF"/>
    <w:rsid w:val="001D74AF"/>
    <w:rsid w:val="001E0FA7"/>
    <w:rsid w:val="001E1CB2"/>
    <w:rsid w:val="001E3A1B"/>
    <w:rsid w:val="001E3BD4"/>
    <w:rsid w:val="001E3C61"/>
    <w:rsid w:val="001E3F19"/>
    <w:rsid w:val="001E42EB"/>
    <w:rsid w:val="001E4984"/>
    <w:rsid w:val="001E720B"/>
    <w:rsid w:val="001E76DA"/>
    <w:rsid w:val="001E7A2E"/>
    <w:rsid w:val="001F04AE"/>
    <w:rsid w:val="001F0718"/>
    <w:rsid w:val="001F60E3"/>
    <w:rsid w:val="0020019E"/>
    <w:rsid w:val="00200206"/>
    <w:rsid w:val="00200405"/>
    <w:rsid w:val="00200A05"/>
    <w:rsid w:val="00200CF3"/>
    <w:rsid w:val="00201917"/>
    <w:rsid w:val="002026C5"/>
    <w:rsid w:val="00202B19"/>
    <w:rsid w:val="00202F6F"/>
    <w:rsid w:val="00203858"/>
    <w:rsid w:val="00204329"/>
    <w:rsid w:val="00204357"/>
    <w:rsid w:val="00204AD6"/>
    <w:rsid w:val="00205245"/>
    <w:rsid w:val="00205630"/>
    <w:rsid w:val="00205801"/>
    <w:rsid w:val="00205C2D"/>
    <w:rsid w:val="0020623A"/>
    <w:rsid w:val="0020691D"/>
    <w:rsid w:val="00206B30"/>
    <w:rsid w:val="0020756F"/>
    <w:rsid w:val="00207A14"/>
    <w:rsid w:val="002124D8"/>
    <w:rsid w:val="00213E7A"/>
    <w:rsid w:val="002145BC"/>
    <w:rsid w:val="00214629"/>
    <w:rsid w:val="00215161"/>
    <w:rsid w:val="00216A58"/>
    <w:rsid w:val="00217338"/>
    <w:rsid w:val="002202B3"/>
    <w:rsid w:val="00220A42"/>
    <w:rsid w:val="00220E4C"/>
    <w:rsid w:val="00221FF4"/>
    <w:rsid w:val="0022223B"/>
    <w:rsid w:val="0022266E"/>
    <w:rsid w:val="00222BD3"/>
    <w:rsid w:val="00222BD9"/>
    <w:rsid w:val="002230FF"/>
    <w:rsid w:val="00223D63"/>
    <w:rsid w:val="002243FB"/>
    <w:rsid w:val="002257F0"/>
    <w:rsid w:val="002267C4"/>
    <w:rsid w:val="00226EAC"/>
    <w:rsid w:val="00227EE4"/>
    <w:rsid w:val="00227F49"/>
    <w:rsid w:val="00230449"/>
    <w:rsid w:val="002304DA"/>
    <w:rsid w:val="00230B9A"/>
    <w:rsid w:val="002318B4"/>
    <w:rsid w:val="0023237D"/>
    <w:rsid w:val="00232458"/>
    <w:rsid w:val="0023266D"/>
    <w:rsid w:val="00232D2B"/>
    <w:rsid w:val="002335A2"/>
    <w:rsid w:val="00233C3C"/>
    <w:rsid w:val="00234520"/>
    <w:rsid w:val="002349AE"/>
    <w:rsid w:val="00235428"/>
    <w:rsid w:val="00235A03"/>
    <w:rsid w:val="00235EBE"/>
    <w:rsid w:val="00237FF8"/>
    <w:rsid w:val="00242288"/>
    <w:rsid w:val="00242CDE"/>
    <w:rsid w:val="00243770"/>
    <w:rsid w:val="002438DA"/>
    <w:rsid w:val="00244284"/>
    <w:rsid w:val="00244AE0"/>
    <w:rsid w:val="00245C89"/>
    <w:rsid w:val="002465F1"/>
    <w:rsid w:val="00246A6E"/>
    <w:rsid w:val="00247597"/>
    <w:rsid w:val="00250026"/>
    <w:rsid w:val="00250A97"/>
    <w:rsid w:val="00250E75"/>
    <w:rsid w:val="00253562"/>
    <w:rsid w:val="002541C6"/>
    <w:rsid w:val="002577CB"/>
    <w:rsid w:val="00260424"/>
    <w:rsid w:val="002605A2"/>
    <w:rsid w:val="00261107"/>
    <w:rsid w:val="002617CB"/>
    <w:rsid w:val="0026214E"/>
    <w:rsid w:val="00263F09"/>
    <w:rsid w:val="00265487"/>
    <w:rsid w:val="00265B14"/>
    <w:rsid w:val="00265BA5"/>
    <w:rsid w:val="00265E4A"/>
    <w:rsid w:val="00266FE3"/>
    <w:rsid w:val="00267F12"/>
    <w:rsid w:val="002708D6"/>
    <w:rsid w:val="00273306"/>
    <w:rsid w:val="0027563E"/>
    <w:rsid w:val="00275D36"/>
    <w:rsid w:val="002805CD"/>
    <w:rsid w:val="002810FA"/>
    <w:rsid w:val="00281739"/>
    <w:rsid w:val="00281C26"/>
    <w:rsid w:val="00282564"/>
    <w:rsid w:val="0028265C"/>
    <w:rsid w:val="00282A88"/>
    <w:rsid w:val="00283084"/>
    <w:rsid w:val="002830A5"/>
    <w:rsid w:val="002836C5"/>
    <w:rsid w:val="00283879"/>
    <w:rsid w:val="00291332"/>
    <w:rsid w:val="002915FD"/>
    <w:rsid w:val="00291F39"/>
    <w:rsid w:val="00292B0C"/>
    <w:rsid w:val="00293B49"/>
    <w:rsid w:val="00293EA5"/>
    <w:rsid w:val="00295374"/>
    <w:rsid w:val="00295D80"/>
    <w:rsid w:val="0029672F"/>
    <w:rsid w:val="00296FA1"/>
    <w:rsid w:val="00297595"/>
    <w:rsid w:val="002A0C92"/>
    <w:rsid w:val="002A0EBB"/>
    <w:rsid w:val="002A1120"/>
    <w:rsid w:val="002A1391"/>
    <w:rsid w:val="002A15D4"/>
    <w:rsid w:val="002A278C"/>
    <w:rsid w:val="002A3494"/>
    <w:rsid w:val="002A3C23"/>
    <w:rsid w:val="002A69AC"/>
    <w:rsid w:val="002A6C70"/>
    <w:rsid w:val="002A7250"/>
    <w:rsid w:val="002A760E"/>
    <w:rsid w:val="002B0147"/>
    <w:rsid w:val="002B0C21"/>
    <w:rsid w:val="002B0DA7"/>
    <w:rsid w:val="002B145E"/>
    <w:rsid w:val="002B2AB4"/>
    <w:rsid w:val="002B2CA1"/>
    <w:rsid w:val="002B2EA5"/>
    <w:rsid w:val="002B344B"/>
    <w:rsid w:val="002B4A60"/>
    <w:rsid w:val="002B5A48"/>
    <w:rsid w:val="002B6804"/>
    <w:rsid w:val="002C1473"/>
    <w:rsid w:val="002C3015"/>
    <w:rsid w:val="002C4143"/>
    <w:rsid w:val="002C4888"/>
    <w:rsid w:val="002C4C6D"/>
    <w:rsid w:val="002C4CD7"/>
    <w:rsid w:val="002C67D1"/>
    <w:rsid w:val="002C6D36"/>
    <w:rsid w:val="002C770E"/>
    <w:rsid w:val="002C790C"/>
    <w:rsid w:val="002D074C"/>
    <w:rsid w:val="002D0D5D"/>
    <w:rsid w:val="002D13B4"/>
    <w:rsid w:val="002D222C"/>
    <w:rsid w:val="002D2C4A"/>
    <w:rsid w:val="002D530D"/>
    <w:rsid w:val="002D60B2"/>
    <w:rsid w:val="002D6321"/>
    <w:rsid w:val="002D7649"/>
    <w:rsid w:val="002D7810"/>
    <w:rsid w:val="002E0BB6"/>
    <w:rsid w:val="002E0FF6"/>
    <w:rsid w:val="002E1126"/>
    <w:rsid w:val="002E1A67"/>
    <w:rsid w:val="002E1D29"/>
    <w:rsid w:val="002E2866"/>
    <w:rsid w:val="002E372C"/>
    <w:rsid w:val="002E4A98"/>
    <w:rsid w:val="002E67E8"/>
    <w:rsid w:val="002E687E"/>
    <w:rsid w:val="002F2E54"/>
    <w:rsid w:val="002F2EFF"/>
    <w:rsid w:val="002F35DA"/>
    <w:rsid w:val="002F5BD7"/>
    <w:rsid w:val="002F60E9"/>
    <w:rsid w:val="002F6B23"/>
    <w:rsid w:val="002F6F81"/>
    <w:rsid w:val="002F7484"/>
    <w:rsid w:val="002F7831"/>
    <w:rsid w:val="002F7C85"/>
    <w:rsid w:val="00300A25"/>
    <w:rsid w:val="003024CE"/>
    <w:rsid w:val="003038F0"/>
    <w:rsid w:val="0030393C"/>
    <w:rsid w:val="00303EED"/>
    <w:rsid w:val="00304694"/>
    <w:rsid w:val="00304A93"/>
    <w:rsid w:val="0030504B"/>
    <w:rsid w:val="0030630C"/>
    <w:rsid w:val="00306F26"/>
    <w:rsid w:val="00307602"/>
    <w:rsid w:val="00310478"/>
    <w:rsid w:val="00310A1D"/>
    <w:rsid w:val="0031115E"/>
    <w:rsid w:val="00311FE8"/>
    <w:rsid w:val="0031320B"/>
    <w:rsid w:val="00313F3C"/>
    <w:rsid w:val="0031487F"/>
    <w:rsid w:val="0031715F"/>
    <w:rsid w:val="00317575"/>
    <w:rsid w:val="0032286D"/>
    <w:rsid w:val="003233D5"/>
    <w:rsid w:val="0032468C"/>
    <w:rsid w:val="003249DC"/>
    <w:rsid w:val="00324C2B"/>
    <w:rsid w:val="003254A5"/>
    <w:rsid w:val="00327342"/>
    <w:rsid w:val="003278B1"/>
    <w:rsid w:val="00330DF0"/>
    <w:rsid w:val="00331774"/>
    <w:rsid w:val="00333D4E"/>
    <w:rsid w:val="00334028"/>
    <w:rsid w:val="00335C88"/>
    <w:rsid w:val="003365A9"/>
    <w:rsid w:val="00336DF8"/>
    <w:rsid w:val="00337040"/>
    <w:rsid w:val="0033733C"/>
    <w:rsid w:val="00337A1B"/>
    <w:rsid w:val="00337FC1"/>
    <w:rsid w:val="0034024F"/>
    <w:rsid w:val="0034094E"/>
    <w:rsid w:val="003414CC"/>
    <w:rsid w:val="003424E8"/>
    <w:rsid w:val="00343AB4"/>
    <w:rsid w:val="0034432A"/>
    <w:rsid w:val="003451A7"/>
    <w:rsid w:val="0034565E"/>
    <w:rsid w:val="00345BE7"/>
    <w:rsid w:val="00346156"/>
    <w:rsid w:val="003502CD"/>
    <w:rsid w:val="003504C2"/>
    <w:rsid w:val="003508DD"/>
    <w:rsid w:val="0035109F"/>
    <w:rsid w:val="00351A8B"/>
    <w:rsid w:val="0035382B"/>
    <w:rsid w:val="00355799"/>
    <w:rsid w:val="003559E4"/>
    <w:rsid w:val="0036088A"/>
    <w:rsid w:val="00360D5D"/>
    <w:rsid w:val="00363313"/>
    <w:rsid w:val="00363CD8"/>
    <w:rsid w:val="003641E8"/>
    <w:rsid w:val="00365584"/>
    <w:rsid w:val="0036596D"/>
    <w:rsid w:val="00365A96"/>
    <w:rsid w:val="00366BE4"/>
    <w:rsid w:val="003671B7"/>
    <w:rsid w:val="0037046D"/>
    <w:rsid w:val="00370644"/>
    <w:rsid w:val="00371113"/>
    <w:rsid w:val="00372C4D"/>
    <w:rsid w:val="00373C90"/>
    <w:rsid w:val="00374F0E"/>
    <w:rsid w:val="003751A5"/>
    <w:rsid w:val="00375E86"/>
    <w:rsid w:val="003760A9"/>
    <w:rsid w:val="0037669F"/>
    <w:rsid w:val="003773A6"/>
    <w:rsid w:val="0038149B"/>
    <w:rsid w:val="003823C7"/>
    <w:rsid w:val="00382DBF"/>
    <w:rsid w:val="00383698"/>
    <w:rsid w:val="00383CA2"/>
    <w:rsid w:val="00384A83"/>
    <w:rsid w:val="00385A00"/>
    <w:rsid w:val="00385EFC"/>
    <w:rsid w:val="00386BBA"/>
    <w:rsid w:val="003873B1"/>
    <w:rsid w:val="00387814"/>
    <w:rsid w:val="00387AE6"/>
    <w:rsid w:val="003913FE"/>
    <w:rsid w:val="00391428"/>
    <w:rsid w:val="003918CC"/>
    <w:rsid w:val="003918D2"/>
    <w:rsid w:val="00391F04"/>
    <w:rsid w:val="00392445"/>
    <w:rsid w:val="00393004"/>
    <w:rsid w:val="003949F0"/>
    <w:rsid w:val="00394B9B"/>
    <w:rsid w:val="00395863"/>
    <w:rsid w:val="003A224E"/>
    <w:rsid w:val="003A2FAE"/>
    <w:rsid w:val="003A4237"/>
    <w:rsid w:val="003A495E"/>
    <w:rsid w:val="003B0B01"/>
    <w:rsid w:val="003B2146"/>
    <w:rsid w:val="003B2B94"/>
    <w:rsid w:val="003B34C2"/>
    <w:rsid w:val="003B365C"/>
    <w:rsid w:val="003B36C4"/>
    <w:rsid w:val="003B3F37"/>
    <w:rsid w:val="003B4229"/>
    <w:rsid w:val="003B4735"/>
    <w:rsid w:val="003B4A15"/>
    <w:rsid w:val="003B710B"/>
    <w:rsid w:val="003B76CE"/>
    <w:rsid w:val="003B790E"/>
    <w:rsid w:val="003C0675"/>
    <w:rsid w:val="003C0F33"/>
    <w:rsid w:val="003C10D5"/>
    <w:rsid w:val="003C29FA"/>
    <w:rsid w:val="003C3447"/>
    <w:rsid w:val="003C3489"/>
    <w:rsid w:val="003C3E74"/>
    <w:rsid w:val="003C4945"/>
    <w:rsid w:val="003C4BE3"/>
    <w:rsid w:val="003C5453"/>
    <w:rsid w:val="003C6744"/>
    <w:rsid w:val="003C7415"/>
    <w:rsid w:val="003C79C8"/>
    <w:rsid w:val="003D06CB"/>
    <w:rsid w:val="003D0BD8"/>
    <w:rsid w:val="003D1832"/>
    <w:rsid w:val="003D279B"/>
    <w:rsid w:val="003D2B22"/>
    <w:rsid w:val="003D44E0"/>
    <w:rsid w:val="003D494E"/>
    <w:rsid w:val="003D7C79"/>
    <w:rsid w:val="003E0952"/>
    <w:rsid w:val="003E1F2F"/>
    <w:rsid w:val="003E2AE4"/>
    <w:rsid w:val="003E3228"/>
    <w:rsid w:val="003E332F"/>
    <w:rsid w:val="003E41AF"/>
    <w:rsid w:val="003E4512"/>
    <w:rsid w:val="003E59A0"/>
    <w:rsid w:val="003E65D8"/>
    <w:rsid w:val="003E7197"/>
    <w:rsid w:val="003E71EB"/>
    <w:rsid w:val="003E72CA"/>
    <w:rsid w:val="003E7909"/>
    <w:rsid w:val="003E7A99"/>
    <w:rsid w:val="003E7D30"/>
    <w:rsid w:val="003F0B59"/>
    <w:rsid w:val="003F1945"/>
    <w:rsid w:val="003F3578"/>
    <w:rsid w:val="003F3C78"/>
    <w:rsid w:val="003F3CD9"/>
    <w:rsid w:val="003F4584"/>
    <w:rsid w:val="003F4AEA"/>
    <w:rsid w:val="003F564D"/>
    <w:rsid w:val="003F6244"/>
    <w:rsid w:val="003F6951"/>
    <w:rsid w:val="003F7F0F"/>
    <w:rsid w:val="00400A83"/>
    <w:rsid w:val="00400E8D"/>
    <w:rsid w:val="004011AB"/>
    <w:rsid w:val="004012BA"/>
    <w:rsid w:val="00401BC4"/>
    <w:rsid w:val="00401C3B"/>
    <w:rsid w:val="004025AE"/>
    <w:rsid w:val="00402BBD"/>
    <w:rsid w:val="0040409E"/>
    <w:rsid w:val="00404510"/>
    <w:rsid w:val="00404C30"/>
    <w:rsid w:val="004051F5"/>
    <w:rsid w:val="00406DA2"/>
    <w:rsid w:val="00406EF9"/>
    <w:rsid w:val="00407700"/>
    <w:rsid w:val="004079B5"/>
    <w:rsid w:val="0041164F"/>
    <w:rsid w:val="00412DBC"/>
    <w:rsid w:val="00413579"/>
    <w:rsid w:val="0041413E"/>
    <w:rsid w:val="004143A0"/>
    <w:rsid w:val="004154CF"/>
    <w:rsid w:val="00415BF9"/>
    <w:rsid w:val="00415DB7"/>
    <w:rsid w:val="00416583"/>
    <w:rsid w:val="00416F2D"/>
    <w:rsid w:val="0041711A"/>
    <w:rsid w:val="00417594"/>
    <w:rsid w:val="004209FC"/>
    <w:rsid w:val="00424061"/>
    <w:rsid w:val="0042442D"/>
    <w:rsid w:val="004248DC"/>
    <w:rsid w:val="00424AC0"/>
    <w:rsid w:val="004258B5"/>
    <w:rsid w:val="00426456"/>
    <w:rsid w:val="00431664"/>
    <w:rsid w:val="00432067"/>
    <w:rsid w:val="0043250F"/>
    <w:rsid w:val="00433E95"/>
    <w:rsid w:val="00434636"/>
    <w:rsid w:val="004349B1"/>
    <w:rsid w:val="00434BDF"/>
    <w:rsid w:val="00436249"/>
    <w:rsid w:val="004367E7"/>
    <w:rsid w:val="00441A49"/>
    <w:rsid w:val="00441D44"/>
    <w:rsid w:val="004421F1"/>
    <w:rsid w:val="00445F61"/>
    <w:rsid w:val="00447B4A"/>
    <w:rsid w:val="00447FAD"/>
    <w:rsid w:val="004501FF"/>
    <w:rsid w:val="00450CEB"/>
    <w:rsid w:val="004516C7"/>
    <w:rsid w:val="004534D1"/>
    <w:rsid w:val="0045390D"/>
    <w:rsid w:val="004539AC"/>
    <w:rsid w:val="004539D9"/>
    <w:rsid w:val="0045440C"/>
    <w:rsid w:val="00455466"/>
    <w:rsid w:val="00457F40"/>
    <w:rsid w:val="00462D5B"/>
    <w:rsid w:val="004655A7"/>
    <w:rsid w:val="00466E5F"/>
    <w:rsid w:val="00466EE3"/>
    <w:rsid w:val="00467234"/>
    <w:rsid w:val="004677D9"/>
    <w:rsid w:val="00467A17"/>
    <w:rsid w:val="00471B73"/>
    <w:rsid w:val="004725C7"/>
    <w:rsid w:val="00472FA9"/>
    <w:rsid w:val="00473F61"/>
    <w:rsid w:val="00474ED5"/>
    <w:rsid w:val="00476982"/>
    <w:rsid w:val="00480222"/>
    <w:rsid w:val="00480C47"/>
    <w:rsid w:val="00481054"/>
    <w:rsid w:val="004814DF"/>
    <w:rsid w:val="0048506E"/>
    <w:rsid w:val="004865DC"/>
    <w:rsid w:val="004868AD"/>
    <w:rsid w:val="0048793E"/>
    <w:rsid w:val="0049089C"/>
    <w:rsid w:val="004921BA"/>
    <w:rsid w:val="004942D8"/>
    <w:rsid w:val="00495A1E"/>
    <w:rsid w:val="00495BC6"/>
    <w:rsid w:val="0049647B"/>
    <w:rsid w:val="00496F09"/>
    <w:rsid w:val="004A02AE"/>
    <w:rsid w:val="004A0FFD"/>
    <w:rsid w:val="004A156F"/>
    <w:rsid w:val="004A17CD"/>
    <w:rsid w:val="004A1C2B"/>
    <w:rsid w:val="004A2356"/>
    <w:rsid w:val="004A2DBA"/>
    <w:rsid w:val="004A3B49"/>
    <w:rsid w:val="004A557F"/>
    <w:rsid w:val="004A61F6"/>
    <w:rsid w:val="004A65AF"/>
    <w:rsid w:val="004A6E5E"/>
    <w:rsid w:val="004A7D2C"/>
    <w:rsid w:val="004B21F2"/>
    <w:rsid w:val="004B3159"/>
    <w:rsid w:val="004B32DE"/>
    <w:rsid w:val="004B53E7"/>
    <w:rsid w:val="004B5AF2"/>
    <w:rsid w:val="004B6A9B"/>
    <w:rsid w:val="004B7C3B"/>
    <w:rsid w:val="004B7D32"/>
    <w:rsid w:val="004C0803"/>
    <w:rsid w:val="004C0A9B"/>
    <w:rsid w:val="004C1151"/>
    <w:rsid w:val="004C2153"/>
    <w:rsid w:val="004C62EE"/>
    <w:rsid w:val="004D234A"/>
    <w:rsid w:val="004D2595"/>
    <w:rsid w:val="004D298F"/>
    <w:rsid w:val="004D3E50"/>
    <w:rsid w:val="004D537A"/>
    <w:rsid w:val="004D59CC"/>
    <w:rsid w:val="004D5AA7"/>
    <w:rsid w:val="004D5B51"/>
    <w:rsid w:val="004D5F13"/>
    <w:rsid w:val="004D6490"/>
    <w:rsid w:val="004D6E8D"/>
    <w:rsid w:val="004D7BD4"/>
    <w:rsid w:val="004E0DD9"/>
    <w:rsid w:val="004E1806"/>
    <w:rsid w:val="004E1DE3"/>
    <w:rsid w:val="004E2C3C"/>
    <w:rsid w:val="004E2D61"/>
    <w:rsid w:val="004E3875"/>
    <w:rsid w:val="004E74EA"/>
    <w:rsid w:val="004F0FD4"/>
    <w:rsid w:val="004F2971"/>
    <w:rsid w:val="004F2A6F"/>
    <w:rsid w:val="004F5623"/>
    <w:rsid w:val="004F606F"/>
    <w:rsid w:val="004F62FA"/>
    <w:rsid w:val="00501995"/>
    <w:rsid w:val="005029C8"/>
    <w:rsid w:val="00502D95"/>
    <w:rsid w:val="005034BC"/>
    <w:rsid w:val="00503D52"/>
    <w:rsid w:val="00503FEA"/>
    <w:rsid w:val="00504397"/>
    <w:rsid w:val="00504E34"/>
    <w:rsid w:val="005073A0"/>
    <w:rsid w:val="00510856"/>
    <w:rsid w:val="005109EC"/>
    <w:rsid w:val="005110FA"/>
    <w:rsid w:val="00511561"/>
    <w:rsid w:val="00511F77"/>
    <w:rsid w:val="00511F80"/>
    <w:rsid w:val="005123BB"/>
    <w:rsid w:val="005129DE"/>
    <w:rsid w:val="00513861"/>
    <w:rsid w:val="00515DD4"/>
    <w:rsid w:val="00517B91"/>
    <w:rsid w:val="00521998"/>
    <w:rsid w:val="00521CD6"/>
    <w:rsid w:val="005226AF"/>
    <w:rsid w:val="0052302D"/>
    <w:rsid w:val="00524C59"/>
    <w:rsid w:val="00530124"/>
    <w:rsid w:val="00532919"/>
    <w:rsid w:val="00532ACE"/>
    <w:rsid w:val="00532CFF"/>
    <w:rsid w:val="00533D13"/>
    <w:rsid w:val="005346DC"/>
    <w:rsid w:val="005348AA"/>
    <w:rsid w:val="0053556C"/>
    <w:rsid w:val="00537102"/>
    <w:rsid w:val="00540470"/>
    <w:rsid w:val="00540BDD"/>
    <w:rsid w:val="0054108C"/>
    <w:rsid w:val="00541096"/>
    <w:rsid w:val="0054272C"/>
    <w:rsid w:val="00542A14"/>
    <w:rsid w:val="00542C70"/>
    <w:rsid w:val="00542EBA"/>
    <w:rsid w:val="00543DA7"/>
    <w:rsid w:val="00543EB4"/>
    <w:rsid w:val="005447D4"/>
    <w:rsid w:val="00544CA5"/>
    <w:rsid w:val="0054709B"/>
    <w:rsid w:val="005504DB"/>
    <w:rsid w:val="00550DBE"/>
    <w:rsid w:val="00550FC7"/>
    <w:rsid w:val="0055162D"/>
    <w:rsid w:val="00551D6D"/>
    <w:rsid w:val="005529CA"/>
    <w:rsid w:val="00554CE3"/>
    <w:rsid w:val="00555C05"/>
    <w:rsid w:val="00557412"/>
    <w:rsid w:val="00560717"/>
    <w:rsid w:val="00562615"/>
    <w:rsid w:val="005626A1"/>
    <w:rsid w:val="005631FB"/>
    <w:rsid w:val="00563F27"/>
    <w:rsid w:val="0056497D"/>
    <w:rsid w:val="00565131"/>
    <w:rsid w:val="00567030"/>
    <w:rsid w:val="005672ED"/>
    <w:rsid w:val="00567608"/>
    <w:rsid w:val="005704F8"/>
    <w:rsid w:val="00570C52"/>
    <w:rsid w:val="00571B41"/>
    <w:rsid w:val="00571C49"/>
    <w:rsid w:val="0057276A"/>
    <w:rsid w:val="005748B5"/>
    <w:rsid w:val="00574925"/>
    <w:rsid w:val="0057586C"/>
    <w:rsid w:val="005762CE"/>
    <w:rsid w:val="00576367"/>
    <w:rsid w:val="00577FDF"/>
    <w:rsid w:val="00582276"/>
    <w:rsid w:val="005824C8"/>
    <w:rsid w:val="00582B2D"/>
    <w:rsid w:val="00582BE9"/>
    <w:rsid w:val="00583673"/>
    <w:rsid w:val="00583BA8"/>
    <w:rsid w:val="00584E59"/>
    <w:rsid w:val="0058559B"/>
    <w:rsid w:val="00586A6F"/>
    <w:rsid w:val="00586DAE"/>
    <w:rsid w:val="00587876"/>
    <w:rsid w:val="00587F83"/>
    <w:rsid w:val="00592157"/>
    <w:rsid w:val="00592B6F"/>
    <w:rsid w:val="00592FE0"/>
    <w:rsid w:val="00593A45"/>
    <w:rsid w:val="005954B3"/>
    <w:rsid w:val="00595592"/>
    <w:rsid w:val="00596DCD"/>
    <w:rsid w:val="00597768"/>
    <w:rsid w:val="00597BB7"/>
    <w:rsid w:val="00597D4C"/>
    <w:rsid w:val="005A0562"/>
    <w:rsid w:val="005A2062"/>
    <w:rsid w:val="005A24CC"/>
    <w:rsid w:val="005A28EB"/>
    <w:rsid w:val="005A2A43"/>
    <w:rsid w:val="005A4D42"/>
    <w:rsid w:val="005A5363"/>
    <w:rsid w:val="005A710E"/>
    <w:rsid w:val="005A7AC8"/>
    <w:rsid w:val="005B0645"/>
    <w:rsid w:val="005B11CE"/>
    <w:rsid w:val="005B2349"/>
    <w:rsid w:val="005B41B8"/>
    <w:rsid w:val="005B48C0"/>
    <w:rsid w:val="005B4A5B"/>
    <w:rsid w:val="005B5AAA"/>
    <w:rsid w:val="005B5E26"/>
    <w:rsid w:val="005B658C"/>
    <w:rsid w:val="005C195C"/>
    <w:rsid w:val="005C1DA7"/>
    <w:rsid w:val="005C24FB"/>
    <w:rsid w:val="005C28E8"/>
    <w:rsid w:val="005C2EFC"/>
    <w:rsid w:val="005C4A95"/>
    <w:rsid w:val="005C58C1"/>
    <w:rsid w:val="005C631C"/>
    <w:rsid w:val="005C69EC"/>
    <w:rsid w:val="005C6B31"/>
    <w:rsid w:val="005D0BF3"/>
    <w:rsid w:val="005D13DB"/>
    <w:rsid w:val="005D1886"/>
    <w:rsid w:val="005D1B4B"/>
    <w:rsid w:val="005D4FC0"/>
    <w:rsid w:val="005D6152"/>
    <w:rsid w:val="005D6922"/>
    <w:rsid w:val="005D7996"/>
    <w:rsid w:val="005D7B78"/>
    <w:rsid w:val="005D7CE9"/>
    <w:rsid w:val="005E012B"/>
    <w:rsid w:val="005E020F"/>
    <w:rsid w:val="005E1128"/>
    <w:rsid w:val="005E3E07"/>
    <w:rsid w:val="005E5B39"/>
    <w:rsid w:val="005E61DF"/>
    <w:rsid w:val="005E725A"/>
    <w:rsid w:val="005E7A32"/>
    <w:rsid w:val="005F0857"/>
    <w:rsid w:val="005F154B"/>
    <w:rsid w:val="005F23EB"/>
    <w:rsid w:val="005F2FFD"/>
    <w:rsid w:val="005F34FE"/>
    <w:rsid w:val="005F3B11"/>
    <w:rsid w:val="005F6267"/>
    <w:rsid w:val="005F675C"/>
    <w:rsid w:val="005F695E"/>
    <w:rsid w:val="005F6970"/>
    <w:rsid w:val="005F6C71"/>
    <w:rsid w:val="005F71D1"/>
    <w:rsid w:val="0060025A"/>
    <w:rsid w:val="006019C0"/>
    <w:rsid w:val="00601A6B"/>
    <w:rsid w:val="00602CAC"/>
    <w:rsid w:val="00603568"/>
    <w:rsid w:val="00603D8F"/>
    <w:rsid w:val="0060492B"/>
    <w:rsid w:val="00605779"/>
    <w:rsid w:val="00606034"/>
    <w:rsid w:val="00606DF1"/>
    <w:rsid w:val="0060756F"/>
    <w:rsid w:val="006101A2"/>
    <w:rsid w:val="0061099F"/>
    <w:rsid w:val="006112CA"/>
    <w:rsid w:val="0061332B"/>
    <w:rsid w:val="00613697"/>
    <w:rsid w:val="0061376A"/>
    <w:rsid w:val="00613BCE"/>
    <w:rsid w:val="00613E77"/>
    <w:rsid w:val="00614166"/>
    <w:rsid w:val="0061481F"/>
    <w:rsid w:val="00617D0A"/>
    <w:rsid w:val="00617EAE"/>
    <w:rsid w:val="00622312"/>
    <w:rsid w:val="0062277D"/>
    <w:rsid w:val="00622959"/>
    <w:rsid w:val="00623319"/>
    <w:rsid w:val="00623516"/>
    <w:rsid w:val="00624746"/>
    <w:rsid w:val="00626D66"/>
    <w:rsid w:val="0062763F"/>
    <w:rsid w:val="00631744"/>
    <w:rsid w:val="006326E2"/>
    <w:rsid w:val="00632772"/>
    <w:rsid w:val="006342A1"/>
    <w:rsid w:val="0063491D"/>
    <w:rsid w:val="00634D0C"/>
    <w:rsid w:val="00636072"/>
    <w:rsid w:val="00636D82"/>
    <w:rsid w:val="0063718D"/>
    <w:rsid w:val="00640DA5"/>
    <w:rsid w:val="006420CE"/>
    <w:rsid w:val="006423D8"/>
    <w:rsid w:val="00642976"/>
    <w:rsid w:val="00643E55"/>
    <w:rsid w:val="00644608"/>
    <w:rsid w:val="00644C83"/>
    <w:rsid w:val="00645339"/>
    <w:rsid w:val="00645DC3"/>
    <w:rsid w:val="006460FC"/>
    <w:rsid w:val="00646786"/>
    <w:rsid w:val="00647FE6"/>
    <w:rsid w:val="00650DAD"/>
    <w:rsid w:val="0065133B"/>
    <w:rsid w:val="006513BB"/>
    <w:rsid w:val="00651455"/>
    <w:rsid w:val="0065149D"/>
    <w:rsid w:val="00651D7E"/>
    <w:rsid w:val="00652E19"/>
    <w:rsid w:val="006544F0"/>
    <w:rsid w:val="0065629F"/>
    <w:rsid w:val="00656FA7"/>
    <w:rsid w:val="0066049E"/>
    <w:rsid w:val="006623F3"/>
    <w:rsid w:val="00662B32"/>
    <w:rsid w:val="0066430F"/>
    <w:rsid w:val="00664312"/>
    <w:rsid w:val="00664AF4"/>
    <w:rsid w:val="0066546B"/>
    <w:rsid w:val="00667231"/>
    <w:rsid w:val="006675FC"/>
    <w:rsid w:val="006715CB"/>
    <w:rsid w:val="00673E09"/>
    <w:rsid w:val="00674575"/>
    <w:rsid w:val="00674A54"/>
    <w:rsid w:val="0067569F"/>
    <w:rsid w:val="00676AFC"/>
    <w:rsid w:val="0067717C"/>
    <w:rsid w:val="00677CAF"/>
    <w:rsid w:val="00680684"/>
    <w:rsid w:val="0068125E"/>
    <w:rsid w:val="00686D22"/>
    <w:rsid w:val="00690C6E"/>
    <w:rsid w:val="00690D4D"/>
    <w:rsid w:val="006924A1"/>
    <w:rsid w:val="00692821"/>
    <w:rsid w:val="006942EC"/>
    <w:rsid w:val="0069466D"/>
    <w:rsid w:val="006947D3"/>
    <w:rsid w:val="00696042"/>
    <w:rsid w:val="006979BD"/>
    <w:rsid w:val="006A0504"/>
    <w:rsid w:val="006A0813"/>
    <w:rsid w:val="006A16B5"/>
    <w:rsid w:val="006A20C8"/>
    <w:rsid w:val="006A3ABA"/>
    <w:rsid w:val="006A3B44"/>
    <w:rsid w:val="006A5FB8"/>
    <w:rsid w:val="006A69C5"/>
    <w:rsid w:val="006A6ADC"/>
    <w:rsid w:val="006A7BF7"/>
    <w:rsid w:val="006A7E08"/>
    <w:rsid w:val="006B070A"/>
    <w:rsid w:val="006B11A3"/>
    <w:rsid w:val="006B18D3"/>
    <w:rsid w:val="006B2B06"/>
    <w:rsid w:val="006B59F2"/>
    <w:rsid w:val="006B7465"/>
    <w:rsid w:val="006B764B"/>
    <w:rsid w:val="006B7E45"/>
    <w:rsid w:val="006C0502"/>
    <w:rsid w:val="006C1F70"/>
    <w:rsid w:val="006C3BB6"/>
    <w:rsid w:val="006C3EC0"/>
    <w:rsid w:val="006C417E"/>
    <w:rsid w:val="006C48B1"/>
    <w:rsid w:val="006D0253"/>
    <w:rsid w:val="006D0349"/>
    <w:rsid w:val="006D0900"/>
    <w:rsid w:val="006D202F"/>
    <w:rsid w:val="006D2153"/>
    <w:rsid w:val="006D2309"/>
    <w:rsid w:val="006D245D"/>
    <w:rsid w:val="006D2D5E"/>
    <w:rsid w:val="006D3C4B"/>
    <w:rsid w:val="006D3C91"/>
    <w:rsid w:val="006D4E67"/>
    <w:rsid w:val="006D62ED"/>
    <w:rsid w:val="006D709F"/>
    <w:rsid w:val="006D753B"/>
    <w:rsid w:val="006E19EF"/>
    <w:rsid w:val="006E2F4D"/>
    <w:rsid w:val="006E3055"/>
    <w:rsid w:val="006E382A"/>
    <w:rsid w:val="006E5282"/>
    <w:rsid w:val="006E55A4"/>
    <w:rsid w:val="006E62AE"/>
    <w:rsid w:val="006E6FDE"/>
    <w:rsid w:val="006E7E08"/>
    <w:rsid w:val="006E7FD4"/>
    <w:rsid w:val="006F0C64"/>
    <w:rsid w:val="006F129E"/>
    <w:rsid w:val="006F1A31"/>
    <w:rsid w:val="006F1B7E"/>
    <w:rsid w:val="006F41D1"/>
    <w:rsid w:val="006F50DC"/>
    <w:rsid w:val="006F627E"/>
    <w:rsid w:val="006F6FAF"/>
    <w:rsid w:val="006F7C56"/>
    <w:rsid w:val="00700500"/>
    <w:rsid w:val="007011B3"/>
    <w:rsid w:val="007023D6"/>
    <w:rsid w:val="0070448F"/>
    <w:rsid w:val="00704689"/>
    <w:rsid w:val="00704ECF"/>
    <w:rsid w:val="00705DC5"/>
    <w:rsid w:val="00705FE3"/>
    <w:rsid w:val="00707129"/>
    <w:rsid w:val="00707229"/>
    <w:rsid w:val="00711616"/>
    <w:rsid w:val="00711E12"/>
    <w:rsid w:val="00711E20"/>
    <w:rsid w:val="00711F20"/>
    <w:rsid w:val="0071352C"/>
    <w:rsid w:val="00713553"/>
    <w:rsid w:val="00717538"/>
    <w:rsid w:val="00717677"/>
    <w:rsid w:val="007201BA"/>
    <w:rsid w:val="00720B24"/>
    <w:rsid w:val="00720CE3"/>
    <w:rsid w:val="00721F77"/>
    <w:rsid w:val="007226ED"/>
    <w:rsid w:val="00722D1C"/>
    <w:rsid w:val="0072486B"/>
    <w:rsid w:val="00724909"/>
    <w:rsid w:val="00726D8B"/>
    <w:rsid w:val="00727EC3"/>
    <w:rsid w:val="00731003"/>
    <w:rsid w:val="00731512"/>
    <w:rsid w:val="00732C00"/>
    <w:rsid w:val="0073493D"/>
    <w:rsid w:val="00735BAC"/>
    <w:rsid w:val="00737A2A"/>
    <w:rsid w:val="00742AA3"/>
    <w:rsid w:val="00745938"/>
    <w:rsid w:val="00745E5B"/>
    <w:rsid w:val="00747350"/>
    <w:rsid w:val="007477AF"/>
    <w:rsid w:val="00750912"/>
    <w:rsid w:val="00750A25"/>
    <w:rsid w:val="00750D32"/>
    <w:rsid w:val="00751307"/>
    <w:rsid w:val="00752054"/>
    <w:rsid w:val="00752636"/>
    <w:rsid w:val="00754384"/>
    <w:rsid w:val="00754823"/>
    <w:rsid w:val="00754BA4"/>
    <w:rsid w:val="007558E7"/>
    <w:rsid w:val="00755F53"/>
    <w:rsid w:val="007567DC"/>
    <w:rsid w:val="00756BF1"/>
    <w:rsid w:val="00760008"/>
    <w:rsid w:val="00760240"/>
    <w:rsid w:val="00761383"/>
    <w:rsid w:val="0076391F"/>
    <w:rsid w:val="007643FA"/>
    <w:rsid w:val="007658EA"/>
    <w:rsid w:val="00765CEE"/>
    <w:rsid w:val="00770065"/>
    <w:rsid w:val="00771241"/>
    <w:rsid w:val="00771491"/>
    <w:rsid w:val="00772B7C"/>
    <w:rsid w:val="00774501"/>
    <w:rsid w:val="00776740"/>
    <w:rsid w:val="00776FA6"/>
    <w:rsid w:val="00777208"/>
    <w:rsid w:val="0078088B"/>
    <w:rsid w:val="00780ADC"/>
    <w:rsid w:val="00782E08"/>
    <w:rsid w:val="0078320F"/>
    <w:rsid w:val="00783948"/>
    <w:rsid w:val="00783D7A"/>
    <w:rsid w:val="00784463"/>
    <w:rsid w:val="007845E4"/>
    <w:rsid w:val="007849DA"/>
    <w:rsid w:val="007858B4"/>
    <w:rsid w:val="007860A4"/>
    <w:rsid w:val="0078798E"/>
    <w:rsid w:val="00790A2E"/>
    <w:rsid w:val="007920C1"/>
    <w:rsid w:val="0079376B"/>
    <w:rsid w:val="0079435A"/>
    <w:rsid w:val="007958D4"/>
    <w:rsid w:val="0079661B"/>
    <w:rsid w:val="00796B4F"/>
    <w:rsid w:val="00796C91"/>
    <w:rsid w:val="00796E0F"/>
    <w:rsid w:val="00797BB8"/>
    <w:rsid w:val="007A02C8"/>
    <w:rsid w:val="007A0940"/>
    <w:rsid w:val="007A0E9F"/>
    <w:rsid w:val="007A2808"/>
    <w:rsid w:val="007A486D"/>
    <w:rsid w:val="007A7640"/>
    <w:rsid w:val="007B3749"/>
    <w:rsid w:val="007B5540"/>
    <w:rsid w:val="007B559A"/>
    <w:rsid w:val="007B6B0A"/>
    <w:rsid w:val="007C1368"/>
    <w:rsid w:val="007C2564"/>
    <w:rsid w:val="007C28F0"/>
    <w:rsid w:val="007C2964"/>
    <w:rsid w:val="007C3A26"/>
    <w:rsid w:val="007C3EC0"/>
    <w:rsid w:val="007C4D84"/>
    <w:rsid w:val="007C5135"/>
    <w:rsid w:val="007C58B3"/>
    <w:rsid w:val="007C594B"/>
    <w:rsid w:val="007C5B82"/>
    <w:rsid w:val="007C623E"/>
    <w:rsid w:val="007C64B4"/>
    <w:rsid w:val="007C6D48"/>
    <w:rsid w:val="007C6FF9"/>
    <w:rsid w:val="007C7C32"/>
    <w:rsid w:val="007D079A"/>
    <w:rsid w:val="007D1609"/>
    <w:rsid w:val="007D2198"/>
    <w:rsid w:val="007D23A0"/>
    <w:rsid w:val="007D2765"/>
    <w:rsid w:val="007D3572"/>
    <w:rsid w:val="007D3863"/>
    <w:rsid w:val="007D6621"/>
    <w:rsid w:val="007D70D7"/>
    <w:rsid w:val="007D7DF7"/>
    <w:rsid w:val="007E03FE"/>
    <w:rsid w:val="007E1352"/>
    <w:rsid w:val="007E1C97"/>
    <w:rsid w:val="007E32FD"/>
    <w:rsid w:val="007E515A"/>
    <w:rsid w:val="007E52FF"/>
    <w:rsid w:val="007E6974"/>
    <w:rsid w:val="007E74B7"/>
    <w:rsid w:val="007F01EE"/>
    <w:rsid w:val="007F01F2"/>
    <w:rsid w:val="007F114B"/>
    <w:rsid w:val="007F14A7"/>
    <w:rsid w:val="007F22C0"/>
    <w:rsid w:val="007F25F5"/>
    <w:rsid w:val="007F2FB7"/>
    <w:rsid w:val="007F3149"/>
    <w:rsid w:val="007F337C"/>
    <w:rsid w:val="007F5690"/>
    <w:rsid w:val="007F638C"/>
    <w:rsid w:val="00802D47"/>
    <w:rsid w:val="00804B21"/>
    <w:rsid w:val="00804D69"/>
    <w:rsid w:val="00805A0B"/>
    <w:rsid w:val="008071F0"/>
    <w:rsid w:val="00807AD5"/>
    <w:rsid w:val="00807E2D"/>
    <w:rsid w:val="00810F04"/>
    <w:rsid w:val="008118B8"/>
    <w:rsid w:val="00812550"/>
    <w:rsid w:val="00812C57"/>
    <w:rsid w:val="00812EDF"/>
    <w:rsid w:val="00813345"/>
    <w:rsid w:val="00814597"/>
    <w:rsid w:val="008177C8"/>
    <w:rsid w:val="008201CA"/>
    <w:rsid w:val="00820209"/>
    <w:rsid w:val="008203AB"/>
    <w:rsid w:val="008223D1"/>
    <w:rsid w:val="00822EA7"/>
    <w:rsid w:val="0082442F"/>
    <w:rsid w:val="00825031"/>
    <w:rsid w:val="00825337"/>
    <w:rsid w:val="008269E3"/>
    <w:rsid w:val="008270B8"/>
    <w:rsid w:val="008274D4"/>
    <w:rsid w:val="0083084F"/>
    <w:rsid w:val="008322A7"/>
    <w:rsid w:val="008322E3"/>
    <w:rsid w:val="008350D0"/>
    <w:rsid w:val="00836FCB"/>
    <w:rsid w:val="008370FC"/>
    <w:rsid w:val="0083731B"/>
    <w:rsid w:val="008379C2"/>
    <w:rsid w:val="00841D0F"/>
    <w:rsid w:val="008429A2"/>
    <w:rsid w:val="00842C24"/>
    <w:rsid w:val="00843FE3"/>
    <w:rsid w:val="0084429B"/>
    <w:rsid w:val="008468F2"/>
    <w:rsid w:val="00846FC5"/>
    <w:rsid w:val="008472A5"/>
    <w:rsid w:val="00847E43"/>
    <w:rsid w:val="0085011F"/>
    <w:rsid w:val="00851B67"/>
    <w:rsid w:val="00853739"/>
    <w:rsid w:val="008539BD"/>
    <w:rsid w:val="00853BB9"/>
    <w:rsid w:val="0085537C"/>
    <w:rsid w:val="00856221"/>
    <w:rsid w:val="0086326E"/>
    <w:rsid w:val="00863ED3"/>
    <w:rsid w:val="00865783"/>
    <w:rsid w:val="0086582E"/>
    <w:rsid w:val="00865D79"/>
    <w:rsid w:val="00867481"/>
    <w:rsid w:val="008677B6"/>
    <w:rsid w:val="00867E57"/>
    <w:rsid w:val="00867FAE"/>
    <w:rsid w:val="008700CC"/>
    <w:rsid w:val="00871F6E"/>
    <w:rsid w:val="00871F7E"/>
    <w:rsid w:val="008743B0"/>
    <w:rsid w:val="008745F3"/>
    <w:rsid w:val="00874982"/>
    <w:rsid w:val="0087529B"/>
    <w:rsid w:val="0087565B"/>
    <w:rsid w:val="00876827"/>
    <w:rsid w:val="00877E37"/>
    <w:rsid w:val="0088133E"/>
    <w:rsid w:val="0088326B"/>
    <w:rsid w:val="008839B8"/>
    <w:rsid w:val="0088519C"/>
    <w:rsid w:val="00885DCB"/>
    <w:rsid w:val="008865BC"/>
    <w:rsid w:val="008867C7"/>
    <w:rsid w:val="00886B11"/>
    <w:rsid w:val="00891AA9"/>
    <w:rsid w:val="00892825"/>
    <w:rsid w:val="00892F3A"/>
    <w:rsid w:val="008939AC"/>
    <w:rsid w:val="008941AA"/>
    <w:rsid w:val="0089497D"/>
    <w:rsid w:val="00894A67"/>
    <w:rsid w:val="00894FF1"/>
    <w:rsid w:val="00895FF8"/>
    <w:rsid w:val="0089667B"/>
    <w:rsid w:val="00896A54"/>
    <w:rsid w:val="00896D81"/>
    <w:rsid w:val="008970F9"/>
    <w:rsid w:val="00897348"/>
    <w:rsid w:val="008A0306"/>
    <w:rsid w:val="008A1385"/>
    <w:rsid w:val="008A176C"/>
    <w:rsid w:val="008A1953"/>
    <w:rsid w:val="008A1FC1"/>
    <w:rsid w:val="008A2E34"/>
    <w:rsid w:val="008A339B"/>
    <w:rsid w:val="008A4482"/>
    <w:rsid w:val="008A4A78"/>
    <w:rsid w:val="008A5083"/>
    <w:rsid w:val="008A5313"/>
    <w:rsid w:val="008A62CC"/>
    <w:rsid w:val="008A68BA"/>
    <w:rsid w:val="008A6C23"/>
    <w:rsid w:val="008A722F"/>
    <w:rsid w:val="008B045E"/>
    <w:rsid w:val="008B0500"/>
    <w:rsid w:val="008B08EB"/>
    <w:rsid w:val="008B1428"/>
    <w:rsid w:val="008B1E6D"/>
    <w:rsid w:val="008B2176"/>
    <w:rsid w:val="008B73A5"/>
    <w:rsid w:val="008C0730"/>
    <w:rsid w:val="008C0945"/>
    <w:rsid w:val="008C247B"/>
    <w:rsid w:val="008C266F"/>
    <w:rsid w:val="008C2982"/>
    <w:rsid w:val="008C2D92"/>
    <w:rsid w:val="008C339C"/>
    <w:rsid w:val="008C4209"/>
    <w:rsid w:val="008C4371"/>
    <w:rsid w:val="008C5CB5"/>
    <w:rsid w:val="008C5F85"/>
    <w:rsid w:val="008C661E"/>
    <w:rsid w:val="008C6BF2"/>
    <w:rsid w:val="008D217F"/>
    <w:rsid w:val="008D270F"/>
    <w:rsid w:val="008D2FB4"/>
    <w:rsid w:val="008D43F1"/>
    <w:rsid w:val="008D551F"/>
    <w:rsid w:val="008D666E"/>
    <w:rsid w:val="008D6AA4"/>
    <w:rsid w:val="008D7022"/>
    <w:rsid w:val="008E1625"/>
    <w:rsid w:val="008E22E1"/>
    <w:rsid w:val="008E23C0"/>
    <w:rsid w:val="008E2759"/>
    <w:rsid w:val="008E2952"/>
    <w:rsid w:val="008E2D97"/>
    <w:rsid w:val="008E30AA"/>
    <w:rsid w:val="008E3C54"/>
    <w:rsid w:val="008E434F"/>
    <w:rsid w:val="008E43B6"/>
    <w:rsid w:val="008E45C8"/>
    <w:rsid w:val="008E4D9B"/>
    <w:rsid w:val="008E5DCB"/>
    <w:rsid w:val="008E66A2"/>
    <w:rsid w:val="008E71E5"/>
    <w:rsid w:val="008E730A"/>
    <w:rsid w:val="008F2019"/>
    <w:rsid w:val="008F45EC"/>
    <w:rsid w:val="008F5693"/>
    <w:rsid w:val="008F5969"/>
    <w:rsid w:val="008F6A7E"/>
    <w:rsid w:val="008F6AEF"/>
    <w:rsid w:val="008F6E02"/>
    <w:rsid w:val="00900C3B"/>
    <w:rsid w:val="00903B0D"/>
    <w:rsid w:val="00905381"/>
    <w:rsid w:val="00906D67"/>
    <w:rsid w:val="00907C89"/>
    <w:rsid w:val="009102DA"/>
    <w:rsid w:val="0091063C"/>
    <w:rsid w:val="00910E8F"/>
    <w:rsid w:val="009117E0"/>
    <w:rsid w:val="00912F08"/>
    <w:rsid w:val="00913F47"/>
    <w:rsid w:val="009146C7"/>
    <w:rsid w:val="009148B6"/>
    <w:rsid w:val="00916379"/>
    <w:rsid w:val="009167A8"/>
    <w:rsid w:val="009168EF"/>
    <w:rsid w:val="00916B53"/>
    <w:rsid w:val="009209F9"/>
    <w:rsid w:val="009211ED"/>
    <w:rsid w:val="00921AFE"/>
    <w:rsid w:val="00921C2D"/>
    <w:rsid w:val="00922544"/>
    <w:rsid w:val="009237F5"/>
    <w:rsid w:val="00923D0F"/>
    <w:rsid w:val="00925392"/>
    <w:rsid w:val="009254D1"/>
    <w:rsid w:val="009261FF"/>
    <w:rsid w:val="0092632F"/>
    <w:rsid w:val="009307D5"/>
    <w:rsid w:val="009323FA"/>
    <w:rsid w:val="00933E7B"/>
    <w:rsid w:val="00934044"/>
    <w:rsid w:val="009356FA"/>
    <w:rsid w:val="0093572B"/>
    <w:rsid w:val="00935B7E"/>
    <w:rsid w:val="00935D04"/>
    <w:rsid w:val="009374FC"/>
    <w:rsid w:val="00940054"/>
    <w:rsid w:val="00940A88"/>
    <w:rsid w:val="00941DF6"/>
    <w:rsid w:val="00942F25"/>
    <w:rsid w:val="00943941"/>
    <w:rsid w:val="0094740C"/>
    <w:rsid w:val="00947522"/>
    <w:rsid w:val="009538E8"/>
    <w:rsid w:val="00953C46"/>
    <w:rsid w:val="00954175"/>
    <w:rsid w:val="00955EF6"/>
    <w:rsid w:val="0096167B"/>
    <w:rsid w:val="00961C71"/>
    <w:rsid w:val="00961CC4"/>
    <w:rsid w:val="00961D52"/>
    <w:rsid w:val="00961FAF"/>
    <w:rsid w:val="00962F12"/>
    <w:rsid w:val="0096478A"/>
    <w:rsid w:val="0096595F"/>
    <w:rsid w:val="00972259"/>
    <w:rsid w:val="00972C2B"/>
    <w:rsid w:val="009730A9"/>
    <w:rsid w:val="00975329"/>
    <w:rsid w:val="00976767"/>
    <w:rsid w:val="00976C7E"/>
    <w:rsid w:val="009778A4"/>
    <w:rsid w:val="00977DF8"/>
    <w:rsid w:val="0098043F"/>
    <w:rsid w:val="00981092"/>
    <w:rsid w:val="009827E5"/>
    <w:rsid w:val="00983242"/>
    <w:rsid w:val="0098525A"/>
    <w:rsid w:val="0098527B"/>
    <w:rsid w:val="00985BFC"/>
    <w:rsid w:val="0098713F"/>
    <w:rsid w:val="009872B8"/>
    <w:rsid w:val="00987AD6"/>
    <w:rsid w:val="00987F86"/>
    <w:rsid w:val="0099000F"/>
    <w:rsid w:val="00990147"/>
    <w:rsid w:val="009917D7"/>
    <w:rsid w:val="009918C0"/>
    <w:rsid w:val="0099374A"/>
    <w:rsid w:val="00993D3C"/>
    <w:rsid w:val="009947F2"/>
    <w:rsid w:val="00994882"/>
    <w:rsid w:val="00995952"/>
    <w:rsid w:val="00995DBF"/>
    <w:rsid w:val="00995E29"/>
    <w:rsid w:val="00997DE2"/>
    <w:rsid w:val="00997E87"/>
    <w:rsid w:val="009A01F9"/>
    <w:rsid w:val="009A08F9"/>
    <w:rsid w:val="009A09AC"/>
    <w:rsid w:val="009A0E86"/>
    <w:rsid w:val="009A151A"/>
    <w:rsid w:val="009A2940"/>
    <w:rsid w:val="009A4148"/>
    <w:rsid w:val="009A4632"/>
    <w:rsid w:val="009A7672"/>
    <w:rsid w:val="009A76DA"/>
    <w:rsid w:val="009A7A46"/>
    <w:rsid w:val="009B05B6"/>
    <w:rsid w:val="009B0A50"/>
    <w:rsid w:val="009B0F9D"/>
    <w:rsid w:val="009B2EC9"/>
    <w:rsid w:val="009B5439"/>
    <w:rsid w:val="009B58EC"/>
    <w:rsid w:val="009B5D27"/>
    <w:rsid w:val="009B5DEB"/>
    <w:rsid w:val="009B78AE"/>
    <w:rsid w:val="009C18CD"/>
    <w:rsid w:val="009C2689"/>
    <w:rsid w:val="009C2D7F"/>
    <w:rsid w:val="009C408B"/>
    <w:rsid w:val="009C4437"/>
    <w:rsid w:val="009C525D"/>
    <w:rsid w:val="009C60BA"/>
    <w:rsid w:val="009C645C"/>
    <w:rsid w:val="009D0202"/>
    <w:rsid w:val="009D137C"/>
    <w:rsid w:val="009D2466"/>
    <w:rsid w:val="009D3780"/>
    <w:rsid w:val="009D4340"/>
    <w:rsid w:val="009D4E52"/>
    <w:rsid w:val="009E0475"/>
    <w:rsid w:val="009E06B6"/>
    <w:rsid w:val="009E1709"/>
    <w:rsid w:val="009E1F4A"/>
    <w:rsid w:val="009E5A9A"/>
    <w:rsid w:val="009E5BD7"/>
    <w:rsid w:val="009E74C7"/>
    <w:rsid w:val="009E7D0A"/>
    <w:rsid w:val="009F0E78"/>
    <w:rsid w:val="009F300C"/>
    <w:rsid w:val="009F3326"/>
    <w:rsid w:val="009F39A1"/>
    <w:rsid w:val="009F4338"/>
    <w:rsid w:val="009F45D1"/>
    <w:rsid w:val="009F514F"/>
    <w:rsid w:val="009F6A28"/>
    <w:rsid w:val="009F721B"/>
    <w:rsid w:val="009F7FB9"/>
    <w:rsid w:val="00A006B2"/>
    <w:rsid w:val="00A0160F"/>
    <w:rsid w:val="00A022B4"/>
    <w:rsid w:val="00A04B19"/>
    <w:rsid w:val="00A051B8"/>
    <w:rsid w:val="00A05818"/>
    <w:rsid w:val="00A05DE5"/>
    <w:rsid w:val="00A062B9"/>
    <w:rsid w:val="00A0647C"/>
    <w:rsid w:val="00A06BD9"/>
    <w:rsid w:val="00A071A9"/>
    <w:rsid w:val="00A07F90"/>
    <w:rsid w:val="00A105CD"/>
    <w:rsid w:val="00A10B3B"/>
    <w:rsid w:val="00A11741"/>
    <w:rsid w:val="00A129DC"/>
    <w:rsid w:val="00A13C09"/>
    <w:rsid w:val="00A15305"/>
    <w:rsid w:val="00A15B72"/>
    <w:rsid w:val="00A15D50"/>
    <w:rsid w:val="00A1723A"/>
    <w:rsid w:val="00A1744B"/>
    <w:rsid w:val="00A20027"/>
    <w:rsid w:val="00A20109"/>
    <w:rsid w:val="00A20527"/>
    <w:rsid w:val="00A2091C"/>
    <w:rsid w:val="00A20E8D"/>
    <w:rsid w:val="00A21FA8"/>
    <w:rsid w:val="00A23315"/>
    <w:rsid w:val="00A2343C"/>
    <w:rsid w:val="00A23E83"/>
    <w:rsid w:val="00A241BC"/>
    <w:rsid w:val="00A251C4"/>
    <w:rsid w:val="00A25E94"/>
    <w:rsid w:val="00A26134"/>
    <w:rsid w:val="00A269A7"/>
    <w:rsid w:val="00A308E3"/>
    <w:rsid w:val="00A30C67"/>
    <w:rsid w:val="00A31397"/>
    <w:rsid w:val="00A31D03"/>
    <w:rsid w:val="00A32D1A"/>
    <w:rsid w:val="00A33236"/>
    <w:rsid w:val="00A33DE9"/>
    <w:rsid w:val="00A33F30"/>
    <w:rsid w:val="00A34F25"/>
    <w:rsid w:val="00A35031"/>
    <w:rsid w:val="00A3514C"/>
    <w:rsid w:val="00A35172"/>
    <w:rsid w:val="00A35257"/>
    <w:rsid w:val="00A35B13"/>
    <w:rsid w:val="00A35C93"/>
    <w:rsid w:val="00A36626"/>
    <w:rsid w:val="00A406FA"/>
    <w:rsid w:val="00A41497"/>
    <w:rsid w:val="00A4350E"/>
    <w:rsid w:val="00A435D1"/>
    <w:rsid w:val="00A43E3C"/>
    <w:rsid w:val="00A43FBE"/>
    <w:rsid w:val="00A44E05"/>
    <w:rsid w:val="00A46963"/>
    <w:rsid w:val="00A4794E"/>
    <w:rsid w:val="00A4799A"/>
    <w:rsid w:val="00A502AD"/>
    <w:rsid w:val="00A50862"/>
    <w:rsid w:val="00A510D1"/>
    <w:rsid w:val="00A51281"/>
    <w:rsid w:val="00A51D1B"/>
    <w:rsid w:val="00A52E5B"/>
    <w:rsid w:val="00A531F9"/>
    <w:rsid w:val="00A53543"/>
    <w:rsid w:val="00A539C4"/>
    <w:rsid w:val="00A53F47"/>
    <w:rsid w:val="00A54CDF"/>
    <w:rsid w:val="00A54DB8"/>
    <w:rsid w:val="00A55831"/>
    <w:rsid w:val="00A56173"/>
    <w:rsid w:val="00A564D1"/>
    <w:rsid w:val="00A60438"/>
    <w:rsid w:val="00A604B2"/>
    <w:rsid w:val="00A6057D"/>
    <w:rsid w:val="00A60FD5"/>
    <w:rsid w:val="00A6176D"/>
    <w:rsid w:val="00A6616B"/>
    <w:rsid w:val="00A6655E"/>
    <w:rsid w:val="00A66601"/>
    <w:rsid w:val="00A679D9"/>
    <w:rsid w:val="00A67F63"/>
    <w:rsid w:val="00A71325"/>
    <w:rsid w:val="00A73A15"/>
    <w:rsid w:val="00A73C4D"/>
    <w:rsid w:val="00A7448A"/>
    <w:rsid w:val="00A763E5"/>
    <w:rsid w:val="00A779A3"/>
    <w:rsid w:val="00A80F83"/>
    <w:rsid w:val="00A8189A"/>
    <w:rsid w:val="00A81F92"/>
    <w:rsid w:val="00A820B5"/>
    <w:rsid w:val="00A831F9"/>
    <w:rsid w:val="00A832A2"/>
    <w:rsid w:val="00A84801"/>
    <w:rsid w:val="00A855C6"/>
    <w:rsid w:val="00A866A8"/>
    <w:rsid w:val="00A879B5"/>
    <w:rsid w:val="00A9098E"/>
    <w:rsid w:val="00A91870"/>
    <w:rsid w:val="00A918C5"/>
    <w:rsid w:val="00A92C00"/>
    <w:rsid w:val="00A94037"/>
    <w:rsid w:val="00AA0C63"/>
    <w:rsid w:val="00AA296E"/>
    <w:rsid w:val="00AA2AAF"/>
    <w:rsid w:val="00AA49B7"/>
    <w:rsid w:val="00AA4F44"/>
    <w:rsid w:val="00AA5361"/>
    <w:rsid w:val="00AA5711"/>
    <w:rsid w:val="00AA5DFD"/>
    <w:rsid w:val="00AA6351"/>
    <w:rsid w:val="00AA6CD8"/>
    <w:rsid w:val="00AA7D28"/>
    <w:rsid w:val="00AB1587"/>
    <w:rsid w:val="00AB16B7"/>
    <w:rsid w:val="00AB28D5"/>
    <w:rsid w:val="00AB3D90"/>
    <w:rsid w:val="00AB3FCB"/>
    <w:rsid w:val="00AB52BC"/>
    <w:rsid w:val="00AB675E"/>
    <w:rsid w:val="00AB6DF2"/>
    <w:rsid w:val="00AB70F0"/>
    <w:rsid w:val="00AC2BE7"/>
    <w:rsid w:val="00AC30FE"/>
    <w:rsid w:val="00AC364A"/>
    <w:rsid w:val="00AC3650"/>
    <w:rsid w:val="00AC494C"/>
    <w:rsid w:val="00AC575F"/>
    <w:rsid w:val="00AC58D5"/>
    <w:rsid w:val="00AC60D2"/>
    <w:rsid w:val="00AC67E3"/>
    <w:rsid w:val="00AC6AE2"/>
    <w:rsid w:val="00AC6E78"/>
    <w:rsid w:val="00AD00E4"/>
    <w:rsid w:val="00AD2F92"/>
    <w:rsid w:val="00AD34ED"/>
    <w:rsid w:val="00AD37FF"/>
    <w:rsid w:val="00AD5846"/>
    <w:rsid w:val="00AD664D"/>
    <w:rsid w:val="00AD6798"/>
    <w:rsid w:val="00AD7741"/>
    <w:rsid w:val="00AD7DA0"/>
    <w:rsid w:val="00AE11C6"/>
    <w:rsid w:val="00AE16AB"/>
    <w:rsid w:val="00AE23E2"/>
    <w:rsid w:val="00AE2A74"/>
    <w:rsid w:val="00AE3E80"/>
    <w:rsid w:val="00AE4728"/>
    <w:rsid w:val="00AE494A"/>
    <w:rsid w:val="00AE524B"/>
    <w:rsid w:val="00AE7C74"/>
    <w:rsid w:val="00AE7FC7"/>
    <w:rsid w:val="00AF0BDD"/>
    <w:rsid w:val="00AF234B"/>
    <w:rsid w:val="00AF27A3"/>
    <w:rsid w:val="00AF401B"/>
    <w:rsid w:val="00AF5AD5"/>
    <w:rsid w:val="00AF6825"/>
    <w:rsid w:val="00AF7D6B"/>
    <w:rsid w:val="00B022D7"/>
    <w:rsid w:val="00B052E7"/>
    <w:rsid w:val="00B06EF5"/>
    <w:rsid w:val="00B07051"/>
    <w:rsid w:val="00B0795A"/>
    <w:rsid w:val="00B07A02"/>
    <w:rsid w:val="00B07B4F"/>
    <w:rsid w:val="00B1044B"/>
    <w:rsid w:val="00B10E48"/>
    <w:rsid w:val="00B11305"/>
    <w:rsid w:val="00B1173B"/>
    <w:rsid w:val="00B119C2"/>
    <w:rsid w:val="00B1236E"/>
    <w:rsid w:val="00B12B3D"/>
    <w:rsid w:val="00B13898"/>
    <w:rsid w:val="00B13DDD"/>
    <w:rsid w:val="00B147C4"/>
    <w:rsid w:val="00B14DE9"/>
    <w:rsid w:val="00B168FC"/>
    <w:rsid w:val="00B169D4"/>
    <w:rsid w:val="00B16A90"/>
    <w:rsid w:val="00B16D48"/>
    <w:rsid w:val="00B17168"/>
    <w:rsid w:val="00B17A22"/>
    <w:rsid w:val="00B20E19"/>
    <w:rsid w:val="00B20F30"/>
    <w:rsid w:val="00B23175"/>
    <w:rsid w:val="00B2330D"/>
    <w:rsid w:val="00B237C6"/>
    <w:rsid w:val="00B253F7"/>
    <w:rsid w:val="00B26480"/>
    <w:rsid w:val="00B27642"/>
    <w:rsid w:val="00B277FB"/>
    <w:rsid w:val="00B27B8A"/>
    <w:rsid w:val="00B3004A"/>
    <w:rsid w:val="00B30B33"/>
    <w:rsid w:val="00B334B4"/>
    <w:rsid w:val="00B3379A"/>
    <w:rsid w:val="00B3467F"/>
    <w:rsid w:val="00B362B1"/>
    <w:rsid w:val="00B364C1"/>
    <w:rsid w:val="00B40462"/>
    <w:rsid w:val="00B40742"/>
    <w:rsid w:val="00B40999"/>
    <w:rsid w:val="00B42222"/>
    <w:rsid w:val="00B4242A"/>
    <w:rsid w:val="00B425FC"/>
    <w:rsid w:val="00B42CC6"/>
    <w:rsid w:val="00B42FB3"/>
    <w:rsid w:val="00B44497"/>
    <w:rsid w:val="00B44B22"/>
    <w:rsid w:val="00B46A3C"/>
    <w:rsid w:val="00B47CFD"/>
    <w:rsid w:val="00B526CE"/>
    <w:rsid w:val="00B53048"/>
    <w:rsid w:val="00B533F8"/>
    <w:rsid w:val="00B5367F"/>
    <w:rsid w:val="00B552CF"/>
    <w:rsid w:val="00B5542A"/>
    <w:rsid w:val="00B55FAF"/>
    <w:rsid w:val="00B562C4"/>
    <w:rsid w:val="00B5764F"/>
    <w:rsid w:val="00B57674"/>
    <w:rsid w:val="00B57CEA"/>
    <w:rsid w:val="00B57E2F"/>
    <w:rsid w:val="00B6091D"/>
    <w:rsid w:val="00B616D6"/>
    <w:rsid w:val="00B628D4"/>
    <w:rsid w:val="00B63DA1"/>
    <w:rsid w:val="00B64045"/>
    <w:rsid w:val="00B6466C"/>
    <w:rsid w:val="00B64CDF"/>
    <w:rsid w:val="00B64CF4"/>
    <w:rsid w:val="00B64F96"/>
    <w:rsid w:val="00B670D7"/>
    <w:rsid w:val="00B677BF"/>
    <w:rsid w:val="00B732BC"/>
    <w:rsid w:val="00B74DD7"/>
    <w:rsid w:val="00B75227"/>
    <w:rsid w:val="00B76867"/>
    <w:rsid w:val="00B76CB3"/>
    <w:rsid w:val="00B775AE"/>
    <w:rsid w:val="00B83F6E"/>
    <w:rsid w:val="00B855F6"/>
    <w:rsid w:val="00B85C51"/>
    <w:rsid w:val="00B86321"/>
    <w:rsid w:val="00B879EE"/>
    <w:rsid w:val="00B903BB"/>
    <w:rsid w:val="00B904E9"/>
    <w:rsid w:val="00B912EC"/>
    <w:rsid w:val="00B924FC"/>
    <w:rsid w:val="00B93402"/>
    <w:rsid w:val="00B944B7"/>
    <w:rsid w:val="00B97154"/>
    <w:rsid w:val="00BA02E2"/>
    <w:rsid w:val="00BA0B9D"/>
    <w:rsid w:val="00BA167B"/>
    <w:rsid w:val="00BA30FA"/>
    <w:rsid w:val="00BA316D"/>
    <w:rsid w:val="00BA4693"/>
    <w:rsid w:val="00BA5B1D"/>
    <w:rsid w:val="00BA5FFD"/>
    <w:rsid w:val="00BA6A3B"/>
    <w:rsid w:val="00BA712C"/>
    <w:rsid w:val="00BA712F"/>
    <w:rsid w:val="00BA7635"/>
    <w:rsid w:val="00BA7FE3"/>
    <w:rsid w:val="00BB5B20"/>
    <w:rsid w:val="00BB69C6"/>
    <w:rsid w:val="00BB73D5"/>
    <w:rsid w:val="00BB7A97"/>
    <w:rsid w:val="00BC0590"/>
    <w:rsid w:val="00BC1184"/>
    <w:rsid w:val="00BC1656"/>
    <w:rsid w:val="00BC186B"/>
    <w:rsid w:val="00BC1D5F"/>
    <w:rsid w:val="00BC3906"/>
    <w:rsid w:val="00BC5B9A"/>
    <w:rsid w:val="00BC6800"/>
    <w:rsid w:val="00BC7750"/>
    <w:rsid w:val="00BD118A"/>
    <w:rsid w:val="00BD1718"/>
    <w:rsid w:val="00BD1869"/>
    <w:rsid w:val="00BD20E4"/>
    <w:rsid w:val="00BD2BD5"/>
    <w:rsid w:val="00BD2E97"/>
    <w:rsid w:val="00BD37C7"/>
    <w:rsid w:val="00BD439A"/>
    <w:rsid w:val="00BD64F0"/>
    <w:rsid w:val="00BD68B4"/>
    <w:rsid w:val="00BD6B12"/>
    <w:rsid w:val="00BD78CD"/>
    <w:rsid w:val="00BD7E15"/>
    <w:rsid w:val="00BD7F94"/>
    <w:rsid w:val="00BE125D"/>
    <w:rsid w:val="00BE13DC"/>
    <w:rsid w:val="00BE1591"/>
    <w:rsid w:val="00BE1811"/>
    <w:rsid w:val="00BE1EC3"/>
    <w:rsid w:val="00BE3B41"/>
    <w:rsid w:val="00BE3F78"/>
    <w:rsid w:val="00BE54E2"/>
    <w:rsid w:val="00BE75D0"/>
    <w:rsid w:val="00BE7A1D"/>
    <w:rsid w:val="00BF09B4"/>
    <w:rsid w:val="00BF1106"/>
    <w:rsid w:val="00BF111E"/>
    <w:rsid w:val="00BF2471"/>
    <w:rsid w:val="00BF3777"/>
    <w:rsid w:val="00BF4B84"/>
    <w:rsid w:val="00BF5642"/>
    <w:rsid w:val="00BF5BF6"/>
    <w:rsid w:val="00BF5C21"/>
    <w:rsid w:val="00BF63A9"/>
    <w:rsid w:val="00BF79D9"/>
    <w:rsid w:val="00C00910"/>
    <w:rsid w:val="00C018E5"/>
    <w:rsid w:val="00C03741"/>
    <w:rsid w:val="00C03802"/>
    <w:rsid w:val="00C05BF8"/>
    <w:rsid w:val="00C05FFD"/>
    <w:rsid w:val="00C079D5"/>
    <w:rsid w:val="00C1026D"/>
    <w:rsid w:val="00C124AA"/>
    <w:rsid w:val="00C1263C"/>
    <w:rsid w:val="00C135FB"/>
    <w:rsid w:val="00C139FA"/>
    <w:rsid w:val="00C14779"/>
    <w:rsid w:val="00C1587D"/>
    <w:rsid w:val="00C17713"/>
    <w:rsid w:val="00C17DEE"/>
    <w:rsid w:val="00C20B0C"/>
    <w:rsid w:val="00C21357"/>
    <w:rsid w:val="00C213CE"/>
    <w:rsid w:val="00C21506"/>
    <w:rsid w:val="00C23717"/>
    <w:rsid w:val="00C23C21"/>
    <w:rsid w:val="00C23CA7"/>
    <w:rsid w:val="00C24EE6"/>
    <w:rsid w:val="00C26DA6"/>
    <w:rsid w:val="00C26E36"/>
    <w:rsid w:val="00C32828"/>
    <w:rsid w:val="00C33865"/>
    <w:rsid w:val="00C34AEC"/>
    <w:rsid w:val="00C4110C"/>
    <w:rsid w:val="00C43407"/>
    <w:rsid w:val="00C436DC"/>
    <w:rsid w:val="00C447D6"/>
    <w:rsid w:val="00C44CFA"/>
    <w:rsid w:val="00C451B0"/>
    <w:rsid w:val="00C467F0"/>
    <w:rsid w:val="00C4686D"/>
    <w:rsid w:val="00C46E57"/>
    <w:rsid w:val="00C47175"/>
    <w:rsid w:val="00C4799B"/>
    <w:rsid w:val="00C51AE6"/>
    <w:rsid w:val="00C51F11"/>
    <w:rsid w:val="00C527A2"/>
    <w:rsid w:val="00C53EE2"/>
    <w:rsid w:val="00C53FA0"/>
    <w:rsid w:val="00C54684"/>
    <w:rsid w:val="00C5519B"/>
    <w:rsid w:val="00C55963"/>
    <w:rsid w:val="00C55C9C"/>
    <w:rsid w:val="00C56BCB"/>
    <w:rsid w:val="00C57F9C"/>
    <w:rsid w:val="00C57FF5"/>
    <w:rsid w:val="00C6078E"/>
    <w:rsid w:val="00C60B68"/>
    <w:rsid w:val="00C614F3"/>
    <w:rsid w:val="00C61B9E"/>
    <w:rsid w:val="00C63060"/>
    <w:rsid w:val="00C63595"/>
    <w:rsid w:val="00C63730"/>
    <w:rsid w:val="00C659DA"/>
    <w:rsid w:val="00C65FC9"/>
    <w:rsid w:val="00C66711"/>
    <w:rsid w:val="00C67E54"/>
    <w:rsid w:val="00C70070"/>
    <w:rsid w:val="00C70404"/>
    <w:rsid w:val="00C720BE"/>
    <w:rsid w:val="00C72708"/>
    <w:rsid w:val="00C72A28"/>
    <w:rsid w:val="00C75CE3"/>
    <w:rsid w:val="00C76FB6"/>
    <w:rsid w:val="00C77DD6"/>
    <w:rsid w:val="00C811AB"/>
    <w:rsid w:val="00C8352E"/>
    <w:rsid w:val="00C8387A"/>
    <w:rsid w:val="00C87059"/>
    <w:rsid w:val="00C90D1A"/>
    <w:rsid w:val="00C92BED"/>
    <w:rsid w:val="00C931F2"/>
    <w:rsid w:val="00C93B5D"/>
    <w:rsid w:val="00C93C42"/>
    <w:rsid w:val="00C95275"/>
    <w:rsid w:val="00C9618F"/>
    <w:rsid w:val="00C966F8"/>
    <w:rsid w:val="00C97A5A"/>
    <w:rsid w:val="00CA073E"/>
    <w:rsid w:val="00CA26CD"/>
    <w:rsid w:val="00CA2B82"/>
    <w:rsid w:val="00CA2C81"/>
    <w:rsid w:val="00CA34E1"/>
    <w:rsid w:val="00CA3C74"/>
    <w:rsid w:val="00CA40EB"/>
    <w:rsid w:val="00CA47EB"/>
    <w:rsid w:val="00CA4EF2"/>
    <w:rsid w:val="00CA5436"/>
    <w:rsid w:val="00CA71A5"/>
    <w:rsid w:val="00CA735F"/>
    <w:rsid w:val="00CB009D"/>
    <w:rsid w:val="00CB0D88"/>
    <w:rsid w:val="00CB22FB"/>
    <w:rsid w:val="00CB3C32"/>
    <w:rsid w:val="00CB455D"/>
    <w:rsid w:val="00CB4F09"/>
    <w:rsid w:val="00CB528C"/>
    <w:rsid w:val="00CB5C0C"/>
    <w:rsid w:val="00CB61E5"/>
    <w:rsid w:val="00CC004F"/>
    <w:rsid w:val="00CC047D"/>
    <w:rsid w:val="00CC1D52"/>
    <w:rsid w:val="00CC1E17"/>
    <w:rsid w:val="00CC22AB"/>
    <w:rsid w:val="00CC2460"/>
    <w:rsid w:val="00CC4049"/>
    <w:rsid w:val="00CC5A8A"/>
    <w:rsid w:val="00CC5D3D"/>
    <w:rsid w:val="00CC6F9F"/>
    <w:rsid w:val="00CC7004"/>
    <w:rsid w:val="00CD1D0F"/>
    <w:rsid w:val="00CD2053"/>
    <w:rsid w:val="00CD2B55"/>
    <w:rsid w:val="00CD37DF"/>
    <w:rsid w:val="00CD3F99"/>
    <w:rsid w:val="00CD4961"/>
    <w:rsid w:val="00CD65A7"/>
    <w:rsid w:val="00CD72FC"/>
    <w:rsid w:val="00CE108A"/>
    <w:rsid w:val="00CE2161"/>
    <w:rsid w:val="00CE242C"/>
    <w:rsid w:val="00CE5350"/>
    <w:rsid w:val="00CE5B24"/>
    <w:rsid w:val="00CE67C7"/>
    <w:rsid w:val="00CE6A8E"/>
    <w:rsid w:val="00CE74D3"/>
    <w:rsid w:val="00CF01CC"/>
    <w:rsid w:val="00CF0CBF"/>
    <w:rsid w:val="00CF18C4"/>
    <w:rsid w:val="00CF22F4"/>
    <w:rsid w:val="00CF2365"/>
    <w:rsid w:val="00CF2383"/>
    <w:rsid w:val="00CF244A"/>
    <w:rsid w:val="00CF26BF"/>
    <w:rsid w:val="00CF4C6D"/>
    <w:rsid w:val="00CF4D12"/>
    <w:rsid w:val="00CF6544"/>
    <w:rsid w:val="00CF78A2"/>
    <w:rsid w:val="00D00D3F"/>
    <w:rsid w:val="00D017D7"/>
    <w:rsid w:val="00D01983"/>
    <w:rsid w:val="00D03533"/>
    <w:rsid w:val="00D03881"/>
    <w:rsid w:val="00D03CC0"/>
    <w:rsid w:val="00D0460E"/>
    <w:rsid w:val="00D0485C"/>
    <w:rsid w:val="00D04C35"/>
    <w:rsid w:val="00D05F0B"/>
    <w:rsid w:val="00D0704B"/>
    <w:rsid w:val="00D073C7"/>
    <w:rsid w:val="00D10E78"/>
    <w:rsid w:val="00D1177D"/>
    <w:rsid w:val="00D11DDE"/>
    <w:rsid w:val="00D12061"/>
    <w:rsid w:val="00D1464E"/>
    <w:rsid w:val="00D159F3"/>
    <w:rsid w:val="00D15FAC"/>
    <w:rsid w:val="00D163AB"/>
    <w:rsid w:val="00D164EF"/>
    <w:rsid w:val="00D168E3"/>
    <w:rsid w:val="00D16FAB"/>
    <w:rsid w:val="00D17824"/>
    <w:rsid w:val="00D23AD0"/>
    <w:rsid w:val="00D23EBE"/>
    <w:rsid w:val="00D23ECA"/>
    <w:rsid w:val="00D2524E"/>
    <w:rsid w:val="00D25FC7"/>
    <w:rsid w:val="00D2696E"/>
    <w:rsid w:val="00D27F8D"/>
    <w:rsid w:val="00D3059E"/>
    <w:rsid w:val="00D30A2C"/>
    <w:rsid w:val="00D3181B"/>
    <w:rsid w:val="00D3238D"/>
    <w:rsid w:val="00D32956"/>
    <w:rsid w:val="00D32FAA"/>
    <w:rsid w:val="00D3355E"/>
    <w:rsid w:val="00D34698"/>
    <w:rsid w:val="00D35A03"/>
    <w:rsid w:val="00D35A21"/>
    <w:rsid w:val="00D35CEF"/>
    <w:rsid w:val="00D364A9"/>
    <w:rsid w:val="00D36D90"/>
    <w:rsid w:val="00D37C68"/>
    <w:rsid w:val="00D41F04"/>
    <w:rsid w:val="00D43A62"/>
    <w:rsid w:val="00D43EAA"/>
    <w:rsid w:val="00D43F90"/>
    <w:rsid w:val="00D45688"/>
    <w:rsid w:val="00D468CD"/>
    <w:rsid w:val="00D46BB1"/>
    <w:rsid w:val="00D46E54"/>
    <w:rsid w:val="00D478CA"/>
    <w:rsid w:val="00D507CB"/>
    <w:rsid w:val="00D508B5"/>
    <w:rsid w:val="00D50E3F"/>
    <w:rsid w:val="00D517FB"/>
    <w:rsid w:val="00D51D59"/>
    <w:rsid w:val="00D5372E"/>
    <w:rsid w:val="00D55D1D"/>
    <w:rsid w:val="00D55D51"/>
    <w:rsid w:val="00D573B8"/>
    <w:rsid w:val="00D6031B"/>
    <w:rsid w:val="00D6091F"/>
    <w:rsid w:val="00D612F7"/>
    <w:rsid w:val="00D6149E"/>
    <w:rsid w:val="00D627EB"/>
    <w:rsid w:val="00D62931"/>
    <w:rsid w:val="00D62D91"/>
    <w:rsid w:val="00D63154"/>
    <w:rsid w:val="00D66619"/>
    <w:rsid w:val="00D67A76"/>
    <w:rsid w:val="00D70498"/>
    <w:rsid w:val="00D71030"/>
    <w:rsid w:val="00D71490"/>
    <w:rsid w:val="00D715E4"/>
    <w:rsid w:val="00D71624"/>
    <w:rsid w:val="00D71E83"/>
    <w:rsid w:val="00D7215E"/>
    <w:rsid w:val="00D724F2"/>
    <w:rsid w:val="00D72756"/>
    <w:rsid w:val="00D72E78"/>
    <w:rsid w:val="00D73E01"/>
    <w:rsid w:val="00D752ED"/>
    <w:rsid w:val="00D75389"/>
    <w:rsid w:val="00D77849"/>
    <w:rsid w:val="00D77E6A"/>
    <w:rsid w:val="00D77E9C"/>
    <w:rsid w:val="00D77F2A"/>
    <w:rsid w:val="00D801E8"/>
    <w:rsid w:val="00D8035B"/>
    <w:rsid w:val="00D803AD"/>
    <w:rsid w:val="00D805E3"/>
    <w:rsid w:val="00D80A53"/>
    <w:rsid w:val="00D81FA0"/>
    <w:rsid w:val="00D82F58"/>
    <w:rsid w:val="00D830E0"/>
    <w:rsid w:val="00D83359"/>
    <w:rsid w:val="00D838C4"/>
    <w:rsid w:val="00D87809"/>
    <w:rsid w:val="00D87C4F"/>
    <w:rsid w:val="00D90230"/>
    <w:rsid w:val="00D90528"/>
    <w:rsid w:val="00D91B7B"/>
    <w:rsid w:val="00D922DB"/>
    <w:rsid w:val="00D92CC5"/>
    <w:rsid w:val="00D93FB9"/>
    <w:rsid w:val="00D9496C"/>
    <w:rsid w:val="00D957A6"/>
    <w:rsid w:val="00D96220"/>
    <w:rsid w:val="00DA07A8"/>
    <w:rsid w:val="00DA0EEC"/>
    <w:rsid w:val="00DA12C5"/>
    <w:rsid w:val="00DA17C3"/>
    <w:rsid w:val="00DA1F4A"/>
    <w:rsid w:val="00DA291E"/>
    <w:rsid w:val="00DA2B40"/>
    <w:rsid w:val="00DA2ECD"/>
    <w:rsid w:val="00DA33B2"/>
    <w:rsid w:val="00DA43E0"/>
    <w:rsid w:val="00DA4FB0"/>
    <w:rsid w:val="00DA57FD"/>
    <w:rsid w:val="00DA599A"/>
    <w:rsid w:val="00DA6339"/>
    <w:rsid w:val="00DB056F"/>
    <w:rsid w:val="00DB112C"/>
    <w:rsid w:val="00DB11F2"/>
    <w:rsid w:val="00DB2014"/>
    <w:rsid w:val="00DB25E5"/>
    <w:rsid w:val="00DB4D62"/>
    <w:rsid w:val="00DB5384"/>
    <w:rsid w:val="00DB6D3C"/>
    <w:rsid w:val="00DB71C0"/>
    <w:rsid w:val="00DB7756"/>
    <w:rsid w:val="00DB77FF"/>
    <w:rsid w:val="00DB7920"/>
    <w:rsid w:val="00DC07A7"/>
    <w:rsid w:val="00DC26F3"/>
    <w:rsid w:val="00DC4C04"/>
    <w:rsid w:val="00DC524B"/>
    <w:rsid w:val="00DC5D1C"/>
    <w:rsid w:val="00DC5DD3"/>
    <w:rsid w:val="00DC67D5"/>
    <w:rsid w:val="00DC6E05"/>
    <w:rsid w:val="00DC75B4"/>
    <w:rsid w:val="00DD035F"/>
    <w:rsid w:val="00DD0472"/>
    <w:rsid w:val="00DD07CA"/>
    <w:rsid w:val="00DD1111"/>
    <w:rsid w:val="00DD1B78"/>
    <w:rsid w:val="00DD2039"/>
    <w:rsid w:val="00DD2E32"/>
    <w:rsid w:val="00DD4645"/>
    <w:rsid w:val="00DD4771"/>
    <w:rsid w:val="00DD52AC"/>
    <w:rsid w:val="00DD686E"/>
    <w:rsid w:val="00DD6A6F"/>
    <w:rsid w:val="00DD6CC9"/>
    <w:rsid w:val="00DD6D70"/>
    <w:rsid w:val="00DE0156"/>
    <w:rsid w:val="00DE06D5"/>
    <w:rsid w:val="00DE0BA6"/>
    <w:rsid w:val="00DE0D97"/>
    <w:rsid w:val="00DE1093"/>
    <w:rsid w:val="00DE271F"/>
    <w:rsid w:val="00DE2A18"/>
    <w:rsid w:val="00DE2B44"/>
    <w:rsid w:val="00DE5906"/>
    <w:rsid w:val="00DE74E5"/>
    <w:rsid w:val="00DF07C1"/>
    <w:rsid w:val="00DF17FE"/>
    <w:rsid w:val="00DF2C68"/>
    <w:rsid w:val="00DF2E55"/>
    <w:rsid w:val="00DF5014"/>
    <w:rsid w:val="00DF560B"/>
    <w:rsid w:val="00DF6666"/>
    <w:rsid w:val="00DF7428"/>
    <w:rsid w:val="00DF7658"/>
    <w:rsid w:val="00DF7674"/>
    <w:rsid w:val="00DF7F4C"/>
    <w:rsid w:val="00E00298"/>
    <w:rsid w:val="00E006F7"/>
    <w:rsid w:val="00E00BF1"/>
    <w:rsid w:val="00E00EE3"/>
    <w:rsid w:val="00E01360"/>
    <w:rsid w:val="00E0220C"/>
    <w:rsid w:val="00E02698"/>
    <w:rsid w:val="00E03797"/>
    <w:rsid w:val="00E037CE"/>
    <w:rsid w:val="00E03D86"/>
    <w:rsid w:val="00E05F12"/>
    <w:rsid w:val="00E07D8A"/>
    <w:rsid w:val="00E07E7D"/>
    <w:rsid w:val="00E1021D"/>
    <w:rsid w:val="00E126F7"/>
    <w:rsid w:val="00E127A7"/>
    <w:rsid w:val="00E13548"/>
    <w:rsid w:val="00E15119"/>
    <w:rsid w:val="00E15338"/>
    <w:rsid w:val="00E1538C"/>
    <w:rsid w:val="00E164FB"/>
    <w:rsid w:val="00E2118B"/>
    <w:rsid w:val="00E211E8"/>
    <w:rsid w:val="00E24CE9"/>
    <w:rsid w:val="00E250BB"/>
    <w:rsid w:val="00E258CC"/>
    <w:rsid w:val="00E268B4"/>
    <w:rsid w:val="00E269B8"/>
    <w:rsid w:val="00E27643"/>
    <w:rsid w:val="00E277A3"/>
    <w:rsid w:val="00E308F9"/>
    <w:rsid w:val="00E30D7E"/>
    <w:rsid w:val="00E3101B"/>
    <w:rsid w:val="00E3113C"/>
    <w:rsid w:val="00E34116"/>
    <w:rsid w:val="00E354FD"/>
    <w:rsid w:val="00E36E53"/>
    <w:rsid w:val="00E409EE"/>
    <w:rsid w:val="00E413EC"/>
    <w:rsid w:val="00E415BF"/>
    <w:rsid w:val="00E42A65"/>
    <w:rsid w:val="00E441E7"/>
    <w:rsid w:val="00E44558"/>
    <w:rsid w:val="00E44E3C"/>
    <w:rsid w:val="00E455C1"/>
    <w:rsid w:val="00E4571E"/>
    <w:rsid w:val="00E45C2A"/>
    <w:rsid w:val="00E478F3"/>
    <w:rsid w:val="00E4794A"/>
    <w:rsid w:val="00E50000"/>
    <w:rsid w:val="00E507D7"/>
    <w:rsid w:val="00E51864"/>
    <w:rsid w:val="00E52FD6"/>
    <w:rsid w:val="00E52FEA"/>
    <w:rsid w:val="00E53BCD"/>
    <w:rsid w:val="00E54AD9"/>
    <w:rsid w:val="00E556A4"/>
    <w:rsid w:val="00E55AD4"/>
    <w:rsid w:val="00E55DB5"/>
    <w:rsid w:val="00E56254"/>
    <w:rsid w:val="00E56283"/>
    <w:rsid w:val="00E56831"/>
    <w:rsid w:val="00E57B08"/>
    <w:rsid w:val="00E57BA7"/>
    <w:rsid w:val="00E60286"/>
    <w:rsid w:val="00E60698"/>
    <w:rsid w:val="00E61E2A"/>
    <w:rsid w:val="00E61EA3"/>
    <w:rsid w:val="00E62199"/>
    <w:rsid w:val="00E621CD"/>
    <w:rsid w:val="00E628D2"/>
    <w:rsid w:val="00E6387E"/>
    <w:rsid w:val="00E639A9"/>
    <w:rsid w:val="00E64384"/>
    <w:rsid w:val="00E643F2"/>
    <w:rsid w:val="00E6467B"/>
    <w:rsid w:val="00E649E3"/>
    <w:rsid w:val="00E6622C"/>
    <w:rsid w:val="00E663FA"/>
    <w:rsid w:val="00E667B8"/>
    <w:rsid w:val="00E6684E"/>
    <w:rsid w:val="00E66991"/>
    <w:rsid w:val="00E7310E"/>
    <w:rsid w:val="00E74460"/>
    <w:rsid w:val="00E747E9"/>
    <w:rsid w:val="00E74B55"/>
    <w:rsid w:val="00E750CF"/>
    <w:rsid w:val="00E7690A"/>
    <w:rsid w:val="00E77897"/>
    <w:rsid w:val="00E82CD2"/>
    <w:rsid w:val="00E82CDA"/>
    <w:rsid w:val="00E83823"/>
    <w:rsid w:val="00E851C1"/>
    <w:rsid w:val="00E8584F"/>
    <w:rsid w:val="00E86E24"/>
    <w:rsid w:val="00E90D94"/>
    <w:rsid w:val="00E90E75"/>
    <w:rsid w:val="00E90F0C"/>
    <w:rsid w:val="00E91610"/>
    <w:rsid w:val="00E91A26"/>
    <w:rsid w:val="00E91E38"/>
    <w:rsid w:val="00E91F55"/>
    <w:rsid w:val="00E92783"/>
    <w:rsid w:val="00E935F1"/>
    <w:rsid w:val="00E94749"/>
    <w:rsid w:val="00E94BA7"/>
    <w:rsid w:val="00E95C46"/>
    <w:rsid w:val="00E95D78"/>
    <w:rsid w:val="00E9636D"/>
    <w:rsid w:val="00EA0C23"/>
    <w:rsid w:val="00EA0F4D"/>
    <w:rsid w:val="00EA240B"/>
    <w:rsid w:val="00EA5CC9"/>
    <w:rsid w:val="00EA6976"/>
    <w:rsid w:val="00EA746B"/>
    <w:rsid w:val="00EA7805"/>
    <w:rsid w:val="00EB08AC"/>
    <w:rsid w:val="00EB0BB0"/>
    <w:rsid w:val="00EB16CF"/>
    <w:rsid w:val="00EB1BE5"/>
    <w:rsid w:val="00EB2ED4"/>
    <w:rsid w:val="00EB3CC5"/>
    <w:rsid w:val="00EB4A4B"/>
    <w:rsid w:val="00EB4DFB"/>
    <w:rsid w:val="00EB5D7B"/>
    <w:rsid w:val="00EB695E"/>
    <w:rsid w:val="00EB772B"/>
    <w:rsid w:val="00EC0211"/>
    <w:rsid w:val="00EC06F3"/>
    <w:rsid w:val="00EC1832"/>
    <w:rsid w:val="00EC191A"/>
    <w:rsid w:val="00EC1B5F"/>
    <w:rsid w:val="00EC5324"/>
    <w:rsid w:val="00EC5AD6"/>
    <w:rsid w:val="00EC5D69"/>
    <w:rsid w:val="00EC6543"/>
    <w:rsid w:val="00EC667C"/>
    <w:rsid w:val="00EC77AD"/>
    <w:rsid w:val="00EC7ABE"/>
    <w:rsid w:val="00ED2679"/>
    <w:rsid w:val="00ED3C16"/>
    <w:rsid w:val="00ED3F71"/>
    <w:rsid w:val="00ED4970"/>
    <w:rsid w:val="00ED52CD"/>
    <w:rsid w:val="00ED542B"/>
    <w:rsid w:val="00ED58FC"/>
    <w:rsid w:val="00ED5E46"/>
    <w:rsid w:val="00ED684B"/>
    <w:rsid w:val="00EE085E"/>
    <w:rsid w:val="00EE0F36"/>
    <w:rsid w:val="00EE0FBD"/>
    <w:rsid w:val="00EE2610"/>
    <w:rsid w:val="00EE2AEA"/>
    <w:rsid w:val="00EE5B67"/>
    <w:rsid w:val="00EE6014"/>
    <w:rsid w:val="00EF082B"/>
    <w:rsid w:val="00EF0C68"/>
    <w:rsid w:val="00EF0CE5"/>
    <w:rsid w:val="00EF18E9"/>
    <w:rsid w:val="00EF3084"/>
    <w:rsid w:val="00EF30EF"/>
    <w:rsid w:val="00EF590B"/>
    <w:rsid w:val="00EF5C2C"/>
    <w:rsid w:val="00EF7528"/>
    <w:rsid w:val="00EF7841"/>
    <w:rsid w:val="00EF7D3F"/>
    <w:rsid w:val="00F01088"/>
    <w:rsid w:val="00F0249E"/>
    <w:rsid w:val="00F037D0"/>
    <w:rsid w:val="00F03D03"/>
    <w:rsid w:val="00F053BA"/>
    <w:rsid w:val="00F06521"/>
    <w:rsid w:val="00F06EFC"/>
    <w:rsid w:val="00F12D0E"/>
    <w:rsid w:val="00F1436E"/>
    <w:rsid w:val="00F14E66"/>
    <w:rsid w:val="00F151A1"/>
    <w:rsid w:val="00F17B72"/>
    <w:rsid w:val="00F21086"/>
    <w:rsid w:val="00F21884"/>
    <w:rsid w:val="00F23FEC"/>
    <w:rsid w:val="00F24875"/>
    <w:rsid w:val="00F2526F"/>
    <w:rsid w:val="00F257A0"/>
    <w:rsid w:val="00F2622C"/>
    <w:rsid w:val="00F30358"/>
    <w:rsid w:val="00F30C56"/>
    <w:rsid w:val="00F34232"/>
    <w:rsid w:val="00F34596"/>
    <w:rsid w:val="00F34925"/>
    <w:rsid w:val="00F34CC3"/>
    <w:rsid w:val="00F35BBF"/>
    <w:rsid w:val="00F35D07"/>
    <w:rsid w:val="00F37C1C"/>
    <w:rsid w:val="00F37F57"/>
    <w:rsid w:val="00F41C01"/>
    <w:rsid w:val="00F41E50"/>
    <w:rsid w:val="00F4208A"/>
    <w:rsid w:val="00F42CCA"/>
    <w:rsid w:val="00F4357D"/>
    <w:rsid w:val="00F441B0"/>
    <w:rsid w:val="00F44C81"/>
    <w:rsid w:val="00F44D98"/>
    <w:rsid w:val="00F44E06"/>
    <w:rsid w:val="00F453A9"/>
    <w:rsid w:val="00F46370"/>
    <w:rsid w:val="00F464B4"/>
    <w:rsid w:val="00F4731E"/>
    <w:rsid w:val="00F47A99"/>
    <w:rsid w:val="00F47EF7"/>
    <w:rsid w:val="00F50D43"/>
    <w:rsid w:val="00F50EAB"/>
    <w:rsid w:val="00F5174E"/>
    <w:rsid w:val="00F5200D"/>
    <w:rsid w:val="00F52265"/>
    <w:rsid w:val="00F523B6"/>
    <w:rsid w:val="00F52574"/>
    <w:rsid w:val="00F5313F"/>
    <w:rsid w:val="00F552CB"/>
    <w:rsid w:val="00F57536"/>
    <w:rsid w:val="00F60745"/>
    <w:rsid w:val="00F629E6"/>
    <w:rsid w:val="00F64CB6"/>
    <w:rsid w:val="00F65F16"/>
    <w:rsid w:val="00F66187"/>
    <w:rsid w:val="00F66DE9"/>
    <w:rsid w:val="00F67205"/>
    <w:rsid w:val="00F67BCF"/>
    <w:rsid w:val="00F70A8E"/>
    <w:rsid w:val="00F72288"/>
    <w:rsid w:val="00F73020"/>
    <w:rsid w:val="00F74EF5"/>
    <w:rsid w:val="00F75A70"/>
    <w:rsid w:val="00F75F11"/>
    <w:rsid w:val="00F765B9"/>
    <w:rsid w:val="00F7673B"/>
    <w:rsid w:val="00F76856"/>
    <w:rsid w:val="00F77063"/>
    <w:rsid w:val="00F77B49"/>
    <w:rsid w:val="00F800E7"/>
    <w:rsid w:val="00F8022B"/>
    <w:rsid w:val="00F80309"/>
    <w:rsid w:val="00F80C1C"/>
    <w:rsid w:val="00F81549"/>
    <w:rsid w:val="00F82290"/>
    <w:rsid w:val="00F84499"/>
    <w:rsid w:val="00F84542"/>
    <w:rsid w:val="00F85325"/>
    <w:rsid w:val="00F90750"/>
    <w:rsid w:val="00F90CED"/>
    <w:rsid w:val="00F93513"/>
    <w:rsid w:val="00F95B72"/>
    <w:rsid w:val="00F95FC6"/>
    <w:rsid w:val="00F96496"/>
    <w:rsid w:val="00F9681C"/>
    <w:rsid w:val="00F972BD"/>
    <w:rsid w:val="00F97832"/>
    <w:rsid w:val="00FA0586"/>
    <w:rsid w:val="00FA12AF"/>
    <w:rsid w:val="00FA1505"/>
    <w:rsid w:val="00FA1FEF"/>
    <w:rsid w:val="00FA2E2F"/>
    <w:rsid w:val="00FA4020"/>
    <w:rsid w:val="00FA5152"/>
    <w:rsid w:val="00FA541D"/>
    <w:rsid w:val="00FA659D"/>
    <w:rsid w:val="00FA7D9C"/>
    <w:rsid w:val="00FB029B"/>
    <w:rsid w:val="00FB2084"/>
    <w:rsid w:val="00FB240E"/>
    <w:rsid w:val="00FB2B4E"/>
    <w:rsid w:val="00FB3BBD"/>
    <w:rsid w:val="00FB48C0"/>
    <w:rsid w:val="00FB4966"/>
    <w:rsid w:val="00FB4BB5"/>
    <w:rsid w:val="00FB58E1"/>
    <w:rsid w:val="00FB6938"/>
    <w:rsid w:val="00FB6F63"/>
    <w:rsid w:val="00FB7187"/>
    <w:rsid w:val="00FB7416"/>
    <w:rsid w:val="00FB7D0E"/>
    <w:rsid w:val="00FC088B"/>
    <w:rsid w:val="00FC0B2D"/>
    <w:rsid w:val="00FC17DA"/>
    <w:rsid w:val="00FC1E60"/>
    <w:rsid w:val="00FC4514"/>
    <w:rsid w:val="00FC4951"/>
    <w:rsid w:val="00FC5B13"/>
    <w:rsid w:val="00FC68FE"/>
    <w:rsid w:val="00FC7B6C"/>
    <w:rsid w:val="00FC7B82"/>
    <w:rsid w:val="00FD0473"/>
    <w:rsid w:val="00FD0522"/>
    <w:rsid w:val="00FD0E15"/>
    <w:rsid w:val="00FD0F36"/>
    <w:rsid w:val="00FD15C1"/>
    <w:rsid w:val="00FD1A9A"/>
    <w:rsid w:val="00FD1AD0"/>
    <w:rsid w:val="00FD4451"/>
    <w:rsid w:val="00FD4A09"/>
    <w:rsid w:val="00FD53FE"/>
    <w:rsid w:val="00FD5DAC"/>
    <w:rsid w:val="00FE0135"/>
    <w:rsid w:val="00FE057A"/>
    <w:rsid w:val="00FE0F2C"/>
    <w:rsid w:val="00FE2346"/>
    <w:rsid w:val="00FE2EB3"/>
    <w:rsid w:val="00FE4A75"/>
    <w:rsid w:val="00FE5660"/>
    <w:rsid w:val="00FE6BB0"/>
    <w:rsid w:val="00FF1947"/>
    <w:rsid w:val="00FF20AB"/>
    <w:rsid w:val="00FF2364"/>
    <w:rsid w:val="00FF2484"/>
    <w:rsid w:val="00FF27A8"/>
    <w:rsid w:val="00FF2CDB"/>
    <w:rsid w:val="00FF3184"/>
    <w:rsid w:val="00FF33DC"/>
    <w:rsid w:val="00FF3CF1"/>
    <w:rsid w:val="00FF46E2"/>
    <w:rsid w:val="00FF4F16"/>
    <w:rsid w:val="00FF773E"/>
    <w:rsid w:val="00FF7A4A"/>
  </w:rsids>
  <m:mathPr>
    <m:mathFont m:val="Cambria Math"/>
    <m:brkBin m:val="before"/>
    <m:brkBinSub m:val="--"/>
    <m:smallFrac m:val="0"/>
    <m:dispDef/>
    <m:lMargin m:val="0"/>
    <m:rMargin m:val="0"/>
    <m:defJc m:val="centerGroup"/>
    <m:wrapIndent m:val="1440"/>
    <m:intLim m:val="subSup"/>
    <m:naryLim m:val="undOvr"/>
  </m:mathPr>
  <w:themeFontLang w:val="fr-B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0456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567DC"/>
    <w:rPr>
      <w:lang w:val="en-US"/>
    </w:rPr>
  </w:style>
  <w:style w:type="paragraph" w:styleId="Heading1">
    <w:name w:val="heading 1"/>
    <w:basedOn w:val="Normal"/>
    <w:next w:val="Normal"/>
    <w:link w:val="Heading1Char"/>
    <w:uiPriority w:val="9"/>
    <w:qFormat/>
    <w:rsid w:val="00557412"/>
    <w:pPr>
      <w:keepNext/>
      <w:spacing w:before="240" w:after="60"/>
      <w:outlineLvl w:val="0"/>
    </w:pPr>
    <w:rPr>
      <w:rFonts w:ascii="Cambria" w:eastAsia="Times New Roman" w:hAnsi="Cambria" w:cs="Times New Roman"/>
      <w:b/>
      <w:bCs/>
      <w:kern w:val="32"/>
      <w:sz w:val="32"/>
      <w:szCs w:val="32"/>
      <w:lang w:val="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567DC"/>
    <w:rPr>
      <w:sz w:val="16"/>
      <w:szCs w:val="16"/>
    </w:rPr>
  </w:style>
  <w:style w:type="paragraph" w:styleId="CommentText">
    <w:name w:val="annotation text"/>
    <w:basedOn w:val="Normal"/>
    <w:link w:val="CommentTextChar"/>
    <w:uiPriority w:val="99"/>
    <w:unhideWhenUsed/>
    <w:rsid w:val="007567DC"/>
    <w:pPr>
      <w:spacing w:line="240" w:lineRule="auto"/>
    </w:pPr>
    <w:rPr>
      <w:sz w:val="20"/>
      <w:szCs w:val="20"/>
    </w:rPr>
  </w:style>
  <w:style w:type="character" w:customStyle="1" w:styleId="CommentTextChar">
    <w:name w:val="Comment Text Char"/>
    <w:basedOn w:val="DefaultParagraphFont"/>
    <w:link w:val="CommentText"/>
    <w:uiPriority w:val="99"/>
    <w:rsid w:val="007567DC"/>
    <w:rPr>
      <w:sz w:val="20"/>
      <w:szCs w:val="20"/>
      <w:lang w:val="en-US"/>
    </w:rPr>
  </w:style>
  <w:style w:type="paragraph" w:styleId="FootnoteText">
    <w:name w:val="footnote text"/>
    <w:basedOn w:val="Normal"/>
    <w:link w:val="FootnoteTextChar"/>
    <w:unhideWhenUsed/>
    <w:rsid w:val="007567DC"/>
    <w:pPr>
      <w:spacing w:after="0" w:line="240" w:lineRule="auto"/>
    </w:pPr>
    <w:rPr>
      <w:sz w:val="20"/>
      <w:szCs w:val="20"/>
    </w:rPr>
  </w:style>
  <w:style w:type="character" w:customStyle="1" w:styleId="FootnoteTextChar">
    <w:name w:val="Footnote Text Char"/>
    <w:basedOn w:val="DefaultParagraphFont"/>
    <w:link w:val="FootnoteText"/>
    <w:rsid w:val="007567DC"/>
    <w:rPr>
      <w:sz w:val="20"/>
      <w:szCs w:val="20"/>
      <w:lang w:val="en-US"/>
    </w:rPr>
  </w:style>
  <w:style w:type="character" w:styleId="FootnoteReference">
    <w:name w:val="footnote reference"/>
    <w:basedOn w:val="DefaultParagraphFont"/>
    <w:semiHidden/>
    <w:unhideWhenUsed/>
    <w:rsid w:val="007567DC"/>
    <w:rPr>
      <w:vertAlign w:val="superscript"/>
    </w:rPr>
  </w:style>
  <w:style w:type="paragraph" w:styleId="PlainText">
    <w:name w:val="Plain Text"/>
    <w:basedOn w:val="Normal"/>
    <w:link w:val="PlainTextChar"/>
    <w:uiPriority w:val="99"/>
    <w:unhideWhenUsed/>
    <w:rsid w:val="007567DC"/>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7567DC"/>
    <w:rPr>
      <w:rFonts w:ascii="Calibri" w:hAnsi="Calibri"/>
      <w:szCs w:val="21"/>
      <w:lang w:val="en-US"/>
    </w:rPr>
  </w:style>
  <w:style w:type="paragraph" w:styleId="BalloonText">
    <w:name w:val="Balloon Text"/>
    <w:basedOn w:val="Normal"/>
    <w:link w:val="BalloonTextChar"/>
    <w:uiPriority w:val="99"/>
    <w:semiHidden/>
    <w:unhideWhenUsed/>
    <w:rsid w:val="007567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67DC"/>
    <w:rPr>
      <w:rFonts w:ascii="Tahoma" w:hAnsi="Tahoma" w:cs="Tahoma"/>
      <w:sz w:val="16"/>
      <w:szCs w:val="16"/>
      <w:lang w:val="en-US"/>
    </w:rPr>
  </w:style>
  <w:style w:type="paragraph" w:styleId="CommentSubject">
    <w:name w:val="annotation subject"/>
    <w:basedOn w:val="CommentText"/>
    <w:next w:val="CommentText"/>
    <w:link w:val="CommentSubjectChar"/>
    <w:uiPriority w:val="99"/>
    <w:semiHidden/>
    <w:unhideWhenUsed/>
    <w:rsid w:val="00EB2ED4"/>
    <w:rPr>
      <w:b/>
      <w:bCs/>
    </w:rPr>
  </w:style>
  <w:style w:type="character" w:customStyle="1" w:styleId="CommentSubjectChar">
    <w:name w:val="Comment Subject Char"/>
    <w:basedOn w:val="CommentTextChar"/>
    <w:link w:val="CommentSubject"/>
    <w:uiPriority w:val="99"/>
    <w:semiHidden/>
    <w:rsid w:val="00EB2ED4"/>
    <w:rPr>
      <w:b/>
      <w:bCs/>
      <w:sz w:val="20"/>
      <w:szCs w:val="20"/>
      <w:lang w:val="en-US"/>
    </w:rPr>
  </w:style>
  <w:style w:type="paragraph" w:styleId="NoSpacing">
    <w:name w:val="No Spacing"/>
    <w:uiPriority w:val="1"/>
    <w:qFormat/>
    <w:rsid w:val="001E0FA7"/>
    <w:pPr>
      <w:spacing w:after="0" w:line="240" w:lineRule="auto"/>
    </w:pPr>
    <w:rPr>
      <w:rFonts w:ascii="Calibri" w:eastAsia="SimSun" w:hAnsi="Calibri" w:cs="Times New Roman"/>
      <w:lang w:val="en-US" w:eastAsia="zh-CN"/>
    </w:rPr>
  </w:style>
  <w:style w:type="paragraph" w:styleId="Revision">
    <w:name w:val="Revision"/>
    <w:hidden/>
    <w:uiPriority w:val="99"/>
    <w:semiHidden/>
    <w:rsid w:val="00A006B2"/>
    <w:pPr>
      <w:spacing w:after="0" w:line="240" w:lineRule="auto"/>
    </w:pPr>
    <w:rPr>
      <w:lang w:val="en-US"/>
    </w:rPr>
  </w:style>
  <w:style w:type="paragraph" w:styleId="Header">
    <w:name w:val="header"/>
    <w:basedOn w:val="Normal"/>
    <w:link w:val="HeaderChar"/>
    <w:unhideWhenUsed/>
    <w:rsid w:val="001E7A2E"/>
    <w:pPr>
      <w:tabs>
        <w:tab w:val="center" w:pos="4680"/>
        <w:tab w:val="right" w:pos="9360"/>
      </w:tabs>
      <w:spacing w:after="0" w:line="240" w:lineRule="auto"/>
    </w:pPr>
  </w:style>
  <w:style w:type="character" w:customStyle="1" w:styleId="HeaderChar">
    <w:name w:val="Header Char"/>
    <w:basedOn w:val="DefaultParagraphFont"/>
    <w:link w:val="Header"/>
    <w:rsid w:val="001E7A2E"/>
    <w:rPr>
      <w:lang w:val="en-US"/>
    </w:rPr>
  </w:style>
  <w:style w:type="paragraph" w:styleId="Footer">
    <w:name w:val="footer"/>
    <w:basedOn w:val="Normal"/>
    <w:link w:val="FooterChar"/>
    <w:uiPriority w:val="99"/>
    <w:unhideWhenUsed/>
    <w:rsid w:val="001E7A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7A2E"/>
    <w:rPr>
      <w:lang w:val="en-US"/>
    </w:rPr>
  </w:style>
  <w:style w:type="character" w:customStyle="1" w:styleId="Heading1Char">
    <w:name w:val="Heading 1 Char"/>
    <w:basedOn w:val="DefaultParagraphFont"/>
    <w:link w:val="Heading1"/>
    <w:uiPriority w:val="9"/>
    <w:rsid w:val="00557412"/>
    <w:rPr>
      <w:rFonts w:ascii="Cambria" w:eastAsia="Times New Roman" w:hAnsi="Cambria" w:cs="Times New Roman"/>
      <w:b/>
      <w:bCs/>
      <w:kern w:val="32"/>
      <w:sz w:val="32"/>
      <w:szCs w:val="32"/>
    </w:rPr>
  </w:style>
  <w:style w:type="character" w:styleId="Hyperlink">
    <w:name w:val="Hyperlink"/>
    <w:rsid w:val="00557412"/>
    <w:rPr>
      <w:color w:val="0000FF"/>
      <w:u w:val="single"/>
    </w:rPr>
  </w:style>
  <w:style w:type="paragraph" w:customStyle="1" w:styleId="Default">
    <w:name w:val="Default"/>
    <w:rsid w:val="00557412"/>
    <w:pPr>
      <w:autoSpaceDE w:val="0"/>
      <w:autoSpaceDN w:val="0"/>
      <w:adjustRightInd w:val="0"/>
      <w:spacing w:after="0" w:line="240" w:lineRule="auto"/>
    </w:pPr>
    <w:rPr>
      <w:rFonts w:ascii="Times New Roman" w:eastAsia="Calibri" w:hAnsi="Times New Roman" w:cs="Times New Roman"/>
      <w:color w:val="000000"/>
      <w:sz w:val="24"/>
      <w:szCs w:val="24"/>
      <w:lang w:val="fr-FR" w:eastAsia="fr-FR"/>
    </w:rPr>
  </w:style>
  <w:style w:type="table" w:styleId="TableGrid">
    <w:name w:val="Table Grid"/>
    <w:basedOn w:val="TableNormal"/>
    <w:uiPriority w:val="59"/>
    <w:rsid w:val="00557412"/>
    <w:pPr>
      <w:spacing w:after="0" w:line="240" w:lineRule="auto"/>
    </w:pPr>
    <w:rPr>
      <w:rFonts w:ascii="Calibri" w:eastAsia="Calibri" w:hAnsi="Calibri" w:cs="Times New Roman"/>
      <w:sz w:val="20"/>
      <w:szCs w:val="20"/>
      <w:lang w:eastAsia="fr-B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ndnoteTextChar">
    <w:name w:val="Endnote Text Char"/>
    <w:link w:val="EndnoteText"/>
    <w:uiPriority w:val="99"/>
    <w:semiHidden/>
    <w:rsid w:val="00557412"/>
  </w:style>
  <w:style w:type="paragraph" w:styleId="EndnoteText">
    <w:name w:val="endnote text"/>
    <w:basedOn w:val="Normal"/>
    <w:link w:val="EndnoteTextChar"/>
    <w:uiPriority w:val="99"/>
    <w:semiHidden/>
    <w:unhideWhenUsed/>
    <w:rsid w:val="00557412"/>
    <w:rPr>
      <w:lang w:val="fr-BE"/>
    </w:rPr>
  </w:style>
  <w:style w:type="character" w:customStyle="1" w:styleId="NotedefinCar1">
    <w:name w:val="Note de fin Car1"/>
    <w:basedOn w:val="DefaultParagraphFont"/>
    <w:uiPriority w:val="99"/>
    <w:semiHidden/>
    <w:rsid w:val="00557412"/>
    <w:rPr>
      <w:sz w:val="20"/>
      <w:szCs w:val="20"/>
      <w:lang w:val="en-US"/>
    </w:rPr>
  </w:style>
  <w:style w:type="character" w:styleId="EndnoteReference">
    <w:name w:val="endnote reference"/>
    <w:uiPriority w:val="99"/>
    <w:semiHidden/>
    <w:unhideWhenUsed/>
    <w:rsid w:val="00557412"/>
    <w:rPr>
      <w:vertAlign w:val="superscript"/>
    </w:rPr>
  </w:style>
  <w:style w:type="paragraph" w:styleId="ListParagraph">
    <w:name w:val="List Paragraph"/>
    <w:basedOn w:val="Normal"/>
    <w:uiPriority w:val="34"/>
    <w:qFormat/>
    <w:rsid w:val="00557412"/>
    <w:pPr>
      <w:ind w:left="720"/>
      <w:contextualSpacing/>
    </w:pPr>
    <w:rPr>
      <w:rFonts w:ascii="Calibri" w:eastAsia="Calibri" w:hAnsi="Calibri" w:cs="Times New Roman"/>
      <w:lang w:val="en-GB"/>
    </w:rPr>
  </w:style>
  <w:style w:type="character" w:customStyle="1" w:styleId="databold">
    <w:name w:val="data_bold"/>
    <w:basedOn w:val="DefaultParagraphFont"/>
    <w:rsid w:val="006A20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75271">
      <w:bodyDiv w:val="1"/>
      <w:marLeft w:val="0"/>
      <w:marRight w:val="0"/>
      <w:marTop w:val="0"/>
      <w:marBottom w:val="0"/>
      <w:divBdr>
        <w:top w:val="none" w:sz="0" w:space="0" w:color="auto"/>
        <w:left w:val="none" w:sz="0" w:space="0" w:color="auto"/>
        <w:bottom w:val="none" w:sz="0" w:space="0" w:color="auto"/>
        <w:right w:val="none" w:sz="0" w:space="0" w:color="auto"/>
      </w:divBdr>
      <w:divsChild>
        <w:div w:id="1025326081">
          <w:marLeft w:val="0"/>
          <w:marRight w:val="0"/>
          <w:marTop w:val="0"/>
          <w:marBottom w:val="0"/>
          <w:divBdr>
            <w:top w:val="none" w:sz="0" w:space="0" w:color="auto"/>
            <w:left w:val="none" w:sz="0" w:space="0" w:color="auto"/>
            <w:bottom w:val="none" w:sz="0" w:space="0" w:color="auto"/>
            <w:right w:val="none" w:sz="0" w:space="0" w:color="auto"/>
          </w:divBdr>
        </w:div>
      </w:divsChild>
    </w:div>
    <w:div w:id="161824663">
      <w:bodyDiv w:val="1"/>
      <w:marLeft w:val="0"/>
      <w:marRight w:val="0"/>
      <w:marTop w:val="0"/>
      <w:marBottom w:val="0"/>
      <w:divBdr>
        <w:top w:val="none" w:sz="0" w:space="0" w:color="auto"/>
        <w:left w:val="none" w:sz="0" w:space="0" w:color="auto"/>
        <w:bottom w:val="none" w:sz="0" w:space="0" w:color="auto"/>
        <w:right w:val="none" w:sz="0" w:space="0" w:color="auto"/>
      </w:divBdr>
      <w:divsChild>
        <w:div w:id="1255631072">
          <w:marLeft w:val="0"/>
          <w:marRight w:val="0"/>
          <w:marTop w:val="0"/>
          <w:marBottom w:val="0"/>
          <w:divBdr>
            <w:top w:val="none" w:sz="0" w:space="0" w:color="auto"/>
            <w:left w:val="none" w:sz="0" w:space="0" w:color="auto"/>
            <w:bottom w:val="none" w:sz="0" w:space="0" w:color="auto"/>
            <w:right w:val="none" w:sz="0" w:space="0" w:color="auto"/>
          </w:divBdr>
          <w:divsChild>
            <w:div w:id="765342572">
              <w:marLeft w:val="0"/>
              <w:marRight w:val="0"/>
              <w:marTop w:val="0"/>
              <w:marBottom w:val="0"/>
              <w:divBdr>
                <w:top w:val="none" w:sz="0" w:space="0" w:color="auto"/>
                <w:left w:val="none" w:sz="0" w:space="0" w:color="auto"/>
                <w:bottom w:val="none" w:sz="0" w:space="0" w:color="auto"/>
                <w:right w:val="none" w:sz="0" w:space="0" w:color="auto"/>
              </w:divBdr>
              <w:divsChild>
                <w:div w:id="1234776172">
                  <w:marLeft w:val="0"/>
                  <w:marRight w:val="0"/>
                  <w:marTop w:val="0"/>
                  <w:marBottom w:val="0"/>
                  <w:divBdr>
                    <w:top w:val="none" w:sz="0" w:space="0" w:color="auto"/>
                    <w:left w:val="none" w:sz="0" w:space="0" w:color="auto"/>
                    <w:bottom w:val="none" w:sz="0" w:space="0" w:color="auto"/>
                    <w:right w:val="none" w:sz="0" w:space="0" w:color="auto"/>
                  </w:divBdr>
                  <w:divsChild>
                    <w:div w:id="190798803">
                      <w:marLeft w:val="0"/>
                      <w:marRight w:val="0"/>
                      <w:marTop w:val="0"/>
                      <w:marBottom w:val="0"/>
                      <w:divBdr>
                        <w:top w:val="none" w:sz="0" w:space="0" w:color="auto"/>
                        <w:left w:val="none" w:sz="0" w:space="0" w:color="auto"/>
                        <w:bottom w:val="none" w:sz="0" w:space="0" w:color="auto"/>
                        <w:right w:val="none" w:sz="0" w:space="0" w:color="auto"/>
                      </w:divBdr>
                      <w:divsChild>
                        <w:div w:id="1728451065">
                          <w:marLeft w:val="0"/>
                          <w:marRight w:val="0"/>
                          <w:marTop w:val="0"/>
                          <w:marBottom w:val="0"/>
                          <w:divBdr>
                            <w:top w:val="none" w:sz="0" w:space="0" w:color="auto"/>
                            <w:left w:val="none" w:sz="0" w:space="0" w:color="auto"/>
                            <w:bottom w:val="none" w:sz="0" w:space="0" w:color="auto"/>
                            <w:right w:val="none" w:sz="0" w:space="0" w:color="auto"/>
                          </w:divBdr>
                          <w:divsChild>
                            <w:div w:id="113371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239815">
      <w:bodyDiv w:val="1"/>
      <w:marLeft w:val="0"/>
      <w:marRight w:val="0"/>
      <w:marTop w:val="0"/>
      <w:marBottom w:val="0"/>
      <w:divBdr>
        <w:top w:val="none" w:sz="0" w:space="0" w:color="auto"/>
        <w:left w:val="none" w:sz="0" w:space="0" w:color="auto"/>
        <w:bottom w:val="none" w:sz="0" w:space="0" w:color="auto"/>
        <w:right w:val="none" w:sz="0" w:space="0" w:color="auto"/>
      </w:divBdr>
      <w:divsChild>
        <w:div w:id="484051465">
          <w:marLeft w:val="0"/>
          <w:marRight w:val="0"/>
          <w:marTop w:val="0"/>
          <w:marBottom w:val="0"/>
          <w:divBdr>
            <w:top w:val="none" w:sz="0" w:space="0" w:color="auto"/>
            <w:left w:val="none" w:sz="0" w:space="0" w:color="auto"/>
            <w:bottom w:val="none" w:sz="0" w:space="0" w:color="auto"/>
            <w:right w:val="none" w:sz="0" w:space="0" w:color="auto"/>
          </w:divBdr>
          <w:divsChild>
            <w:div w:id="1068000003">
              <w:marLeft w:val="0"/>
              <w:marRight w:val="0"/>
              <w:marTop w:val="0"/>
              <w:marBottom w:val="0"/>
              <w:divBdr>
                <w:top w:val="none" w:sz="0" w:space="0" w:color="auto"/>
                <w:left w:val="none" w:sz="0" w:space="0" w:color="auto"/>
                <w:bottom w:val="none" w:sz="0" w:space="0" w:color="auto"/>
                <w:right w:val="none" w:sz="0" w:space="0" w:color="auto"/>
              </w:divBdr>
              <w:divsChild>
                <w:div w:id="783885019">
                  <w:marLeft w:val="0"/>
                  <w:marRight w:val="0"/>
                  <w:marTop w:val="0"/>
                  <w:marBottom w:val="0"/>
                  <w:divBdr>
                    <w:top w:val="none" w:sz="0" w:space="0" w:color="auto"/>
                    <w:left w:val="none" w:sz="0" w:space="0" w:color="auto"/>
                    <w:bottom w:val="none" w:sz="0" w:space="0" w:color="auto"/>
                    <w:right w:val="none" w:sz="0" w:space="0" w:color="auto"/>
                  </w:divBdr>
                  <w:divsChild>
                    <w:div w:id="13460144">
                      <w:marLeft w:val="0"/>
                      <w:marRight w:val="0"/>
                      <w:marTop w:val="0"/>
                      <w:marBottom w:val="0"/>
                      <w:divBdr>
                        <w:top w:val="none" w:sz="0" w:space="0" w:color="auto"/>
                        <w:left w:val="none" w:sz="0" w:space="0" w:color="auto"/>
                        <w:bottom w:val="none" w:sz="0" w:space="0" w:color="auto"/>
                        <w:right w:val="none" w:sz="0" w:space="0" w:color="auto"/>
                      </w:divBdr>
                      <w:divsChild>
                        <w:div w:id="508061249">
                          <w:marLeft w:val="0"/>
                          <w:marRight w:val="0"/>
                          <w:marTop w:val="0"/>
                          <w:marBottom w:val="0"/>
                          <w:divBdr>
                            <w:top w:val="none" w:sz="0" w:space="0" w:color="auto"/>
                            <w:left w:val="none" w:sz="0" w:space="0" w:color="auto"/>
                            <w:bottom w:val="none" w:sz="0" w:space="0" w:color="auto"/>
                            <w:right w:val="none" w:sz="0" w:space="0" w:color="auto"/>
                          </w:divBdr>
                          <w:divsChild>
                            <w:div w:id="191470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2811957">
      <w:bodyDiv w:val="1"/>
      <w:marLeft w:val="0"/>
      <w:marRight w:val="0"/>
      <w:marTop w:val="0"/>
      <w:marBottom w:val="0"/>
      <w:divBdr>
        <w:top w:val="none" w:sz="0" w:space="0" w:color="auto"/>
        <w:left w:val="none" w:sz="0" w:space="0" w:color="auto"/>
        <w:bottom w:val="none" w:sz="0" w:space="0" w:color="auto"/>
        <w:right w:val="none" w:sz="0" w:space="0" w:color="auto"/>
      </w:divBdr>
      <w:divsChild>
        <w:div w:id="2068411667">
          <w:marLeft w:val="0"/>
          <w:marRight w:val="0"/>
          <w:marTop w:val="0"/>
          <w:marBottom w:val="0"/>
          <w:divBdr>
            <w:top w:val="none" w:sz="0" w:space="0" w:color="auto"/>
            <w:left w:val="none" w:sz="0" w:space="0" w:color="auto"/>
            <w:bottom w:val="none" w:sz="0" w:space="0" w:color="auto"/>
            <w:right w:val="none" w:sz="0" w:space="0" w:color="auto"/>
          </w:divBdr>
          <w:divsChild>
            <w:div w:id="1329557899">
              <w:marLeft w:val="0"/>
              <w:marRight w:val="0"/>
              <w:marTop w:val="0"/>
              <w:marBottom w:val="0"/>
              <w:divBdr>
                <w:top w:val="none" w:sz="0" w:space="0" w:color="auto"/>
                <w:left w:val="none" w:sz="0" w:space="0" w:color="auto"/>
                <w:bottom w:val="none" w:sz="0" w:space="0" w:color="auto"/>
                <w:right w:val="none" w:sz="0" w:space="0" w:color="auto"/>
              </w:divBdr>
              <w:divsChild>
                <w:div w:id="2052997907">
                  <w:marLeft w:val="0"/>
                  <w:marRight w:val="0"/>
                  <w:marTop w:val="0"/>
                  <w:marBottom w:val="0"/>
                  <w:divBdr>
                    <w:top w:val="none" w:sz="0" w:space="0" w:color="auto"/>
                    <w:left w:val="none" w:sz="0" w:space="0" w:color="auto"/>
                    <w:bottom w:val="none" w:sz="0" w:space="0" w:color="auto"/>
                    <w:right w:val="none" w:sz="0" w:space="0" w:color="auto"/>
                  </w:divBdr>
                  <w:divsChild>
                    <w:div w:id="1754551892">
                      <w:marLeft w:val="0"/>
                      <w:marRight w:val="0"/>
                      <w:marTop w:val="0"/>
                      <w:marBottom w:val="0"/>
                      <w:divBdr>
                        <w:top w:val="none" w:sz="0" w:space="0" w:color="auto"/>
                        <w:left w:val="none" w:sz="0" w:space="0" w:color="auto"/>
                        <w:bottom w:val="none" w:sz="0" w:space="0" w:color="auto"/>
                        <w:right w:val="none" w:sz="0" w:space="0" w:color="auto"/>
                      </w:divBdr>
                      <w:divsChild>
                        <w:div w:id="2137407231">
                          <w:marLeft w:val="0"/>
                          <w:marRight w:val="0"/>
                          <w:marTop w:val="0"/>
                          <w:marBottom w:val="0"/>
                          <w:divBdr>
                            <w:top w:val="none" w:sz="0" w:space="0" w:color="auto"/>
                            <w:left w:val="none" w:sz="0" w:space="0" w:color="auto"/>
                            <w:bottom w:val="none" w:sz="0" w:space="0" w:color="auto"/>
                            <w:right w:val="none" w:sz="0" w:space="0" w:color="auto"/>
                          </w:divBdr>
                          <w:divsChild>
                            <w:div w:id="25887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0495037">
      <w:bodyDiv w:val="1"/>
      <w:marLeft w:val="0"/>
      <w:marRight w:val="0"/>
      <w:marTop w:val="0"/>
      <w:marBottom w:val="0"/>
      <w:divBdr>
        <w:top w:val="none" w:sz="0" w:space="0" w:color="auto"/>
        <w:left w:val="none" w:sz="0" w:space="0" w:color="auto"/>
        <w:bottom w:val="none" w:sz="0" w:space="0" w:color="auto"/>
        <w:right w:val="none" w:sz="0" w:space="0" w:color="auto"/>
      </w:divBdr>
      <w:divsChild>
        <w:div w:id="1760517678">
          <w:marLeft w:val="0"/>
          <w:marRight w:val="0"/>
          <w:marTop w:val="0"/>
          <w:marBottom w:val="0"/>
          <w:divBdr>
            <w:top w:val="none" w:sz="0" w:space="0" w:color="auto"/>
            <w:left w:val="none" w:sz="0" w:space="0" w:color="auto"/>
            <w:bottom w:val="none" w:sz="0" w:space="0" w:color="auto"/>
            <w:right w:val="none" w:sz="0" w:space="0" w:color="auto"/>
          </w:divBdr>
          <w:divsChild>
            <w:div w:id="1455978147">
              <w:marLeft w:val="0"/>
              <w:marRight w:val="0"/>
              <w:marTop w:val="0"/>
              <w:marBottom w:val="0"/>
              <w:divBdr>
                <w:top w:val="none" w:sz="0" w:space="0" w:color="auto"/>
                <w:left w:val="none" w:sz="0" w:space="0" w:color="auto"/>
                <w:bottom w:val="none" w:sz="0" w:space="0" w:color="auto"/>
                <w:right w:val="none" w:sz="0" w:space="0" w:color="auto"/>
              </w:divBdr>
              <w:divsChild>
                <w:div w:id="865140965">
                  <w:marLeft w:val="0"/>
                  <w:marRight w:val="0"/>
                  <w:marTop w:val="0"/>
                  <w:marBottom w:val="0"/>
                  <w:divBdr>
                    <w:top w:val="none" w:sz="0" w:space="0" w:color="auto"/>
                    <w:left w:val="none" w:sz="0" w:space="0" w:color="auto"/>
                    <w:bottom w:val="none" w:sz="0" w:space="0" w:color="auto"/>
                    <w:right w:val="none" w:sz="0" w:space="0" w:color="auto"/>
                  </w:divBdr>
                  <w:divsChild>
                    <w:div w:id="1517235414">
                      <w:marLeft w:val="0"/>
                      <w:marRight w:val="0"/>
                      <w:marTop w:val="0"/>
                      <w:marBottom w:val="0"/>
                      <w:divBdr>
                        <w:top w:val="none" w:sz="0" w:space="0" w:color="auto"/>
                        <w:left w:val="none" w:sz="0" w:space="0" w:color="auto"/>
                        <w:bottom w:val="none" w:sz="0" w:space="0" w:color="auto"/>
                        <w:right w:val="none" w:sz="0" w:space="0" w:color="auto"/>
                      </w:divBdr>
                      <w:divsChild>
                        <w:div w:id="53164802">
                          <w:marLeft w:val="0"/>
                          <w:marRight w:val="0"/>
                          <w:marTop w:val="0"/>
                          <w:marBottom w:val="0"/>
                          <w:divBdr>
                            <w:top w:val="none" w:sz="0" w:space="0" w:color="auto"/>
                            <w:left w:val="none" w:sz="0" w:space="0" w:color="auto"/>
                            <w:bottom w:val="none" w:sz="0" w:space="0" w:color="auto"/>
                            <w:right w:val="none" w:sz="0" w:space="0" w:color="auto"/>
                          </w:divBdr>
                          <w:divsChild>
                            <w:div w:id="190174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3136881">
      <w:bodyDiv w:val="1"/>
      <w:marLeft w:val="0"/>
      <w:marRight w:val="0"/>
      <w:marTop w:val="0"/>
      <w:marBottom w:val="0"/>
      <w:divBdr>
        <w:top w:val="none" w:sz="0" w:space="0" w:color="auto"/>
        <w:left w:val="none" w:sz="0" w:space="0" w:color="auto"/>
        <w:bottom w:val="none" w:sz="0" w:space="0" w:color="auto"/>
        <w:right w:val="none" w:sz="0" w:space="0" w:color="auto"/>
      </w:divBdr>
      <w:divsChild>
        <w:div w:id="931426493">
          <w:marLeft w:val="0"/>
          <w:marRight w:val="0"/>
          <w:marTop w:val="0"/>
          <w:marBottom w:val="0"/>
          <w:divBdr>
            <w:top w:val="none" w:sz="0" w:space="0" w:color="auto"/>
            <w:left w:val="none" w:sz="0" w:space="0" w:color="auto"/>
            <w:bottom w:val="none" w:sz="0" w:space="0" w:color="auto"/>
            <w:right w:val="none" w:sz="0" w:space="0" w:color="auto"/>
          </w:divBdr>
          <w:divsChild>
            <w:div w:id="1508985546">
              <w:marLeft w:val="0"/>
              <w:marRight w:val="0"/>
              <w:marTop w:val="0"/>
              <w:marBottom w:val="0"/>
              <w:divBdr>
                <w:top w:val="none" w:sz="0" w:space="0" w:color="auto"/>
                <w:left w:val="none" w:sz="0" w:space="0" w:color="auto"/>
                <w:bottom w:val="none" w:sz="0" w:space="0" w:color="auto"/>
                <w:right w:val="none" w:sz="0" w:space="0" w:color="auto"/>
              </w:divBdr>
              <w:divsChild>
                <w:div w:id="1876576937">
                  <w:marLeft w:val="0"/>
                  <w:marRight w:val="0"/>
                  <w:marTop w:val="0"/>
                  <w:marBottom w:val="0"/>
                  <w:divBdr>
                    <w:top w:val="none" w:sz="0" w:space="0" w:color="auto"/>
                    <w:left w:val="none" w:sz="0" w:space="0" w:color="auto"/>
                    <w:bottom w:val="none" w:sz="0" w:space="0" w:color="auto"/>
                    <w:right w:val="none" w:sz="0" w:space="0" w:color="auto"/>
                  </w:divBdr>
                  <w:divsChild>
                    <w:div w:id="831220856">
                      <w:marLeft w:val="0"/>
                      <w:marRight w:val="0"/>
                      <w:marTop w:val="0"/>
                      <w:marBottom w:val="0"/>
                      <w:divBdr>
                        <w:top w:val="none" w:sz="0" w:space="0" w:color="auto"/>
                        <w:left w:val="none" w:sz="0" w:space="0" w:color="auto"/>
                        <w:bottom w:val="none" w:sz="0" w:space="0" w:color="auto"/>
                        <w:right w:val="none" w:sz="0" w:space="0" w:color="auto"/>
                      </w:divBdr>
                      <w:divsChild>
                        <w:div w:id="285157567">
                          <w:marLeft w:val="0"/>
                          <w:marRight w:val="0"/>
                          <w:marTop w:val="0"/>
                          <w:marBottom w:val="0"/>
                          <w:divBdr>
                            <w:top w:val="none" w:sz="0" w:space="0" w:color="auto"/>
                            <w:left w:val="none" w:sz="0" w:space="0" w:color="auto"/>
                            <w:bottom w:val="none" w:sz="0" w:space="0" w:color="auto"/>
                            <w:right w:val="none" w:sz="0" w:space="0" w:color="auto"/>
                          </w:divBdr>
                          <w:divsChild>
                            <w:div w:id="1029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7266184">
      <w:bodyDiv w:val="1"/>
      <w:marLeft w:val="0"/>
      <w:marRight w:val="0"/>
      <w:marTop w:val="0"/>
      <w:marBottom w:val="0"/>
      <w:divBdr>
        <w:top w:val="none" w:sz="0" w:space="0" w:color="auto"/>
        <w:left w:val="none" w:sz="0" w:space="0" w:color="auto"/>
        <w:bottom w:val="none" w:sz="0" w:space="0" w:color="auto"/>
        <w:right w:val="none" w:sz="0" w:space="0" w:color="auto"/>
      </w:divBdr>
      <w:divsChild>
        <w:div w:id="709109338">
          <w:marLeft w:val="0"/>
          <w:marRight w:val="0"/>
          <w:marTop w:val="0"/>
          <w:marBottom w:val="0"/>
          <w:divBdr>
            <w:top w:val="none" w:sz="0" w:space="0" w:color="auto"/>
            <w:left w:val="none" w:sz="0" w:space="0" w:color="auto"/>
            <w:bottom w:val="none" w:sz="0" w:space="0" w:color="auto"/>
            <w:right w:val="none" w:sz="0" w:space="0" w:color="auto"/>
          </w:divBdr>
          <w:divsChild>
            <w:div w:id="2031103464">
              <w:marLeft w:val="0"/>
              <w:marRight w:val="0"/>
              <w:marTop w:val="0"/>
              <w:marBottom w:val="0"/>
              <w:divBdr>
                <w:top w:val="none" w:sz="0" w:space="0" w:color="auto"/>
                <w:left w:val="none" w:sz="0" w:space="0" w:color="auto"/>
                <w:bottom w:val="none" w:sz="0" w:space="0" w:color="auto"/>
                <w:right w:val="none" w:sz="0" w:space="0" w:color="auto"/>
              </w:divBdr>
              <w:divsChild>
                <w:div w:id="252472307">
                  <w:marLeft w:val="0"/>
                  <w:marRight w:val="0"/>
                  <w:marTop w:val="0"/>
                  <w:marBottom w:val="0"/>
                  <w:divBdr>
                    <w:top w:val="none" w:sz="0" w:space="0" w:color="auto"/>
                    <w:left w:val="none" w:sz="0" w:space="0" w:color="auto"/>
                    <w:bottom w:val="none" w:sz="0" w:space="0" w:color="auto"/>
                    <w:right w:val="none" w:sz="0" w:space="0" w:color="auto"/>
                  </w:divBdr>
                  <w:divsChild>
                    <w:div w:id="1158879991">
                      <w:marLeft w:val="0"/>
                      <w:marRight w:val="0"/>
                      <w:marTop w:val="0"/>
                      <w:marBottom w:val="0"/>
                      <w:divBdr>
                        <w:top w:val="none" w:sz="0" w:space="0" w:color="auto"/>
                        <w:left w:val="none" w:sz="0" w:space="0" w:color="auto"/>
                        <w:bottom w:val="none" w:sz="0" w:space="0" w:color="auto"/>
                        <w:right w:val="none" w:sz="0" w:space="0" w:color="auto"/>
                      </w:divBdr>
                      <w:divsChild>
                        <w:div w:id="1390954272">
                          <w:marLeft w:val="0"/>
                          <w:marRight w:val="0"/>
                          <w:marTop w:val="0"/>
                          <w:marBottom w:val="0"/>
                          <w:divBdr>
                            <w:top w:val="none" w:sz="0" w:space="0" w:color="auto"/>
                            <w:left w:val="none" w:sz="0" w:space="0" w:color="auto"/>
                            <w:bottom w:val="none" w:sz="0" w:space="0" w:color="auto"/>
                            <w:right w:val="none" w:sz="0" w:space="0" w:color="auto"/>
                          </w:divBdr>
                          <w:divsChild>
                            <w:div w:id="91567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5765888">
      <w:bodyDiv w:val="1"/>
      <w:marLeft w:val="0"/>
      <w:marRight w:val="0"/>
      <w:marTop w:val="0"/>
      <w:marBottom w:val="0"/>
      <w:divBdr>
        <w:top w:val="none" w:sz="0" w:space="0" w:color="auto"/>
        <w:left w:val="none" w:sz="0" w:space="0" w:color="auto"/>
        <w:bottom w:val="none" w:sz="0" w:space="0" w:color="auto"/>
        <w:right w:val="none" w:sz="0" w:space="0" w:color="auto"/>
      </w:divBdr>
      <w:divsChild>
        <w:div w:id="934632480">
          <w:marLeft w:val="0"/>
          <w:marRight w:val="0"/>
          <w:marTop w:val="0"/>
          <w:marBottom w:val="0"/>
          <w:divBdr>
            <w:top w:val="none" w:sz="0" w:space="0" w:color="auto"/>
            <w:left w:val="none" w:sz="0" w:space="0" w:color="auto"/>
            <w:bottom w:val="none" w:sz="0" w:space="0" w:color="auto"/>
            <w:right w:val="none" w:sz="0" w:space="0" w:color="auto"/>
          </w:divBdr>
          <w:divsChild>
            <w:div w:id="567963177">
              <w:marLeft w:val="0"/>
              <w:marRight w:val="0"/>
              <w:marTop w:val="0"/>
              <w:marBottom w:val="0"/>
              <w:divBdr>
                <w:top w:val="none" w:sz="0" w:space="0" w:color="auto"/>
                <w:left w:val="none" w:sz="0" w:space="0" w:color="auto"/>
                <w:bottom w:val="none" w:sz="0" w:space="0" w:color="auto"/>
                <w:right w:val="none" w:sz="0" w:space="0" w:color="auto"/>
              </w:divBdr>
              <w:divsChild>
                <w:div w:id="1635986613">
                  <w:marLeft w:val="0"/>
                  <w:marRight w:val="0"/>
                  <w:marTop w:val="0"/>
                  <w:marBottom w:val="0"/>
                  <w:divBdr>
                    <w:top w:val="none" w:sz="0" w:space="0" w:color="auto"/>
                    <w:left w:val="none" w:sz="0" w:space="0" w:color="auto"/>
                    <w:bottom w:val="none" w:sz="0" w:space="0" w:color="auto"/>
                    <w:right w:val="none" w:sz="0" w:space="0" w:color="auto"/>
                  </w:divBdr>
                  <w:divsChild>
                    <w:div w:id="1171024993">
                      <w:marLeft w:val="0"/>
                      <w:marRight w:val="0"/>
                      <w:marTop w:val="0"/>
                      <w:marBottom w:val="0"/>
                      <w:divBdr>
                        <w:top w:val="none" w:sz="0" w:space="0" w:color="auto"/>
                        <w:left w:val="none" w:sz="0" w:space="0" w:color="auto"/>
                        <w:bottom w:val="none" w:sz="0" w:space="0" w:color="auto"/>
                        <w:right w:val="none" w:sz="0" w:space="0" w:color="auto"/>
                      </w:divBdr>
                      <w:divsChild>
                        <w:div w:id="1077941865">
                          <w:marLeft w:val="0"/>
                          <w:marRight w:val="0"/>
                          <w:marTop w:val="0"/>
                          <w:marBottom w:val="0"/>
                          <w:divBdr>
                            <w:top w:val="none" w:sz="0" w:space="0" w:color="auto"/>
                            <w:left w:val="none" w:sz="0" w:space="0" w:color="auto"/>
                            <w:bottom w:val="none" w:sz="0" w:space="0" w:color="auto"/>
                            <w:right w:val="none" w:sz="0" w:space="0" w:color="auto"/>
                          </w:divBdr>
                          <w:divsChild>
                            <w:div w:id="191512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3630975">
      <w:bodyDiv w:val="1"/>
      <w:marLeft w:val="0"/>
      <w:marRight w:val="0"/>
      <w:marTop w:val="0"/>
      <w:marBottom w:val="0"/>
      <w:divBdr>
        <w:top w:val="none" w:sz="0" w:space="0" w:color="auto"/>
        <w:left w:val="none" w:sz="0" w:space="0" w:color="auto"/>
        <w:bottom w:val="none" w:sz="0" w:space="0" w:color="auto"/>
        <w:right w:val="none" w:sz="0" w:space="0" w:color="auto"/>
      </w:divBdr>
      <w:divsChild>
        <w:div w:id="923298766">
          <w:marLeft w:val="0"/>
          <w:marRight w:val="0"/>
          <w:marTop w:val="0"/>
          <w:marBottom w:val="0"/>
          <w:divBdr>
            <w:top w:val="none" w:sz="0" w:space="0" w:color="auto"/>
            <w:left w:val="none" w:sz="0" w:space="0" w:color="auto"/>
            <w:bottom w:val="none" w:sz="0" w:space="0" w:color="auto"/>
            <w:right w:val="none" w:sz="0" w:space="0" w:color="auto"/>
          </w:divBdr>
          <w:divsChild>
            <w:div w:id="118305273">
              <w:marLeft w:val="0"/>
              <w:marRight w:val="0"/>
              <w:marTop w:val="0"/>
              <w:marBottom w:val="0"/>
              <w:divBdr>
                <w:top w:val="none" w:sz="0" w:space="0" w:color="auto"/>
                <w:left w:val="none" w:sz="0" w:space="0" w:color="auto"/>
                <w:bottom w:val="none" w:sz="0" w:space="0" w:color="auto"/>
                <w:right w:val="none" w:sz="0" w:space="0" w:color="auto"/>
              </w:divBdr>
              <w:divsChild>
                <w:div w:id="602151067">
                  <w:marLeft w:val="0"/>
                  <w:marRight w:val="0"/>
                  <w:marTop w:val="0"/>
                  <w:marBottom w:val="0"/>
                  <w:divBdr>
                    <w:top w:val="none" w:sz="0" w:space="0" w:color="auto"/>
                    <w:left w:val="none" w:sz="0" w:space="0" w:color="auto"/>
                    <w:bottom w:val="none" w:sz="0" w:space="0" w:color="auto"/>
                    <w:right w:val="none" w:sz="0" w:space="0" w:color="auto"/>
                  </w:divBdr>
                  <w:divsChild>
                    <w:div w:id="253243249">
                      <w:marLeft w:val="0"/>
                      <w:marRight w:val="0"/>
                      <w:marTop w:val="0"/>
                      <w:marBottom w:val="0"/>
                      <w:divBdr>
                        <w:top w:val="none" w:sz="0" w:space="0" w:color="auto"/>
                        <w:left w:val="none" w:sz="0" w:space="0" w:color="auto"/>
                        <w:bottom w:val="none" w:sz="0" w:space="0" w:color="auto"/>
                        <w:right w:val="none" w:sz="0" w:space="0" w:color="auto"/>
                      </w:divBdr>
                      <w:divsChild>
                        <w:div w:id="1993094715">
                          <w:marLeft w:val="0"/>
                          <w:marRight w:val="0"/>
                          <w:marTop w:val="0"/>
                          <w:marBottom w:val="0"/>
                          <w:divBdr>
                            <w:top w:val="none" w:sz="0" w:space="0" w:color="auto"/>
                            <w:left w:val="none" w:sz="0" w:space="0" w:color="auto"/>
                            <w:bottom w:val="none" w:sz="0" w:space="0" w:color="auto"/>
                            <w:right w:val="none" w:sz="0" w:space="0" w:color="auto"/>
                          </w:divBdr>
                          <w:divsChild>
                            <w:div w:id="18738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0417451">
      <w:bodyDiv w:val="1"/>
      <w:marLeft w:val="0"/>
      <w:marRight w:val="0"/>
      <w:marTop w:val="0"/>
      <w:marBottom w:val="0"/>
      <w:divBdr>
        <w:top w:val="none" w:sz="0" w:space="0" w:color="auto"/>
        <w:left w:val="none" w:sz="0" w:space="0" w:color="auto"/>
        <w:bottom w:val="none" w:sz="0" w:space="0" w:color="auto"/>
        <w:right w:val="none" w:sz="0" w:space="0" w:color="auto"/>
      </w:divBdr>
      <w:divsChild>
        <w:div w:id="379938509">
          <w:marLeft w:val="0"/>
          <w:marRight w:val="0"/>
          <w:marTop w:val="0"/>
          <w:marBottom w:val="0"/>
          <w:divBdr>
            <w:top w:val="none" w:sz="0" w:space="0" w:color="auto"/>
            <w:left w:val="none" w:sz="0" w:space="0" w:color="auto"/>
            <w:bottom w:val="none" w:sz="0" w:space="0" w:color="auto"/>
            <w:right w:val="none" w:sz="0" w:space="0" w:color="auto"/>
          </w:divBdr>
          <w:divsChild>
            <w:div w:id="463550305">
              <w:marLeft w:val="0"/>
              <w:marRight w:val="0"/>
              <w:marTop w:val="0"/>
              <w:marBottom w:val="0"/>
              <w:divBdr>
                <w:top w:val="none" w:sz="0" w:space="0" w:color="auto"/>
                <w:left w:val="none" w:sz="0" w:space="0" w:color="auto"/>
                <w:bottom w:val="none" w:sz="0" w:space="0" w:color="auto"/>
                <w:right w:val="none" w:sz="0" w:space="0" w:color="auto"/>
              </w:divBdr>
              <w:divsChild>
                <w:div w:id="1052967757">
                  <w:marLeft w:val="0"/>
                  <w:marRight w:val="0"/>
                  <w:marTop w:val="0"/>
                  <w:marBottom w:val="0"/>
                  <w:divBdr>
                    <w:top w:val="none" w:sz="0" w:space="0" w:color="auto"/>
                    <w:left w:val="none" w:sz="0" w:space="0" w:color="auto"/>
                    <w:bottom w:val="none" w:sz="0" w:space="0" w:color="auto"/>
                    <w:right w:val="none" w:sz="0" w:space="0" w:color="auto"/>
                  </w:divBdr>
                  <w:divsChild>
                    <w:div w:id="1337079650">
                      <w:marLeft w:val="0"/>
                      <w:marRight w:val="0"/>
                      <w:marTop w:val="0"/>
                      <w:marBottom w:val="0"/>
                      <w:divBdr>
                        <w:top w:val="none" w:sz="0" w:space="0" w:color="auto"/>
                        <w:left w:val="none" w:sz="0" w:space="0" w:color="auto"/>
                        <w:bottom w:val="none" w:sz="0" w:space="0" w:color="auto"/>
                        <w:right w:val="none" w:sz="0" w:space="0" w:color="auto"/>
                      </w:divBdr>
                      <w:divsChild>
                        <w:div w:id="1441071703">
                          <w:marLeft w:val="0"/>
                          <w:marRight w:val="0"/>
                          <w:marTop w:val="0"/>
                          <w:marBottom w:val="0"/>
                          <w:divBdr>
                            <w:top w:val="none" w:sz="0" w:space="0" w:color="auto"/>
                            <w:left w:val="none" w:sz="0" w:space="0" w:color="auto"/>
                            <w:bottom w:val="none" w:sz="0" w:space="0" w:color="auto"/>
                            <w:right w:val="none" w:sz="0" w:space="0" w:color="auto"/>
                          </w:divBdr>
                          <w:divsChild>
                            <w:div w:id="32945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5038753">
      <w:bodyDiv w:val="1"/>
      <w:marLeft w:val="0"/>
      <w:marRight w:val="0"/>
      <w:marTop w:val="0"/>
      <w:marBottom w:val="0"/>
      <w:divBdr>
        <w:top w:val="none" w:sz="0" w:space="0" w:color="auto"/>
        <w:left w:val="none" w:sz="0" w:space="0" w:color="auto"/>
        <w:bottom w:val="none" w:sz="0" w:space="0" w:color="auto"/>
        <w:right w:val="none" w:sz="0" w:space="0" w:color="auto"/>
      </w:divBdr>
      <w:divsChild>
        <w:div w:id="1813450027">
          <w:marLeft w:val="0"/>
          <w:marRight w:val="0"/>
          <w:marTop w:val="0"/>
          <w:marBottom w:val="0"/>
          <w:divBdr>
            <w:top w:val="none" w:sz="0" w:space="0" w:color="auto"/>
            <w:left w:val="none" w:sz="0" w:space="0" w:color="auto"/>
            <w:bottom w:val="none" w:sz="0" w:space="0" w:color="auto"/>
            <w:right w:val="none" w:sz="0" w:space="0" w:color="auto"/>
          </w:divBdr>
          <w:divsChild>
            <w:div w:id="103114258">
              <w:marLeft w:val="0"/>
              <w:marRight w:val="0"/>
              <w:marTop w:val="0"/>
              <w:marBottom w:val="0"/>
              <w:divBdr>
                <w:top w:val="none" w:sz="0" w:space="0" w:color="auto"/>
                <w:left w:val="none" w:sz="0" w:space="0" w:color="auto"/>
                <w:bottom w:val="none" w:sz="0" w:space="0" w:color="auto"/>
                <w:right w:val="none" w:sz="0" w:space="0" w:color="auto"/>
              </w:divBdr>
              <w:divsChild>
                <w:div w:id="66547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613176">
          <w:marLeft w:val="0"/>
          <w:marRight w:val="0"/>
          <w:marTop w:val="0"/>
          <w:marBottom w:val="0"/>
          <w:divBdr>
            <w:top w:val="none" w:sz="0" w:space="0" w:color="auto"/>
            <w:left w:val="none" w:sz="0" w:space="0" w:color="auto"/>
            <w:bottom w:val="none" w:sz="0" w:space="0" w:color="auto"/>
            <w:right w:val="none" w:sz="0" w:space="0" w:color="auto"/>
          </w:divBdr>
          <w:divsChild>
            <w:div w:id="114308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6" Type="http://schemas.microsoft.com/office/2016/09/relationships/commentsIds" Target="commentsId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855A10-A893-1346-A744-90CE9B761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55</Pages>
  <Words>20182</Words>
  <Characters>115043</Characters>
  <Application>Microsoft Macintosh Word</Application>
  <DocSecurity>0</DocSecurity>
  <Lines>958</Lines>
  <Paragraphs>269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edhec</Company>
  <LinksUpToDate>false</LinksUpToDate>
  <CharactersWithSpaces>134956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SIP</dc:creator>
  <cp:lastModifiedBy>Hagedoorn, John</cp:lastModifiedBy>
  <cp:revision>2</cp:revision>
  <cp:lastPrinted>2018-02-02T16:51:00Z</cp:lastPrinted>
  <dcterms:created xsi:type="dcterms:W3CDTF">2018-02-07T19:21:00Z</dcterms:created>
  <dcterms:modified xsi:type="dcterms:W3CDTF">2018-02-07T19:21:00Z</dcterms:modified>
</cp:coreProperties>
</file>