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120" w:rsidRPr="00A43038" w:rsidRDefault="00482120" w:rsidP="00482120">
      <w:pPr>
        <w:jc w:val="center"/>
        <w:rPr>
          <w:rStyle w:val="Heading1Char"/>
          <w:sz w:val="48"/>
        </w:rPr>
      </w:pPr>
      <w:bookmarkStart w:id="0" w:name="_GoBack"/>
      <w:bookmarkEnd w:id="0"/>
      <w:r>
        <w:rPr>
          <w:b/>
          <w:sz w:val="48"/>
        </w:rPr>
        <w:t>Game f</w:t>
      </w:r>
      <w:r w:rsidRPr="00A43038">
        <w:rPr>
          <w:b/>
          <w:sz w:val="48"/>
        </w:rPr>
        <w:t xml:space="preserve">ence presence and permeability influences the </w:t>
      </w:r>
      <w:r>
        <w:rPr>
          <w:b/>
          <w:sz w:val="48"/>
        </w:rPr>
        <w:t xml:space="preserve">local </w:t>
      </w:r>
      <w:r w:rsidRPr="00A43038">
        <w:rPr>
          <w:b/>
          <w:sz w:val="48"/>
        </w:rPr>
        <w:t>movement and distribution of South African mammals</w:t>
      </w:r>
    </w:p>
    <w:p w:rsidR="00482120" w:rsidRPr="00A43038" w:rsidRDefault="00482120" w:rsidP="00482120">
      <w:pPr>
        <w:spacing w:line="480" w:lineRule="auto"/>
        <w:jc w:val="center"/>
        <w:rPr>
          <w:sz w:val="32"/>
          <w:szCs w:val="24"/>
          <w:vertAlign w:val="superscript"/>
        </w:rPr>
      </w:pPr>
      <w:r w:rsidRPr="00A43038">
        <w:rPr>
          <w:sz w:val="32"/>
          <w:szCs w:val="24"/>
        </w:rPr>
        <w:t>Tara J. Pirie</w:t>
      </w:r>
      <w:r w:rsidRPr="00A43038">
        <w:rPr>
          <w:sz w:val="32"/>
          <w:szCs w:val="24"/>
          <w:vertAlign w:val="superscript"/>
        </w:rPr>
        <w:t>1, 2</w:t>
      </w:r>
      <w:r>
        <w:rPr>
          <w:sz w:val="32"/>
          <w:szCs w:val="24"/>
          <w:vertAlign w:val="superscript"/>
        </w:rPr>
        <w:t>*</w:t>
      </w:r>
      <w:r w:rsidRPr="00A43038">
        <w:rPr>
          <w:sz w:val="32"/>
          <w:szCs w:val="24"/>
        </w:rPr>
        <w:t>, Rebecca L. Thomas</w:t>
      </w:r>
      <w:r w:rsidR="00567760">
        <w:rPr>
          <w:sz w:val="32"/>
          <w:szCs w:val="24"/>
          <w:vertAlign w:val="superscript"/>
        </w:rPr>
        <w:t>1,3</w:t>
      </w:r>
      <w:r w:rsidRPr="00A43038">
        <w:rPr>
          <w:sz w:val="32"/>
          <w:szCs w:val="24"/>
        </w:rPr>
        <w:t xml:space="preserve"> and Mark D. E. Fellowes</w:t>
      </w:r>
      <w:r>
        <w:rPr>
          <w:sz w:val="32"/>
          <w:szCs w:val="24"/>
          <w:vertAlign w:val="superscript"/>
        </w:rPr>
        <w:t>2</w:t>
      </w:r>
    </w:p>
    <w:p w:rsidR="00482120" w:rsidRPr="006F1B11" w:rsidRDefault="00482120" w:rsidP="00482120">
      <w:pPr>
        <w:spacing w:line="480" w:lineRule="auto"/>
        <w:rPr>
          <w:szCs w:val="24"/>
        </w:rPr>
      </w:pPr>
    </w:p>
    <w:p w:rsidR="00482120" w:rsidRPr="006F1B11" w:rsidRDefault="00482120" w:rsidP="00482120">
      <w:pPr>
        <w:spacing w:line="480" w:lineRule="auto"/>
        <w:rPr>
          <w:szCs w:val="24"/>
        </w:rPr>
      </w:pPr>
      <w:r w:rsidRPr="00112074">
        <w:rPr>
          <w:szCs w:val="24"/>
          <w:vertAlign w:val="superscript"/>
        </w:rPr>
        <w:t>1</w:t>
      </w:r>
      <w:r w:rsidRPr="00112074">
        <w:rPr>
          <w:szCs w:val="24"/>
        </w:rPr>
        <w:t>Ingwe Leopard Research, Post Box 3065, Lydenberg, Mpumalanga, 1120, South Africa</w:t>
      </w:r>
    </w:p>
    <w:p w:rsidR="00482120" w:rsidRDefault="00482120" w:rsidP="00482120">
      <w:pPr>
        <w:spacing w:line="480" w:lineRule="auto"/>
        <w:rPr>
          <w:szCs w:val="24"/>
        </w:rPr>
      </w:pPr>
      <w:r w:rsidRPr="00112074">
        <w:rPr>
          <w:szCs w:val="24"/>
          <w:vertAlign w:val="superscript"/>
        </w:rPr>
        <w:t>2</w:t>
      </w:r>
      <w:r w:rsidRPr="00112074">
        <w:rPr>
          <w:szCs w:val="24"/>
        </w:rPr>
        <w:t>People and Wildlife Research Group, School of Biological Sciences, University of Reading, Whiteknights, Reading, RG6 6AS, UK</w:t>
      </w:r>
    </w:p>
    <w:p w:rsidR="00567760" w:rsidRPr="00567760" w:rsidRDefault="00567760" w:rsidP="00567760">
      <w:pPr>
        <w:spacing w:line="480" w:lineRule="auto"/>
        <w:rPr>
          <w:szCs w:val="24"/>
        </w:rPr>
      </w:pPr>
      <w:r w:rsidRPr="00567760">
        <w:rPr>
          <w:szCs w:val="24"/>
          <w:vertAlign w:val="superscript"/>
        </w:rPr>
        <w:t>3</w:t>
      </w:r>
      <w:r w:rsidRPr="00567760">
        <w:rPr>
          <w:szCs w:val="24"/>
        </w:rPr>
        <w:t>School of Biolo</w:t>
      </w:r>
      <w:r>
        <w:rPr>
          <w:szCs w:val="24"/>
        </w:rPr>
        <w:t xml:space="preserve">gical Sciences, Royal Holloway </w:t>
      </w:r>
      <w:r w:rsidRPr="00567760">
        <w:rPr>
          <w:szCs w:val="24"/>
        </w:rPr>
        <w:t>University of London, Egham, Surrey, TW20 0EX, UK</w:t>
      </w:r>
    </w:p>
    <w:p w:rsidR="00567760" w:rsidRPr="006F1B11" w:rsidRDefault="00567760" w:rsidP="00567760">
      <w:pPr>
        <w:spacing w:line="480" w:lineRule="auto"/>
        <w:rPr>
          <w:szCs w:val="24"/>
        </w:rPr>
      </w:pPr>
      <w:r w:rsidRPr="00567760">
        <w:rPr>
          <w:szCs w:val="24"/>
        </w:rPr>
        <w:t>* Corresponding author, email: t.pirie@reading.ac.uk</w:t>
      </w:r>
    </w:p>
    <w:p w:rsidR="00482120" w:rsidRDefault="00482120" w:rsidP="00482120">
      <w:pPr>
        <w:spacing w:line="480" w:lineRule="auto"/>
        <w:rPr>
          <w:szCs w:val="24"/>
          <w:u w:val="single"/>
        </w:rPr>
      </w:pPr>
    </w:p>
    <w:p w:rsidR="00482120" w:rsidRDefault="00482120" w:rsidP="00482120">
      <w:pPr>
        <w:spacing w:line="480" w:lineRule="auto"/>
        <w:rPr>
          <w:szCs w:val="24"/>
          <w:u w:val="single"/>
        </w:rPr>
      </w:pPr>
    </w:p>
    <w:p w:rsidR="00482120" w:rsidRPr="006F1B11" w:rsidRDefault="00482120" w:rsidP="00482120">
      <w:pPr>
        <w:spacing w:line="480" w:lineRule="auto"/>
        <w:rPr>
          <w:szCs w:val="24"/>
        </w:rPr>
      </w:pPr>
      <w:r w:rsidRPr="00112074">
        <w:rPr>
          <w:b/>
          <w:szCs w:val="24"/>
        </w:rPr>
        <w:t xml:space="preserve">*Correspondence: </w:t>
      </w:r>
      <w:r>
        <w:rPr>
          <w:szCs w:val="24"/>
        </w:rPr>
        <w:t>Tara Pirie</w:t>
      </w:r>
    </w:p>
    <w:p w:rsidR="00482120" w:rsidRPr="006F1B11" w:rsidRDefault="00482120" w:rsidP="00482120">
      <w:pPr>
        <w:spacing w:line="480" w:lineRule="auto"/>
        <w:rPr>
          <w:szCs w:val="24"/>
        </w:rPr>
      </w:pPr>
      <w:r w:rsidRPr="00112074">
        <w:rPr>
          <w:szCs w:val="24"/>
        </w:rPr>
        <w:t xml:space="preserve">Email: </w:t>
      </w:r>
      <w:hyperlink r:id="rId7" w:history="1">
        <w:r w:rsidRPr="00112074">
          <w:rPr>
            <w:rStyle w:val="Hyperlink"/>
            <w:szCs w:val="24"/>
          </w:rPr>
          <w:t>t.j.pirie@pgr.reading.ac.uk</w:t>
        </w:r>
      </w:hyperlink>
      <w:r w:rsidRPr="006F1B11">
        <w:rPr>
          <w:szCs w:val="24"/>
        </w:rPr>
        <w:t xml:space="preserve"> </w:t>
      </w:r>
    </w:p>
    <w:p w:rsidR="00482120" w:rsidRDefault="00482120" w:rsidP="00482120">
      <w:pPr>
        <w:spacing w:line="480" w:lineRule="auto"/>
        <w:rPr>
          <w:szCs w:val="24"/>
        </w:rPr>
      </w:pPr>
      <w:r w:rsidRPr="00112074">
        <w:rPr>
          <w:szCs w:val="24"/>
        </w:rPr>
        <w:t>Tel: +44 (0) 118 378 7064</w:t>
      </w:r>
    </w:p>
    <w:p w:rsidR="00482120" w:rsidRDefault="00482120" w:rsidP="00482120">
      <w:pPr>
        <w:spacing w:line="480" w:lineRule="auto"/>
        <w:rPr>
          <w:szCs w:val="24"/>
        </w:rPr>
      </w:pPr>
    </w:p>
    <w:p w:rsidR="00482120" w:rsidRDefault="00482120" w:rsidP="00482120">
      <w:pPr>
        <w:spacing w:line="480" w:lineRule="auto"/>
        <w:rPr>
          <w:szCs w:val="24"/>
        </w:rPr>
      </w:pPr>
    </w:p>
    <w:p w:rsidR="00482120" w:rsidRPr="00D3023A" w:rsidRDefault="00482120" w:rsidP="00482120">
      <w:pPr>
        <w:spacing w:line="480" w:lineRule="auto"/>
        <w:rPr>
          <w:szCs w:val="24"/>
        </w:rPr>
      </w:pPr>
      <w:r w:rsidRPr="004E31A0">
        <w:rPr>
          <w:szCs w:val="24"/>
        </w:rPr>
        <w:t xml:space="preserve">Rebecca Thomas: </w:t>
      </w:r>
      <w:hyperlink r:id="rId8" w:history="1">
        <w:r w:rsidRPr="001E6DE4">
          <w:rPr>
            <w:rStyle w:val="Hyperlink"/>
          </w:rPr>
          <w:t>rebecca.thomas@reading.ac.uk</w:t>
        </w:r>
      </w:hyperlink>
    </w:p>
    <w:p w:rsidR="00482120" w:rsidRDefault="00482120" w:rsidP="00482120">
      <w:pPr>
        <w:spacing w:line="480" w:lineRule="auto"/>
        <w:rPr>
          <w:szCs w:val="24"/>
        </w:rPr>
      </w:pPr>
      <w:r>
        <w:rPr>
          <w:szCs w:val="24"/>
        </w:rPr>
        <w:t>Mark Fellowes</w:t>
      </w:r>
      <w:r w:rsidRPr="00112074">
        <w:rPr>
          <w:szCs w:val="24"/>
        </w:rPr>
        <w:t xml:space="preserve">: </w:t>
      </w:r>
      <w:hyperlink r:id="rId9" w:history="1">
        <w:r w:rsidRPr="001E6DE4">
          <w:rPr>
            <w:color w:val="0000FF"/>
            <w:szCs w:val="24"/>
          </w:rPr>
          <w:t>m.fellowes@reading.ac.uk</w:t>
        </w:r>
      </w:hyperlink>
    </w:p>
    <w:p w:rsidR="00482120" w:rsidRDefault="00482120" w:rsidP="00482120">
      <w:pPr>
        <w:spacing w:line="480" w:lineRule="auto"/>
        <w:rPr>
          <w:szCs w:val="24"/>
        </w:rPr>
      </w:pPr>
    </w:p>
    <w:p w:rsidR="00482120" w:rsidRDefault="00482120" w:rsidP="00482120">
      <w:pPr>
        <w:spacing w:after="200" w:line="276" w:lineRule="auto"/>
        <w:jc w:val="left"/>
        <w:rPr>
          <w:rStyle w:val="Heading1Char"/>
        </w:rPr>
      </w:pPr>
      <w:r>
        <w:rPr>
          <w:rStyle w:val="Heading1Char"/>
        </w:rPr>
        <w:br w:type="page"/>
      </w:r>
    </w:p>
    <w:p w:rsidR="000D0226" w:rsidRPr="000D0226" w:rsidRDefault="000D0226" w:rsidP="000D0226">
      <w:pPr>
        <w:rPr>
          <w:rFonts w:eastAsiaTheme="majorEastAsia" w:cstheme="majorBidi"/>
          <w:b/>
          <w:bCs/>
          <w:color w:val="000000" w:themeColor="text1"/>
          <w:szCs w:val="28"/>
        </w:rPr>
      </w:pPr>
    </w:p>
    <w:p w:rsidR="000D0226" w:rsidRPr="000D0226" w:rsidRDefault="000D0226" w:rsidP="000D0226">
      <w:pPr>
        <w:rPr>
          <w:rFonts w:eastAsiaTheme="majorEastAsia" w:cstheme="majorBidi"/>
          <w:b/>
          <w:bCs/>
          <w:color w:val="000000" w:themeColor="text1"/>
          <w:szCs w:val="28"/>
        </w:rPr>
      </w:pPr>
      <w:r w:rsidRPr="000D0226">
        <w:rPr>
          <w:rFonts w:eastAsiaTheme="majorEastAsia" w:cstheme="majorBidi"/>
          <w:b/>
          <w:bCs/>
          <w:color w:val="000000" w:themeColor="text1"/>
          <w:szCs w:val="28"/>
        </w:rPr>
        <w:t>Abstract</w:t>
      </w:r>
    </w:p>
    <w:p w:rsidR="000D0226" w:rsidRPr="000D0226" w:rsidRDefault="000D0226" w:rsidP="000D0226">
      <w:r w:rsidRPr="000D0226">
        <w:t xml:space="preserve">Fences are utilized throughout the world to restrict the movements of wildlife, protecting them from threats and reducing human-wildlife conflict. In South Africa the number of privately-owned fenced game reserves has greatly increased in recent years, but little is known about how fencing affects the distribution and movements of target and non-target mammals. We surveyed 2m either side of the complete fence line of a recently established commercial game reserve in South Africa, identifying signs of animal presence (spoor, scat, foraging or other field signs) while also recording damage (holes) to the fence. Every 250m we carried out 100m perpendicular transects either side of the fence, recording vegetation cover and height at 10m intervals along the transect. We found that livestock (largely cattle) were excluded from the reserve. However, 12% of records of large animal species were recorded outside of the fence line. These species had been introduced to the reserve, strongly suggesting that they had crossed the boundary into the surrounding farmland. Sixteen naturally present wild species were found on both sides of the fence, but we found more evidence of their presence inside the reserve. Observational evidence suggests that they were regularly crossing the boundary, particularly where the fence was damaged, with hole size affecting species recorded. We also found evidence that the construction of the fence had led to a difference in vegetation structure with plant richness and percentage of non-woody plant cover significantly higher inside </w:t>
      </w:r>
      <w:r w:rsidRPr="000D0226">
        <w:rPr>
          <w:noProof/>
        </w:rPr>
        <w:t>the fence</w:t>
      </w:r>
      <w:r w:rsidRPr="000D0226">
        <w:t xml:space="preserve">. While fencing was highly effective at preventing movement of livestock, introduced and wild animals were able to cross the boundary, via holes in the fence. This work shows that the efficacy of the most common approach to preventing animal movement around protected areas depends on the species being considered and fence condition. </w:t>
      </w:r>
    </w:p>
    <w:p w:rsidR="000D0226" w:rsidRPr="000D0226" w:rsidRDefault="000D0226" w:rsidP="000D0226"/>
    <w:p w:rsidR="000D0226" w:rsidRPr="000D0226" w:rsidRDefault="000D0226" w:rsidP="000D0226">
      <w:r w:rsidRPr="000D0226">
        <w:rPr>
          <w:b/>
        </w:rPr>
        <w:t xml:space="preserve">Key words: </w:t>
      </w:r>
      <w:r w:rsidRPr="000D0226">
        <w:t>fence characteristics, mammal community, permeability, populations, holes.</w:t>
      </w:r>
    </w:p>
    <w:p w:rsidR="000D0226" w:rsidRDefault="000D0226" w:rsidP="000D0226"/>
    <w:p w:rsidR="00482120" w:rsidRDefault="00482120" w:rsidP="000D0226"/>
    <w:p w:rsidR="00482120" w:rsidRDefault="00482120" w:rsidP="000D0226"/>
    <w:p w:rsidR="00482120" w:rsidRPr="000D0226" w:rsidRDefault="00482120" w:rsidP="000D0226"/>
    <w:p w:rsidR="000D0226" w:rsidRPr="000D0226" w:rsidRDefault="000D0226" w:rsidP="000D0226">
      <w:pPr>
        <w:keepNext/>
        <w:keepLines/>
        <w:outlineLvl w:val="0"/>
        <w:rPr>
          <w:rFonts w:eastAsiaTheme="majorEastAsia" w:cstheme="majorBidi"/>
          <w:b/>
          <w:bCs/>
          <w:color w:val="000000" w:themeColor="text1"/>
          <w:szCs w:val="28"/>
        </w:rPr>
      </w:pPr>
      <w:r w:rsidRPr="000D0226">
        <w:rPr>
          <w:rFonts w:eastAsiaTheme="majorEastAsia" w:cstheme="majorBidi"/>
          <w:b/>
          <w:bCs/>
          <w:color w:val="000000" w:themeColor="text1"/>
          <w:szCs w:val="28"/>
        </w:rPr>
        <w:lastRenderedPageBreak/>
        <w:t>Introduction</w:t>
      </w:r>
    </w:p>
    <w:p w:rsidR="000D0226" w:rsidRPr="000D0226" w:rsidRDefault="000D0226" w:rsidP="000D0226">
      <w:r w:rsidRPr="000D0226">
        <w:t>Fences mark boundaries and act as barriers to the movement of people and wildlife (Hoare 1992; Boone and Hobbs 2004). In the context of wildlife management, fences can help protect wildlife from persecution (Hayward and Kerley 2009), predation (Lokemoen et al. 1982; Rimmer and Deblinger 1992), poaching, and can help reduce the spread of disease from wildlife or domestic animal reservoirs (Andrews 1990; Vanak et al. 2010). Fences have also been used to reduce the possibility of conflict with humans by inhibiting the access of larger wild mammals to crops (Thouless and Sakwa 1995) or livestock (Treves and Karanth 2003), reducing economic losses (Treves and Naughton-Treves 2005), or to prevent direct risks to humans, such as through colliding with vehicles on roads (Putman 1997; Woodroffe et al</w:t>
      </w:r>
      <w:r w:rsidRPr="000D0226">
        <w:rPr>
          <w:i/>
        </w:rPr>
        <w:t>.</w:t>
      </w:r>
      <w:r w:rsidRPr="000D0226">
        <w:t xml:space="preserve"> 2014) or through attack (Sukumar 1991). </w:t>
      </w:r>
    </w:p>
    <w:p w:rsidR="000D0226" w:rsidRPr="000D0226" w:rsidRDefault="000D0226" w:rsidP="000D0226">
      <w:r w:rsidRPr="000D0226">
        <w:t xml:space="preserve">However, fences have resulted in </w:t>
      </w:r>
      <w:r w:rsidRPr="000D0226">
        <w:rPr>
          <w:noProof/>
        </w:rPr>
        <w:t>large-scale</w:t>
      </w:r>
      <w:r w:rsidRPr="000D0226">
        <w:t xml:space="preserve"> negative effects. For example, the construction of dingo (</w:t>
      </w:r>
      <w:r w:rsidRPr="000D0226">
        <w:rPr>
          <w:i/>
        </w:rPr>
        <w:t>Canis lupus dingo</w:t>
      </w:r>
      <w:r w:rsidRPr="000D0226">
        <w:t xml:space="preserve"> Meyer, 1793) exclusion fences in Australia led to </w:t>
      </w:r>
      <w:r w:rsidRPr="000D0226">
        <w:rPr>
          <w:noProof/>
        </w:rPr>
        <w:t>mass mortality</w:t>
      </w:r>
      <w:r w:rsidRPr="000D0226">
        <w:t xml:space="preserve"> in kangaroos (Macropodidae Gray, 1821), and other native mammals, due to exclusion from seasonal resources (Caughley et al</w:t>
      </w:r>
      <w:r w:rsidRPr="000D0226">
        <w:rPr>
          <w:i/>
        </w:rPr>
        <w:t>.</w:t>
      </w:r>
      <w:r w:rsidRPr="000D0226">
        <w:t xml:space="preserve"> 1987; Hayward and Kerley 2009), and from the increase in populations of </w:t>
      </w:r>
      <w:r w:rsidRPr="000D0226">
        <w:rPr>
          <w:noProof/>
        </w:rPr>
        <w:t>mesopredators</w:t>
      </w:r>
      <w:r w:rsidRPr="000D0226">
        <w:t xml:space="preserve"> such as foxes (</w:t>
      </w:r>
      <w:r w:rsidRPr="000D0226">
        <w:rPr>
          <w:i/>
        </w:rPr>
        <w:t>Vulpes vulpes</w:t>
      </w:r>
      <w:r w:rsidRPr="000D0226">
        <w:t xml:space="preserve"> Linnaeus, 1758) and domestic cats (</w:t>
      </w:r>
      <w:r w:rsidRPr="000D0226">
        <w:rPr>
          <w:i/>
        </w:rPr>
        <w:t xml:space="preserve">Felis catus </w:t>
      </w:r>
      <w:r w:rsidRPr="000D0226">
        <w:t>Linnaeus, 1758)</w:t>
      </w:r>
      <w:r w:rsidRPr="000D0226">
        <w:rPr>
          <w:i/>
        </w:rPr>
        <w:t xml:space="preserve"> </w:t>
      </w:r>
      <w:r w:rsidRPr="000D0226">
        <w:t>(Dickman et al. 2009; Hayward and Kerley 2009). Similarly, the presence of veterinary fences in Botswana has led to considerable declines in migrating southern African ungulates (Mbaiwa and Mbaiwa 2006; Williamson and Williamson 2009; Hayward and Kerley 2009). Fencing can cause direct fatalities through electrocution, documented in small species including tortoises and pangolins (Beck 2010; Arnot and Molteno 2017) or from attempting to scale the fence (</w:t>
      </w:r>
      <w:r w:rsidR="00567760">
        <w:t xml:space="preserve">TJP </w:t>
      </w:r>
      <w:r w:rsidRPr="000D0226">
        <w:rPr>
          <w:i/>
        </w:rPr>
        <w:t>Pers. obs</w:t>
      </w:r>
      <w:r w:rsidRPr="000D0226">
        <w:t>.). They can also alter dispersal routes (Boone and Hobbs 2004), indirectly disrupting gene flow, which in turn can increase the possibility of inbreeding and the risk of local extinctions (Hayward and Kerley 2009). Over-exploitation of resources may also occur as a consequence of restricting the movement of species that require large areas to forage (Vanak et al. 2010) which may also result in the local extinction of species (Ostfeld 1994; Bond and Loffell 2001; Boone and Hobbs 2004; Hayward and Kerley 2009). Thus fenced populations require effective management to reduce these risks (Hayward et al. 2009; Kettles and Slotow 2009).</w:t>
      </w:r>
    </w:p>
    <w:p w:rsidR="000D0226" w:rsidRPr="000D0226" w:rsidRDefault="000D0226" w:rsidP="000D0226">
      <w:r w:rsidRPr="000D0226">
        <w:t xml:space="preserve">Although fences are often considered to be impermeable this is rarely true for all species. Universal game fences usually consist of posts and steel wire strands and depending on the </w:t>
      </w:r>
      <w:r w:rsidRPr="000D0226">
        <w:lastRenderedPageBreak/>
        <w:t>type of game or livestock enclosed they may be electrified (Hoare 1992). In South Africa, antelope species such as greater kudu (</w:t>
      </w:r>
      <w:r w:rsidRPr="000D0226">
        <w:rPr>
          <w:i/>
        </w:rPr>
        <w:t xml:space="preserve">Tragelaphus </w:t>
      </w:r>
      <w:r w:rsidRPr="000D0226">
        <w:rPr>
          <w:i/>
          <w:noProof/>
        </w:rPr>
        <w:t xml:space="preserve">stepsiceros </w:t>
      </w:r>
      <w:r w:rsidRPr="000D0226">
        <w:rPr>
          <w:noProof/>
        </w:rPr>
        <w:t>Pallas, 1766)</w:t>
      </w:r>
      <w:r w:rsidRPr="000D0226">
        <w:t xml:space="preserve"> and common eland (</w:t>
      </w:r>
      <w:r w:rsidRPr="000D0226">
        <w:rPr>
          <w:i/>
        </w:rPr>
        <w:t xml:space="preserve">Taurotragus oryx </w:t>
      </w:r>
      <w:r w:rsidRPr="000D0226">
        <w:rPr>
          <w:noProof/>
        </w:rPr>
        <w:t>Pallas, 1766</w:t>
      </w:r>
      <w:r w:rsidRPr="000D0226">
        <w:t xml:space="preserve">) are capable of clearing 2m fences; indeed, </w:t>
      </w:r>
      <w:r w:rsidRPr="000D0226">
        <w:rPr>
          <w:noProof/>
        </w:rPr>
        <w:t>eland</w:t>
      </w:r>
      <w:r w:rsidRPr="000D0226">
        <w:t xml:space="preserve"> have been known to break some fences (Hoare 1992; Apps 2000). Other species, including warthog (</w:t>
      </w:r>
      <w:r w:rsidRPr="000D0226">
        <w:rPr>
          <w:i/>
        </w:rPr>
        <w:t xml:space="preserve">Phacochoerus </w:t>
      </w:r>
      <w:r w:rsidRPr="000D0226">
        <w:rPr>
          <w:i/>
          <w:noProof/>
        </w:rPr>
        <w:t xml:space="preserve">aethiopicus </w:t>
      </w:r>
      <w:r w:rsidRPr="000D0226">
        <w:rPr>
          <w:noProof/>
        </w:rPr>
        <w:t>Pallas, 1766)</w:t>
      </w:r>
      <w:r w:rsidRPr="000D0226">
        <w:t>, bushbuck (</w:t>
      </w:r>
      <w:r w:rsidRPr="000D0226">
        <w:rPr>
          <w:i/>
        </w:rPr>
        <w:t xml:space="preserve">Tragelaphus scriptus </w:t>
      </w:r>
      <w:r w:rsidRPr="000D0226">
        <w:rPr>
          <w:noProof/>
        </w:rPr>
        <w:t>Pallas, 1766</w:t>
      </w:r>
      <w:r w:rsidRPr="000D0226">
        <w:t>), and many mammalian carnivores can dig or crawl under fences, while leopard (</w:t>
      </w:r>
      <w:r w:rsidRPr="000D0226">
        <w:rPr>
          <w:i/>
        </w:rPr>
        <w:t xml:space="preserve">Panthera pardus </w:t>
      </w:r>
      <w:r w:rsidRPr="000D0226">
        <w:t>Linnaeus, 1758; Hayward et al</w:t>
      </w:r>
      <w:r w:rsidRPr="000D0226">
        <w:rPr>
          <w:i/>
        </w:rPr>
        <w:t>.</w:t>
      </w:r>
      <w:r w:rsidRPr="000D0226">
        <w:t xml:space="preserve"> 2007) and arboreal species may simply jump over (Hoare 1992) if trees or rocks allow. Furthermore, all species can traverse a fence if any holes present are large enough to permit free passage. Together, these behaviours render many barriers semi-permeable (i.e. the fence does restrict or prevent the movement of some mammals, but not all), with permeability determined by fence construction and condition (Connolly et al. 2009). </w:t>
      </w:r>
    </w:p>
    <w:p w:rsidR="000D0226" w:rsidRPr="000D0226" w:rsidRDefault="000D0226" w:rsidP="000D0226">
      <w:r w:rsidRPr="000D0226">
        <w:t>There has been a lack of research on the effect of semi-permeable barriers on mammal communities (Cozzi et al. 2013) which is surprising considering that the effects of other barriers, such as roads and railway lines, on animal movements have been widely studied (Adams and Geis 1983; Forman and Alexander 1998; Ng et al</w:t>
      </w:r>
      <w:r w:rsidRPr="000D0226">
        <w:rPr>
          <w:i/>
        </w:rPr>
        <w:t>.</w:t>
      </w:r>
      <w:r w:rsidRPr="000D0226">
        <w:t xml:space="preserve"> 2004; Ito et al</w:t>
      </w:r>
      <w:r w:rsidRPr="000D0226">
        <w:rPr>
          <w:i/>
        </w:rPr>
        <w:t>.</w:t>
      </w:r>
      <w:r w:rsidRPr="000D0226">
        <w:t xml:space="preserve"> 2005; Sheperd et al</w:t>
      </w:r>
      <w:r w:rsidRPr="000D0226">
        <w:rPr>
          <w:i/>
        </w:rPr>
        <w:t>.</w:t>
      </w:r>
      <w:r w:rsidRPr="000D0226">
        <w:t xml:space="preserve"> 2008; Fahrig </w:t>
      </w:r>
      <w:r w:rsidRPr="000D0226">
        <w:rPr>
          <w:i/>
        </w:rPr>
        <w:t xml:space="preserve">and </w:t>
      </w:r>
      <w:r w:rsidRPr="000D0226">
        <w:t>Rytwinski 2009; Frantz et al</w:t>
      </w:r>
      <w:r w:rsidRPr="000D0226">
        <w:rPr>
          <w:i/>
        </w:rPr>
        <w:t>.</w:t>
      </w:r>
      <w:r w:rsidRPr="000D0226">
        <w:t xml:space="preserve"> 2012). Although roads and railway lines could be viewed as permeable barriers, they are fundamentally different to fences. Barrier characteristics are an important factor in determining the </w:t>
      </w:r>
      <w:r w:rsidRPr="000D0226">
        <w:rPr>
          <w:noProof/>
        </w:rPr>
        <w:t>movement</w:t>
      </w:r>
      <w:r w:rsidRPr="000D0226">
        <w:t xml:space="preserve"> of species (Cozzi et al. 2013; Forman and Alexander 1998) and each will differ in outcome.</w:t>
      </w:r>
    </w:p>
    <w:p w:rsidR="000D0226" w:rsidRPr="000D0226" w:rsidRDefault="000D0226" w:rsidP="000D0226">
      <w:r w:rsidRPr="000D0226">
        <w:rPr>
          <w:noProof/>
        </w:rPr>
        <w:t>In</w:t>
      </w:r>
      <w:r w:rsidRPr="000D0226">
        <w:t xml:space="preserve"> South Africa there is an estimated 9000 private game farms enclosing over 200,000 km</w:t>
      </w:r>
      <w:r w:rsidRPr="000D0226">
        <w:rPr>
          <w:vertAlign w:val="superscript"/>
        </w:rPr>
        <w:t>2</w:t>
      </w:r>
      <w:r w:rsidRPr="000D0226">
        <w:t xml:space="preserve"> (Cousins et al</w:t>
      </w:r>
      <w:r w:rsidRPr="000D0226">
        <w:rPr>
          <w:i/>
        </w:rPr>
        <w:t>.</w:t>
      </w:r>
      <w:r w:rsidRPr="000D0226">
        <w:t xml:space="preserve"> 2008; Lindsey et al</w:t>
      </w:r>
      <w:r w:rsidRPr="000D0226">
        <w:rPr>
          <w:i/>
        </w:rPr>
        <w:t>.</w:t>
      </w:r>
      <w:r w:rsidRPr="000D0226">
        <w:t xml:space="preserve"> 2009; Taylor et al</w:t>
      </w:r>
      <w:r w:rsidRPr="000D0226">
        <w:rPr>
          <w:i/>
        </w:rPr>
        <w:t>.</w:t>
      </w:r>
      <w:r w:rsidRPr="000D0226">
        <w:t xml:space="preserve"> 2016). Covering 16% of the country, this highlights how game reserve fencing could have a large-scale impact regarding increased habitat differentiation, and consequent changes in the distributions of larger (&gt; 10kg) mammal species (Cozzi et al</w:t>
      </w:r>
      <w:r w:rsidRPr="000D0226">
        <w:rPr>
          <w:i/>
        </w:rPr>
        <w:t>.</w:t>
      </w:r>
      <w:r w:rsidRPr="000D0226">
        <w:t xml:space="preserve"> 2013). However, little is known about how fencing affects the abundance and distribution of larger mammalian species, the consequences for plant community structure, and how fence condition (the presence of holes) can affect the passage of animals. Working at a small commercial game reserve in north eastern South Africa, we asked how a boundary fence: a) affects the distribution of larger mammals, both in terms of status (domestic, introduced wild species, or naturally occurring wild species that do and do not need to use holes to cross the fence); then, b) only considering species that require holes to cross the fence, we ask if feeding guilds (carnivore, grazer, browser) differ in their response </w:t>
      </w:r>
      <w:r w:rsidRPr="000D0226">
        <w:lastRenderedPageBreak/>
        <w:t xml:space="preserve">to the presence of holes in the fence; and c) we consider what the consequences of fence presence have been for local plant communities. </w:t>
      </w:r>
    </w:p>
    <w:p w:rsidR="000D0226" w:rsidRPr="000D0226" w:rsidRDefault="000D0226" w:rsidP="000D0226">
      <w:pPr>
        <w:rPr>
          <w:color w:val="000000"/>
        </w:rPr>
      </w:pPr>
    </w:p>
    <w:p w:rsidR="000D0226" w:rsidRPr="000D0226" w:rsidRDefault="000D0226" w:rsidP="000D0226">
      <w:pPr>
        <w:rPr>
          <w:rFonts w:asciiTheme="minorHAnsi" w:hAnsiTheme="minorHAnsi"/>
          <w:color w:val="000000"/>
        </w:rPr>
      </w:pPr>
      <w:r w:rsidRPr="000D0226">
        <w:rPr>
          <w:rFonts w:asciiTheme="minorHAnsi" w:hAnsiTheme="minorHAnsi"/>
          <w:b/>
        </w:rPr>
        <w:t>Methods</w:t>
      </w:r>
    </w:p>
    <w:p w:rsidR="000D0226" w:rsidRPr="000D0226" w:rsidRDefault="000D0226" w:rsidP="000D0226">
      <w:pPr>
        <w:keepNext/>
        <w:keepLines/>
        <w:outlineLvl w:val="1"/>
        <w:rPr>
          <w:rFonts w:asciiTheme="minorHAnsi" w:eastAsiaTheme="majorEastAsia" w:hAnsiTheme="minorHAnsi" w:cstheme="majorBidi"/>
          <w:bCs/>
          <w:i/>
          <w:color w:val="000000" w:themeColor="text1"/>
          <w:szCs w:val="26"/>
        </w:rPr>
      </w:pPr>
      <w:r w:rsidRPr="000D0226">
        <w:rPr>
          <w:rFonts w:asciiTheme="minorHAnsi" w:eastAsiaTheme="majorEastAsia" w:hAnsiTheme="minorHAnsi" w:cstheme="majorBidi"/>
          <w:b/>
          <w:bCs/>
          <w:i/>
          <w:color w:val="000000" w:themeColor="text1"/>
          <w:szCs w:val="26"/>
        </w:rPr>
        <w:t>Study area</w:t>
      </w:r>
    </w:p>
    <w:p w:rsidR="000D0226" w:rsidRPr="000D0226" w:rsidRDefault="000D0226" w:rsidP="000D0226">
      <w:pPr>
        <w:rPr>
          <w:color w:val="000000"/>
        </w:rPr>
      </w:pPr>
      <w:r w:rsidRPr="000D0226">
        <w:t>The study took place during July and August 2015 and was conducted at Thaba Tholo wilderness reserve (TTWR), Mpumalanga, South Africa (Latitude: 24</w:t>
      </w:r>
      <w:r w:rsidRPr="000D0226">
        <w:rPr>
          <w:vertAlign w:val="superscript"/>
        </w:rPr>
        <w:t>o</w:t>
      </w:r>
      <w:r w:rsidR="00567760">
        <w:t>57’</w:t>
      </w:r>
      <w:r w:rsidRPr="000D0226">
        <w:t>40</w:t>
      </w:r>
      <w:r w:rsidR="00567760">
        <w:t>.</w:t>
      </w:r>
      <w:r w:rsidRPr="000D0226">
        <w:t>4</w:t>
      </w:r>
      <w:r w:rsidR="00567760">
        <w:t>”</w:t>
      </w:r>
      <w:r w:rsidRPr="000D0226">
        <w:t xml:space="preserve"> S, Longitude: 30</w:t>
      </w:r>
      <w:r w:rsidRPr="000D0226">
        <w:rPr>
          <w:vertAlign w:val="superscript"/>
        </w:rPr>
        <w:t>o</w:t>
      </w:r>
      <w:r w:rsidR="00567760">
        <w:t>21’</w:t>
      </w:r>
      <w:r w:rsidRPr="000D0226">
        <w:t>10</w:t>
      </w:r>
      <w:r w:rsidR="00567760">
        <w:t>.</w:t>
      </w:r>
      <w:r w:rsidRPr="000D0226">
        <w:t>5</w:t>
      </w:r>
      <w:r w:rsidR="00567760">
        <w:t>”</w:t>
      </w:r>
      <w:r w:rsidRPr="000D0226">
        <w:t xml:space="preserve"> E). The </w:t>
      </w:r>
      <w:r w:rsidRPr="000D0226">
        <w:rPr>
          <w:color w:val="000000"/>
        </w:rPr>
        <w:t xml:space="preserve">1,500-ha privately owned game reserve </w:t>
      </w:r>
      <w:r w:rsidRPr="000D0226">
        <w:t xml:space="preserve">was established in 2002, </w:t>
      </w:r>
      <w:r w:rsidRPr="000D0226">
        <w:rPr>
          <w:color w:val="000000"/>
        </w:rPr>
        <w:t>integrating smallholdings of land previously used for cattle; the surrounding land was still utilised as cattle and game farm</w:t>
      </w:r>
      <w:r w:rsidR="00567760">
        <w:rPr>
          <w:color w:val="000000"/>
        </w:rPr>
        <w:t>s</w:t>
      </w:r>
      <w:r w:rsidRPr="000D0226">
        <w:rPr>
          <w:color w:val="000000"/>
        </w:rPr>
        <w:t>. Evidence of cultivation such as human-constructed terraces from the Iron Age</w:t>
      </w:r>
      <w:r w:rsidRPr="000D0226" w:rsidDel="00AB7897">
        <w:rPr>
          <w:color w:val="000000"/>
        </w:rPr>
        <w:t xml:space="preserve"> </w:t>
      </w:r>
      <w:r w:rsidRPr="000D0226">
        <w:rPr>
          <w:color w:val="000000"/>
        </w:rPr>
        <w:t xml:space="preserve">(Pistorius 2014) still remains on </w:t>
      </w:r>
      <w:r w:rsidR="00567760">
        <w:rPr>
          <w:color w:val="000000"/>
        </w:rPr>
        <w:t>site; as well as remnants of</w:t>
      </w:r>
      <w:r w:rsidRPr="000D0226">
        <w:rPr>
          <w:color w:val="000000"/>
        </w:rPr>
        <w:t xml:space="preserve"> old cattle fencing. The perimeter was increased to incorporate an area of 5,400ha in 2009 (Figure 1), and is now a commercial reserve with a variety of game including giraffe (</w:t>
      </w:r>
      <w:r w:rsidRPr="000D0226">
        <w:rPr>
          <w:i/>
          <w:color w:val="000000"/>
        </w:rPr>
        <w:t>Giraffa camelopardalis</w:t>
      </w:r>
      <w:r w:rsidRPr="000D0226">
        <w:rPr>
          <w:color w:val="000000"/>
        </w:rPr>
        <w:t xml:space="preserve"> Linnaeus, 1758), however, it excludes all but the leopard of the ‘big five’ (Pirie et al. 2016). The reserve boundary (apart from 3.3 km of boundary shared with a game farm stocking similar wild species; </w:t>
      </w:r>
      <w:r w:rsidRPr="000D0226">
        <w:t>Figure 1</w:t>
      </w:r>
      <w:r w:rsidRPr="000D0226">
        <w:rPr>
          <w:color w:val="000000"/>
        </w:rPr>
        <w:t>) separates TTWR from areas of low intensity livestock farming. Naturally occurring species including greater kudu, bushbuck and common duiker (</w:t>
      </w:r>
      <w:r w:rsidRPr="000D0226">
        <w:rPr>
          <w:i/>
          <w:color w:val="000000"/>
        </w:rPr>
        <w:t xml:space="preserve">Sylvicapra grimmia </w:t>
      </w:r>
      <w:r w:rsidRPr="000D0226">
        <w:rPr>
          <w:color w:val="000000"/>
        </w:rPr>
        <w:t xml:space="preserve">Linnaeus, 1758), referred to as wild species here, occur either side of the fence. In addition TTWR also has populations (here referred to as introduced species) </w:t>
      </w:r>
      <w:r w:rsidRPr="000D0226">
        <w:rPr>
          <w:rFonts w:asciiTheme="minorHAnsi" w:hAnsiTheme="minorHAnsi" w:cstheme="minorHAnsi"/>
          <w:color w:val="000000"/>
          <w:szCs w:val="24"/>
        </w:rPr>
        <w:t>of extra-limital South</w:t>
      </w:r>
      <w:r w:rsidRPr="000D0226">
        <w:rPr>
          <w:color w:val="000000"/>
        </w:rPr>
        <w:t xml:space="preserve"> African species </w:t>
      </w:r>
      <w:r w:rsidRPr="000D0226">
        <w:t xml:space="preserve">(e.g. </w:t>
      </w:r>
      <w:r w:rsidRPr="000D0226">
        <w:rPr>
          <w:color w:val="000000"/>
        </w:rPr>
        <w:t xml:space="preserve">common eland; sable </w:t>
      </w:r>
      <w:r w:rsidRPr="000D0226">
        <w:rPr>
          <w:i/>
          <w:color w:val="000000" w:themeColor="text1"/>
          <w:shd w:val="clear" w:color="auto" w:fill="FFFFFF"/>
        </w:rPr>
        <w:t xml:space="preserve">Hippotragus niger </w:t>
      </w:r>
      <w:r w:rsidRPr="000D0226">
        <w:rPr>
          <w:color w:val="000000" w:themeColor="text1"/>
          <w:shd w:val="clear" w:color="auto" w:fill="FFFFFF"/>
        </w:rPr>
        <w:t>Harris, 1838;</w:t>
      </w:r>
      <w:r w:rsidRPr="000D0226">
        <w:rPr>
          <w:color w:val="000000"/>
        </w:rPr>
        <w:t xml:space="preserve"> gemsbok, </w:t>
      </w:r>
      <w:r w:rsidRPr="000D0226">
        <w:rPr>
          <w:i/>
          <w:color w:val="000000"/>
        </w:rPr>
        <w:t xml:space="preserve">Oryx gazelle </w:t>
      </w:r>
      <w:r w:rsidRPr="000D0226">
        <w:rPr>
          <w:color w:val="000000"/>
        </w:rPr>
        <w:t xml:space="preserve">Linnaeus, 1758; plains zebra, </w:t>
      </w:r>
      <w:r w:rsidRPr="000D0226">
        <w:rPr>
          <w:i/>
        </w:rPr>
        <w:t xml:space="preserve">Equus quagga </w:t>
      </w:r>
      <w:r w:rsidRPr="000D0226">
        <w:t xml:space="preserve">Boddaert, 1785) </w:t>
      </w:r>
      <w:r w:rsidRPr="000D0226">
        <w:rPr>
          <w:color w:val="000000"/>
        </w:rPr>
        <w:t>which were introduced following the formation of the reserve. These species are either suited to more arid environments or had been historically present but were subsequently removed.</w:t>
      </w:r>
    </w:p>
    <w:p w:rsidR="000D0226" w:rsidRPr="000D0226" w:rsidRDefault="000D0226" w:rsidP="000D0226">
      <w:pPr>
        <w:rPr>
          <w:color w:val="000000"/>
        </w:rPr>
      </w:pPr>
      <w:r w:rsidRPr="000D0226">
        <w:rPr>
          <w:color w:val="000000"/>
        </w:rPr>
        <w:t>The site is located between the Steenkampsberg and Mauchsberg mountain ranges and altitudes range from 1100-2000m. The area receives an average annual rainfall of 700-900 mm mainly between October-February.</w:t>
      </w:r>
      <w:r w:rsidRPr="000D0226">
        <w:rPr>
          <w:color w:val="000000"/>
          <w:highlight w:val="yellow"/>
        </w:rPr>
        <w:t xml:space="preserve"> </w:t>
      </w:r>
    </w:p>
    <w:p w:rsidR="00482120" w:rsidRDefault="00482120" w:rsidP="000D0226">
      <w:pPr>
        <w:keepNext/>
        <w:keepLines/>
        <w:outlineLvl w:val="1"/>
        <w:rPr>
          <w:rFonts w:asciiTheme="minorHAnsi" w:eastAsiaTheme="majorEastAsia" w:hAnsiTheme="minorHAnsi" w:cstheme="majorBidi"/>
          <w:b/>
          <w:bCs/>
          <w:i/>
          <w:color w:val="000000" w:themeColor="text1"/>
          <w:szCs w:val="26"/>
        </w:rPr>
      </w:pPr>
    </w:p>
    <w:p w:rsidR="000D0226" w:rsidRPr="000D0226" w:rsidRDefault="000D0226" w:rsidP="000D0226">
      <w:pPr>
        <w:keepNext/>
        <w:keepLines/>
        <w:outlineLvl w:val="1"/>
        <w:rPr>
          <w:rFonts w:asciiTheme="minorHAnsi" w:eastAsiaTheme="majorEastAsia" w:hAnsiTheme="minorHAnsi" w:cstheme="majorBidi"/>
          <w:b/>
          <w:bCs/>
          <w:color w:val="000000" w:themeColor="text1"/>
          <w:szCs w:val="26"/>
        </w:rPr>
      </w:pPr>
      <w:r w:rsidRPr="000D0226">
        <w:rPr>
          <w:rFonts w:asciiTheme="minorHAnsi" w:eastAsiaTheme="majorEastAsia" w:hAnsiTheme="minorHAnsi" w:cstheme="majorBidi"/>
          <w:b/>
          <w:bCs/>
          <w:i/>
          <w:color w:val="000000" w:themeColor="text1"/>
          <w:szCs w:val="26"/>
        </w:rPr>
        <w:t>Fence characteristics</w:t>
      </w:r>
    </w:p>
    <w:p w:rsidR="000D0226" w:rsidRPr="000D0226" w:rsidRDefault="000D0226" w:rsidP="000D0226">
      <w:r w:rsidRPr="000D0226">
        <w:t>The perimeter fence (</w:t>
      </w:r>
      <w:r w:rsidRPr="000D0226">
        <w:rPr>
          <w:color w:val="000000"/>
        </w:rPr>
        <w:t>29.3km</w:t>
      </w:r>
      <w:r w:rsidRPr="000D0226">
        <w:t>, Figure 1) was erected in 2008/2009 to incorporate new property acquired and to confine species introduced into the reserve [plains zebra, blue wildebeest (</w:t>
      </w:r>
      <w:r w:rsidRPr="000D0226">
        <w:rPr>
          <w:i/>
          <w:color w:val="000000" w:themeColor="text1"/>
          <w:shd w:val="clear" w:color="auto" w:fill="FFFFFF"/>
        </w:rPr>
        <w:t xml:space="preserve">Connochaetes </w:t>
      </w:r>
      <w:r w:rsidRPr="000D0226">
        <w:rPr>
          <w:i/>
          <w:noProof/>
          <w:color w:val="000000" w:themeColor="text1"/>
          <w:shd w:val="clear" w:color="auto" w:fill="FFFFFF"/>
        </w:rPr>
        <w:t xml:space="preserve">taurinus </w:t>
      </w:r>
      <w:r w:rsidRPr="000D0226">
        <w:rPr>
          <w:noProof/>
          <w:color w:val="000000" w:themeColor="text1"/>
          <w:shd w:val="clear" w:color="auto" w:fill="FFFFFF"/>
        </w:rPr>
        <w:t>Burchell, 1823)</w:t>
      </w:r>
      <w:r w:rsidRPr="000D0226">
        <w:t xml:space="preserve">, common eland, gemsbok, impala </w:t>
      </w:r>
      <w:r w:rsidRPr="000D0226">
        <w:lastRenderedPageBreak/>
        <w:t>(</w:t>
      </w:r>
      <w:r w:rsidRPr="000D0226">
        <w:rPr>
          <w:i/>
        </w:rPr>
        <w:t xml:space="preserve">Aepyceros melampus </w:t>
      </w:r>
      <w:r w:rsidRPr="000D0226">
        <w:t>Lichtenstein, 1812), nyala (</w:t>
      </w:r>
      <w:r w:rsidRPr="000D0226">
        <w:rPr>
          <w:i/>
          <w:color w:val="000000"/>
        </w:rPr>
        <w:t xml:space="preserve">Tragelaphus </w:t>
      </w:r>
      <w:r w:rsidRPr="000D0226">
        <w:rPr>
          <w:i/>
          <w:noProof/>
          <w:color w:val="000000"/>
        </w:rPr>
        <w:t xml:space="preserve">angasii </w:t>
      </w:r>
      <w:r w:rsidRPr="000D0226">
        <w:rPr>
          <w:noProof/>
          <w:color w:val="000000"/>
        </w:rPr>
        <w:t>Angas, 1849)</w:t>
      </w:r>
      <w:r w:rsidRPr="000D0226">
        <w:t>, sable, giraffe and waterbuck (</w:t>
      </w:r>
      <w:r w:rsidRPr="000D0226">
        <w:rPr>
          <w:i/>
          <w:color w:val="000000" w:themeColor="text1"/>
          <w:shd w:val="clear" w:color="auto" w:fill="FFFFFF"/>
        </w:rPr>
        <w:t xml:space="preserve">Kobus </w:t>
      </w:r>
      <w:r w:rsidRPr="000D0226">
        <w:rPr>
          <w:i/>
          <w:noProof/>
          <w:color w:val="000000" w:themeColor="text1"/>
          <w:shd w:val="clear" w:color="auto" w:fill="FFFFFF"/>
        </w:rPr>
        <w:t xml:space="preserve">ellipsiprymnus </w:t>
      </w:r>
      <w:r w:rsidRPr="000D0226">
        <w:rPr>
          <w:noProof/>
          <w:color w:val="000000" w:themeColor="text1"/>
          <w:shd w:val="clear" w:color="auto" w:fill="FFFFFF"/>
        </w:rPr>
        <w:t>Ogilbyi, 1833)]</w:t>
      </w:r>
      <w:r w:rsidRPr="000D0226">
        <w:t>. The fence is a standard game fence which follows the recommended criteria suggested by the Cape Nature Biodiversity Support Services and Scientific Services specifications (Brown et al. 2014), and are also used in other countries such as Botswana (Boast et al</w:t>
      </w:r>
      <w:r w:rsidRPr="000D0226">
        <w:rPr>
          <w:i/>
        </w:rPr>
        <w:t>.</w:t>
      </w:r>
      <w:r w:rsidRPr="000D0226">
        <w:t xml:space="preserve"> 2016). The fence stands 2.2m high and consisted of 22 strands of galvanized steel wire, 2.5mm in diameter (Figure </w:t>
      </w:r>
      <w:r w:rsidRPr="000D0226">
        <w:rPr>
          <w:noProof/>
        </w:rPr>
        <w:t>2a, 2b</w:t>
      </w:r>
      <w:r w:rsidRPr="000D0226">
        <w:t xml:space="preserve">). The bottom four strands were 5cm apart, the rest were separated by 10cm. The lowest wire was flush with the ground and the last wire flush with the top of the fence post. Each strand was attached by wire to a solid metal dropper located every meter along the fence and was threaded through </w:t>
      </w:r>
      <w:r w:rsidRPr="000D0226">
        <w:rPr>
          <w:noProof/>
        </w:rPr>
        <w:t>a main</w:t>
      </w:r>
      <w:r w:rsidRPr="000D0226">
        <w:t xml:space="preserve"> fence post every ten metres. Corners and points over 200m from corners were strengthened by large metal posts (10cm in diameter), which were bolstered by thinner metal posts and guide wires. All metal posts were dropped 80cm into the ground. It is worth noting that there were two large gaps in the fence due to the presence of sheer rock faces; although difficult to traverse these could allow movement for agile species such as klipspringer (</w:t>
      </w:r>
      <w:r w:rsidRPr="000D0226">
        <w:rPr>
          <w:i/>
        </w:rPr>
        <w:t xml:space="preserve">Oreotragus oresotragus </w:t>
      </w:r>
      <w:r w:rsidRPr="000D0226">
        <w:t>Zimmermann, 1783), baboon (</w:t>
      </w:r>
      <w:r w:rsidRPr="000D0226">
        <w:rPr>
          <w:i/>
          <w:color w:val="000000"/>
        </w:rPr>
        <w:t>Papio ursinus</w:t>
      </w:r>
      <w:r w:rsidRPr="000D0226">
        <w:t xml:space="preserve"> </w:t>
      </w:r>
      <w:r w:rsidRPr="000D0226">
        <w:rPr>
          <w:color w:val="000000"/>
        </w:rPr>
        <w:t>Kerr, 1792)</w:t>
      </w:r>
      <w:r w:rsidRPr="000D0226">
        <w:t xml:space="preserve">, kudu and leopard, however, it was difficult to collect evidence from these areas. There was also damage to the fence which occurred during extreme weather conditions before the study commenced. Several eland escaped through the large hole in the fence before it was mended, of which some returned but a few remained outside the reserve.  The fence line was routinely checked bi-monthly for snares, any damage to the fence or large holes that introduced species or livestock could traverse. If damage was found this would be repaired. However these checks were paused for the duration of this study as the research team were checking the fence line which allowed reserve workers to concentrate on other reserve maintenance tasks. If damage was found during the study it was reported. </w:t>
      </w:r>
    </w:p>
    <w:p w:rsidR="000D0226" w:rsidRPr="000D0226" w:rsidRDefault="000D0226" w:rsidP="000D0226">
      <w:r w:rsidRPr="000D0226">
        <w:t xml:space="preserve">Due to the length of the perimeter and ruggedness of the terrain, data were collected in subsections of the complete fence over the two month sampling period. Researchers walked along the perimeter fence collecting data, stopping every 250m to conduct transects, with the number of daily transects completed varying with terrain and weather conditions.  </w:t>
      </w:r>
    </w:p>
    <w:p w:rsidR="000D0226" w:rsidRPr="000D0226" w:rsidRDefault="000D0226" w:rsidP="000D0226"/>
    <w:p w:rsidR="000D0226" w:rsidRPr="000D0226" w:rsidRDefault="000D0226" w:rsidP="000D0226">
      <w:pPr>
        <w:keepNext/>
        <w:keepLines/>
        <w:outlineLvl w:val="1"/>
        <w:rPr>
          <w:rFonts w:asciiTheme="minorHAnsi" w:eastAsiaTheme="majorEastAsia" w:hAnsiTheme="minorHAnsi" w:cstheme="majorBidi"/>
          <w:bCs/>
          <w:i/>
          <w:color w:val="000000" w:themeColor="text1"/>
          <w:szCs w:val="26"/>
        </w:rPr>
      </w:pPr>
      <w:r w:rsidRPr="000D0226">
        <w:rPr>
          <w:rFonts w:asciiTheme="minorHAnsi" w:eastAsiaTheme="majorEastAsia" w:hAnsiTheme="minorHAnsi" w:cstheme="majorBidi"/>
          <w:b/>
          <w:bCs/>
          <w:i/>
          <w:color w:val="000000" w:themeColor="text1"/>
          <w:szCs w:val="26"/>
        </w:rPr>
        <w:lastRenderedPageBreak/>
        <w:t>Data collection</w:t>
      </w:r>
    </w:p>
    <w:p w:rsidR="000D0226" w:rsidRPr="000D0226" w:rsidRDefault="000D0226" w:rsidP="000D0226">
      <w:pPr>
        <w:keepNext/>
        <w:keepLines/>
        <w:outlineLvl w:val="2"/>
        <w:rPr>
          <w:rFonts w:asciiTheme="minorHAnsi" w:eastAsiaTheme="majorEastAsia" w:hAnsiTheme="minorHAnsi" w:cstheme="majorBidi"/>
          <w:bCs/>
          <w:i/>
        </w:rPr>
      </w:pPr>
      <w:r w:rsidRPr="000D0226">
        <w:rPr>
          <w:rFonts w:asciiTheme="minorHAnsi" w:eastAsiaTheme="majorEastAsia" w:hAnsiTheme="minorHAnsi" w:cstheme="majorBidi"/>
          <w:bCs/>
          <w:i/>
        </w:rPr>
        <w:t>Mammal presence along the fence line</w:t>
      </w:r>
    </w:p>
    <w:p w:rsidR="000D0226" w:rsidRPr="000D0226" w:rsidRDefault="000D0226" w:rsidP="000D0226">
      <w:r w:rsidRPr="000D0226">
        <w:t>Two teams of three observers simultaneously walked in single file along both sides of the entire fence line, with an experienced field guide at the rear to ensure data were not missed on either side of the fence. Evidence of terrestrial mammals (</w:t>
      </w:r>
      <w:r w:rsidRPr="000D0226">
        <w:rPr>
          <w:noProof/>
        </w:rPr>
        <w:t>spoor</w:t>
      </w:r>
      <w:r w:rsidRPr="000D0226">
        <w:t xml:space="preserve">, scat, foraging or other field signs) was recorded </w:t>
      </w:r>
      <w:r w:rsidRPr="000D0226">
        <w:rPr>
          <w:noProof/>
        </w:rPr>
        <w:t>if</w:t>
      </w:r>
      <w:r w:rsidRPr="000D0226">
        <w:t xml:space="preserve"> </w:t>
      </w:r>
      <w:r w:rsidRPr="000D0226">
        <w:rPr>
          <w:noProof/>
        </w:rPr>
        <w:t>within</w:t>
      </w:r>
      <w:r w:rsidRPr="000D0226">
        <w:t xml:space="preserve"> two metres of the fence line; GPS location (model; Garmin E-</w:t>
      </w:r>
      <w:r w:rsidRPr="000D0226">
        <w:rPr>
          <w:noProof/>
        </w:rPr>
        <w:t>trex</w:t>
      </w:r>
      <w:r w:rsidRPr="000D0226">
        <w:t>) and species found were noted. Most terrestrial and arboreal mammals present on TTWR were recorded. However, species smaller than lagomorphs (&lt;40cm long; Stuart and Stuart 2001) were omitted from the study due to their ability to easily traverse the fence and difficulty in locating and differentiating their field signs. Additionally, it is difficult to distinguish genet species by field signs alone (</w:t>
      </w:r>
      <w:r w:rsidRPr="000D0226">
        <w:rPr>
          <w:color w:val="000000" w:themeColor="text1"/>
        </w:rPr>
        <w:t>Liebenberg 2005), therefore all genet signs were recorded as genet species.</w:t>
      </w:r>
    </w:p>
    <w:p w:rsidR="000D0226" w:rsidRPr="000D0226" w:rsidRDefault="000D0226" w:rsidP="000D0226">
      <w:r w:rsidRPr="000D0226">
        <w:t>Scat identification was based on size, shape and colour (following Murray 2011) and recorded when there were three or more pieces of scat to compare and the shape was intact. Isolated piles were classed as a single count. Herbivore scat was not recorded where only single pellets were found or squashed</w:t>
      </w:r>
      <w:r w:rsidR="006D1170">
        <w:t>,</w:t>
      </w:r>
      <w:r w:rsidRPr="000D0226">
        <w:t xml:space="preserve"> rendering them unidentifiable. Spoor was identified using Liebenberg </w:t>
      </w:r>
      <w:r w:rsidRPr="000D0226">
        <w:rPr>
          <w:noProof/>
        </w:rPr>
        <w:t>(2005),</w:t>
      </w:r>
      <w:r w:rsidRPr="000D0226">
        <w:t xml:space="preserve"> and was only recorded if it was clear, entire and could be identified with certainty. Partial </w:t>
      </w:r>
      <w:r w:rsidRPr="000D0226">
        <w:rPr>
          <w:noProof/>
        </w:rPr>
        <w:t>spoor</w:t>
      </w:r>
      <w:r w:rsidRPr="000D0226">
        <w:t xml:space="preserve"> was not recorded. Unless clear trails from different individuals were seen, </w:t>
      </w:r>
      <w:r w:rsidRPr="000D0226">
        <w:rPr>
          <w:noProof/>
        </w:rPr>
        <w:t>spoor from a single species at a single location</w:t>
      </w:r>
      <w:r w:rsidRPr="000D0226">
        <w:t xml:space="preserve"> was recorded as one individual.</w:t>
      </w:r>
    </w:p>
    <w:p w:rsidR="000D0226" w:rsidRPr="000D0226" w:rsidRDefault="000D0226" w:rsidP="000D0226">
      <w:pPr>
        <w:keepNext/>
        <w:keepLines/>
        <w:outlineLvl w:val="2"/>
        <w:rPr>
          <w:rFonts w:asciiTheme="minorHAnsi" w:eastAsiaTheme="majorEastAsia" w:hAnsiTheme="minorHAnsi" w:cstheme="majorBidi"/>
          <w:bCs/>
          <w:i/>
        </w:rPr>
      </w:pPr>
      <w:r w:rsidRPr="000D0226">
        <w:rPr>
          <w:rFonts w:asciiTheme="minorHAnsi" w:eastAsiaTheme="majorEastAsia" w:hAnsiTheme="minorHAnsi" w:cstheme="majorBidi"/>
          <w:bCs/>
          <w:i/>
        </w:rPr>
        <w:t xml:space="preserve">Hole utilisation </w:t>
      </w:r>
    </w:p>
    <w:p w:rsidR="000D0226" w:rsidRPr="000D0226" w:rsidRDefault="000D0226" w:rsidP="000D0226">
      <w:pPr>
        <w:rPr>
          <w:i/>
        </w:rPr>
      </w:pPr>
      <w:r w:rsidRPr="000D0226">
        <w:t xml:space="preserve">Holes were identified based on disturbance of the substrate caused by animal digging or erosion, or damage to the wire. The latter was largely seen on the bottom strands and resulted from falling rocks, growing tree roots or the force of animal movement through the fence. Occasionally strands higher up were cut by poachers, but these were not treated as holes as they were in a difficult position for animals to utilise and showed no sign of exploitation. The size of hole was categorised based on permeability to key species: a) lagomorphs or smaller &lt;10cm (small), b) too small for an adult leopard or brown hyena to easily utilize, but could allow </w:t>
      </w:r>
      <w:r w:rsidRPr="000D0226">
        <w:rPr>
          <w:noProof/>
        </w:rPr>
        <w:t>mesopredators</w:t>
      </w:r>
      <w:r w:rsidRPr="000D0226">
        <w:t>, dwarf antelope, grey duiker (</w:t>
      </w:r>
      <w:r w:rsidRPr="000D0226">
        <w:rPr>
          <w:i/>
        </w:rPr>
        <w:t xml:space="preserve">Sylvicapra </w:t>
      </w:r>
      <w:r w:rsidRPr="000D0226">
        <w:rPr>
          <w:i/>
          <w:noProof/>
        </w:rPr>
        <w:t xml:space="preserve">grimmia </w:t>
      </w:r>
      <w:r w:rsidRPr="000D0226">
        <w:rPr>
          <w:noProof/>
        </w:rPr>
        <w:t>Linnaeus, 1758)</w:t>
      </w:r>
      <w:r w:rsidRPr="000D0226">
        <w:t xml:space="preserve"> and klipspringer through &gt;10cm - &lt;25cm (medium), c) large enough for a bushbuck or large predator which could influence herbivore movement e.g. an adult leopard or hyena head and body without much struggle, &gt;25cm (large; mean zygomatic width for </w:t>
      </w:r>
      <w:r w:rsidRPr="000D0226">
        <w:lastRenderedPageBreak/>
        <w:t xml:space="preserve">adult leopards in Namibia: male, 15.6cm, female 11.3cm [Stein and Hayssen (2013); while hip or shoulder widths are more likely to be the restrictive factor </w:t>
      </w:r>
      <w:r w:rsidRPr="000D0226">
        <w:rPr>
          <w:noProof/>
        </w:rPr>
        <w:t>in ability</w:t>
      </w:r>
      <w:r w:rsidRPr="000D0226">
        <w:t xml:space="preserve"> to traverse a fence (Stullken and Kirkpatrick 1953), no such measurements were available]. Holes were categorised visually and by using foot pressure to test the freedom of movement of the bottom wires and substrate to assess the potential full size of the hole. Where it was difficult to visually categorize hole size, it was measured. Utilisation was assessed based on the </w:t>
      </w:r>
      <w:r w:rsidRPr="000D0226">
        <w:rPr>
          <w:noProof/>
        </w:rPr>
        <w:t>absence</w:t>
      </w:r>
      <w:r w:rsidRPr="000D0226">
        <w:t xml:space="preserve"> of debris or presence of flattened vegetation, both indicators of very recent use (Liebenberg 2005). The presence of a game trail passing through the hole was also recorded which served as an indication of the hole being present before the study commenced and its utilization over a longer period. Therefore if there was no game trail but there was evidence of recent use, the hole was considered to be relatively new. A hole with a game trail which was recently used could be considered a main entrance/exit point for the time of year the study took place. When a vegetation transect (see below) location landed within 3m of a medium or large hole it was adjusted to be taken at the hole as this would fall within the error associated with the GPS. </w:t>
      </w:r>
    </w:p>
    <w:p w:rsidR="000D0226" w:rsidRPr="000D0226" w:rsidRDefault="000D0226" w:rsidP="000D0226">
      <w:pPr>
        <w:keepNext/>
        <w:keepLines/>
        <w:outlineLvl w:val="2"/>
        <w:rPr>
          <w:rFonts w:asciiTheme="minorHAnsi" w:eastAsiaTheme="majorEastAsia" w:hAnsiTheme="minorHAnsi" w:cstheme="majorBidi"/>
          <w:bCs/>
          <w:i/>
        </w:rPr>
      </w:pPr>
      <w:r w:rsidRPr="000D0226">
        <w:rPr>
          <w:rFonts w:asciiTheme="minorHAnsi" w:eastAsiaTheme="majorEastAsia" w:hAnsiTheme="minorHAnsi" w:cstheme="majorBidi"/>
          <w:bCs/>
          <w:i/>
        </w:rPr>
        <w:t xml:space="preserve">Vegetation comparisons from transects </w:t>
      </w:r>
    </w:p>
    <w:p w:rsidR="000D0226" w:rsidRPr="000D0226" w:rsidRDefault="000D0226" w:rsidP="000D0226">
      <w:r w:rsidRPr="000D0226">
        <w:t xml:space="preserve">Transects were taken every 250m along the boundary fence line commencing from the main access point onto the reserve (unless within 3m of a hole; see above). A point 100m away from the fence was marked either side, perpendicular to the fence. Vegetation cover, height and species were recorded at each ten metre point along the transect using a tape measure. Vegetation cover was recorded as bare ground (BG), non-woody plants including grasses / sedges / flowers / </w:t>
      </w:r>
      <w:r w:rsidRPr="000D0226">
        <w:rPr>
          <w:i/>
        </w:rPr>
        <w:t>Lampranthus</w:t>
      </w:r>
      <w:r w:rsidRPr="000D0226">
        <w:t xml:space="preserve"> spp. (O) and woody plants such as trees and bushes (T). If the point crossed the canopy of the bush / tree it was recorded as T. The height of the vegetation was categorized as 1: 0-20cm; 2: 20cm-1m; 3: 1-2m; 4: 2-3m; 5: 3-4m and 6: &gt; 4m. Altitude was recorded at the fence and at the ends of each transect. Vegetation was identified to species where possible following Schmidt et al. (2002), Van Oudtshoorn (2012) and Manning (2009). Where this was not possible taxa were recorded to morphospecies. If a transect location was found to be too dangerous to sample, a replacement was located at the closest possible point to the original and the distance subtracted from the next 250m point.</w:t>
      </w:r>
    </w:p>
    <w:p w:rsidR="000D0226" w:rsidRPr="000D0226" w:rsidRDefault="000D0226" w:rsidP="000D0226"/>
    <w:p w:rsidR="000D0226" w:rsidRPr="000D0226" w:rsidRDefault="000D0226" w:rsidP="000D0226">
      <w:pPr>
        <w:keepNext/>
        <w:keepLines/>
        <w:outlineLvl w:val="1"/>
        <w:rPr>
          <w:rFonts w:asciiTheme="minorHAnsi" w:eastAsiaTheme="majorEastAsia" w:hAnsiTheme="minorHAnsi" w:cstheme="majorBidi"/>
          <w:bCs/>
          <w:i/>
          <w:color w:val="000000" w:themeColor="text1"/>
          <w:szCs w:val="26"/>
        </w:rPr>
      </w:pPr>
      <w:r w:rsidRPr="000D0226">
        <w:rPr>
          <w:rFonts w:asciiTheme="minorHAnsi" w:eastAsiaTheme="majorEastAsia" w:hAnsiTheme="minorHAnsi" w:cstheme="majorBidi"/>
          <w:b/>
          <w:bCs/>
          <w:i/>
          <w:color w:val="000000" w:themeColor="text1"/>
          <w:szCs w:val="26"/>
        </w:rPr>
        <w:lastRenderedPageBreak/>
        <w:t>Statistical Analysis</w:t>
      </w:r>
    </w:p>
    <w:p w:rsidR="000D0226" w:rsidRPr="000D0226" w:rsidRDefault="000D0226" w:rsidP="000D0226">
      <w:r w:rsidRPr="000D0226">
        <w:t>Inspection showed that the data were unsuitable for parametric analyses. Where multiple tests were conducted P-values were adjusted using sequential Holm-Bonferroni calculations to avoid errors associated with multiple tests (Holm 1979). All analyses were conducted using R</w:t>
      </w:r>
      <w:r w:rsidR="006D1170">
        <w:t xml:space="preserve"> 3.2.3</w:t>
      </w:r>
      <w:r w:rsidRPr="000D0226">
        <w:t xml:space="preserve"> </w:t>
      </w:r>
      <w:r w:rsidRPr="000D0226">
        <w:fldChar w:fldCharType="begin"/>
      </w:r>
      <w:r w:rsidRPr="000D0226">
        <w:instrText xml:space="preserve"> ADDIN EN.CITE &lt;EndNote&gt;&lt;Cite&gt;&lt;Author&gt;R&lt;/Author&gt;&lt;Year&gt;2012&lt;/Year&gt;&lt;RecNum&gt;62&lt;/RecNum&gt;&lt;DisplayText&gt;(R 2012)&lt;/DisplayText&gt;&lt;record&gt;&lt;rec-number&gt;62&lt;/rec-number&gt;&lt;foreign-keys&gt;&lt;key app="EN" db-id="taze9zvvfze0spe9wf9xs5vpzxzaezwrssfe"&gt;62&lt;/key&gt;&lt;/foreign-keys&gt;&lt;ref-type name="Computer Program"&gt;9&lt;/ref-type&gt;&lt;contributors&gt;&lt;authors&gt;&lt;author&gt;R Core Team R&lt;/author&gt;&lt;/authors&gt;&lt;/contributors&gt;&lt;titles&gt;&lt;title&gt;A language and environment for statistical computing&lt;/title&gt;&lt;/titles&gt;&lt;dates&gt;&lt;year&gt;2012&lt;/year&gt;&lt;/dates&gt;&lt;pub-location&gt;Vienna, Austria&lt;/pub-location&gt;&lt;publisher&gt;R Foundation for Statistical Computing&lt;/publisher&gt;&lt;isbn&gt;3-900051-07-0&lt;/isbn&gt;&lt;urls&gt;&lt;related-urls&gt;&lt;url&gt;http://www.R-project.org/&lt;/url&gt;&lt;/related-urls&gt;&lt;/urls&gt;&lt;/record&gt;&lt;/Cite&gt;&lt;/EndNote&gt;</w:instrText>
      </w:r>
      <w:r w:rsidRPr="000D0226">
        <w:fldChar w:fldCharType="separate"/>
      </w:r>
      <w:r w:rsidRPr="000D0226">
        <w:rPr>
          <w:noProof/>
        </w:rPr>
        <w:t>(</w:t>
      </w:r>
      <w:hyperlink w:anchor="_ENREF_10" w:tooltip="R, 2012 #62" w:history="1">
        <w:r w:rsidRPr="000D0226">
          <w:rPr>
            <w:noProof/>
          </w:rPr>
          <w:t>R Core Development Team 2012</w:t>
        </w:r>
      </w:hyperlink>
      <w:r w:rsidRPr="000D0226">
        <w:rPr>
          <w:noProof/>
        </w:rPr>
        <w:t>)</w:t>
      </w:r>
      <w:r w:rsidRPr="000D0226">
        <w:fldChar w:fldCharType="end"/>
      </w:r>
      <w:r w:rsidRPr="000D0226">
        <w:t>. Data collected from the 3.3km section of the boundary that bordered the adjacent game reserve were omitted from analysis.</w:t>
      </w:r>
    </w:p>
    <w:p w:rsidR="000D0226" w:rsidRPr="000D0226" w:rsidRDefault="000D0226" w:rsidP="000D0226">
      <w:pPr>
        <w:keepNext/>
        <w:keepLines/>
        <w:outlineLvl w:val="2"/>
        <w:rPr>
          <w:rFonts w:asciiTheme="minorHAnsi" w:eastAsiaTheme="majorEastAsia" w:hAnsiTheme="minorHAnsi" w:cstheme="majorBidi"/>
          <w:bCs/>
          <w:i/>
        </w:rPr>
      </w:pPr>
      <w:r w:rsidRPr="000D0226">
        <w:rPr>
          <w:rFonts w:asciiTheme="minorHAnsi" w:eastAsiaTheme="majorEastAsia" w:hAnsiTheme="minorHAnsi" w:cstheme="majorBidi"/>
          <w:bCs/>
          <w:i/>
        </w:rPr>
        <w:t>Mammal presence along the fence line</w:t>
      </w:r>
    </w:p>
    <w:p w:rsidR="000D0226" w:rsidRPr="000D0226" w:rsidRDefault="000D0226" w:rsidP="000D0226">
      <w:r w:rsidRPr="000D0226">
        <w:t>The Morisita-Horn index (Magurran 2004) calculates the proportion of similarity in species richness and abundance between two communities. If identical species occur in the same proportions in both samples the index will be 1. The index can be sensitive to the most abundant species (Magurran 2004) therefore it has been recommended the data are log</w:t>
      </w:r>
      <w:r w:rsidRPr="000D0226">
        <w:rPr>
          <w:vertAlign w:val="subscript"/>
        </w:rPr>
        <w:t>10</w:t>
      </w:r>
      <w:r w:rsidRPr="000D0226">
        <w:t xml:space="preserve">(x+1) transformed prior to analysis (Clarke and Warwick 2001). Here it was used to calculate large and meso-mammal community similarity either side of the fence based on the presence of pooled scat and spoor evidence recorded either side of the fence line. </w:t>
      </w:r>
    </w:p>
    <w:p w:rsidR="000D0226" w:rsidRPr="000D0226" w:rsidRDefault="000D0226" w:rsidP="000D0226">
      <w:r w:rsidRPr="000D0226">
        <w:t>G-tests (log-likelihood tests; Sokal and Rohlff 1995) were used to test if species were more likely to be recorded (pool</w:t>
      </w:r>
      <w:r w:rsidR="006D1170">
        <w:t>ed</w:t>
      </w:r>
      <w:r w:rsidRPr="000D0226">
        <w:t xml:space="preserve"> evidence) on one side of the fence line (inside the reserve against outside). We compared records based on; a) animal origin (introduced wild species, naturally occurring wild species that needed holes to cross the fence and species which did not need holes to cross the fence, livestock), b) only species that needed to use holes to cross the fence were compared focusing on diet guild (carnivores, herbivores, grazers, browsers), and c) for all recorded species. Species that could fit between the bottom fence strands, climb over or through the fence easily or dig tunnels independent of the fence were classed as “facultative hole-users”. Included in this category were baboon, galago, aardvark, genet species, mongoose species and lagomorphs. The rest of the species were classified as “obligate hole-users”. Although leopard may jump over a fence (Hoare 1992), we decided to classify it as the later due to the lack of suitable vegetation close to the fence and difficulty of climbing the fence. </w:t>
      </w:r>
    </w:p>
    <w:p w:rsidR="000D0226" w:rsidRPr="000D0226" w:rsidRDefault="000D0226" w:rsidP="000D0226">
      <w:pPr>
        <w:keepNext/>
        <w:keepLines/>
        <w:outlineLvl w:val="2"/>
        <w:rPr>
          <w:rFonts w:asciiTheme="minorHAnsi" w:eastAsiaTheme="majorEastAsia" w:hAnsiTheme="minorHAnsi" w:cstheme="majorBidi"/>
          <w:bCs/>
          <w:i/>
        </w:rPr>
      </w:pPr>
      <w:r w:rsidRPr="000D0226">
        <w:rPr>
          <w:rFonts w:asciiTheme="minorHAnsi" w:eastAsiaTheme="majorEastAsia" w:hAnsiTheme="minorHAnsi" w:cstheme="majorBidi"/>
          <w:bCs/>
          <w:i/>
        </w:rPr>
        <w:t>Hole utilization</w:t>
      </w:r>
    </w:p>
    <w:p w:rsidR="000D0226" w:rsidRPr="000D0226" w:rsidRDefault="000D0226" w:rsidP="000D0226">
      <w:pPr>
        <w:rPr>
          <w:rFonts w:ascii="Segoe UI" w:hAnsi="Segoe UI" w:cs="Segoe UI"/>
          <w:sz w:val="20"/>
          <w:szCs w:val="20"/>
        </w:rPr>
      </w:pPr>
      <w:r w:rsidRPr="000D0226">
        <w:t>The distribution of holes (clumped, random, or even) was explored using nearest neighbour analysis (QGIS version 2.18</w:t>
      </w:r>
      <w:r w:rsidR="006D1170">
        <w:t xml:space="preserve">, </w:t>
      </w:r>
      <w:r w:rsidR="006D1170" w:rsidRPr="006D1170">
        <w:t>Quantum GIS team 2015</w:t>
      </w:r>
      <w:r w:rsidRPr="000D0226">
        <w:t xml:space="preserve">) which compares the nearest neighbour index based on observed distances between holes with an expected Poisson distribution </w:t>
      </w:r>
      <w:r w:rsidRPr="000D0226">
        <w:lastRenderedPageBreak/>
        <w:t xml:space="preserve">(Sadar and Rodier 2012). A Z-score of between -1.96 and 1.96 indicates a random distribution, &gt;2 has an even distribution and &lt;-2 shows clustering at a significance level of 5% (Rifaie et al. 2015). </w:t>
      </w:r>
      <w:r w:rsidRPr="000D0226">
        <w:rPr>
          <w:rFonts w:asciiTheme="minorHAnsi" w:hAnsiTheme="minorHAnsi"/>
          <w:szCs w:val="24"/>
        </w:rPr>
        <w:t>This was repeated for each hole size category. We then examined if there was an association</w:t>
      </w:r>
      <w:r w:rsidRPr="000D0226">
        <w:t xml:space="preserve"> between hole size and a) rate of utilization, and b) the presence of game trails, using G-tests. </w:t>
      </w:r>
    </w:p>
    <w:p w:rsidR="000D0226" w:rsidRPr="000D0226" w:rsidRDefault="000D0226" w:rsidP="000D0226">
      <w:pPr>
        <w:keepNext/>
        <w:keepLines/>
        <w:outlineLvl w:val="2"/>
        <w:rPr>
          <w:rFonts w:asciiTheme="minorHAnsi" w:eastAsiaTheme="majorEastAsia" w:hAnsiTheme="minorHAnsi" w:cstheme="majorBidi"/>
          <w:bCs/>
          <w:i/>
        </w:rPr>
      </w:pPr>
      <w:r w:rsidRPr="000D0226">
        <w:rPr>
          <w:rFonts w:asciiTheme="minorHAnsi" w:eastAsiaTheme="majorEastAsia" w:hAnsiTheme="minorHAnsi" w:cstheme="majorBidi"/>
          <w:bCs/>
          <w:i/>
        </w:rPr>
        <w:t xml:space="preserve">Vegetation comparisons from transects </w:t>
      </w:r>
    </w:p>
    <w:p w:rsidR="000D0226" w:rsidRPr="000D0226" w:rsidRDefault="000D0226" w:rsidP="000D0226">
      <w:r w:rsidRPr="000D0226">
        <w:t xml:space="preserve"> The Morisita-Horn index was used to calculate the similarity in plant species found either side of the fence. Paired Wilcoxon tests were used to compare vegetation traits (maximum and median vegetation height, plant richness, proportion of bare ground, and proportion of woody and non-woody plant cover) recorded on transects either side of the fence for a) all complete transects, b) transects without holes and c) transects with holes. </w:t>
      </w:r>
    </w:p>
    <w:p w:rsidR="000D0226" w:rsidRPr="000D0226" w:rsidRDefault="000D0226" w:rsidP="000D0226">
      <w:pPr>
        <w:rPr>
          <w:b/>
        </w:rPr>
      </w:pPr>
    </w:p>
    <w:p w:rsidR="000D0226" w:rsidRPr="000D0226" w:rsidRDefault="000D0226" w:rsidP="000D0226">
      <w:pPr>
        <w:keepNext/>
        <w:keepLines/>
        <w:outlineLvl w:val="0"/>
        <w:rPr>
          <w:rFonts w:eastAsiaTheme="majorEastAsia" w:cstheme="majorBidi"/>
          <w:b/>
          <w:bCs/>
          <w:color w:val="000000" w:themeColor="text1"/>
          <w:szCs w:val="28"/>
        </w:rPr>
      </w:pPr>
      <w:r w:rsidRPr="000D0226">
        <w:rPr>
          <w:rFonts w:eastAsiaTheme="majorEastAsia" w:cstheme="majorBidi"/>
          <w:b/>
          <w:bCs/>
          <w:color w:val="000000" w:themeColor="text1"/>
          <w:szCs w:val="28"/>
        </w:rPr>
        <w:t>Results</w:t>
      </w:r>
    </w:p>
    <w:p w:rsidR="000D0226" w:rsidRPr="000D0226" w:rsidRDefault="000D0226" w:rsidP="000D0226">
      <w:pPr>
        <w:keepNext/>
        <w:keepLines/>
        <w:outlineLvl w:val="1"/>
        <w:rPr>
          <w:rFonts w:asciiTheme="minorHAnsi" w:eastAsiaTheme="majorEastAsia" w:hAnsiTheme="minorHAnsi" w:cstheme="majorBidi"/>
          <w:b/>
          <w:bCs/>
          <w:i/>
          <w:color w:val="000000" w:themeColor="text1"/>
          <w:szCs w:val="26"/>
        </w:rPr>
      </w:pPr>
      <w:r w:rsidRPr="000D0226">
        <w:rPr>
          <w:rFonts w:asciiTheme="minorHAnsi" w:eastAsiaTheme="majorEastAsia" w:hAnsiTheme="minorHAnsi" w:cstheme="majorBidi"/>
          <w:b/>
          <w:bCs/>
          <w:i/>
          <w:color w:val="000000" w:themeColor="text1"/>
          <w:szCs w:val="26"/>
        </w:rPr>
        <w:t>Mammal presence along the fence line</w:t>
      </w:r>
    </w:p>
    <w:p w:rsidR="000D0226" w:rsidRPr="000D0226" w:rsidRDefault="000D0226" w:rsidP="000D0226">
      <w:pPr>
        <w:rPr>
          <w:i/>
        </w:rPr>
      </w:pPr>
      <w:r w:rsidRPr="000D0226">
        <w:t>The Morisita-Horn index of 0.84 suggests a moderately high degree of overlap between the two sides in terms of species richness and abundance. Thirty-two mammal species were identified along the fence line, with evidence more likely to be located inside the fence for introduced animals, wild species that needed holes to cross the fence and wild species that did not need holes to cross the fence (G</w:t>
      </w:r>
      <w:r w:rsidRPr="000D0226">
        <w:rPr>
          <w:vertAlign w:val="subscript"/>
        </w:rPr>
        <w:t xml:space="preserve">1 </w:t>
      </w:r>
      <w:r w:rsidRPr="000D0226">
        <w:t xml:space="preserve">= 284.00, adjusted </w:t>
      </w:r>
      <w:r w:rsidRPr="000D0226">
        <w:rPr>
          <w:i/>
        </w:rPr>
        <w:t>p</w:t>
      </w:r>
      <w:r w:rsidRPr="000D0226">
        <w:t xml:space="preserve"> &lt; 0.001, G</w:t>
      </w:r>
      <w:r w:rsidRPr="000D0226">
        <w:rPr>
          <w:vertAlign w:val="subscript"/>
        </w:rPr>
        <w:t xml:space="preserve">1 </w:t>
      </w:r>
      <w:r w:rsidRPr="000D0226">
        <w:t xml:space="preserve">= 28.27, adjusted </w:t>
      </w:r>
      <w:r w:rsidRPr="000D0226">
        <w:rPr>
          <w:i/>
        </w:rPr>
        <w:t>p</w:t>
      </w:r>
      <w:r w:rsidRPr="000D0226">
        <w:t xml:space="preserve"> &lt; 0.001, G</w:t>
      </w:r>
      <w:r w:rsidRPr="000D0226">
        <w:rPr>
          <w:vertAlign w:val="subscript"/>
        </w:rPr>
        <w:t xml:space="preserve">1 </w:t>
      </w:r>
      <w:r w:rsidRPr="000D0226">
        <w:t xml:space="preserve">= 37.95, adjusted </w:t>
      </w:r>
      <w:r w:rsidRPr="000D0226">
        <w:rPr>
          <w:i/>
        </w:rPr>
        <w:t>p</w:t>
      </w:r>
      <w:r w:rsidRPr="000D0226">
        <w:t xml:space="preserve"> &lt; 0.001 respectively; Figure 3). When livestock were considered, significantly more evidence was located outside the fence (G</w:t>
      </w:r>
      <w:r w:rsidRPr="000D0226">
        <w:rPr>
          <w:vertAlign w:val="subscript"/>
        </w:rPr>
        <w:t xml:space="preserve">1 </w:t>
      </w:r>
      <w:r w:rsidRPr="000D0226">
        <w:t xml:space="preserve">= 385, adjusted </w:t>
      </w:r>
      <w:r w:rsidRPr="000D0226">
        <w:rPr>
          <w:i/>
        </w:rPr>
        <w:t>p</w:t>
      </w:r>
      <w:r w:rsidRPr="000D0226">
        <w:t xml:space="preserve"> &lt; 0.001; Figure 3). There was significantly more evidence found inside the reserve for the obligate hole-using browsers and grazers (G</w:t>
      </w:r>
      <w:r w:rsidRPr="000D0226">
        <w:rPr>
          <w:vertAlign w:val="subscript"/>
        </w:rPr>
        <w:t xml:space="preserve">1 </w:t>
      </w:r>
      <w:r w:rsidRPr="000D0226">
        <w:t xml:space="preserve">= 51.6, adjusted </w:t>
      </w:r>
      <w:r w:rsidRPr="000D0226">
        <w:rPr>
          <w:i/>
        </w:rPr>
        <w:t>p</w:t>
      </w:r>
      <w:r w:rsidRPr="000D0226">
        <w:t xml:space="preserve"> &lt; 0.001, G</w:t>
      </w:r>
      <w:r w:rsidRPr="000D0226">
        <w:rPr>
          <w:vertAlign w:val="subscript"/>
        </w:rPr>
        <w:t xml:space="preserve">1 </w:t>
      </w:r>
      <w:r w:rsidRPr="000D0226">
        <w:t xml:space="preserve">207.28, adjusted </w:t>
      </w:r>
      <w:r w:rsidRPr="000D0226">
        <w:rPr>
          <w:i/>
        </w:rPr>
        <w:t>p</w:t>
      </w:r>
      <w:r w:rsidRPr="000D0226">
        <w:t xml:space="preserve"> &lt; 0.001 respectively; Figure 4). When only obligate hole-using wild herbivores were considered, there was significantly more evidence found inside (G</w:t>
      </w:r>
      <w:r w:rsidRPr="000D0226">
        <w:rPr>
          <w:vertAlign w:val="subscript"/>
        </w:rPr>
        <w:t xml:space="preserve">1 </w:t>
      </w:r>
      <w:r w:rsidRPr="000D0226">
        <w:t xml:space="preserve">= 39.47, adjusted </w:t>
      </w:r>
      <w:r w:rsidRPr="000D0226">
        <w:rPr>
          <w:i/>
        </w:rPr>
        <w:t>p</w:t>
      </w:r>
      <w:r w:rsidRPr="000D0226">
        <w:t xml:space="preserve"> &lt; 0.001, Figure 4) the fence line, which was also true for wild browsers (G</w:t>
      </w:r>
      <w:r w:rsidRPr="000D0226">
        <w:rPr>
          <w:vertAlign w:val="subscript"/>
        </w:rPr>
        <w:t xml:space="preserve">1 </w:t>
      </w:r>
      <w:r w:rsidRPr="000D0226">
        <w:t xml:space="preserve">= 37.30, adjusted </w:t>
      </w:r>
      <w:r w:rsidRPr="000D0226">
        <w:rPr>
          <w:i/>
        </w:rPr>
        <w:t>p</w:t>
      </w:r>
      <w:r w:rsidRPr="000D0226">
        <w:t xml:space="preserve"> &lt; 0.001). However when only obligate hole-using wild grazers or carnivores were considered the difference in evidence between locations was not significant (Figure 4).</w:t>
      </w:r>
    </w:p>
    <w:p w:rsidR="000D0226" w:rsidRPr="000D0226" w:rsidRDefault="000D0226" w:rsidP="000D0226">
      <w:r w:rsidRPr="000D0226">
        <w:t>Species with &lt;10 samples recorded on both sides of the fence were omitted from further analysis. Evidence for six of the 16 species was significantly more likely to found inside the reserve (Figure 4), five which were introduced native species (blue wildebeest: G</w:t>
      </w:r>
      <w:r w:rsidRPr="000D0226">
        <w:rPr>
          <w:vertAlign w:val="subscript"/>
        </w:rPr>
        <w:t xml:space="preserve">1 </w:t>
      </w:r>
      <w:r w:rsidRPr="000D0226">
        <w:t xml:space="preserve">= 28.09, </w:t>
      </w:r>
      <w:r w:rsidRPr="000D0226">
        <w:lastRenderedPageBreak/>
        <w:t xml:space="preserve">adjusted </w:t>
      </w:r>
      <w:r w:rsidRPr="000D0226">
        <w:rPr>
          <w:i/>
        </w:rPr>
        <w:t>p</w:t>
      </w:r>
      <w:r w:rsidRPr="000D0226">
        <w:t xml:space="preserve"> &lt; 0.001; plains zebra: G</w:t>
      </w:r>
      <w:r w:rsidRPr="000D0226">
        <w:rPr>
          <w:vertAlign w:val="subscript"/>
        </w:rPr>
        <w:t xml:space="preserve">1 </w:t>
      </w:r>
      <w:r w:rsidRPr="000D0226">
        <w:t xml:space="preserve">= 70.19, adjusted </w:t>
      </w:r>
      <w:r w:rsidRPr="000D0226">
        <w:rPr>
          <w:i/>
        </w:rPr>
        <w:t>p</w:t>
      </w:r>
      <w:r w:rsidRPr="000D0226">
        <w:t xml:space="preserve"> &lt; 0.001; common eland: G</w:t>
      </w:r>
      <w:r w:rsidRPr="000D0226">
        <w:rPr>
          <w:vertAlign w:val="subscript"/>
        </w:rPr>
        <w:t xml:space="preserve">1 </w:t>
      </w:r>
      <w:r w:rsidRPr="000D0226">
        <w:t xml:space="preserve">= 97.35, adjusted </w:t>
      </w:r>
      <w:r w:rsidRPr="000D0226">
        <w:rPr>
          <w:i/>
        </w:rPr>
        <w:t>p</w:t>
      </w:r>
      <w:r w:rsidRPr="000D0226">
        <w:t xml:space="preserve"> &lt; 0.001; gemsbok: G</w:t>
      </w:r>
      <w:r w:rsidRPr="000D0226">
        <w:rPr>
          <w:vertAlign w:val="subscript"/>
        </w:rPr>
        <w:t xml:space="preserve">1 </w:t>
      </w:r>
      <w:r w:rsidRPr="000D0226">
        <w:t xml:space="preserve">= 51.45, adjusted </w:t>
      </w:r>
      <w:r w:rsidRPr="000D0226">
        <w:rPr>
          <w:i/>
        </w:rPr>
        <w:t>p</w:t>
      </w:r>
      <w:r w:rsidRPr="000D0226">
        <w:t xml:space="preserve"> &lt; 0.001; nyala: G</w:t>
      </w:r>
      <w:r w:rsidRPr="000D0226">
        <w:rPr>
          <w:vertAlign w:val="subscript"/>
        </w:rPr>
        <w:t xml:space="preserve">1 </w:t>
      </w:r>
      <w:r w:rsidRPr="000D0226">
        <w:t xml:space="preserve">= 2814, adjusted </w:t>
      </w:r>
      <w:r w:rsidRPr="000D0226">
        <w:rPr>
          <w:i/>
        </w:rPr>
        <w:t>p</w:t>
      </w:r>
      <w:r w:rsidRPr="000D0226">
        <w:t xml:space="preserve"> &lt; 0.001), and one locally occurring  species (greater kudu: G</w:t>
      </w:r>
      <w:r w:rsidRPr="000D0226">
        <w:rPr>
          <w:vertAlign w:val="subscript"/>
        </w:rPr>
        <w:t xml:space="preserve">1 </w:t>
      </w:r>
      <w:r w:rsidRPr="000D0226">
        <w:t xml:space="preserve">= 24.80, adjusted </w:t>
      </w:r>
      <w:r w:rsidRPr="000D0226">
        <w:rPr>
          <w:i/>
        </w:rPr>
        <w:t>p</w:t>
      </w:r>
      <w:r w:rsidRPr="000D0226">
        <w:t xml:space="preserve"> &lt; 0.001). </w:t>
      </w:r>
    </w:p>
    <w:p w:rsidR="000D0226" w:rsidRPr="000D0226" w:rsidRDefault="000D0226" w:rsidP="000D0226">
      <w:pPr>
        <w:keepNext/>
        <w:keepLines/>
        <w:outlineLvl w:val="1"/>
        <w:rPr>
          <w:rFonts w:asciiTheme="minorHAnsi" w:eastAsiaTheme="majorEastAsia" w:hAnsiTheme="minorHAnsi" w:cstheme="majorBidi"/>
          <w:b/>
          <w:bCs/>
          <w:i/>
          <w:color w:val="000000" w:themeColor="text1"/>
          <w:szCs w:val="26"/>
        </w:rPr>
      </w:pPr>
      <w:r w:rsidRPr="000D0226">
        <w:rPr>
          <w:rFonts w:asciiTheme="minorHAnsi" w:eastAsiaTheme="majorEastAsia" w:hAnsiTheme="minorHAnsi" w:cstheme="majorBidi"/>
          <w:b/>
          <w:bCs/>
          <w:i/>
          <w:color w:val="000000" w:themeColor="text1"/>
          <w:szCs w:val="26"/>
        </w:rPr>
        <w:t>Hole utilization</w:t>
      </w:r>
    </w:p>
    <w:p w:rsidR="000D0226" w:rsidRPr="000D0226" w:rsidRDefault="000D0226" w:rsidP="000D0226">
      <w:r w:rsidRPr="000D0226">
        <w:t xml:space="preserve">A total of 1697 holes were recorded along the reserve fence </w:t>
      </w:r>
      <w:r w:rsidRPr="000D0226">
        <w:rPr>
          <w:noProof/>
        </w:rPr>
        <w:t>line</w:t>
      </w:r>
      <w:r w:rsidRPr="000D0226">
        <w:t xml:space="preserve"> (735 small; 444 </w:t>
      </w:r>
      <w:r w:rsidRPr="000D0226">
        <w:rPr>
          <w:noProof/>
        </w:rPr>
        <w:t>medium</w:t>
      </w:r>
      <w:r w:rsidRPr="000D0226">
        <w:t xml:space="preserve">; 518 large; </w:t>
      </w:r>
      <w:r w:rsidRPr="000D0226">
        <w:rPr>
          <w:noProof/>
        </w:rPr>
        <w:t>mean</w:t>
      </w:r>
      <w:r w:rsidRPr="000D0226">
        <w:t xml:space="preserve"> of 32.8 holes &gt; 10cm in size per 1km of fence)</w:t>
      </w:r>
      <w:r w:rsidRPr="000D0226">
        <w:rPr>
          <w:noProof/>
        </w:rPr>
        <w:t>.</w:t>
      </w:r>
      <w:r w:rsidRPr="000D0226">
        <w:t xml:space="preserve"> Of the large holes, 77 were large enough to allow leopard/dwarf antelope very easy access (2.6 holes per 1km), six of which were large enough to allow medium sized antelope very easy access (1 hole per 5km). Small holes were more likely to be present than medium or large (G</w:t>
      </w:r>
      <w:r w:rsidRPr="000D0226">
        <w:rPr>
          <w:vertAlign w:val="subscript"/>
        </w:rPr>
        <w:t>1</w:t>
      </w:r>
      <w:r w:rsidRPr="000D0226">
        <w:t xml:space="preserve"> = 72.6, adjusted </w:t>
      </w:r>
      <w:r w:rsidRPr="000D0226">
        <w:rPr>
          <w:i/>
        </w:rPr>
        <w:t>p</w:t>
      </w:r>
      <w:r w:rsidRPr="000D0226">
        <w:t xml:space="preserve"> &lt; 0.001; G</w:t>
      </w:r>
      <w:r w:rsidRPr="000D0226">
        <w:rPr>
          <w:vertAlign w:val="subscript"/>
        </w:rPr>
        <w:t>1</w:t>
      </w:r>
      <w:r w:rsidRPr="000D0226">
        <w:t xml:space="preserve"> = 37.8, adjusted </w:t>
      </w:r>
      <w:r w:rsidRPr="000D0226">
        <w:rPr>
          <w:i/>
        </w:rPr>
        <w:t>p</w:t>
      </w:r>
      <w:r w:rsidRPr="000D0226">
        <w:t xml:space="preserve"> &lt; 0.001, respectively), with large holes more likely to be present than medium (G</w:t>
      </w:r>
      <w:r w:rsidRPr="000D0226">
        <w:rPr>
          <w:vertAlign w:val="subscript"/>
        </w:rPr>
        <w:t>1</w:t>
      </w:r>
      <w:r w:rsidRPr="000D0226">
        <w:t xml:space="preserve"> = 5.7, adjusted </w:t>
      </w:r>
      <w:r w:rsidRPr="000D0226">
        <w:rPr>
          <w:i/>
        </w:rPr>
        <w:t>p</w:t>
      </w:r>
      <w:r w:rsidRPr="000D0226">
        <w:t xml:space="preserve"> = 0.017). Large holes were more likely to be recently used and contain a game trail than either medium (G</w:t>
      </w:r>
      <w:r w:rsidRPr="000D0226">
        <w:rPr>
          <w:vertAlign w:val="subscript"/>
        </w:rPr>
        <w:t>1</w:t>
      </w:r>
      <w:r w:rsidRPr="000D0226">
        <w:t xml:space="preserve"> = 17.86, adjusted </w:t>
      </w:r>
      <w:r w:rsidRPr="000D0226">
        <w:rPr>
          <w:i/>
        </w:rPr>
        <w:t>p</w:t>
      </w:r>
      <w:r w:rsidRPr="000D0226">
        <w:t xml:space="preserve"> &lt; 0.001) or small holes (G</w:t>
      </w:r>
      <w:r w:rsidRPr="000D0226">
        <w:rPr>
          <w:vertAlign w:val="subscript"/>
        </w:rPr>
        <w:t>1</w:t>
      </w:r>
      <w:r w:rsidRPr="000D0226">
        <w:t xml:space="preserve"> = 24.84, adjusted </w:t>
      </w:r>
      <w:r w:rsidRPr="000D0226">
        <w:rPr>
          <w:i/>
        </w:rPr>
        <w:t>p</w:t>
      </w:r>
      <w:r w:rsidRPr="000D0226">
        <w:t xml:space="preserve"> &lt; 0.001). Small holes were more likely to be unused, compared to medium and large holes (G</w:t>
      </w:r>
      <w:r w:rsidRPr="000D0226">
        <w:rPr>
          <w:vertAlign w:val="subscript"/>
        </w:rPr>
        <w:t>1</w:t>
      </w:r>
      <w:r w:rsidRPr="000D0226">
        <w:t xml:space="preserve"> = 183.89, adjusted </w:t>
      </w:r>
      <w:r w:rsidRPr="000D0226">
        <w:rPr>
          <w:i/>
        </w:rPr>
        <w:t>p</w:t>
      </w:r>
      <w:r w:rsidRPr="000D0226">
        <w:t xml:space="preserve"> &lt; 0.001, G</w:t>
      </w:r>
      <w:r w:rsidRPr="000D0226">
        <w:rPr>
          <w:vertAlign w:val="subscript"/>
        </w:rPr>
        <w:t>1</w:t>
      </w:r>
      <w:r w:rsidRPr="000D0226">
        <w:t xml:space="preserve"> = 150.7, adjusted </w:t>
      </w:r>
      <w:r w:rsidRPr="000D0226">
        <w:rPr>
          <w:i/>
        </w:rPr>
        <w:t>p</w:t>
      </w:r>
      <w:r w:rsidRPr="000D0226">
        <w:t xml:space="preserve"> &lt; 0.001 </w:t>
      </w:r>
      <w:r w:rsidR="00477554">
        <w:t xml:space="preserve">respectively; Figure 5). </w:t>
      </w:r>
      <w:r w:rsidRPr="000D0226">
        <w:t>Game trails were more likely to be present where evidence of use was found at a hole (G</w:t>
      </w:r>
      <w:r w:rsidRPr="000D0226">
        <w:rPr>
          <w:vertAlign w:val="subscript"/>
        </w:rPr>
        <w:t>1</w:t>
      </w:r>
      <w:r w:rsidRPr="000D0226">
        <w:t xml:space="preserve"> = 8.62, </w:t>
      </w:r>
      <w:r w:rsidRPr="000D0226">
        <w:rPr>
          <w:i/>
        </w:rPr>
        <w:t>p</w:t>
      </w:r>
      <w:r w:rsidRPr="000D0226">
        <w:t xml:space="preserve"> = 0.003; Figure 5) suggesting animals were utilizing long term routes. Hole location along the fence line was found to be highly clumped (Z-score -70.5). When the hole categories were examined separately, small holes were found to be more highly clumped (Z-score -45.1) compared to large (Z-score -36.3) and medium holes (Z-score -33.8). Sixteen mammal species were identified from scat or </w:t>
      </w:r>
      <w:r w:rsidRPr="000D0226">
        <w:rPr>
          <w:noProof/>
        </w:rPr>
        <w:t>spoor located in the hole,</w:t>
      </w:r>
      <w:r w:rsidRPr="000D0226">
        <w:t xml:space="preserve"> utilizing 36 holes in total (Table 1).</w:t>
      </w:r>
    </w:p>
    <w:p w:rsidR="000D0226" w:rsidRPr="000D0226" w:rsidRDefault="000D0226" w:rsidP="000D0226">
      <w:r w:rsidRPr="000D0226">
        <w:t xml:space="preserve">During the survey a female kudu was found to have perished on the fence, the position of the body suggested that she had attempted to jump the fence. </w:t>
      </w:r>
    </w:p>
    <w:p w:rsidR="000D0226" w:rsidRPr="000D0226" w:rsidRDefault="000D0226" w:rsidP="000D0226">
      <w:pPr>
        <w:keepNext/>
        <w:keepLines/>
        <w:outlineLvl w:val="1"/>
        <w:rPr>
          <w:rFonts w:asciiTheme="minorHAnsi" w:eastAsiaTheme="majorEastAsia" w:hAnsiTheme="minorHAnsi" w:cstheme="majorBidi"/>
          <w:b/>
          <w:bCs/>
          <w:i/>
          <w:color w:val="000000" w:themeColor="text1"/>
          <w:szCs w:val="26"/>
        </w:rPr>
      </w:pPr>
      <w:r w:rsidRPr="000D0226">
        <w:rPr>
          <w:rFonts w:asciiTheme="minorHAnsi" w:eastAsiaTheme="majorEastAsia" w:hAnsiTheme="minorHAnsi" w:cstheme="majorBidi"/>
          <w:b/>
          <w:bCs/>
          <w:i/>
          <w:color w:val="000000" w:themeColor="text1"/>
          <w:szCs w:val="26"/>
        </w:rPr>
        <w:t xml:space="preserve">Vegetation comparisons from transects </w:t>
      </w:r>
    </w:p>
    <w:p w:rsidR="000D0226" w:rsidRPr="000D0226" w:rsidRDefault="000D0226" w:rsidP="000D0226">
      <w:r w:rsidRPr="000D0226">
        <w:t xml:space="preserve">One hundred and sixteen transects were completed; 15 were incomplete due to cliff edges and were omitted from further analyses. </w:t>
      </w:r>
      <w:r w:rsidRPr="000D0226">
        <w:rPr>
          <w:noProof/>
        </w:rPr>
        <w:t>Eighty-eight</w:t>
      </w:r>
      <w:r w:rsidRPr="000D0226">
        <w:t xml:space="preserve"> plant species were identified; ten woody plants and fewer than twelve non-woody plants were not identified to species. The Morisita-Horn index of 0.91 suggests a relatively high similarity between the two sides in terms of relative species richness and abundance (unknown plants were grouped according to plant type). This may reflect the dominance of a few species. Plant richness along transects and percentage of non-woody plant cover was significantly higher inside the </w:t>
      </w:r>
      <w:r w:rsidRPr="000D0226">
        <w:rPr>
          <w:noProof/>
        </w:rPr>
        <w:t xml:space="preserve">reserve for all </w:t>
      </w:r>
      <w:r w:rsidRPr="000D0226">
        <w:rPr>
          <w:noProof/>
        </w:rPr>
        <w:lastRenderedPageBreak/>
        <w:t xml:space="preserve">transects and for transects without holes, </w:t>
      </w:r>
      <w:r w:rsidRPr="000D0226">
        <w:t>h</w:t>
      </w:r>
      <w:r w:rsidRPr="000D0226">
        <w:rPr>
          <w:noProof/>
        </w:rPr>
        <w:t>owever there was no significant difference in vegetation height, percentage of bare ground or woody plant cover (Table 2).</w:t>
      </w:r>
      <w:r w:rsidRPr="000D0226">
        <w:t xml:space="preserve"> There was no significant difference between transects with holes inside and outside of the reserve for any vegetation traits. </w:t>
      </w:r>
    </w:p>
    <w:p w:rsidR="000D0226" w:rsidRPr="000D0226" w:rsidRDefault="000D0226" w:rsidP="000D0226"/>
    <w:p w:rsidR="000D0226" w:rsidRPr="000D0226" w:rsidRDefault="000D0226" w:rsidP="000D0226">
      <w:pPr>
        <w:keepNext/>
        <w:keepLines/>
        <w:outlineLvl w:val="0"/>
        <w:rPr>
          <w:rFonts w:eastAsiaTheme="majorEastAsia" w:cstheme="majorBidi"/>
          <w:b/>
          <w:bCs/>
          <w:color w:val="000000" w:themeColor="text1"/>
          <w:szCs w:val="28"/>
        </w:rPr>
      </w:pPr>
      <w:r w:rsidRPr="000D0226">
        <w:rPr>
          <w:rFonts w:eastAsiaTheme="majorEastAsia" w:cstheme="majorBidi"/>
          <w:b/>
          <w:bCs/>
          <w:color w:val="000000" w:themeColor="text1"/>
          <w:szCs w:val="28"/>
        </w:rPr>
        <w:t>Discussion</w:t>
      </w:r>
    </w:p>
    <w:p w:rsidR="000D0226" w:rsidRPr="000D0226" w:rsidRDefault="000D0226" w:rsidP="000D0226">
      <w:r w:rsidRPr="000D0226">
        <w:t>Fences are ubiquitous, playing a central role in isolating larger species of conservation or economic concern from threats (Thouless and Sakwa 1995; Hayward and Kerley 2009; Packer et al</w:t>
      </w:r>
      <w:r w:rsidRPr="000D0226">
        <w:rPr>
          <w:i/>
        </w:rPr>
        <w:t>.</w:t>
      </w:r>
      <w:r w:rsidRPr="000D0226">
        <w:t xml:space="preserve"> 2013), to ease management and to reduce the spread of disease between domestic and wild species (Andrews 1990; Vanak et al</w:t>
      </w:r>
      <w:r w:rsidRPr="000D0226">
        <w:rPr>
          <w:i/>
        </w:rPr>
        <w:t>.</w:t>
      </w:r>
      <w:r w:rsidRPr="000D0226">
        <w:t xml:space="preserve"> 2010). The recent, rapid growth in numbers of small commercial game reserves in countries such as South Africa (Cousins et al</w:t>
      </w:r>
      <w:r w:rsidRPr="000D0226">
        <w:rPr>
          <w:i/>
        </w:rPr>
        <w:t>.</w:t>
      </w:r>
      <w:r w:rsidRPr="000D0226">
        <w:t xml:space="preserve"> 2008; Taylor et al</w:t>
      </w:r>
      <w:r w:rsidRPr="000D0226">
        <w:rPr>
          <w:i/>
        </w:rPr>
        <w:t>.</w:t>
      </w:r>
      <w:r w:rsidRPr="000D0226">
        <w:t xml:space="preserve"> 2016) has resulted in a substantial increase in the number of pockets of populations of wild and introduced animals often surrounded by agricultural land maintained for crops and livestock (Lindsey et al</w:t>
      </w:r>
      <w:r w:rsidRPr="000D0226">
        <w:rPr>
          <w:i/>
        </w:rPr>
        <w:t>.</w:t>
      </w:r>
      <w:r w:rsidRPr="000D0226">
        <w:t xml:space="preserve"> 2009). Here, we report the results of a study investigating how the erection of a fence around a relatively new small commercial game reserve affected the distribution of larger naturally occurring wild animals, introduced native species, and domestic mammals. While domestic animals were restricted to agricultural land, there was an indication of some movement across the boundary of introduced species with the exception of eland. However, there was evidence suggesting sizeable movement of meso and large wild mammals, mainly kudu and brown hyena, across the fence line, evidenced by use of holes. We found direct support for the hypothesis that fence condition (measured by the presence of holes in the fence) affects movement, with larger holes being associated with more evidence of recent (scat, spoor) and long term (game trails) use. From this we can infer that animals were able to utilise known breaks in the fence to pass between habitats. Although vegetation structure was not studied prior to the erection of the fence, and there were no notable differences before construction (</w:t>
      </w:r>
      <w:r w:rsidRPr="000D0226">
        <w:rPr>
          <w:i/>
        </w:rPr>
        <w:t>pers. comm</w:t>
      </w:r>
      <w:r w:rsidRPr="000D0226">
        <w:t xml:space="preserve">. Alan Watson, reserve owner), it is difficult to definitively say if the vegetation has changed since the fence was erected. However, fence presence is likely to have brought about changes in rates of herbivory (notably through the exclusion of domestic livestock), which in turn can alter vegetation structure, and consequentially is likely to alter the distribution and abundance of a wider range of species. </w:t>
      </w:r>
    </w:p>
    <w:p w:rsidR="000D0226" w:rsidRPr="000D0226" w:rsidRDefault="000D0226" w:rsidP="000D0226">
      <w:r w:rsidRPr="000D0226">
        <w:lastRenderedPageBreak/>
        <w:t xml:space="preserve">We inferred the effect of the fence on the distribution and behaviour of animals by searching for evidence of their presence along the fence line itself. There was significantly more animal evidence (a proxy for abundance) inside the fence line of the game reserve for all wild species. However, when we consider the nature of the animals, whether through the perspective of their relationships with humans (domestic, introduced or naturally occurring wild mammals) or their feeding guild, differing patterns emerge. </w:t>
      </w:r>
    </w:p>
    <w:p w:rsidR="000D0226" w:rsidRPr="000D0226" w:rsidRDefault="000D0226" w:rsidP="000D0226">
      <w:r w:rsidRPr="000D0226">
        <w:t xml:space="preserve">We found no evidence of movement of domestic animals (almost all cattle) across the fence. In contrast, Chigwenhese et al. (2016) found that cattle would utilise holes in fences at Gonarezhou National Park, Zimbabwe, while buffalo only crossed where the fence was completely removed as a result of elephant damage. However, with introduced animals there is evidence for limited movement across the fence line, with 12% of records (70% of which were eland, which is likely to be due to individuals that escaped through a large breach in the fence when damaged during a storm) for introduced species found outside of the game reserve; these are not naturally present in the local mammal community. Records of wild species were more even (61% of wild animal records were collected inside the reserve), but these could be the result of the formation of two populations, isolated by the introduction of the fence. Nevertheless, when we consider individual species, it is noteworthy that the greatest differences in evidence along the fence line are for introduced animal species (wildebeest, zebra, eland, gemsbok, nyala) and domestic animals. The only ‘wild’ animal species to show a significant difference in evidence across the fence line was greater kudu, which was more abundant inside the reserve. </w:t>
      </w:r>
    </w:p>
    <w:p w:rsidR="000D0226" w:rsidRPr="000D0226" w:rsidRDefault="000D0226" w:rsidP="000D0226">
      <w:r w:rsidRPr="000D0226">
        <w:t xml:space="preserve">It is evident that the TTWR fence line is not an impermeable barrier. We present data showing that some animals can directly cross through or over the fence, but it is the presence of damage which is most likely to increase the opportunity for movement across the boundary line. We found 962 holes larger than 10 cm along the boundary; these were not random, but instead holes showed a clumped distribution. While fewer than half of small holes showed evidence of use (presence of a game trail and/or animal signs), over 70% of medium and large holes were used. As expected, smaller species (rock hyrax </w:t>
      </w:r>
      <w:r w:rsidRPr="000D0226">
        <w:rPr>
          <w:i/>
        </w:rPr>
        <w:t>Procavia capensis</w:t>
      </w:r>
      <w:r w:rsidRPr="000D0226">
        <w:t xml:space="preserve"> Pallas, 1766, Smith’s rock rabbit </w:t>
      </w:r>
      <w:r w:rsidRPr="000D0226">
        <w:rPr>
          <w:i/>
          <w:iCs/>
        </w:rPr>
        <w:t xml:space="preserve">Pronolagus rupestris </w:t>
      </w:r>
      <w:r w:rsidRPr="000D0226">
        <w:rPr>
          <w:iCs/>
        </w:rPr>
        <w:t>A. Smith, 1834</w:t>
      </w:r>
      <w:r w:rsidRPr="000D0226">
        <w:t xml:space="preserve">) used small holes, while larger holes were used by a wide range of species, including brown hyena </w:t>
      </w:r>
      <w:r w:rsidRPr="000D0226">
        <w:rPr>
          <w:i/>
        </w:rPr>
        <w:t>Parahyaena brunnea</w:t>
      </w:r>
      <w:r w:rsidRPr="000D0226">
        <w:t xml:space="preserve"> Thunberg, 1820, grey duiker, klipspringer and kudu. Large, medium and small holes were clumped in </w:t>
      </w:r>
      <w:r w:rsidRPr="000D0226">
        <w:lastRenderedPageBreak/>
        <w:t xml:space="preserve">areas along the fence line, suggesting there is a pattern of movement which may be driven by something other than physical attributes (Connolly et al. 2009). </w:t>
      </w:r>
    </w:p>
    <w:p w:rsidR="000D0226" w:rsidRPr="000D0226" w:rsidRDefault="000D0226" w:rsidP="000D0226">
      <w:r w:rsidRPr="000D0226">
        <w:t>Nevertheless, evidence suggests that despite the opportunity for movement across the fence line, the reserve may well be acting as a preferred habitat for these species or that the presence of the fence is a deterrent to movement even when damage renders transit possible. The presence of livestock could affect the habitat preferences of wild species through direct (Madhusudan 2004) or indirect (Adams 1975) competition for food, with wild species avoiding areas of high livestock density. The presence of livestock will also result in changes in vegetation structure and there will also be differences in approaches to land management between the properties.</w:t>
      </w:r>
    </w:p>
    <w:p w:rsidR="000D0226" w:rsidRPr="000D0226" w:rsidRDefault="000D0226" w:rsidP="000D0226">
      <w:r w:rsidRPr="000D0226">
        <w:t>While fences can protect wildlife and humans (Sukumar 1991, Hayward and Kerley 2009) as well as lead to rapid population growth for species of conservation concern (e.g. a brown hyena population increased by almost four-fold in 10 years at Kwandwe Private Game Reserve in the Eastern Cape, South Africa following fencing; Welch and Parker 2016), their use is controversial among conservation biologists (Creel et al</w:t>
      </w:r>
      <w:r w:rsidRPr="000D0226">
        <w:rPr>
          <w:i/>
        </w:rPr>
        <w:t>.</w:t>
      </w:r>
      <w:r w:rsidRPr="000D0226">
        <w:t xml:space="preserve"> 2013, Woodroffe et al</w:t>
      </w:r>
      <w:r w:rsidRPr="000D0226">
        <w:rPr>
          <w:i/>
        </w:rPr>
        <w:t>.</w:t>
      </w:r>
      <w:r w:rsidRPr="000D0226">
        <w:t xml:space="preserve"> 2014). Fences can result in fragmented landscapes, and where habitat fragments are small, predators and large mammal populations can rapidly decline (Woodroffe et al</w:t>
      </w:r>
      <w:r w:rsidRPr="000D0226">
        <w:rPr>
          <w:i/>
        </w:rPr>
        <w:t>.</w:t>
      </w:r>
      <w:r w:rsidRPr="000D0226">
        <w:t xml:space="preserve"> 2014). Fences can act as attractants for species (e.g. rodents, Connolly et al. 2009), and predators can use them to trap prey (Van Dyk and Slotow 2003; </w:t>
      </w:r>
      <w:r w:rsidRPr="000D0226">
        <w:rPr>
          <w:szCs w:val="24"/>
        </w:rPr>
        <w:t>Davies-Mostert et al. 2013</w:t>
      </w:r>
      <w:r w:rsidRPr="000D0226">
        <w:t>). Fences prevent herbivores from tracking changes in vegetation availability over a landscape scale (Caughley et al</w:t>
      </w:r>
      <w:r w:rsidRPr="000D0226">
        <w:rPr>
          <w:i/>
        </w:rPr>
        <w:t>.</w:t>
      </w:r>
      <w:r w:rsidRPr="000D0226">
        <w:t xml:space="preserve"> 1987), and where water is seasonal, reduce access to this resource (Williamson and Williamson 2009). Such constraints can lower the carrying capacity of the fenced area, as well as resulting in habitat degradation through over-grazing. For example, Cassidy et al</w:t>
      </w:r>
      <w:r w:rsidRPr="000D0226">
        <w:rPr>
          <w:i/>
        </w:rPr>
        <w:t>.</w:t>
      </w:r>
      <w:r w:rsidRPr="000D0226">
        <w:t xml:space="preserve"> (2013) found significantly reduced vegetation inside a fence surrounding a wildlife management area in Botswana. Notably, woody cover and tree richness was half that outside the fence, an area used for tribal grazing. </w:t>
      </w:r>
    </w:p>
    <w:p w:rsidR="000D0226" w:rsidRPr="000D0226" w:rsidRDefault="000D0226" w:rsidP="000D0226">
      <w:pPr>
        <w:rPr>
          <w:i/>
        </w:rPr>
      </w:pPr>
      <w:r w:rsidRPr="000D0226">
        <w:t xml:space="preserve">It is unsurprising that such patterns are evident, and to a large extent these will depend on stocking density and management. While the TTWR fence has only been fully in position for six years and it is not certain if vegetation differed before the fence, we found a slight difference in richness either side of the fence line, and an increase in the contribution of smaller (non-woody) plants to ground cover, suggesting that grazing intensity is much higher </w:t>
      </w:r>
      <w:r w:rsidRPr="000D0226">
        <w:lastRenderedPageBreak/>
        <w:t>in the surrounding farmland. However, woody cover was not different, suggesting the distribution of browsers either side of the fence was potentially equalizing the effect on woody plants, reflecting similar findings by Augustine et al</w:t>
      </w:r>
      <w:r w:rsidRPr="000D0226">
        <w:rPr>
          <w:i/>
        </w:rPr>
        <w:t>.</w:t>
      </w:r>
      <w:r w:rsidRPr="000D0226">
        <w:t xml:space="preserve"> (2011), who found that wild browsers mixed with livestock reduced bush encroachment. We acknowledge that our analysis of plant community structure is relatively simple, and fails to capture the complexity of patterns seen on the ground. Nevertheless, there are clear differences in plant community structure, which are likely to reflect grazing pressure (notably by cattle and introduced species), leading to rapid change in plant communities and hence wild herbivore communities either side of the fence line (cf. Todd and Hoffman 1999). </w:t>
      </w:r>
    </w:p>
    <w:p w:rsidR="000D0226" w:rsidRPr="000D0226" w:rsidRDefault="000D0226" w:rsidP="000D0226">
      <w:pPr>
        <w:keepNext/>
        <w:keepLines/>
        <w:outlineLvl w:val="1"/>
        <w:rPr>
          <w:rFonts w:asciiTheme="minorHAnsi" w:eastAsiaTheme="majorEastAsia" w:hAnsiTheme="minorHAnsi" w:cstheme="majorBidi"/>
          <w:b/>
          <w:bCs/>
          <w:i/>
          <w:color w:val="000000" w:themeColor="text1"/>
          <w:szCs w:val="26"/>
        </w:rPr>
      </w:pPr>
      <w:r w:rsidRPr="000D0226">
        <w:rPr>
          <w:rFonts w:asciiTheme="minorHAnsi" w:eastAsiaTheme="majorEastAsia" w:hAnsiTheme="minorHAnsi" w:cstheme="majorBidi"/>
          <w:b/>
          <w:bCs/>
          <w:i/>
          <w:color w:val="000000" w:themeColor="text1"/>
          <w:szCs w:val="26"/>
        </w:rPr>
        <w:t>Management implications</w:t>
      </w:r>
    </w:p>
    <w:p w:rsidR="000D0226" w:rsidRPr="000D0226" w:rsidRDefault="000D0226" w:rsidP="000D0226">
      <w:r w:rsidRPr="000D0226">
        <w:t>Fences are ubiquitous and their use in conservation is controversial (e.g. Caughley et al</w:t>
      </w:r>
      <w:r w:rsidRPr="000D0226">
        <w:rPr>
          <w:i/>
        </w:rPr>
        <w:t>.</w:t>
      </w:r>
      <w:r w:rsidRPr="000D0226">
        <w:t xml:space="preserve"> 1987; Mbaiwa and Mbaiwa 2006; Williamson and Williamson 2009; Dickman et al. 2009; Hayward and Kerley 2009). In some circumstances, fences can be beneficial, yet we have surprisingly little understanding of how effective they can be. Here we show that fences can be effective barriers against the incursion of domestic animals into protected areas, but less so in terms of introduced game animals. The fence was much less effective at limiting the movement of other wild large mammals, the latter in part associated with damage to fences and the variation in the agility of some species (e.g. greater kudu). The erection of a standard game fence may have resulted in differences observed in vegetation structure, differences that are likely to be caused by the differing herbivore pressures found either side of the fence (Todd and Hoffman 1999). However, it is plausible these effects may be limited by allowing the movement of wild fauna (Augustine et al</w:t>
      </w:r>
      <w:r w:rsidRPr="000D0226">
        <w:rPr>
          <w:i/>
        </w:rPr>
        <w:t xml:space="preserve">. </w:t>
      </w:r>
      <w:r w:rsidRPr="000D0226">
        <w:t>2011) through specific sized holes in a fence (Dupuis-Désormeaux et al</w:t>
      </w:r>
      <w:r w:rsidRPr="000D0226">
        <w:rPr>
          <w:i/>
        </w:rPr>
        <w:t>.</w:t>
      </w:r>
      <w:r w:rsidRPr="000D0226">
        <w:t xml:space="preserve"> 2016). In addition this could also potentially reduce the risk of genetic isolation of highly mobile and endangered species in areas where alternate barriers or conservancies are not feasible, while still restricting the movement of more valuable introduced species and livestock.</w:t>
      </w:r>
    </w:p>
    <w:p w:rsidR="000D0226" w:rsidRDefault="000D0226" w:rsidP="000D0226"/>
    <w:p w:rsidR="00482120" w:rsidRDefault="00482120" w:rsidP="00482120">
      <w:pPr>
        <w:rPr>
          <w:b/>
        </w:rPr>
      </w:pPr>
      <w:r>
        <w:rPr>
          <w:b/>
        </w:rPr>
        <w:t>Acknowledgements</w:t>
      </w:r>
    </w:p>
    <w:p w:rsidR="00482120" w:rsidRPr="00236353" w:rsidRDefault="00482120" w:rsidP="00482120">
      <w:pPr>
        <w:rPr>
          <w:sz w:val="22"/>
        </w:rPr>
      </w:pPr>
      <w:r w:rsidRPr="00236353">
        <w:rPr>
          <w:sz w:val="22"/>
        </w:rPr>
        <w:t>We are very grateful to Erin Emery, Michael Fielding, Sarah Patrick</w:t>
      </w:r>
      <w:r>
        <w:rPr>
          <w:sz w:val="22"/>
        </w:rPr>
        <w:t>, Suzanna Platts, Kayleigh Reid</w:t>
      </w:r>
      <w:r w:rsidRPr="00236353">
        <w:rPr>
          <w:sz w:val="22"/>
        </w:rPr>
        <w:t>, Gabi Cottam, Donna Phillips, Dylan Covaras, Justine Dickson and Tabitha Stokes who made significant contributions to data collection. A special thank you to the late Ronnie Watson; and to Alan and Lynsey Watson, Will and Carol Fox, Luan and Aleida Lombard, Sias and Evelene, and the other</w:t>
      </w:r>
      <w:r>
        <w:rPr>
          <w:sz w:val="22"/>
        </w:rPr>
        <w:t xml:space="preserve"> landowners</w:t>
      </w:r>
      <w:r w:rsidRPr="00236353">
        <w:rPr>
          <w:sz w:val="22"/>
        </w:rPr>
        <w:t xml:space="preserve"> </w:t>
      </w:r>
      <w:r w:rsidRPr="00236353">
        <w:rPr>
          <w:sz w:val="22"/>
        </w:rPr>
        <w:lastRenderedPageBreak/>
        <w:t>who granted access to their properties, the share-holders and staff of Thaba Tholo Wilderness Reserve and PAW Conservation Trust for their support.</w:t>
      </w:r>
    </w:p>
    <w:p w:rsidR="00482120" w:rsidRDefault="00482120" w:rsidP="00482120"/>
    <w:p w:rsidR="000D0226" w:rsidRPr="000D0226" w:rsidRDefault="000D0226" w:rsidP="000D0226">
      <w:pPr>
        <w:jc w:val="left"/>
        <w:rPr>
          <w:b/>
        </w:rPr>
      </w:pPr>
      <w:r w:rsidRPr="000D0226">
        <w:rPr>
          <w:b/>
        </w:rPr>
        <w:t>References</w:t>
      </w:r>
    </w:p>
    <w:p w:rsidR="000D0226" w:rsidRPr="000D0226" w:rsidRDefault="000D0226" w:rsidP="000D0226">
      <w:pPr>
        <w:jc w:val="left"/>
        <w:rPr>
          <w:color w:val="000000" w:themeColor="text1"/>
        </w:rPr>
      </w:pPr>
      <w:r w:rsidRPr="000D0226">
        <w:rPr>
          <w:color w:val="000000" w:themeColor="text1"/>
          <w:highlight w:val="yellow"/>
        </w:rPr>
        <w:fldChar w:fldCharType="begin"/>
      </w:r>
      <w:r w:rsidRPr="000D0226">
        <w:rPr>
          <w:color w:val="000000" w:themeColor="text1"/>
          <w:highlight w:val="yellow"/>
        </w:rPr>
        <w:instrText xml:space="preserve"> ADDIN EN.REFLIST </w:instrText>
      </w:r>
      <w:r w:rsidRPr="000D0226">
        <w:rPr>
          <w:color w:val="000000" w:themeColor="text1"/>
          <w:highlight w:val="yellow"/>
        </w:rPr>
        <w:fldChar w:fldCharType="separate"/>
      </w:r>
      <w:r w:rsidRPr="000D0226">
        <w:rPr>
          <w:color w:val="000000" w:themeColor="text1"/>
        </w:rPr>
        <w:t xml:space="preserve">Adams LW, Geis AD. 1983. Effects of roads on small mammals. </w:t>
      </w:r>
      <w:r w:rsidRPr="000D0226">
        <w:rPr>
          <w:i/>
          <w:color w:val="000000" w:themeColor="text1"/>
        </w:rPr>
        <w:t>Journal of Applied Ecology</w:t>
      </w:r>
      <w:r w:rsidRPr="000D0226">
        <w:rPr>
          <w:color w:val="000000" w:themeColor="text1"/>
        </w:rPr>
        <w:t xml:space="preserve"> 20: 403-415.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fldChar w:fldCharType="begin"/>
      </w:r>
      <w:r w:rsidRPr="000D0226">
        <w:rPr>
          <w:color w:val="000000" w:themeColor="text1"/>
        </w:rPr>
        <w:instrText xml:space="preserve"> ADDIN EN.REFLIST </w:instrText>
      </w:r>
      <w:r w:rsidRPr="000D0226">
        <w:rPr>
          <w:color w:val="000000" w:themeColor="text1"/>
        </w:rPr>
        <w:fldChar w:fldCharType="separate"/>
      </w:r>
      <w:r w:rsidRPr="000D0226">
        <w:rPr>
          <w:color w:val="000000" w:themeColor="text1"/>
        </w:rPr>
        <w:t xml:space="preserve">Adams SN. 1975. Sheep and cattle grazing in forests: A review. </w:t>
      </w:r>
      <w:r w:rsidRPr="000D0226">
        <w:rPr>
          <w:i/>
          <w:color w:val="000000" w:themeColor="text1"/>
        </w:rPr>
        <w:t xml:space="preserve">Journal of Applied Ecology </w:t>
      </w:r>
      <w:r w:rsidRPr="000D0226">
        <w:rPr>
          <w:color w:val="000000" w:themeColor="text1"/>
        </w:rPr>
        <w:t xml:space="preserve">12: 143-152.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Arnot L, Molteno S. 2017. How to reduce tortoise electrocution mortalities. </w:t>
      </w:r>
      <w:r w:rsidRPr="000D0226">
        <w:rPr>
          <w:i/>
          <w:color w:val="000000" w:themeColor="text1"/>
        </w:rPr>
        <w:t>Farmer's weekly</w:t>
      </w:r>
      <w:r w:rsidRPr="000D0226">
        <w:rPr>
          <w:color w:val="000000" w:themeColor="text1"/>
        </w:rPr>
        <w:t xml:space="preserve"> 17004: 36-38.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fldChar w:fldCharType="end"/>
      </w:r>
      <w:r w:rsidRPr="000D0226">
        <w:rPr>
          <w:color w:val="000000" w:themeColor="text1"/>
        </w:rPr>
        <w:t xml:space="preserve">Andrews A. 1990. Fragmentation of habitat by roads and utility corridors: A review. </w:t>
      </w:r>
      <w:r w:rsidRPr="000D0226">
        <w:rPr>
          <w:i/>
          <w:color w:val="000000" w:themeColor="text1"/>
        </w:rPr>
        <w:t>Australian Zoologist</w:t>
      </w:r>
      <w:r w:rsidRPr="000D0226">
        <w:rPr>
          <w:color w:val="000000" w:themeColor="text1"/>
        </w:rPr>
        <w:t xml:space="preserve"> 26: 130-141.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Apps P. 2000. </w:t>
      </w:r>
      <w:r w:rsidRPr="000D0226">
        <w:rPr>
          <w:i/>
          <w:color w:val="000000" w:themeColor="text1"/>
        </w:rPr>
        <w:t>Smithers' Mammals of Southern Africa: a Field Guide</w:t>
      </w:r>
      <w:r w:rsidRPr="000D0226">
        <w:rPr>
          <w:color w:val="000000" w:themeColor="text1"/>
        </w:rPr>
        <w:t xml:space="preserve"> (3rd edn.). South Africa: Struik Publishers.</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Augustine DJ, Veblen KE, Goheen JR, Riginos C, Young TP. 2011. Pathways for positive cattle-wildlife interactions in semi-arid rangelands. </w:t>
      </w:r>
      <w:r w:rsidRPr="000D0226">
        <w:rPr>
          <w:i/>
          <w:color w:val="000000" w:themeColor="text1"/>
        </w:rPr>
        <w:t>Conserving Wildlife in African Landscapes: Kenya’s Ewaso Ecosystem</w:t>
      </w:r>
      <w:r w:rsidRPr="000D0226">
        <w:rPr>
          <w:color w:val="000000" w:themeColor="text1"/>
        </w:rPr>
        <w:t xml:space="preserve">: 55-71.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Beck A. 2010. </w:t>
      </w:r>
      <w:r w:rsidRPr="000D0226">
        <w:rPr>
          <w:i/>
          <w:iCs/>
          <w:color w:val="000000" w:themeColor="text1"/>
        </w:rPr>
        <w:t>Electric fence induced mortality in South Africa</w:t>
      </w:r>
      <w:r w:rsidRPr="000D0226">
        <w:rPr>
          <w:color w:val="000000" w:themeColor="text1"/>
        </w:rPr>
        <w:t> (Doctoral dissertation). University of the Witwatersrand.</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Boast L, Houser A, Horgan J, Reeves H, Phale P, Klein R. 2016. Prey preferences of free</w:t>
      </w:r>
      <w:r w:rsidRPr="000D0226">
        <w:rPr>
          <w:rFonts w:ascii="Cambria Math" w:hAnsi="Cambria Math" w:cs="Cambria Math"/>
          <w:color w:val="000000" w:themeColor="text1"/>
        </w:rPr>
        <w:t>‐</w:t>
      </w:r>
      <w:r w:rsidRPr="000D0226">
        <w:rPr>
          <w:color w:val="000000" w:themeColor="text1"/>
        </w:rPr>
        <w:t xml:space="preserve">ranging cheetahs on farmland: scat analysis versus farmers' perceptions. </w:t>
      </w:r>
      <w:r w:rsidRPr="000D0226">
        <w:rPr>
          <w:i/>
          <w:color w:val="000000" w:themeColor="text1"/>
        </w:rPr>
        <w:t>African Journal of Ecology</w:t>
      </w:r>
      <w:r w:rsidRPr="000D0226">
        <w:rPr>
          <w:color w:val="000000" w:themeColor="text1"/>
        </w:rPr>
        <w:t xml:space="preserve"> 54: 424-433.</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lastRenderedPageBreak/>
        <w:t xml:space="preserve">Bond WJ, Loffell D. 2001. Introduction of giraffe changes acacia distribution in a South African savanna. </w:t>
      </w:r>
      <w:r w:rsidRPr="000D0226">
        <w:rPr>
          <w:i/>
          <w:color w:val="000000" w:themeColor="text1"/>
        </w:rPr>
        <w:t>African Journal of Ecology</w:t>
      </w:r>
      <w:r w:rsidRPr="000D0226">
        <w:rPr>
          <w:color w:val="000000" w:themeColor="text1"/>
        </w:rPr>
        <w:t xml:space="preserve"> 39: 286-294.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highlight w:val="yellow"/>
        </w:rPr>
      </w:pPr>
      <w:r w:rsidRPr="000D0226">
        <w:rPr>
          <w:color w:val="000000" w:themeColor="text1"/>
        </w:rPr>
        <w:t xml:space="preserve">Boone RB, Hobbs NT. 2004. Lines around fragments: effects of fencing on large herbivores. </w:t>
      </w:r>
      <w:r w:rsidRPr="000D0226">
        <w:rPr>
          <w:i/>
          <w:color w:val="000000" w:themeColor="text1"/>
        </w:rPr>
        <w:t>African Journal of Range and Forage Science</w:t>
      </w:r>
      <w:r w:rsidRPr="000D0226">
        <w:rPr>
          <w:color w:val="000000" w:themeColor="text1"/>
        </w:rPr>
        <w:t xml:space="preserve"> 21: 147-158.</w:t>
      </w:r>
      <w:r w:rsidRPr="000D0226">
        <w:rPr>
          <w:color w:val="000000" w:themeColor="text1"/>
          <w:highlight w:val="yellow"/>
        </w:rPr>
        <w:t xml:space="preserve"> </w:t>
      </w:r>
    </w:p>
    <w:p w:rsidR="000D0226" w:rsidRPr="000D0226" w:rsidRDefault="000D0226" w:rsidP="000D0226">
      <w:pPr>
        <w:jc w:val="left"/>
        <w:rPr>
          <w:color w:val="000000" w:themeColor="text1"/>
          <w:highlight w:val="yellow"/>
        </w:rPr>
      </w:pPr>
    </w:p>
    <w:p w:rsidR="000D0226" w:rsidRPr="000D0226" w:rsidRDefault="000D0226" w:rsidP="000D0226">
      <w:pPr>
        <w:jc w:val="left"/>
        <w:rPr>
          <w:color w:val="000000" w:themeColor="text1"/>
        </w:rPr>
      </w:pPr>
      <w:r w:rsidRPr="000D0226">
        <w:rPr>
          <w:color w:val="000000" w:themeColor="text1"/>
        </w:rPr>
        <w:t xml:space="preserve">Brown CJ, Gildenhuys PS, Hignett Dl, Van Deventer JD. 2014. Policy on fencing and enclosure of game, predators and dangerous animals in the Western Cape Province. Policy document. Available at:  </w:t>
      </w:r>
      <w:r w:rsidRPr="000D0226">
        <w:rPr>
          <w:i/>
          <w:color w:val="000000" w:themeColor="text1"/>
        </w:rPr>
        <w:t>http://www.capenature.co.za/wp-content/uploads/2014/03/Policy-on-Fencing-and-Enclosure-of-Game-February-2014-Draft.pdf</w:t>
      </w:r>
      <w:r w:rsidRPr="000D0226">
        <w:rPr>
          <w:color w:val="000000" w:themeColor="text1"/>
        </w:rPr>
        <w:t>. [accessed: 01 July 2016].</w:t>
      </w:r>
    </w:p>
    <w:p w:rsidR="000D0226" w:rsidRPr="000D0226" w:rsidRDefault="000D0226" w:rsidP="000D0226">
      <w:pPr>
        <w:jc w:val="left"/>
        <w:rPr>
          <w:b/>
          <w:color w:val="000000" w:themeColor="text1"/>
          <w:highlight w:val="yellow"/>
        </w:rPr>
      </w:pPr>
    </w:p>
    <w:p w:rsidR="000D0226" w:rsidRPr="000D0226" w:rsidRDefault="000D0226" w:rsidP="000D0226">
      <w:pPr>
        <w:jc w:val="left"/>
        <w:rPr>
          <w:color w:val="222222"/>
          <w:shd w:val="clear" w:color="auto" w:fill="FFFFFF"/>
        </w:rPr>
      </w:pPr>
      <w:r w:rsidRPr="000D0226">
        <w:rPr>
          <w:color w:val="222222"/>
          <w:shd w:val="clear" w:color="auto" w:fill="FFFFFF"/>
        </w:rPr>
        <w:t>Cassidy L, Fynn R, Sethebe, B. 2013. Effects of restriction of wild herbivore movement on woody and herbaceous vegetation in the Okavango Delta Botswana.</w:t>
      </w:r>
      <w:r w:rsidRPr="000D0226">
        <w:rPr>
          <w:rFonts w:ascii="Times New Roman" w:hAnsi="Times New Roman"/>
          <w:color w:val="222222"/>
          <w:szCs w:val="24"/>
          <w:shd w:val="clear" w:color="auto" w:fill="FFFFFF"/>
        </w:rPr>
        <w:t> </w:t>
      </w:r>
      <w:r w:rsidRPr="000D0226">
        <w:rPr>
          <w:i/>
          <w:iCs/>
          <w:color w:val="222222"/>
          <w:shd w:val="clear" w:color="auto" w:fill="FFFFFF"/>
        </w:rPr>
        <w:t>African Journal of Ecology</w:t>
      </w:r>
      <w:r w:rsidRPr="000D0226">
        <w:rPr>
          <w:rFonts w:ascii="Times New Roman" w:hAnsi="Times New Roman"/>
          <w:color w:val="222222"/>
          <w:szCs w:val="24"/>
          <w:shd w:val="clear" w:color="auto" w:fill="FFFFFF"/>
        </w:rPr>
        <w:t> </w:t>
      </w:r>
      <w:r w:rsidRPr="000D0226">
        <w:rPr>
          <w:iCs/>
          <w:color w:val="222222"/>
          <w:shd w:val="clear" w:color="auto" w:fill="FFFFFF"/>
        </w:rPr>
        <w:t>51</w:t>
      </w:r>
      <w:r w:rsidRPr="000D0226">
        <w:rPr>
          <w:color w:val="222222"/>
          <w:shd w:val="clear" w:color="auto" w:fill="FFFFFF"/>
        </w:rPr>
        <w:t>: 513-527.</w:t>
      </w:r>
    </w:p>
    <w:p w:rsidR="000D0226" w:rsidRPr="000D0226" w:rsidRDefault="000D0226" w:rsidP="000D0226">
      <w:pPr>
        <w:jc w:val="left"/>
        <w:rPr>
          <w:color w:val="222222"/>
          <w:shd w:val="clear" w:color="auto" w:fill="FFFFFF"/>
        </w:rPr>
      </w:pPr>
    </w:p>
    <w:p w:rsidR="000D0226" w:rsidRPr="000D0226" w:rsidRDefault="000D0226" w:rsidP="000D0226">
      <w:pPr>
        <w:jc w:val="left"/>
        <w:rPr>
          <w:color w:val="000000" w:themeColor="text1"/>
        </w:rPr>
      </w:pPr>
      <w:r w:rsidRPr="000D0226">
        <w:rPr>
          <w:color w:val="000000" w:themeColor="text1"/>
        </w:rPr>
        <w:t xml:space="preserve">Caughley G, Shepherd N, Short JE. </w:t>
      </w:r>
      <w:r w:rsidR="006D1170">
        <w:rPr>
          <w:color w:val="000000" w:themeColor="text1"/>
        </w:rPr>
        <w:t xml:space="preserve">(eds) </w:t>
      </w:r>
      <w:r w:rsidRPr="000D0226">
        <w:rPr>
          <w:color w:val="000000" w:themeColor="text1"/>
        </w:rPr>
        <w:t xml:space="preserve">1987. </w:t>
      </w:r>
      <w:r w:rsidRPr="000D0226">
        <w:rPr>
          <w:i/>
          <w:color w:val="000000" w:themeColor="text1"/>
        </w:rPr>
        <w:t>Kangaroos: Their Ecology and Management in the Sheep Rangelands of Australia</w:t>
      </w:r>
      <w:r w:rsidRPr="000D0226">
        <w:rPr>
          <w:color w:val="000000" w:themeColor="text1"/>
        </w:rPr>
        <w:t>. Melbourne, Australia: Cambridge University Press.</w:t>
      </w:r>
    </w:p>
    <w:p w:rsidR="000D0226" w:rsidRPr="000D0226" w:rsidRDefault="000D0226" w:rsidP="000D0226">
      <w:pPr>
        <w:jc w:val="left"/>
        <w:rPr>
          <w:color w:val="000000" w:themeColor="text1"/>
        </w:rPr>
      </w:pPr>
    </w:p>
    <w:p w:rsidR="000D0226" w:rsidRPr="000D0226" w:rsidRDefault="000D0226" w:rsidP="000D0226">
      <w:pPr>
        <w:jc w:val="left"/>
        <w:rPr>
          <w:iCs/>
          <w:color w:val="222222"/>
          <w:shd w:val="clear" w:color="auto" w:fill="FFFFFF"/>
        </w:rPr>
      </w:pPr>
      <w:r w:rsidRPr="000D0226">
        <w:rPr>
          <w:color w:val="222222"/>
          <w:shd w:val="clear" w:color="auto" w:fill="FFFFFF"/>
        </w:rPr>
        <w:t>Chigwenhese L, Murwira A, Zengeya FM, Masocha M, Garine</w:t>
      </w:r>
      <w:r w:rsidRPr="000D0226">
        <w:rPr>
          <w:rFonts w:ascii="Cambria Math" w:hAnsi="Cambria Math" w:cs="Cambria Math"/>
          <w:color w:val="222222"/>
          <w:shd w:val="clear" w:color="auto" w:fill="FFFFFF"/>
        </w:rPr>
        <w:t>‐</w:t>
      </w:r>
      <w:r w:rsidRPr="000D0226">
        <w:rPr>
          <w:color w:val="222222"/>
          <w:shd w:val="clear" w:color="auto" w:fill="FFFFFF"/>
        </w:rPr>
        <w:t>Wichatitsky M, Caron A. 2016. Monitoring African buffalo (</w:t>
      </w:r>
      <w:r w:rsidRPr="000D0226">
        <w:rPr>
          <w:i/>
          <w:color w:val="222222"/>
          <w:shd w:val="clear" w:color="auto" w:fill="FFFFFF"/>
        </w:rPr>
        <w:t>Syncerus caffer</w:t>
      </w:r>
      <w:r w:rsidRPr="000D0226">
        <w:rPr>
          <w:color w:val="222222"/>
          <w:shd w:val="clear" w:color="auto" w:fill="FFFFFF"/>
        </w:rPr>
        <w:t>) and cattle (</w:t>
      </w:r>
      <w:r w:rsidRPr="000D0226">
        <w:rPr>
          <w:i/>
          <w:color w:val="222222"/>
          <w:shd w:val="clear" w:color="auto" w:fill="FFFFFF"/>
        </w:rPr>
        <w:t>Bos taurus</w:t>
      </w:r>
      <w:r w:rsidRPr="000D0226">
        <w:rPr>
          <w:color w:val="222222"/>
          <w:shd w:val="clear" w:color="auto" w:fill="FFFFFF"/>
        </w:rPr>
        <w:t>) movement across a damaged veterinary control fence at a Southern African wildlife/livestock interface.</w:t>
      </w:r>
      <w:r w:rsidRPr="000D0226">
        <w:rPr>
          <w:rFonts w:ascii="Times New Roman" w:hAnsi="Times New Roman"/>
          <w:color w:val="222222"/>
          <w:szCs w:val="24"/>
          <w:shd w:val="clear" w:color="auto" w:fill="FFFFFF"/>
        </w:rPr>
        <w:t> </w:t>
      </w:r>
      <w:r w:rsidRPr="000D0226">
        <w:rPr>
          <w:i/>
          <w:iCs/>
          <w:color w:val="222222"/>
          <w:shd w:val="clear" w:color="auto" w:fill="FFFFFF"/>
        </w:rPr>
        <w:t xml:space="preserve">African Journal of Ecology </w:t>
      </w:r>
      <w:r w:rsidRPr="000D0226">
        <w:rPr>
          <w:iCs/>
          <w:color w:val="222222"/>
          <w:shd w:val="clear" w:color="auto" w:fill="FFFFFF"/>
        </w:rPr>
        <w:t>54: 415-423.</w:t>
      </w:r>
    </w:p>
    <w:p w:rsidR="000D0226" w:rsidRPr="000D0226" w:rsidRDefault="000D0226" w:rsidP="000D0226">
      <w:pPr>
        <w:jc w:val="left"/>
        <w:rPr>
          <w:iCs/>
          <w:shd w:val="clear" w:color="auto" w:fill="FFFFFF"/>
        </w:rPr>
      </w:pPr>
    </w:p>
    <w:p w:rsidR="000D0226" w:rsidRPr="000D0226" w:rsidRDefault="000D0226" w:rsidP="000D0226">
      <w:pPr>
        <w:jc w:val="left"/>
        <w:rPr>
          <w:rFonts w:asciiTheme="minorHAnsi" w:hAnsiTheme="minorHAnsi" w:cs="Arial"/>
          <w:szCs w:val="24"/>
          <w:shd w:val="clear" w:color="auto" w:fill="FFFFFF"/>
        </w:rPr>
      </w:pPr>
      <w:r w:rsidRPr="000D0226">
        <w:rPr>
          <w:rFonts w:asciiTheme="minorHAnsi" w:hAnsiTheme="minorHAnsi" w:cs="Arial"/>
          <w:szCs w:val="24"/>
          <w:shd w:val="clear" w:color="auto" w:fill="FFFFFF"/>
        </w:rPr>
        <w:t>Clarke K, Warwick R. 2001. A further biodiversity index applicable to species lists: Variation in taxonomic distinctness. </w:t>
      </w:r>
      <w:r w:rsidRPr="000D0226">
        <w:rPr>
          <w:rFonts w:asciiTheme="minorHAnsi" w:hAnsiTheme="minorHAnsi" w:cs="Arial"/>
          <w:i/>
          <w:iCs/>
          <w:szCs w:val="24"/>
          <w:shd w:val="clear" w:color="auto" w:fill="FFFFFF"/>
        </w:rPr>
        <w:t>Marine Ecology Progress Series</w:t>
      </w:r>
      <w:r w:rsidRPr="000D0226">
        <w:rPr>
          <w:rFonts w:asciiTheme="minorHAnsi" w:hAnsiTheme="minorHAnsi" w:cs="Arial"/>
          <w:szCs w:val="24"/>
          <w:shd w:val="clear" w:color="auto" w:fill="FFFFFF"/>
        </w:rPr>
        <w:t> </w:t>
      </w:r>
      <w:r w:rsidRPr="000D0226">
        <w:rPr>
          <w:rFonts w:asciiTheme="minorHAnsi" w:hAnsiTheme="minorHAnsi" w:cs="Arial"/>
          <w:iCs/>
          <w:szCs w:val="24"/>
          <w:shd w:val="clear" w:color="auto" w:fill="FFFFFF"/>
        </w:rPr>
        <w:t>216</w:t>
      </w:r>
      <w:r w:rsidRPr="000D0226">
        <w:rPr>
          <w:rFonts w:asciiTheme="minorHAnsi" w:hAnsiTheme="minorHAnsi" w:cs="Arial"/>
          <w:szCs w:val="24"/>
          <w:shd w:val="clear" w:color="auto" w:fill="FFFFFF"/>
        </w:rPr>
        <w:t>: 265-278.</w:t>
      </w:r>
    </w:p>
    <w:p w:rsidR="000D0226" w:rsidRPr="000D0226" w:rsidRDefault="000D0226" w:rsidP="000D0226">
      <w:pPr>
        <w:jc w:val="left"/>
        <w:rPr>
          <w:iCs/>
          <w:color w:val="222222"/>
          <w:shd w:val="clear" w:color="auto" w:fill="FFFFFF"/>
        </w:rPr>
      </w:pPr>
    </w:p>
    <w:p w:rsidR="000D0226" w:rsidRPr="000D0226" w:rsidRDefault="000D0226" w:rsidP="000D0226">
      <w:pPr>
        <w:jc w:val="left"/>
        <w:rPr>
          <w:iCs/>
          <w:color w:val="222222"/>
          <w:shd w:val="clear" w:color="auto" w:fill="FFFFFF"/>
        </w:rPr>
      </w:pPr>
      <w:r w:rsidRPr="000D0226">
        <w:rPr>
          <w:iCs/>
          <w:color w:val="222222"/>
          <w:shd w:val="clear" w:color="auto" w:fill="FFFFFF"/>
        </w:rPr>
        <w:t xml:space="preserve">Connolly TA, Day TD, King CM. 2009. Estimating the potential for reinvasion by mammalian pests through pest-exclusion fencing. </w:t>
      </w:r>
      <w:r w:rsidRPr="000D0226">
        <w:rPr>
          <w:i/>
          <w:iCs/>
          <w:color w:val="222222"/>
          <w:shd w:val="clear" w:color="auto" w:fill="FFFFFF"/>
        </w:rPr>
        <w:t>Wildlife Research</w:t>
      </w:r>
      <w:r w:rsidRPr="000D0226">
        <w:rPr>
          <w:iCs/>
          <w:color w:val="222222"/>
          <w:shd w:val="clear" w:color="auto" w:fill="FFFFFF"/>
        </w:rPr>
        <w:t xml:space="preserve"> 36: 410-421.</w:t>
      </w:r>
    </w:p>
    <w:p w:rsidR="000D0226" w:rsidRPr="000D0226" w:rsidRDefault="000D0226" w:rsidP="000D0226">
      <w:pPr>
        <w:jc w:val="left"/>
      </w:pPr>
    </w:p>
    <w:p w:rsidR="000D0226" w:rsidRPr="000D0226" w:rsidRDefault="000D0226" w:rsidP="000D0226">
      <w:pPr>
        <w:jc w:val="left"/>
        <w:rPr>
          <w:color w:val="000000" w:themeColor="text1"/>
        </w:rPr>
      </w:pPr>
      <w:r w:rsidRPr="000D0226">
        <w:rPr>
          <w:color w:val="000000" w:themeColor="text1"/>
        </w:rPr>
        <w:t xml:space="preserve">Cousins JA, Sadler JP, Evans J. 2008. Exploring the role of private wildlife ranching as a conservation tool in South Africa: Stakeholder perspectives. </w:t>
      </w:r>
      <w:r w:rsidRPr="000D0226">
        <w:rPr>
          <w:i/>
          <w:color w:val="000000" w:themeColor="text1"/>
        </w:rPr>
        <w:t>Ecology and Society</w:t>
      </w:r>
      <w:r w:rsidRPr="000D0226">
        <w:rPr>
          <w:color w:val="000000" w:themeColor="text1"/>
        </w:rPr>
        <w:t xml:space="preserve"> 13: 43.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Cozzi G, Broekhuis F, McNutt JW, Schmid B. 2013. Comparison of the effects of artificial and natural barriers on large African carnivores: Implications for interspecific relationships and connectivity. </w:t>
      </w:r>
      <w:r w:rsidRPr="000D0226">
        <w:rPr>
          <w:i/>
          <w:color w:val="000000" w:themeColor="text1"/>
        </w:rPr>
        <w:t>Journal of Animal Ecology</w:t>
      </w:r>
      <w:r w:rsidRPr="000D0226">
        <w:rPr>
          <w:color w:val="000000" w:themeColor="text1"/>
        </w:rPr>
        <w:t xml:space="preserve"> 82: 707-715. </w:t>
      </w:r>
    </w:p>
    <w:p w:rsidR="000D0226" w:rsidRPr="000D0226" w:rsidRDefault="000D0226" w:rsidP="000D0226">
      <w:pPr>
        <w:jc w:val="left"/>
        <w:rPr>
          <w:color w:val="000000" w:themeColor="text1"/>
        </w:rPr>
      </w:pPr>
    </w:p>
    <w:p w:rsidR="000D0226" w:rsidRPr="000D0226" w:rsidRDefault="000D0226" w:rsidP="000D0226">
      <w:pPr>
        <w:jc w:val="left"/>
        <w:rPr>
          <w:color w:val="222222"/>
          <w:shd w:val="clear" w:color="auto" w:fill="FFFFFF"/>
        </w:rPr>
      </w:pPr>
      <w:r w:rsidRPr="000D0226">
        <w:rPr>
          <w:color w:val="222222"/>
          <w:shd w:val="clear" w:color="auto" w:fill="FFFFFF"/>
        </w:rPr>
        <w:t xml:space="preserve">Creel S, Becker MS, Durant SM, M'soka J, Matandiko W, Dickman AJ, Christianson D, Dröge E, Mweetwa T, Pettorelli N. Rosenblatt E. 2013. Conserving large populations of lions – the argument for fences has holes. </w:t>
      </w:r>
      <w:r w:rsidRPr="000D0226">
        <w:rPr>
          <w:i/>
          <w:color w:val="222222"/>
          <w:shd w:val="clear" w:color="auto" w:fill="FFFFFF"/>
        </w:rPr>
        <w:t>Ecology Letters</w:t>
      </w:r>
      <w:r w:rsidRPr="000D0226">
        <w:rPr>
          <w:color w:val="222222"/>
          <w:shd w:val="clear" w:color="auto" w:fill="FFFFFF"/>
        </w:rPr>
        <w:t xml:space="preserve"> 16: 1413.</w:t>
      </w:r>
    </w:p>
    <w:p w:rsidR="000D0226" w:rsidRPr="000D0226" w:rsidRDefault="000D0226" w:rsidP="000D0226">
      <w:pPr>
        <w:jc w:val="left"/>
        <w:rPr>
          <w:color w:val="222222"/>
          <w:shd w:val="clear" w:color="auto" w:fill="FFFFFF"/>
        </w:rPr>
      </w:pPr>
    </w:p>
    <w:p w:rsidR="000D0226" w:rsidRPr="000D0226" w:rsidRDefault="000D0226" w:rsidP="000D0226">
      <w:pPr>
        <w:rPr>
          <w:noProof/>
          <w:szCs w:val="24"/>
          <w:lang w:val="en-US"/>
        </w:rPr>
      </w:pPr>
      <w:r w:rsidRPr="000D0226">
        <w:rPr>
          <w:noProof/>
          <w:szCs w:val="24"/>
          <w:lang w:val="en-US"/>
        </w:rPr>
        <w:t xml:space="preserve">Davies-Mostert HT, Mills MGL, Macdonald DW. 2013. Hard boundaries influence African wild dogs’ diet and prey selection. </w:t>
      </w:r>
      <w:r w:rsidRPr="000D0226">
        <w:rPr>
          <w:i/>
          <w:noProof/>
          <w:szCs w:val="24"/>
          <w:lang w:val="en-US"/>
        </w:rPr>
        <w:t>Journal of Applied Ecology. 50</w:t>
      </w:r>
      <w:r w:rsidRPr="000D0226">
        <w:rPr>
          <w:noProof/>
          <w:szCs w:val="24"/>
          <w:lang w:val="en-US"/>
        </w:rPr>
        <w:t xml:space="preserve">: 1358-66. </w:t>
      </w:r>
    </w:p>
    <w:p w:rsidR="000D0226" w:rsidRPr="000D0226" w:rsidRDefault="000D0226" w:rsidP="000D0226">
      <w:pPr>
        <w:jc w:val="left"/>
        <w:rPr>
          <w:color w:val="222222"/>
          <w:shd w:val="clear" w:color="auto" w:fill="FFFFFF"/>
        </w:rPr>
      </w:pPr>
    </w:p>
    <w:p w:rsidR="000D0226" w:rsidRPr="000D0226" w:rsidRDefault="000D0226" w:rsidP="000D0226">
      <w:pPr>
        <w:jc w:val="left"/>
        <w:rPr>
          <w:color w:val="000000" w:themeColor="text1"/>
        </w:rPr>
      </w:pPr>
      <w:r w:rsidRPr="000D0226">
        <w:rPr>
          <w:color w:val="000000" w:themeColor="text1"/>
        </w:rPr>
        <w:t xml:space="preserve">Dickman CR, Glen AS, Letnic M. 2009.. Reintroducing the dingo: can Australia’s conservation wastelands be restored? In: Hayward MW, Somers MJ (eds), </w:t>
      </w:r>
      <w:r w:rsidRPr="000D0226">
        <w:rPr>
          <w:i/>
          <w:color w:val="000000" w:themeColor="text1"/>
        </w:rPr>
        <w:t>Reintroduction of Top-Order Predators,</w:t>
      </w:r>
      <w:r w:rsidRPr="000D0226">
        <w:rPr>
          <w:color w:val="000000" w:themeColor="text1"/>
        </w:rPr>
        <w:t xml:space="preserve"> Oxford: Blackwells. pp 238-269.</w:t>
      </w:r>
    </w:p>
    <w:p w:rsidR="000D0226" w:rsidRPr="000D0226" w:rsidRDefault="000D0226" w:rsidP="000D0226">
      <w:pPr>
        <w:jc w:val="left"/>
        <w:rPr>
          <w:color w:val="000000" w:themeColor="text1"/>
        </w:rPr>
      </w:pPr>
    </w:p>
    <w:p w:rsidR="000D0226" w:rsidRPr="000D0226" w:rsidRDefault="000D0226" w:rsidP="000D0226">
      <w:pPr>
        <w:jc w:val="left"/>
        <w:rPr>
          <w:color w:val="222222"/>
          <w:shd w:val="clear" w:color="auto" w:fill="FFFFFF"/>
        </w:rPr>
      </w:pPr>
      <w:r w:rsidRPr="000D0226">
        <w:rPr>
          <w:color w:val="222222"/>
          <w:shd w:val="clear" w:color="auto" w:fill="FFFFFF"/>
        </w:rPr>
        <w:t>Dupuis-Désormeaux M, Davidson Z, Mwololo M, Kisio E, MacDonald SE. 2016. Usage of specialized fence-gaps in a black rhinoceros conservancy in Kenya.</w:t>
      </w:r>
      <w:r w:rsidRPr="000D0226">
        <w:rPr>
          <w:rFonts w:ascii="Times New Roman" w:hAnsi="Times New Roman"/>
          <w:color w:val="222222"/>
          <w:szCs w:val="24"/>
          <w:shd w:val="clear" w:color="auto" w:fill="FFFFFF"/>
        </w:rPr>
        <w:t> </w:t>
      </w:r>
      <w:r w:rsidRPr="000D0226">
        <w:rPr>
          <w:i/>
          <w:iCs/>
          <w:color w:val="222222"/>
          <w:shd w:val="clear" w:color="auto" w:fill="FFFFFF"/>
        </w:rPr>
        <w:t>African Journal of Wildlife Research</w:t>
      </w:r>
      <w:r w:rsidRPr="000D0226">
        <w:rPr>
          <w:iCs/>
          <w:color w:val="222222"/>
          <w:shd w:val="clear" w:color="auto" w:fill="FFFFFF"/>
        </w:rPr>
        <w:t xml:space="preserve"> 46: 22-32</w:t>
      </w:r>
      <w:r w:rsidRPr="000D0226">
        <w:rPr>
          <w:color w:val="222222"/>
          <w:shd w:val="clear" w:color="auto" w:fill="FFFFFF"/>
        </w:rPr>
        <w:t>.</w:t>
      </w:r>
    </w:p>
    <w:p w:rsidR="000D0226" w:rsidRPr="000D0226" w:rsidRDefault="000D0226" w:rsidP="000D0226">
      <w:pPr>
        <w:jc w:val="left"/>
      </w:pPr>
    </w:p>
    <w:p w:rsidR="000D0226" w:rsidRPr="000D0226" w:rsidRDefault="000D0226" w:rsidP="000D0226">
      <w:pPr>
        <w:jc w:val="left"/>
        <w:rPr>
          <w:color w:val="000000" w:themeColor="text1"/>
        </w:rPr>
      </w:pPr>
      <w:r w:rsidRPr="000D0226">
        <w:rPr>
          <w:color w:val="000000" w:themeColor="text1"/>
        </w:rPr>
        <w:t xml:space="preserve">Fahrig L, Rytwinski T. 2009. Effects of roads on animal abundance: an empirical review and synthesis. </w:t>
      </w:r>
      <w:r w:rsidRPr="000D0226">
        <w:rPr>
          <w:i/>
          <w:color w:val="000000" w:themeColor="text1"/>
        </w:rPr>
        <w:t>Ecology and Society</w:t>
      </w:r>
      <w:r w:rsidRPr="000D0226">
        <w:rPr>
          <w:color w:val="000000" w:themeColor="text1"/>
        </w:rPr>
        <w:t xml:space="preserve"> 14: 21.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Rifaie F, Sugardjito J, Fitriana YS. 2015. Spatial point pattern analysis of the Sumatran tiger (</w:t>
      </w:r>
      <w:r w:rsidRPr="000D0226">
        <w:rPr>
          <w:i/>
          <w:color w:val="000000" w:themeColor="text1"/>
        </w:rPr>
        <w:t>Panthera tigris sumatrae</w:t>
      </w:r>
      <w:r w:rsidRPr="000D0226">
        <w:rPr>
          <w:color w:val="000000" w:themeColor="text1"/>
        </w:rPr>
        <w:t xml:space="preserve">) poaching cases in and around Kerinci Seblat National Park, Sumatra. </w:t>
      </w:r>
      <w:r w:rsidRPr="000D0226">
        <w:rPr>
          <w:i/>
          <w:color w:val="000000" w:themeColor="text1"/>
        </w:rPr>
        <w:t xml:space="preserve">Biodiversitas Journal of Biological Diversity </w:t>
      </w:r>
      <w:r w:rsidRPr="000D0226">
        <w:rPr>
          <w:color w:val="000000" w:themeColor="text1"/>
        </w:rPr>
        <w:t>6: 311-319</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Forman RTT, Alexander LE. 1998. Roads and their major ecological effects. </w:t>
      </w:r>
      <w:r w:rsidRPr="000D0226">
        <w:rPr>
          <w:i/>
          <w:color w:val="000000" w:themeColor="text1"/>
        </w:rPr>
        <w:t>Annual Review of Ecology and Systematics</w:t>
      </w:r>
      <w:r w:rsidRPr="000D0226">
        <w:rPr>
          <w:color w:val="000000" w:themeColor="text1"/>
        </w:rPr>
        <w:t xml:space="preserve"> 29: 207-231.</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lastRenderedPageBreak/>
        <w:t>Frantz AC, Bertouille S, Eloy MC, Licoppe A, Chaumont F, Flamand MC. 2012. Comparative landscape genetic analyses show a Belgian motorway to be a gene flow barrier for red deer (</w:t>
      </w:r>
      <w:r w:rsidRPr="000D0226">
        <w:rPr>
          <w:i/>
          <w:color w:val="000000" w:themeColor="text1"/>
        </w:rPr>
        <w:t>Cervus elaphus</w:t>
      </w:r>
      <w:r w:rsidRPr="000D0226">
        <w:rPr>
          <w:color w:val="000000" w:themeColor="text1"/>
        </w:rPr>
        <w:t>), but not wild boars (</w:t>
      </w:r>
      <w:r w:rsidRPr="000D0226">
        <w:rPr>
          <w:i/>
          <w:color w:val="000000" w:themeColor="text1"/>
        </w:rPr>
        <w:t>Sus scrofa</w:t>
      </w:r>
      <w:r w:rsidRPr="000D0226">
        <w:rPr>
          <w:color w:val="000000" w:themeColor="text1"/>
        </w:rPr>
        <w:t xml:space="preserve">). </w:t>
      </w:r>
      <w:r w:rsidRPr="000D0226">
        <w:rPr>
          <w:i/>
          <w:color w:val="000000" w:themeColor="text1"/>
        </w:rPr>
        <w:t>Molecular Ecology</w:t>
      </w:r>
      <w:r w:rsidRPr="000D0226">
        <w:rPr>
          <w:color w:val="000000" w:themeColor="text1"/>
        </w:rPr>
        <w:t xml:space="preserve"> 21: 3445-3457.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Hayward MW, Adendorff J, Moolman LC, Hayward GJ, Kerley GIH. 2007. The successful reintroduction of leopard Panthera pardus to the Addo Elephant National Park. African </w:t>
      </w:r>
      <w:r w:rsidRPr="000D0226">
        <w:rPr>
          <w:i/>
          <w:color w:val="000000" w:themeColor="text1"/>
        </w:rPr>
        <w:t>Journal of Ecology</w:t>
      </w:r>
      <w:r w:rsidRPr="000D0226">
        <w:rPr>
          <w:color w:val="000000" w:themeColor="text1"/>
        </w:rPr>
        <w:t xml:space="preserve"> 45: 103-104.</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Hayward MW, Hayward GJ, Druce DJ, Kerley GIH. 2009. Do fences constrain predator movements on an evolutionary scale? Home range, food intake and movement patterns of large  predators reintroduced to Addo Elephant National Park, South Africa. </w:t>
      </w:r>
      <w:r w:rsidRPr="000D0226">
        <w:rPr>
          <w:i/>
          <w:color w:val="000000" w:themeColor="text1"/>
        </w:rPr>
        <w:t>Biodiversity and Conservation</w:t>
      </w:r>
      <w:r w:rsidRPr="000D0226">
        <w:rPr>
          <w:color w:val="000000" w:themeColor="text1"/>
        </w:rPr>
        <w:t xml:space="preserve"> 18: 887-904.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Hayward MW,  Kerley GIH. 2009. Fencing for conservation: Restriction of evolutionary potential or a riposte to threatening processes? </w:t>
      </w:r>
      <w:r w:rsidRPr="000D0226">
        <w:rPr>
          <w:i/>
          <w:color w:val="000000" w:themeColor="text1"/>
        </w:rPr>
        <w:t>Biological Conservation</w:t>
      </w:r>
      <w:r w:rsidRPr="000D0226">
        <w:rPr>
          <w:color w:val="000000" w:themeColor="text1"/>
        </w:rPr>
        <w:t xml:space="preserve">  142: 1-13.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Hoare RE. 1992. Present and future use of fencing in the management of larger African mammals.</w:t>
      </w:r>
      <w:r w:rsidRPr="000D0226">
        <w:rPr>
          <w:i/>
          <w:color w:val="000000" w:themeColor="text1"/>
        </w:rPr>
        <w:t xml:space="preserve"> Environmental Conservation</w:t>
      </w:r>
      <w:r w:rsidRPr="000D0226">
        <w:rPr>
          <w:color w:val="000000" w:themeColor="text1"/>
        </w:rPr>
        <w:t xml:space="preserve"> 19: 160-164.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Holm S. 1979. A simple sequentially rejective multiple test procedure. </w:t>
      </w:r>
      <w:r w:rsidRPr="000D0226">
        <w:rPr>
          <w:i/>
          <w:color w:val="000000" w:themeColor="text1"/>
        </w:rPr>
        <w:t>Scandinavian Journal of Statistics</w:t>
      </w:r>
      <w:r w:rsidRPr="000D0226">
        <w:rPr>
          <w:color w:val="000000" w:themeColor="text1"/>
        </w:rPr>
        <w:t xml:space="preserve"> 6: 65-70.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Ito TY, Miura N, Lhagvasuren B, Enkhbileg D, Takatsuki S, Tsunekawa A, Jiang Z. 2005. Preliminary evidence of a barrier effect of a railroad on the migration of Mongolian gazelles. </w:t>
      </w:r>
      <w:r w:rsidRPr="000D0226">
        <w:rPr>
          <w:i/>
          <w:color w:val="000000" w:themeColor="text1"/>
        </w:rPr>
        <w:t>Conservation Biology</w:t>
      </w:r>
      <w:r w:rsidRPr="000D0226">
        <w:rPr>
          <w:color w:val="000000" w:themeColor="text1"/>
        </w:rPr>
        <w:t xml:space="preserve"> 19: 945-948. </w:t>
      </w:r>
    </w:p>
    <w:p w:rsidR="000D0226" w:rsidRPr="000D0226" w:rsidRDefault="000D0226" w:rsidP="000D0226">
      <w:pPr>
        <w:jc w:val="left"/>
        <w:rPr>
          <w:color w:val="000000" w:themeColor="text1"/>
        </w:rPr>
      </w:pPr>
    </w:p>
    <w:p w:rsidR="000D0226" w:rsidRDefault="006D1170" w:rsidP="000D0226">
      <w:pPr>
        <w:jc w:val="left"/>
        <w:rPr>
          <w:color w:val="000000" w:themeColor="text1"/>
        </w:rPr>
      </w:pPr>
      <w:r w:rsidRPr="006D1170">
        <w:rPr>
          <w:color w:val="000000" w:themeColor="text1"/>
        </w:rPr>
        <w:t xml:space="preserve">Kettles R, Slotow R. 2009. Management of free-ranging lions on an enclosed game reserve. </w:t>
      </w:r>
      <w:r w:rsidRPr="006D1170">
        <w:rPr>
          <w:i/>
          <w:color w:val="000000" w:themeColor="text1"/>
        </w:rPr>
        <w:t>South African Journal of Wildlife Research</w:t>
      </w:r>
      <w:r w:rsidRPr="006D1170">
        <w:rPr>
          <w:color w:val="000000" w:themeColor="text1"/>
        </w:rPr>
        <w:t xml:space="preserve"> 39:23-33.</w:t>
      </w:r>
    </w:p>
    <w:p w:rsidR="006D1170" w:rsidRPr="000D0226" w:rsidRDefault="006D1170"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Liebenberg L. 2005. </w:t>
      </w:r>
      <w:r w:rsidRPr="000D0226">
        <w:rPr>
          <w:i/>
          <w:color w:val="000000" w:themeColor="text1"/>
        </w:rPr>
        <w:t>A Field Guide to the Animal Tracks of Southern Africa</w:t>
      </w:r>
      <w:r w:rsidRPr="000D0226">
        <w:rPr>
          <w:color w:val="000000" w:themeColor="text1"/>
        </w:rPr>
        <w:t>. Cape Town and Johannesburg: David Philip Publishers.</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Lindsey PA, Romañach SS, Davies-Mostert HT. 2009. The importance of conservancies for enhancing the value of game ranch land for large mammal conservation in southern Africa. </w:t>
      </w:r>
      <w:r w:rsidRPr="000D0226">
        <w:rPr>
          <w:i/>
          <w:color w:val="000000" w:themeColor="text1"/>
        </w:rPr>
        <w:t xml:space="preserve">Journal of Zoology </w:t>
      </w:r>
      <w:r w:rsidRPr="000D0226">
        <w:rPr>
          <w:color w:val="000000" w:themeColor="text1"/>
        </w:rPr>
        <w:t xml:space="preserve">277: 99-105.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Lokemoen JT, Doty HA, Sharp DE, Neaville JE. 1982. Electric fences to reduce mammalian predation on waterfowl nests. </w:t>
      </w:r>
      <w:r w:rsidRPr="000D0226">
        <w:rPr>
          <w:i/>
          <w:color w:val="000000" w:themeColor="text1"/>
        </w:rPr>
        <w:t>Wildlife Society Bulletin</w:t>
      </w:r>
      <w:r w:rsidRPr="000D0226">
        <w:rPr>
          <w:color w:val="000000" w:themeColor="text1"/>
        </w:rPr>
        <w:t xml:space="preserve"> 10: 318-323.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Magurran AE. 2004. </w:t>
      </w:r>
      <w:r w:rsidRPr="000D0226">
        <w:rPr>
          <w:i/>
          <w:color w:val="000000" w:themeColor="text1"/>
        </w:rPr>
        <w:t>Measuring biological diversity</w:t>
      </w:r>
      <w:r w:rsidRPr="000D0226">
        <w:rPr>
          <w:color w:val="000000" w:themeColor="text1"/>
        </w:rPr>
        <w:t>. Australia: Blackwell Publishing.</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Manning, J. 2009. </w:t>
      </w:r>
      <w:r w:rsidRPr="000D0226">
        <w:rPr>
          <w:i/>
          <w:color w:val="000000" w:themeColor="text1"/>
        </w:rPr>
        <w:t>Field Guide to Wild Flowers of South Africa</w:t>
      </w:r>
      <w:r w:rsidRPr="000D0226">
        <w:rPr>
          <w:color w:val="000000" w:themeColor="text1"/>
        </w:rPr>
        <w:t xml:space="preserve">, </w:t>
      </w:r>
      <w:r w:rsidRPr="000D0226">
        <w:rPr>
          <w:i/>
          <w:color w:val="000000" w:themeColor="text1"/>
        </w:rPr>
        <w:t xml:space="preserve">Lesotho and Swaziland. </w:t>
      </w:r>
      <w:r w:rsidRPr="000D0226">
        <w:rPr>
          <w:color w:val="000000" w:themeColor="text1"/>
        </w:rPr>
        <w:t>South Africa: Random House Struik.</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shd w:val="clear" w:color="auto" w:fill="FFFFFF"/>
        </w:rPr>
      </w:pPr>
      <w:r w:rsidRPr="000D0226">
        <w:rPr>
          <w:color w:val="000000" w:themeColor="text1"/>
          <w:shd w:val="clear" w:color="auto" w:fill="FFFFFF"/>
        </w:rPr>
        <w:t>Madhusudan MD. 2004. Recovery of wild large herbivores following livestock decline in a tropical Indian wildlife reserve.</w:t>
      </w:r>
      <w:r w:rsidRPr="000D0226">
        <w:rPr>
          <w:rFonts w:ascii="Times New Roman" w:hAnsi="Times New Roman"/>
          <w:color w:val="000000" w:themeColor="text1"/>
          <w:szCs w:val="24"/>
          <w:shd w:val="clear" w:color="auto" w:fill="FFFFFF"/>
        </w:rPr>
        <w:t> </w:t>
      </w:r>
      <w:r w:rsidRPr="000D0226">
        <w:rPr>
          <w:i/>
          <w:iCs/>
          <w:color w:val="000000" w:themeColor="text1"/>
          <w:shd w:val="clear" w:color="auto" w:fill="FFFFFF"/>
        </w:rPr>
        <w:t>Journal of Applied Ecology</w:t>
      </w:r>
      <w:r w:rsidRPr="000D0226">
        <w:rPr>
          <w:rFonts w:ascii="Times New Roman" w:hAnsi="Times New Roman"/>
          <w:i/>
          <w:color w:val="000000" w:themeColor="text1"/>
          <w:szCs w:val="24"/>
          <w:shd w:val="clear" w:color="auto" w:fill="FFFFFF"/>
        </w:rPr>
        <w:t> </w:t>
      </w:r>
      <w:r w:rsidRPr="000D0226">
        <w:rPr>
          <w:iCs/>
          <w:color w:val="000000" w:themeColor="text1"/>
          <w:shd w:val="clear" w:color="auto" w:fill="FFFFFF"/>
        </w:rPr>
        <w:t>41</w:t>
      </w:r>
      <w:r w:rsidRPr="000D0226">
        <w:rPr>
          <w:color w:val="000000" w:themeColor="text1"/>
          <w:shd w:val="clear" w:color="auto" w:fill="FFFFFF"/>
        </w:rPr>
        <w:t>: 858-869.</w:t>
      </w:r>
    </w:p>
    <w:p w:rsidR="000D0226" w:rsidRPr="000D0226" w:rsidRDefault="000D0226" w:rsidP="000D0226">
      <w:pPr>
        <w:jc w:val="left"/>
        <w:rPr>
          <w:rFonts w:eastAsiaTheme="minorHAnsi"/>
          <w:noProof/>
          <w:color w:val="000000" w:themeColor="text1"/>
          <w:lang w:val="en-US"/>
        </w:rPr>
      </w:pPr>
    </w:p>
    <w:p w:rsidR="000D0226" w:rsidRPr="000D0226" w:rsidRDefault="000D0226" w:rsidP="000D0226">
      <w:pPr>
        <w:jc w:val="left"/>
        <w:rPr>
          <w:color w:val="000000" w:themeColor="text1"/>
        </w:rPr>
      </w:pPr>
      <w:r w:rsidRPr="000D0226">
        <w:rPr>
          <w:color w:val="000000" w:themeColor="text1"/>
        </w:rPr>
        <w:t xml:space="preserve">Mbaiwa JE, Mbaiwa OI. 2006. The effects of veterinary fences on wildlife populations in Okavango delta, Botswana. </w:t>
      </w:r>
      <w:r w:rsidRPr="000D0226">
        <w:rPr>
          <w:i/>
          <w:color w:val="000000" w:themeColor="text1"/>
        </w:rPr>
        <w:t>International Journal of Wilderness</w:t>
      </w:r>
      <w:r w:rsidRPr="000D0226">
        <w:rPr>
          <w:color w:val="000000" w:themeColor="text1"/>
        </w:rPr>
        <w:t xml:space="preserve"> 12: 17-41.</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Murray K. 2011. </w:t>
      </w:r>
      <w:r w:rsidRPr="000D0226">
        <w:rPr>
          <w:i/>
          <w:color w:val="000000" w:themeColor="text1"/>
        </w:rPr>
        <w:t>Scatalog: Quick ID Guide to Southern African Animal Droppings.</w:t>
      </w:r>
      <w:r w:rsidRPr="000D0226">
        <w:rPr>
          <w:color w:val="000000" w:themeColor="text1"/>
        </w:rPr>
        <w:t xml:space="preserve"> Cape Town: Struik.</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Ng SJ, Dole JW, Sauvajot RM, Riley SPD, Valone TJ. 2004. Use of highway undercrossings by wildlife in southern California. </w:t>
      </w:r>
      <w:r w:rsidRPr="000D0226">
        <w:rPr>
          <w:i/>
          <w:color w:val="000000" w:themeColor="text1"/>
        </w:rPr>
        <w:t>Biological Conservation</w:t>
      </w:r>
      <w:r w:rsidRPr="000D0226">
        <w:rPr>
          <w:color w:val="000000" w:themeColor="text1"/>
        </w:rPr>
        <w:t xml:space="preserve"> 115: 499-507.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Ostfeld RS. 1994. The fence effect reconsidered. </w:t>
      </w:r>
      <w:r w:rsidRPr="000D0226">
        <w:rPr>
          <w:i/>
          <w:color w:val="000000" w:themeColor="text1"/>
        </w:rPr>
        <w:t xml:space="preserve">Oikos </w:t>
      </w:r>
      <w:r w:rsidRPr="000D0226">
        <w:rPr>
          <w:color w:val="000000" w:themeColor="text1"/>
        </w:rPr>
        <w:t xml:space="preserve">70: 340-348. </w:t>
      </w:r>
    </w:p>
    <w:p w:rsidR="000D0226" w:rsidRPr="000D0226" w:rsidRDefault="000D0226" w:rsidP="000D0226">
      <w:pPr>
        <w:jc w:val="left"/>
        <w:rPr>
          <w:color w:val="000000" w:themeColor="text1"/>
        </w:rPr>
      </w:pPr>
    </w:p>
    <w:p w:rsidR="000D0226" w:rsidRPr="000D0226" w:rsidRDefault="000D0226" w:rsidP="000D0226">
      <w:pPr>
        <w:jc w:val="left"/>
        <w:rPr>
          <w:color w:val="222222"/>
          <w:shd w:val="clear" w:color="auto" w:fill="FFFFFF"/>
        </w:rPr>
      </w:pPr>
      <w:r w:rsidRPr="000D0226">
        <w:rPr>
          <w:color w:val="222222"/>
          <w:shd w:val="clear" w:color="auto" w:fill="FFFFFF"/>
        </w:rPr>
        <w:t>Packer C, Swanson A, Canney S, Loveridge A, Garnett S, Pfeifer M, Burton AC, Bauer H,  MacNulty D. 2013. The case for fencing remains intact.</w:t>
      </w:r>
      <w:r w:rsidRPr="000D0226">
        <w:rPr>
          <w:rFonts w:ascii="Times New Roman" w:hAnsi="Times New Roman"/>
          <w:color w:val="222222"/>
          <w:szCs w:val="24"/>
          <w:shd w:val="clear" w:color="auto" w:fill="FFFFFF"/>
        </w:rPr>
        <w:t> </w:t>
      </w:r>
      <w:r w:rsidRPr="000D0226">
        <w:rPr>
          <w:i/>
          <w:iCs/>
          <w:color w:val="222222"/>
          <w:shd w:val="clear" w:color="auto" w:fill="FFFFFF"/>
        </w:rPr>
        <w:t>Ecology Letters</w:t>
      </w:r>
      <w:r w:rsidRPr="000D0226">
        <w:rPr>
          <w:rFonts w:ascii="Times New Roman" w:hAnsi="Times New Roman"/>
          <w:color w:val="222222"/>
          <w:szCs w:val="24"/>
          <w:shd w:val="clear" w:color="auto" w:fill="FFFFFF"/>
        </w:rPr>
        <w:t> </w:t>
      </w:r>
      <w:r w:rsidRPr="000D0226">
        <w:rPr>
          <w:iCs/>
          <w:color w:val="222222"/>
          <w:shd w:val="clear" w:color="auto" w:fill="FFFFFF"/>
        </w:rPr>
        <w:t>16</w:t>
      </w:r>
      <w:r w:rsidRPr="000D0226">
        <w:rPr>
          <w:color w:val="222222"/>
          <w:shd w:val="clear" w:color="auto" w:fill="FFFFFF"/>
        </w:rPr>
        <w:t>: 1414.</w:t>
      </w:r>
    </w:p>
    <w:p w:rsidR="000D0226" w:rsidRPr="000D0226" w:rsidRDefault="000D0226" w:rsidP="000D0226">
      <w:pPr>
        <w:jc w:val="left"/>
      </w:pPr>
    </w:p>
    <w:p w:rsidR="000D0226" w:rsidRPr="000D0226" w:rsidRDefault="000D0226" w:rsidP="000D0226">
      <w:pPr>
        <w:jc w:val="left"/>
        <w:rPr>
          <w:color w:val="000000" w:themeColor="text1"/>
        </w:rPr>
      </w:pPr>
      <w:r w:rsidRPr="000D0226">
        <w:rPr>
          <w:color w:val="000000" w:themeColor="text1"/>
        </w:rPr>
        <w:lastRenderedPageBreak/>
        <w:t xml:space="preserve">Pirie TJ, Thomas RL, Fellowes MDE. 2016. Limitations to recording larger mammalian predators in savannah using camera traps and spoor. </w:t>
      </w:r>
      <w:r w:rsidRPr="000D0226">
        <w:rPr>
          <w:i/>
          <w:color w:val="000000" w:themeColor="text1"/>
        </w:rPr>
        <w:t>Wildlife Biology</w:t>
      </w:r>
      <w:r w:rsidRPr="000D0226">
        <w:rPr>
          <w:color w:val="000000" w:themeColor="text1"/>
        </w:rPr>
        <w:t xml:space="preserve"> 22: 3-21. </w:t>
      </w:r>
    </w:p>
    <w:p w:rsidR="000D0226" w:rsidRPr="000D0226" w:rsidRDefault="000D0226" w:rsidP="000D0226">
      <w:pPr>
        <w:jc w:val="left"/>
        <w:rPr>
          <w:color w:val="000000" w:themeColor="text1"/>
        </w:rPr>
      </w:pPr>
    </w:p>
    <w:p w:rsidR="000D0226" w:rsidRPr="000D0226" w:rsidRDefault="000D0226" w:rsidP="000D0226">
      <w:pPr>
        <w:jc w:val="left"/>
        <w:rPr>
          <w:rFonts w:asciiTheme="minorHAnsi" w:hAnsiTheme="minorHAnsi"/>
          <w:color w:val="000000" w:themeColor="text1"/>
        </w:rPr>
      </w:pPr>
      <w:r w:rsidRPr="000D0226">
        <w:rPr>
          <w:color w:val="000000" w:themeColor="text1"/>
        </w:rPr>
        <w:t>Pisto</w:t>
      </w:r>
      <w:r w:rsidRPr="000D0226">
        <w:rPr>
          <w:rFonts w:asciiTheme="minorHAnsi" w:hAnsiTheme="minorHAnsi"/>
          <w:color w:val="000000" w:themeColor="text1"/>
        </w:rPr>
        <w:t>rius</w:t>
      </w:r>
      <w:r w:rsidR="006D1170">
        <w:rPr>
          <w:rFonts w:asciiTheme="minorHAnsi" w:hAnsiTheme="minorHAnsi"/>
          <w:color w:val="000000" w:themeColor="text1"/>
        </w:rPr>
        <w:t xml:space="preserve"> JCC</w:t>
      </w:r>
      <w:r w:rsidRPr="000D0226">
        <w:rPr>
          <w:rFonts w:asciiTheme="minorHAnsi" w:hAnsiTheme="minorHAnsi"/>
          <w:color w:val="000000" w:themeColor="text1"/>
        </w:rPr>
        <w:t xml:space="preserve">. 2014. </w:t>
      </w:r>
      <w:r w:rsidR="006D1170" w:rsidRPr="006D1170">
        <w:rPr>
          <w:rFonts w:asciiTheme="minorHAnsi" w:hAnsiTheme="minorHAnsi"/>
          <w:i/>
          <w:color w:val="000000" w:themeColor="text1"/>
        </w:rPr>
        <w:t>The archaeological documentation of a late iron age stone walled site near Lydenburg in Mpumalanga</w:t>
      </w:r>
      <w:r w:rsidRPr="000D0226">
        <w:rPr>
          <w:rFonts w:asciiTheme="minorHAnsi" w:hAnsiTheme="minorHAnsi"/>
          <w:color w:val="000000" w:themeColor="text1"/>
        </w:rPr>
        <w:t xml:space="preserve">. Available at:  </w:t>
      </w:r>
      <w:r w:rsidR="006D1170" w:rsidRPr="006D1170">
        <w:t xml:space="preserve">http://www.sahra.org.za/sahris/sites/default/files/heritagereports/Phase%202%20Lydenburg.pdf </w:t>
      </w:r>
      <w:r w:rsidRPr="000D0226">
        <w:rPr>
          <w:rFonts w:asciiTheme="minorHAnsi" w:hAnsiTheme="minorHAnsi"/>
          <w:color w:val="000000" w:themeColor="text1"/>
        </w:rPr>
        <w:t xml:space="preserve">[accessed </w:t>
      </w:r>
      <w:r w:rsidR="006D1170">
        <w:rPr>
          <w:rFonts w:asciiTheme="minorHAnsi" w:hAnsiTheme="minorHAnsi"/>
          <w:color w:val="000000" w:themeColor="text1"/>
        </w:rPr>
        <w:t>7 December 2017</w:t>
      </w:r>
      <w:r w:rsidRPr="000D0226">
        <w:rPr>
          <w:rFonts w:asciiTheme="minorHAnsi" w:hAnsiTheme="minorHAnsi"/>
          <w:color w:val="000000" w:themeColor="text1"/>
        </w:rPr>
        <w:t>].</w:t>
      </w:r>
    </w:p>
    <w:p w:rsidR="000D0226" w:rsidRPr="000D0226" w:rsidRDefault="000D0226" w:rsidP="000D0226">
      <w:pPr>
        <w:jc w:val="left"/>
        <w:rPr>
          <w:rFonts w:asciiTheme="minorHAnsi" w:hAnsiTheme="minorHAnsi"/>
          <w:color w:val="000000" w:themeColor="text1"/>
        </w:rPr>
      </w:pPr>
    </w:p>
    <w:p w:rsidR="000D0226" w:rsidRPr="000D0226" w:rsidRDefault="000D0226" w:rsidP="000D0226">
      <w:pPr>
        <w:jc w:val="left"/>
        <w:rPr>
          <w:rFonts w:asciiTheme="minorHAnsi" w:hAnsiTheme="minorHAnsi"/>
          <w:color w:val="222222"/>
          <w:shd w:val="clear" w:color="auto" w:fill="FFFFFF"/>
        </w:rPr>
      </w:pPr>
      <w:r w:rsidRPr="000D0226">
        <w:rPr>
          <w:rFonts w:asciiTheme="minorHAnsi" w:hAnsiTheme="minorHAnsi"/>
          <w:color w:val="222222"/>
          <w:shd w:val="clear" w:color="auto" w:fill="FFFFFF"/>
        </w:rPr>
        <w:t>Putmam RJ. 1997. Deer and road traffic accidents: options for management.</w:t>
      </w:r>
      <w:r w:rsidRPr="000D0226">
        <w:rPr>
          <w:rFonts w:asciiTheme="minorHAnsi" w:hAnsiTheme="minorHAnsi"/>
          <w:color w:val="222222"/>
          <w:szCs w:val="24"/>
          <w:shd w:val="clear" w:color="auto" w:fill="FFFFFF"/>
        </w:rPr>
        <w:t> </w:t>
      </w:r>
      <w:r w:rsidRPr="000D0226">
        <w:rPr>
          <w:rFonts w:asciiTheme="minorHAnsi" w:hAnsiTheme="minorHAnsi"/>
          <w:i/>
          <w:iCs/>
          <w:color w:val="222222"/>
          <w:shd w:val="clear" w:color="auto" w:fill="FFFFFF"/>
        </w:rPr>
        <w:t>Journal of Environmental Management</w:t>
      </w:r>
      <w:r w:rsidRPr="000D0226">
        <w:rPr>
          <w:rFonts w:asciiTheme="minorHAnsi" w:hAnsiTheme="minorHAnsi"/>
          <w:color w:val="222222"/>
          <w:szCs w:val="24"/>
          <w:shd w:val="clear" w:color="auto" w:fill="FFFFFF"/>
        </w:rPr>
        <w:t> </w:t>
      </w:r>
      <w:r w:rsidRPr="000D0226">
        <w:rPr>
          <w:rFonts w:asciiTheme="minorHAnsi" w:hAnsiTheme="minorHAnsi"/>
          <w:iCs/>
          <w:color w:val="222222"/>
          <w:shd w:val="clear" w:color="auto" w:fill="FFFFFF"/>
        </w:rPr>
        <w:t>51</w:t>
      </w:r>
      <w:r w:rsidRPr="000D0226">
        <w:rPr>
          <w:rFonts w:asciiTheme="minorHAnsi" w:hAnsiTheme="minorHAnsi"/>
          <w:color w:val="222222"/>
          <w:shd w:val="clear" w:color="auto" w:fill="FFFFFF"/>
        </w:rPr>
        <w:t>: 43-57.</w:t>
      </w:r>
    </w:p>
    <w:p w:rsidR="000D0226" w:rsidRPr="000D0226" w:rsidRDefault="000D0226" w:rsidP="000D0226">
      <w:pPr>
        <w:jc w:val="left"/>
        <w:rPr>
          <w:rFonts w:asciiTheme="minorHAnsi" w:hAnsiTheme="minorHAnsi"/>
          <w:color w:val="222222"/>
          <w:shd w:val="clear" w:color="auto" w:fill="FFFFFF"/>
        </w:rPr>
      </w:pPr>
    </w:p>
    <w:p w:rsidR="000D0226" w:rsidRPr="000D0226" w:rsidRDefault="000D0226" w:rsidP="000D0226">
      <w:pPr>
        <w:jc w:val="left"/>
        <w:rPr>
          <w:rFonts w:asciiTheme="minorHAnsi" w:hAnsiTheme="minorHAnsi"/>
        </w:rPr>
      </w:pPr>
      <w:r w:rsidRPr="000D0226">
        <w:rPr>
          <w:rFonts w:asciiTheme="minorHAnsi" w:hAnsiTheme="minorHAnsi"/>
          <w:color w:val="000000" w:themeColor="text1"/>
        </w:rPr>
        <w:t xml:space="preserve">Quantum GIS Team. 2015. Quantum GIS Geographical Information System.  Available at: </w:t>
      </w:r>
      <w:hyperlink r:id="rId10" w:history="1">
        <w:r w:rsidRPr="000D0226">
          <w:rPr>
            <w:rFonts w:asciiTheme="minorHAnsi" w:hAnsiTheme="minorHAnsi"/>
            <w:i/>
            <w:color w:val="000000" w:themeColor="text1"/>
            <w:szCs w:val="24"/>
          </w:rPr>
          <w:t>http://qgis.osgeo.org</w:t>
        </w:r>
      </w:hyperlink>
      <w:r w:rsidRPr="000D0226">
        <w:rPr>
          <w:rFonts w:asciiTheme="minorHAnsi" w:hAnsiTheme="minorHAnsi"/>
          <w:color w:val="000000" w:themeColor="text1"/>
          <w:szCs w:val="24"/>
        </w:rPr>
        <w:t xml:space="preserve"> [accessed 01 August 2015]</w:t>
      </w:r>
      <w:r w:rsidRPr="000D0226">
        <w:rPr>
          <w:rFonts w:asciiTheme="minorHAnsi" w:hAnsiTheme="minorHAnsi"/>
        </w:rPr>
        <w:t>.</w:t>
      </w:r>
    </w:p>
    <w:p w:rsidR="000D0226" w:rsidRPr="000D0226" w:rsidRDefault="000D0226" w:rsidP="000D0226">
      <w:pPr>
        <w:jc w:val="left"/>
        <w:rPr>
          <w:rFonts w:asciiTheme="minorHAnsi" w:hAnsiTheme="minorHAnsi"/>
          <w:color w:val="222222"/>
          <w:shd w:val="clear" w:color="auto" w:fill="FFFFFF"/>
        </w:rPr>
      </w:pPr>
    </w:p>
    <w:p w:rsidR="000D0226" w:rsidRPr="000D0226" w:rsidRDefault="000D0226" w:rsidP="000D0226">
      <w:pPr>
        <w:jc w:val="left"/>
        <w:rPr>
          <w:rFonts w:asciiTheme="minorHAnsi" w:hAnsiTheme="minorHAnsi"/>
        </w:rPr>
      </w:pPr>
      <w:r w:rsidRPr="000D0226">
        <w:rPr>
          <w:rFonts w:asciiTheme="minorHAnsi" w:hAnsiTheme="minorHAnsi"/>
          <w:color w:val="000000" w:themeColor="text1"/>
        </w:rPr>
        <w:t xml:space="preserve">R Core Develpment Team. 2012. A language and environment for statistical computing. Vienna, Austria: R foundation for statistical computing. Available at:  </w:t>
      </w:r>
      <w:hyperlink r:id="rId11" w:history="1">
        <w:r w:rsidRPr="000D0226">
          <w:rPr>
            <w:rFonts w:asciiTheme="minorHAnsi" w:hAnsiTheme="minorHAnsi"/>
            <w:i/>
            <w:color w:val="000000" w:themeColor="text1"/>
            <w:szCs w:val="24"/>
          </w:rPr>
          <w:t>http://www.R-project.org/</w:t>
        </w:r>
      </w:hyperlink>
      <w:r w:rsidRPr="000D0226">
        <w:rPr>
          <w:rFonts w:asciiTheme="minorHAnsi" w:hAnsiTheme="minorHAnsi"/>
        </w:rPr>
        <w:t xml:space="preserve"> [accessed 01 January 2016].</w:t>
      </w:r>
    </w:p>
    <w:p w:rsidR="000D0226" w:rsidRPr="000D0226" w:rsidRDefault="000D0226" w:rsidP="000D0226">
      <w:pPr>
        <w:jc w:val="left"/>
        <w:rPr>
          <w:rFonts w:asciiTheme="minorHAnsi" w:hAnsiTheme="minorHAnsi"/>
          <w:color w:val="000000" w:themeColor="text1"/>
        </w:rPr>
      </w:pPr>
    </w:p>
    <w:p w:rsidR="000D0226" w:rsidRPr="000D0226" w:rsidRDefault="000D0226" w:rsidP="000D0226">
      <w:pPr>
        <w:jc w:val="left"/>
        <w:rPr>
          <w:color w:val="000000" w:themeColor="text1"/>
        </w:rPr>
      </w:pPr>
      <w:r w:rsidRPr="000D0226">
        <w:rPr>
          <w:color w:val="000000" w:themeColor="text1"/>
        </w:rPr>
        <w:t xml:space="preserve">Rimmer DW, Deblinger RD. 1992. Use of fencing to limit terrestrial predator movements into least tern colonies. </w:t>
      </w:r>
      <w:r w:rsidRPr="000D0226">
        <w:rPr>
          <w:i/>
          <w:color w:val="000000" w:themeColor="text1"/>
        </w:rPr>
        <w:t>Colonial Waterbirds</w:t>
      </w:r>
      <w:r w:rsidRPr="000D0226">
        <w:rPr>
          <w:color w:val="000000" w:themeColor="text1"/>
        </w:rPr>
        <w:t xml:space="preserve"> 15: 226-229.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Sadr K, Rodier X. 2012. Google Earth, GIS and stone-walled structures in southern Gauteng, South Africa. </w:t>
      </w:r>
      <w:r w:rsidRPr="000D0226">
        <w:rPr>
          <w:i/>
          <w:color w:val="000000" w:themeColor="text1"/>
        </w:rPr>
        <w:t>Journal of Archaeological Science</w:t>
      </w:r>
      <w:r w:rsidRPr="000D0226">
        <w:rPr>
          <w:color w:val="000000" w:themeColor="text1"/>
        </w:rPr>
        <w:t xml:space="preserve"> 39: 1034-1042.</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Schmidt E, Lotter M, McCleland W. 2002. </w:t>
      </w:r>
      <w:r w:rsidRPr="000D0226">
        <w:rPr>
          <w:i/>
          <w:color w:val="000000" w:themeColor="text1"/>
        </w:rPr>
        <w:t>Trees and Shrubs of Mpumalanga and Kruger National Park</w:t>
      </w:r>
      <w:r w:rsidRPr="000D0226">
        <w:rPr>
          <w:color w:val="000000" w:themeColor="text1"/>
        </w:rPr>
        <w:t>. Johannesburg, South Africa: Jacana Press.</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Shepard DB, Kuhns AR, Dreslik MJ, Phillips CA. 2008. Roads as barriers to animal movement in fragmented landscapes. </w:t>
      </w:r>
      <w:r w:rsidRPr="000D0226">
        <w:rPr>
          <w:i/>
          <w:color w:val="000000" w:themeColor="text1"/>
        </w:rPr>
        <w:t xml:space="preserve">Animal Conservation </w:t>
      </w:r>
      <w:r w:rsidRPr="000D0226">
        <w:rPr>
          <w:color w:val="000000" w:themeColor="text1"/>
        </w:rPr>
        <w:t xml:space="preserve">11: 288–296.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lastRenderedPageBreak/>
        <w:t xml:space="preserve">Sokal RR, Rohlf, FJ. 1995. </w:t>
      </w:r>
      <w:r w:rsidRPr="000D0226">
        <w:rPr>
          <w:i/>
          <w:color w:val="000000" w:themeColor="text1"/>
        </w:rPr>
        <w:t>Biometry</w:t>
      </w:r>
      <w:r w:rsidRPr="000D0226">
        <w:rPr>
          <w:color w:val="000000" w:themeColor="text1"/>
        </w:rPr>
        <w:t>. London: W.H. Freeman.</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Stein AB, Hayssen V. 2013. </w:t>
      </w:r>
      <w:r w:rsidRPr="000D0226">
        <w:rPr>
          <w:i/>
          <w:color w:val="000000" w:themeColor="text1"/>
        </w:rPr>
        <w:t>Panthera pardus</w:t>
      </w:r>
      <w:r w:rsidRPr="000D0226">
        <w:rPr>
          <w:color w:val="000000" w:themeColor="text1"/>
        </w:rPr>
        <w:t xml:space="preserve"> (Carnivora: Felidae). </w:t>
      </w:r>
      <w:r w:rsidRPr="000D0226">
        <w:rPr>
          <w:i/>
          <w:color w:val="000000" w:themeColor="text1"/>
        </w:rPr>
        <w:t>Mammalian Species</w:t>
      </w:r>
      <w:r w:rsidRPr="000D0226">
        <w:rPr>
          <w:color w:val="000000" w:themeColor="text1"/>
        </w:rPr>
        <w:t xml:space="preserve"> 45: 30-48.</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Stuart C, Stuart T. 2001. </w:t>
      </w:r>
      <w:r w:rsidRPr="000D0226">
        <w:rPr>
          <w:i/>
          <w:color w:val="000000" w:themeColor="text1"/>
        </w:rPr>
        <w:t>Field Guide to Mammals of Southern Africa</w:t>
      </w:r>
      <w:r w:rsidRPr="000D0226">
        <w:rPr>
          <w:color w:val="000000" w:themeColor="text1"/>
        </w:rPr>
        <w:t xml:space="preserve"> (Third edition). Cape Town, South Africa: Struik Publishers.</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Stullken DE, Kirkpatrick CM. 1953. A determination of hole sizes which exclude certain predatory mammals. </w:t>
      </w:r>
      <w:r w:rsidRPr="000D0226">
        <w:rPr>
          <w:i/>
          <w:color w:val="000000" w:themeColor="text1"/>
        </w:rPr>
        <w:t>Journal of Wildlife Management</w:t>
      </w:r>
      <w:r w:rsidRPr="000D0226">
        <w:rPr>
          <w:color w:val="000000" w:themeColor="text1"/>
        </w:rPr>
        <w:t xml:space="preserve"> 17: 124-128.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222222"/>
          <w:shd w:val="clear" w:color="auto" w:fill="FFFFFF"/>
        </w:rPr>
        <w:t>Sukumar R. 1991. The management of large mammals in relation to male strategies and conflict with people.</w:t>
      </w:r>
      <w:r w:rsidRPr="000D0226">
        <w:rPr>
          <w:rFonts w:ascii="Times New Roman" w:hAnsi="Times New Roman"/>
          <w:color w:val="222222"/>
          <w:szCs w:val="24"/>
          <w:shd w:val="clear" w:color="auto" w:fill="FFFFFF"/>
        </w:rPr>
        <w:t> </w:t>
      </w:r>
      <w:r w:rsidRPr="000D0226">
        <w:rPr>
          <w:i/>
          <w:iCs/>
          <w:color w:val="222222"/>
          <w:shd w:val="clear" w:color="auto" w:fill="FFFFFF"/>
        </w:rPr>
        <w:t>Biological Conservation</w:t>
      </w:r>
      <w:r w:rsidRPr="000D0226">
        <w:rPr>
          <w:rFonts w:ascii="Times New Roman" w:hAnsi="Times New Roman"/>
          <w:color w:val="222222"/>
          <w:szCs w:val="24"/>
          <w:shd w:val="clear" w:color="auto" w:fill="FFFFFF"/>
        </w:rPr>
        <w:t> </w:t>
      </w:r>
      <w:r w:rsidRPr="000D0226">
        <w:rPr>
          <w:iCs/>
          <w:color w:val="222222"/>
          <w:shd w:val="clear" w:color="auto" w:fill="FFFFFF"/>
        </w:rPr>
        <w:t>55</w:t>
      </w:r>
      <w:r w:rsidRPr="000D0226">
        <w:rPr>
          <w:color w:val="222222"/>
          <w:shd w:val="clear" w:color="auto" w:fill="FFFFFF"/>
        </w:rPr>
        <w:t>: 93-102.</w:t>
      </w:r>
    </w:p>
    <w:p w:rsidR="000D0226" w:rsidRPr="000D0226" w:rsidRDefault="000D0226" w:rsidP="000D0226">
      <w:pPr>
        <w:jc w:val="left"/>
        <w:rPr>
          <w:color w:val="000000" w:themeColor="text1"/>
        </w:rPr>
      </w:pPr>
    </w:p>
    <w:p w:rsidR="000D0226" w:rsidRPr="000D0226" w:rsidRDefault="000D0226" w:rsidP="000D0226">
      <w:pPr>
        <w:jc w:val="left"/>
        <w:rPr>
          <w:rFonts w:asciiTheme="minorHAnsi" w:hAnsiTheme="minorHAnsi"/>
          <w:color w:val="000000" w:themeColor="text1"/>
          <w:szCs w:val="24"/>
        </w:rPr>
      </w:pPr>
      <w:r w:rsidRPr="000D0226">
        <w:rPr>
          <w:rFonts w:asciiTheme="minorHAnsi" w:hAnsiTheme="minorHAnsi"/>
          <w:color w:val="000000" w:themeColor="text1"/>
          <w:szCs w:val="24"/>
        </w:rPr>
        <w:t xml:space="preserve">Taylor A, Lindsey P, Davies-Mostert H, Goodman P. 2016. </w:t>
      </w:r>
      <w:r w:rsidRPr="000D0226">
        <w:rPr>
          <w:rFonts w:asciiTheme="minorHAnsi" w:hAnsiTheme="minorHAnsi"/>
          <w:i/>
          <w:color w:val="000000" w:themeColor="text1"/>
          <w:szCs w:val="24"/>
        </w:rPr>
        <w:t>An assessment of the economic, social and conservation value of the wildlife ranching industry and its potential to support the green economy in South Africa</w:t>
      </w:r>
      <w:r w:rsidRPr="000D0226">
        <w:rPr>
          <w:rFonts w:asciiTheme="minorHAnsi" w:hAnsiTheme="minorHAnsi"/>
          <w:color w:val="000000" w:themeColor="text1"/>
          <w:szCs w:val="24"/>
        </w:rPr>
        <w:t xml:space="preserve">. </w:t>
      </w:r>
      <w:r w:rsidRPr="000D0226">
        <w:rPr>
          <w:rFonts w:asciiTheme="minorHAnsi" w:hAnsiTheme="minorHAnsi" w:cs="Arial"/>
          <w:iCs/>
          <w:color w:val="222222"/>
          <w:szCs w:val="24"/>
          <w:shd w:val="clear" w:color="auto" w:fill="FFFFFF"/>
        </w:rPr>
        <w:t>Department of Environmental Affairs, Republic of South Africa</w:t>
      </w:r>
      <w:r w:rsidRPr="000D0226">
        <w:rPr>
          <w:rFonts w:asciiTheme="minorHAnsi" w:hAnsiTheme="minorHAnsi" w:cs="Arial"/>
          <w:i/>
          <w:iCs/>
          <w:color w:val="222222"/>
          <w:szCs w:val="24"/>
          <w:shd w:val="clear" w:color="auto" w:fill="FFFFFF"/>
        </w:rPr>
        <w:t xml:space="preserve">. </w:t>
      </w:r>
    </w:p>
    <w:p w:rsidR="000D0226" w:rsidRPr="000D0226" w:rsidRDefault="000D0226" w:rsidP="000D0226">
      <w:pPr>
        <w:jc w:val="left"/>
        <w:rPr>
          <w:rFonts w:ascii="Times New Roman" w:hAnsi="Times New Roman"/>
          <w:color w:val="000000" w:themeColor="text1"/>
          <w:szCs w:val="24"/>
        </w:rPr>
      </w:pPr>
    </w:p>
    <w:p w:rsidR="000D0226" w:rsidRPr="000D0226" w:rsidRDefault="000D0226" w:rsidP="000D0226">
      <w:pPr>
        <w:jc w:val="left"/>
        <w:rPr>
          <w:color w:val="000000" w:themeColor="text1"/>
        </w:rPr>
      </w:pPr>
      <w:r w:rsidRPr="000D0226">
        <w:rPr>
          <w:color w:val="000000" w:themeColor="text1"/>
        </w:rPr>
        <w:t xml:space="preserve">Thouless CR, Sakwa J. 1995. Shocking elephants: Fences and crop raiders in Laikipia district, Kenya. </w:t>
      </w:r>
      <w:r w:rsidRPr="000D0226">
        <w:rPr>
          <w:i/>
          <w:color w:val="000000" w:themeColor="text1"/>
        </w:rPr>
        <w:t>Biological Conservation</w:t>
      </w:r>
      <w:r w:rsidRPr="000D0226">
        <w:rPr>
          <w:color w:val="000000" w:themeColor="text1"/>
        </w:rPr>
        <w:t xml:space="preserve"> 72: 99-107.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Todd SW, Hoffman MT. 1999. A fence-line contrast reveals effects of heavy grazing on plant diversity and community composition in Namaqualand, South Africa. </w:t>
      </w:r>
      <w:r w:rsidRPr="000D0226">
        <w:rPr>
          <w:i/>
          <w:color w:val="000000" w:themeColor="text1"/>
        </w:rPr>
        <w:t xml:space="preserve">Plant Ecology </w:t>
      </w:r>
      <w:r w:rsidRPr="000D0226">
        <w:rPr>
          <w:color w:val="000000" w:themeColor="text1"/>
        </w:rPr>
        <w:t xml:space="preserve">142: 169-178.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Treves A, Karanth KU. 2003. Human</w:t>
      </w:r>
      <w:r w:rsidRPr="000D0226">
        <w:rPr>
          <w:rFonts w:ascii="Cambria Math" w:hAnsi="Cambria Math" w:cs="Cambria Math"/>
          <w:color w:val="000000" w:themeColor="text1"/>
        </w:rPr>
        <w:t>‐</w:t>
      </w:r>
      <w:r w:rsidRPr="000D0226">
        <w:rPr>
          <w:color w:val="000000" w:themeColor="text1"/>
        </w:rPr>
        <w:t xml:space="preserve">carnivore conflict and perspectives on carnivore management worldwide. </w:t>
      </w:r>
      <w:r w:rsidRPr="000D0226">
        <w:rPr>
          <w:i/>
          <w:color w:val="000000" w:themeColor="text1"/>
        </w:rPr>
        <w:t xml:space="preserve">Conservation Biology </w:t>
      </w:r>
      <w:r w:rsidRPr="000D0226">
        <w:rPr>
          <w:color w:val="000000" w:themeColor="text1"/>
        </w:rPr>
        <w:t xml:space="preserve">17: 1491-1499.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lastRenderedPageBreak/>
        <w:t xml:space="preserve">Treves A, Naughton-Treves L. 2005. Evaluating lethal control in the management of human-wildlife conflict. In: Woodroffe R, Thirgood S, Rabinowitz A (eds), </w:t>
      </w:r>
      <w:r w:rsidRPr="000D0226">
        <w:rPr>
          <w:i/>
          <w:color w:val="000000" w:themeColor="text1"/>
        </w:rPr>
        <w:t>People and Wildlife: Conflict or Coexistence</w:t>
      </w:r>
      <w:r w:rsidRPr="000D0226">
        <w:rPr>
          <w:color w:val="000000" w:themeColor="text1"/>
        </w:rPr>
        <w:t>. Cambridge: Cambridge University Press. pp. 86-106.</w:t>
      </w:r>
    </w:p>
    <w:p w:rsidR="000D0226" w:rsidRPr="000D0226" w:rsidRDefault="000D0226" w:rsidP="000D0226">
      <w:pPr>
        <w:jc w:val="left"/>
        <w:rPr>
          <w:color w:val="000000" w:themeColor="text1"/>
          <w:highlight w:val="yellow"/>
        </w:rPr>
      </w:pPr>
    </w:p>
    <w:p w:rsidR="000D0226" w:rsidRPr="000D0226" w:rsidRDefault="000D0226" w:rsidP="000D0226">
      <w:pPr>
        <w:jc w:val="left"/>
        <w:rPr>
          <w:color w:val="000000" w:themeColor="text1"/>
        </w:rPr>
      </w:pPr>
      <w:r w:rsidRPr="000D0226">
        <w:rPr>
          <w:color w:val="000000" w:themeColor="text1"/>
        </w:rPr>
        <w:t xml:space="preserve">Van Oudtshoorn F. 2012. </w:t>
      </w:r>
      <w:r w:rsidRPr="000D0226">
        <w:rPr>
          <w:i/>
          <w:color w:val="000000" w:themeColor="text1"/>
        </w:rPr>
        <w:t xml:space="preserve">Guide to Grasses of Southern Africa </w:t>
      </w:r>
      <w:r w:rsidRPr="000D0226">
        <w:rPr>
          <w:color w:val="000000" w:themeColor="text1"/>
        </w:rPr>
        <w:t>(Third edition). Briza Publications.</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Vanak AT, Thaker M, Slotow R. 2010. Do fences create an edge-effect on the movement patterns of a highly mobile mega-herbivore? </w:t>
      </w:r>
      <w:r w:rsidRPr="000D0226">
        <w:rPr>
          <w:i/>
          <w:color w:val="000000" w:themeColor="text1"/>
        </w:rPr>
        <w:t>Biological Conservation</w:t>
      </w:r>
      <w:r w:rsidRPr="000D0226">
        <w:rPr>
          <w:color w:val="000000" w:themeColor="text1"/>
        </w:rPr>
        <w:t xml:space="preserve"> 143: 2631-2637.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Van Dyk G, Slotow R. 2003. The effects of fences and lions on the ecology of African wild dogs reintroduced to Pilanesberg National Park, South Africa. </w:t>
      </w:r>
      <w:r w:rsidRPr="000D0226">
        <w:rPr>
          <w:i/>
          <w:color w:val="000000" w:themeColor="text1"/>
        </w:rPr>
        <w:t>African Zoology</w:t>
      </w:r>
      <w:r w:rsidRPr="000D0226">
        <w:rPr>
          <w:color w:val="000000" w:themeColor="text1"/>
        </w:rPr>
        <w:t xml:space="preserve"> 38: 79-94.</w:t>
      </w:r>
    </w:p>
    <w:p w:rsidR="000D0226" w:rsidRPr="000D0226" w:rsidRDefault="000D0226" w:rsidP="000D0226">
      <w:pPr>
        <w:jc w:val="left"/>
        <w:rPr>
          <w:color w:val="000000" w:themeColor="text1"/>
        </w:rPr>
      </w:pPr>
    </w:p>
    <w:p w:rsidR="000D0226" w:rsidRPr="000D0226" w:rsidRDefault="000D0226" w:rsidP="000D0226">
      <w:pPr>
        <w:jc w:val="left"/>
        <w:rPr>
          <w:color w:val="222222"/>
          <w:shd w:val="clear" w:color="auto" w:fill="FFFFFF"/>
        </w:rPr>
      </w:pPr>
      <w:r w:rsidRPr="000D0226">
        <w:rPr>
          <w:color w:val="222222"/>
          <w:shd w:val="clear" w:color="auto" w:fill="FFFFFF"/>
        </w:rPr>
        <w:t>Welch RJ, Parker DM. 2016. Brown hyaena population explosion: rapid population growth in a small, fenced system.</w:t>
      </w:r>
      <w:r w:rsidRPr="000D0226">
        <w:rPr>
          <w:rFonts w:ascii="Times New Roman" w:hAnsi="Times New Roman"/>
          <w:color w:val="222222"/>
          <w:szCs w:val="24"/>
          <w:shd w:val="clear" w:color="auto" w:fill="FFFFFF"/>
        </w:rPr>
        <w:t> </w:t>
      </w:r>
      <w:r w:rsidRPr="000D0226">
        <w:rPr>
          <w:i/>
          <w:iCs/>
          <w:color w:val="222222"/>
          <w:shd w:val="clear" w:color="auto" w:fill="FFFFFF"/>
        </w:rPr>
        <w:t>Wildlife Research</w:t>
      </w:r>
      <w:r w:rsidRPr="000D0226">
        <w:rPr>
          <w:rFonts w:ascii="Times New Roman" w:hAnsi="Times New Roman"/>
          <w:i/>
          <w:color w:val="222222"/>
          <w:szCs w:val="24"/>
          <w:shd w:val="clear" w:color="auto" w:fill="FFFFFF"/>
        </w:rPr>
        <w:t> </w:t>
      </w:r>
      <w:r w:rsidRPr="000D0226">
        <w:rPr>
          <w:iCs/>
          <w:color w:val="222222"/>
          <w:shd w:val="clear" w:color="auto" w:fill="FFFFFF"/>
        </w:rPr>
        <w:t>4</w:t>
      </w:r>
      <w:r w:rsidRPr="000D0226">
        <w:rPr>
          <w:color w:val="222222"/>
          <w:shd w:val="clear" w:color="auto" w:fill="FFFFFF"/>
        </w:rPr>
        <w:t>3: 178-187.</w:t>
      </w:r>
    </w:p>
    <w:p w:rsidR="000D0226" w:rsidRPr="000D0226" w:rsidRDefault="000D0226" w:rsidP="000D0226">
      <w:pPr>
        <w:jc w:val="left"/>
      </w:pPr>
    </w:p>
    <w:p w:rsidR="000D0226" w:rsidRPr="000D0226" w:rsidRDefault="000D0226" w:rsidP="000D0226">
      <w:pPr>
        <w:jc w:val="left"/>
        <w:rPr>
          <w:color w:val="000000" w:themeColor="text1"/>
        </w:rPr>
      </w:pPr>
      <w:r w:rsidRPr="000D0226">
        <w:rPr>
          <w:color w:val="000000" w:themeColor="text1"/>
        </w:rPr>
        <w:t xml:space="preserve">Williamson D, Williamson J. 2009. Botswanan fences and the depletion of Kalihari wildlife. </w:t>
      </w:r>
      <w:r w:rsidRPr="000D0226">
        <w:rPr>
          <w:i/>
          <w:color w:val="000000" w:themeColor="text1"/>
        </w:rPr>
        <w:t>Oryx</w:t>
      </w:r>
      <w:r w:rsidRPr="000D0226">
        <w:rPr>
          <w:color w:val="000000" w:themeColor="text1"/>
        </w:rPr>
        <w:t xml:space="preserve"> 18: 218-222. </w:t>
      </w:r>
    </w:p>
    <w:p w:rsidR="000D0226" w:rsidRPr="000D0226" w:rsidRDefault="000D0226" w:rsidP="000D0226">
      <w:pPr>
        <w:jc w:val="left"/>
        <w:rPr>
          <w:color w:val="000000" w:themeColor="text1"/>
        </w:rPr>
      </w:pPr>
    </w:p>
    <w:p w:rsidR="000D0226" w:rsidRPr="000D0226" w:rsidRDefault="000D0226" w:rsidP="000D0226">
      <w:pPr>
        <w:jc w:val="left"/>
        <w:rPr>
          <w:color w:val="000000" w:themeColor="text1"/>
        </w:rPr>
      </w:pPr>
      <w:r w:rsidRPr="000D0226">
        <w:rPr>
          <w:color w:val="000000" w:themeColor="text1"/>
        </w:rPr>
        <w:t xml:space="preserve">Woodroffe R, Hedges S, Durant SM. 2014. To fence or not to fence. </w:t>
      </w:r>
      <w:r w:rsidRPr="000D0226">
        <w:rPr>
          <w:i/>
          <w:color w:val="000000" w:themeColor="text1"/>
        </w:rPr>
        <w:t>Science</w:t>
      </w:r>
      <w:r w:rsidRPr="000D0226">
        <w:rPr>
          <w:color w:val="000000" w:themeColor="text1"/>
        </w:rPr>
        <w:t xml:space="preserve"> 344: 46-48.</w:t>
      </w:r>
      <w:r w:rsidRPr="000D0226">
        <w:rPr>
          <w:color w:val="000000" w:themeColor="text1"/>
          <w:highlight w:val="yellow"/>
        </w:rPr>
        <w:t xml:space="preserve"> </w:t>
      </w:r>
    </w:p>
    <w:p w:rsidR="000D0226" w:rsidRPr="000D0226" w:rsidRDefault="000D0226" w:rsidP="000D0226">
      <w:pPr>
        <w:jc w:val="left"/>
      </w:pPr>
      <w:r w:rsidRPr="000D0226">
        <w:rPr>
          <w:highlight w:val="yellow"/>
        </w:rPr>
        <w:fldChar w:fldCharType="end"/>
      </w:r>
      <w:bookmarkStart w:id="1" w:name="_Ref443390156"/>
      <w:bookmarkStart w:id="2" w:name="_Ref443490500"/>
      <w:r w:rsidRPr="000D0226">
        <w:br w:type="page"/>
      </w:r>
    </w:p>
    <w:p w:rsidR="000D0226" w:rsidRPr="000D0226" w:rsidRDefault="000D0226" w:rsidP="000D0226">
      <w:r w:rsidRPr="000D0226">
        <w:lastRenderedPageBreak/>
        <w:t xml:space="preserve">Figure </w:t>
      </w:r>
      <w:bookmarkEnd w:id="1"/>
      <w:r w:rsidRPr="000D0226">
        <w:t>1: Perimeter fence of Thaba Tholo Wilderness Reserve showing the shared boundary with cattle farms (black) and game only farms (white dash) and location within South Africa (produced in Quantum GIS 2.8 2, using</w:t>
      </w:r>
      <w:r w:rsidR="00567760">
        <w:t xml:space="preserve"> Google</w:t>
      </w:r>
      <w:r w:rsidRPr="000D0226">
        <w:t xml:space="preserve"> maps downloaded 17 March 2015</w:t>
      </w:r>
      <w:bookmarkEnd w:id="2"/>
      <w:r w:rsidRPr="000D0226">
        <w:t>).</w:t>
      </w:r>
    </w:p>
    <w:p w:rsidR="000D0226" w:rsidRPr="000D0226" w:rsidRDefault="00567760" w:rsidP="000D0226">
      <w:bookmarkStart w:id="3" w:name="_Ref443390215"/>
      <w:r w:rsidRPr="00567760">
        <w:rPr>
          <w:noProof/>
          <w:lang w:eastAsia="en-GB"/>
        </w:rPr>
        <w:drawing>
          <wp:inline distT="0" distB="0" distL="0" distR="0">
            <wp:extent cx="4189811" cy="57245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0413" cy="5725348"/>
                    </a:xfrm>
                    <a:prstGeom prst="rect">
                      <a:avLst/>
                    </a:prstGeom>
                    <a:noFill/>
                    <a:ln>
                      <a:noFill/>
                    </a:ln>
                  </pic:spPr>
                </pic:pic>
              </a:graphicData>
            </a:graphic>
          </wp:inline>
        </w:drawing>
      </w:r>
    </w:p>
    <w:p w:rsidR="00482120" w:rsidRDefault="00482120" w:rsidP="000D0226"/>
    <w:p w:rsidR="00482120" w:rsidRDefault="00482120" w:rsidP="000D0226"/>
    <w:p w:rsidR="00482120" w:rsidRDefault="00482120" w:rsidP="000D0226"/>
    <w:p w:rsidR="00482120" w:rsidRDefault="00482120" w:rsidP="000D0226"/>
    <w:p w:rsidR="00482120" w:rsidRDefault="00482120" w:rsidP="000D0226"/>
    <w:p w:rsidR="00482120" w:rsidRDefault="00482120" w:rsidP="000D0226"/>
    <w:p w:rsidR="00482120" w:rsidRDefault="00482120" w:rsidP="000D0226"/>
    <w:p w:rsidR="00482120" w:rsidRDefault="00482120" w:rsidP="000D0226"/>
    <w:p w:rsidR="00482120" w:rsidRDefault="00482120" w:rsidP="000D0226"/>
    <w:p w:rsidR="00482120" w:rsidRDefault="00482120" w:rsidP="000D0226"/>
    <w:p w:rsidR="00482120" w:rsidRDefault="00482120" w:rsidP="000D0226"/>
    <w:p w:rsidR="00482120" w:rsidRDefault="00482120" w:rsidP="000D0226"/>
    <w:p w:rsidR="00482120" w:rsidRDefault="00482120" w:rsidP="000D0226"/>
    <w:p w:rsidR="00482120" w:rsidRDefault="00482120" w:rsidP="000D0226"/>
    <w:p w:rsidR="00482120" w:rsidRDefault="00482120" w:rsidP="000D0226"/>
    <w:p w:rsidR="000D0226" w:rsidRPr="000D0226" w:rsidRDefault="000D0226" w:rsidP="000D0226">
      <w:r w:rsidRPr="000D0226">
        <w:t xml:space="preserve">Figure </w:t>
      </w:r>
      <w:bookmarkEnd w:id="3"/>
      <w:r w:rsidRPr="000D0226">
        <w:t>2: Thaba Tholo Wilderness Reserve game fence a) the full height of the fence, and b) the four strands at the bottom of the fence and ground conditions at a hole viewed from above.</w:t>
      </w:r>
    </w:p>
    <w:p w:rsidR="000D0226" w:rsidRPr="000D0226" w:rsidRDefault="00482120" w:rsidP="000D0226">
      <w:r>
        <w:rPr>
          <w:noProof/>
          <w:lang w:eastAsia="en-GB"/>
        </w:rPr>
        <w:drawing>
          <wp:inline distT="0" distB="0" distL="0" distR="0" wp14:anchorId="3D9F5191" wp14:editId="2408EBB6">
            <wp:extent cx="5731510" cy="4436745"/>
            <wp:effectExtent l="0" t="0" r="2540" b="1905"/>
            <wp:docPr id="1" name="Picture 1" descr="C:\Users\tj913354\Desktop\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913354\Desktop\figure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436745"/>
                    </a:xfrm>
                    <a:prstGeom prst="rect">
                      <a:avLst/>
                    </a:prstGeom>
                    <a:noFill/>
                    <a:ln>
                      <a:noFill/>
                    </a:ln>
                  </pic:spPr>
                </pic:pic>
              </a:graphicData>
            </a:graphic>
          </wp:inline>
        </w:drawing>
      </w:r>
    </w:p>
    <w:p w:rsidR="00482120" w:rsidRDefault="00482120" w:rsidP="000D0226">
      <w:pPr>
        <w:rPr>
          <w:bCs/>
          <w:color w:val="000000" w:themeColor="text1"/>
        </w:rPr>
      </w:pPr>
      <w:bookmarkStart w:id="4" w:name="_Ref473200540"/>
      <w:bookmarkStart w:id="5" w:name="_Ref455581634"/>
    </w:p>
    <w:p w:rsidR="00482120" w:rsidRDefault="00482120" w:rsidP="000D0226">
      <w:pPr>
        <w:rPr>
          <w:bCs/>
          <w:color w:val="000000" w:themeColor="text1"/>
        </w:rPr>
      </w:pPr>
    </w:p>
    <w:p w:rsidR="00482120" w:rsidRDefault="00482120" w:rsidP="000D0226">
      <w:pPr>
        <w:rPr>
          <w:bCs/>
          <w:color w:val="000000" w:themeColor="text1"/>
        </w:rPr>
      </w:pPr>
    </w:p>
    <w:p w:rsidR="00482120" w:rsidRDefault="00482120" w:rsidP="000D0226">
      <w:pPr>
        <w:rPr>
          <w:bCs/>
          <w:color w:val="000000" w:themeColor="text1"/>
        </w:rPr>
      </w:pPr>
    </w:p>
    <w:p w:rsidR="00482120" w:rsidRDefault="00482120" w:rsidP="000D0226">
      <w:pPr>
        <w:rPr>
          <w:bCs/>
          <w:color w:val="000000" w:themeColor="text1"/>
        </w:rPr>
      </w:pPr>
    </w:p>
    <w:p w:rsidR="00482120" w:rsidRDefault="00482120" w:rsidP="000D0226">
      <w:pPr>
        <w:rPr>
          <w:bCs/>
          <w:color w:val="000000" w:themeColor="text1"/>
        </w:rPr>
      </w:pPr>
    </w:p>
    <w:p w:rsidR="00482120" w:rsidRDefault="00482120" w:rsidP="000D0226">
      <w:pPr>
        <w:rPr>
          <w:bCs/>
          <w:color w:val="000000" w:themeColor="text1"/>
        </w:rPr>
      </w:pPr>
    </w:p>
    <w:p w:rsidR="00482120" w:rsidRDefault="00482120" w:rsidP="000D0226">
      <w:pPr>
        <w:rPr>
          <w:bCs/>
          <w:color w:val="000000" w:themeColor="text1"/>
        </w:rPr>
      </w:pPr>
    </w:p>
    <w:p w:rsidR="00482120" w:rsidRDefault="00482120" w:rsidP="000D0226">
      <w:pPr>
        <w:rPr>
          <w:bCs/>
          <w:color w:val="000000" w:themeColor="text1"/>
        </w:rPr>
      </w:pPr>
    </w:p>
    <w:p w:rsidR="00482120" w:rsidRDefault="00482120" w:rsidP="000D0226">
      <w:pPr>
        <w:rPr>
          <w:bCs/>
          <w:color w:val="000000" w:themeColor="text1"/>
        </w:rPr>
      </w:pPr>
    </w:p>
    <w:p w:rsidR="000D0226" w:rsidRPr="000D0226" w:rsidRDefault="000D0226" w:rsidP="000D0226">
      <w:r w:rsidRPr="000D0226">
        <w:rPr>
          <w:bCs/>
          <w:color w:val="000000" w:themeColor="text1"/>
        </w:rPr>
        <w:t xml:space="preserve">Figure </w:t>
      </w:r>
      <w:bookmarkEnd w:id="4"/>
      <w:r w:rsidRPr="000D0226">
        <w:rPr>
          <w:bCs/>
          <w:color w:val="000000" w:themeColor="text1"/>
        </w:rPr>
        <w:t>3:</w:t>
      </w:r>
      <w:r w:rsidRPr="000D0226">
        <w:t xml:space="preserve"> </w:t>
      </w:r>
      <w:r w:rsidRPr="000D0226">
        <w:rPr>
          <w:bCs/>
          <w:color w:val="000000" w:themeColor="text1"/>
        </w:rPr>
        <w:t>Total counts for each species recorded immediately inside and outside of the fence categorized by status, with data from the 3.3km boundary with the neighbouring game farm removed.</w:t>
      </w:r>
      <w:r w:rsidR="00C10043">
        <w:rPr>
          <w:bCs/>
          <w:color w:val="000000" w:themeColor="text1"/>
        </w:rPr>
        <w:t xml:space="preserve"> </w:t>
      </w:r>
      <w:r w:rsidR="00C10043" w:rsidRPr="00C10043">
        <w:rPr>
          <w:bCs/>
          <w:color w:val="000000" w:themeColor="text1"/>
        </w:rPr>
        <w:t xml:space="preserve">All species need holes to cross the fence line unless otherwise noted. </w:t>
      </w:r>
      <w:r w:rsidRPr="000D0226">
        <w:rPr>
          <w:bCs/>
          <w:color w:val="000000" w:themeColor="text1"/>
        </w:rPr>
        <w:t>Species names appear in ascending order matching placement on the chart.</w:t>
      </w:r>
    </w:p>
    <w:bookmarkEnd w:id="5"/>
    <w:p w:rsidR="000D0226" w:rsidRPr="000D0226" w:rsidRDefault="00C10043" w:rsidP="000D0226">
      <w:r>
        <w:rPr>
          <w:noProof/>
          <w:lang w:eastAsia="en-GB"/>
        </w:rPr>
        <w:drawing>
          <wp:inline distT="0" distB="0" distL="0" distR="0">
            <wp:extent cx="5120640" cy="42062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0640" cy="4206240"/>
                    </a:xfrm>
                    <a:prstGeom prst="rect">
                      <a:avLst/>
                    </a:prstGeom>
                    <a:noFill/>
                    <a:ln>
                      <a:noFill/>
                    </a:ln>
                  </pic:spPr>
                </pic:pic>
              </a:graphicData>
            </a:graphic>
          </wp:inline>
        </w:drawing>
      </w:r>
    </w:p>
    <w:p w:rsidR="00482120" w:rsidRDefault="00482120" w:rsidP="000D0226">
      <w:pPr>
        <w:rPr>
          <w:bCs/>
          <w:color w:val="000000" w:themeColor="text1"/>
        </w:rPr>
      </w:pPr>
      <w:bookmarkStart w:id="6" w:name="_Ref473198828"/>
      <w:bookmarkStart w:id="7" w:name="_Ref443398117"/>
    </w:p>
    <w:p w:rsidR="00482120" w:rsidRDefault="00482120" w:rsidP="000D0226">
      <w:pPr>
        <w:rPr>
          <w:bCs/>
          <w:color w:val="000000" w:themeColor="text1"/>
        </w:rPr>
      </w:pPr>
    </w:p>
    <w:p w:rsidR="00482120" w:rsidRDefault="00482120" w:rsidP="000D0226">
      <w:pPr>
        <w:rPr>
          <w:bCs/>
          <w:color w:val="000000" w:themeColor="text1"/>
        </w:rPr>
      </w:pPr>
    </w:p>
    <w:p w:rsidR="00482120" w:rsidRDefault="00482120" w:rsidP="000D0226">
      <w:pPr>
        <w:rPr>
          <w:bCs/>
          <w:color w:val="000000" w:themeColor="text1"/>
        </w:rPr>
      </w:pPr>
    </w:p>
    <w:p w:rsidR="00482120" w:rsidRDefault="00482120" w:rsidP="000D0226">
      <w:pPr>
        <w:rPr>
          <w:bCs/>
          <w:color w:val="000000" w:themeColor="text1"/>
        </w:rPr>
      </w:pPr>
    </w:p>
    <w:p w:rsidR="00482120" w:rsidRDefault="00482120" w:rsidP="000D0226">
      <w:pPr>
        <w:rPr>
          <w:bCs/>
          <w:color w:val="000000" w:themeColor="text1"/>
        </w:rPr>
      </w:pPr>
    </w:p>
    <w:p w:rsidR="000D0226" w:rsidRPr="000D0226" w:rsidRDefault="000D0226" w:rsidP="000D0226">
      <w:r w:rsidRPr="000D0226">
        <w:rPr>
          <w:bCs/>
          <w:color w:val="000000" w:themeColor="text1"/>
        </w:rPr>
        <w:lastRenderedPageBreak/>
        <w:t xml:space="preserve">Figure </w:t>
      </w:r>
      <w:bookmarkEnd w:id="6"/>
      <w:r w:rsidRPr="000D0226">
        <w:rPr>
          <w:bCs/>
          <w:color w:val="000000" w:themeColor="text1"/>
        </w:rPr>
        <w:t xml:space="preserve">4: Total counts for each species recorded immediately inside and outside of the fence categorized by diet, with data from the 3.3km boundary with the neighbouring game farm removed. </w:t>
      </w:r>
      <w:r w:rsidR="00C10043" w:rsidRPr="00C10043">
        <w:rPr>
          <w:bCs/>
          <w:color w:val="000000" w:themeColor="text1"/>
        </w:rPr>
        <w:t xml:space="preserve">All species need holes to cross the fence line. </w:t>
      </w:r>
      <w:r w:rsidRPr="000D0226">
        <w:rPr>
          <w:bCs/>
          <w:color w:val="000000" w:themeColor="text1"/>
        </w:rPr>
        <w:t>Species names appear in ascending order matching placement on the chart.</w:t>
      </w:r>
    </w:p>
    <w:bookmarkEnd w:id="7"/>
    <w:p w:rsidR="000D0226" w:rsidRPr="000D0226" w:rsidRDefault="00C10043" w:rsidP="000D0226">
      <w:r>
        <w:rPr>
          <w:noProof/>
          <w:lang w:eastAsia="en-GB"/>
        </w:rPr>
        <w:drawing>
          <wp:inline distT="0" distB="0" distL="0" distR="0">
            <wp:extent cx="5120640" cy="43891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0640" cy="4389120"/>
                    </a:xfrm>
                    <a:prstGeom prst="rect">
                      <a:avLst/>
                    </a:prstGeom>
                    <a:noFill/>
                    <a:ln>
                      <a:noFill/>
                    </a:ln>
                  </pic:spPr>
                </pic:pic>
              </a:graphicData>
            </a:graphic>
          </wp:inline>
        </w:drawing>
      </w:r>
    </w:p>
    <w:p w:rsidR="00482120" w:rsidRDefault="00482120" w:rsidP="000D0226">
      <w:bookmarkStart w:id="8" w:name="_Ref473198858"/>
      <w:bookmarkStart w:id="9" w:name="_Ref443399214"/>
    </w:p>
    <w:p w:rsidR="00482120" w:rsidRDefault="00482120" w:rsidP="000D0226"/>
    <w:p w:rsidR="00482120" w:rsidRDefault="00482120" w:rsidP="000D0226"/>
    <w:p w:rsidR="00C10043" w:rsidRDefault="00C10043" w:rsidP="000D0226"/>
    <w:p w:rsidR="00C10043" w:rsidRDefault="00C10043" w:rsidP="000D0226"/>
    <w:p w:rsidR="00482120" w:rsidRDefault="00482120" w:rsidP="000D0226"/>
    <w:p w:rsidR="00482120" w:rsidRDefault="00482120" w:rsidP="000D0226"/>
    <w:p w:rsidR="00482120" w:rsidRDefault="00482120" w:rsidP="000D0226"/>
    <w:p w:rsidR="00482120" w:rsidRDefault="00482120" w:rsidP="000D0226"/>
    <w:p w:rsidR="000D0226" w:rsidRPr="000D0226" w:rsidRDefault="000D0226" w:rsidP="000D0226">
      <w:r w:rsidRPr="000D0226">
        <w:lastRenderedPageBreak/>
        <w:t xml:space="preserve">Figure </w:t>
      </w:r>
      <w:bookmarkEnd w:id="8"/>
      <w:r w:rsidRPr="000D0226">
        <w:t>5: Percentage of unused and used  holes for each size category; large (&gt;25cm), medium (&gt;10cm - &lt;25cm ) and small (&lt;10cm) holes found along the TTWR fence line, divided into non-used, used, game trail present and used with a game trail present.</w:t>
      </w:r>
    </w:p>
    <w:bookmarkEnd w:id="9"/>
    <w:p w:rsidR="000D0226" w:rsidRDefault="00482120" w:rsidP="000D0226">
      <w:pPr>
        <w:rPr>
          <w:u w:val="single"/>
        </w:rPr>
      </w:pPr>
      <w:r>
        <w:rPr>
          <w:noProof/>
          <w:lang w:eastAsia="en-GB"/>
        </w:rPr>
        <w:drawing>
          <wp:inline distT="0" distB="0" distL="0" distR="0" wp14:anchorId="43969FAA" wp14:editId="04781B79">
            <wp:extent cx="3051175" cy="3617595"/>
            <wp:effectExtent l="0" t="0" r="0" b="1905"/>
            <wp:docPr id="6" name="Picture 6" descr="C:\Users\tj913354\Documents\Projects\papers\fence paper\second resubmission\Figure 5_T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j913354\Documents\Projects\papers\fence paper\second resubmission\Figure 5_TP.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1175" cy="3617595"/>
                    </a:xfrm>
                    <a:prstGeom prst="rect">
                      <a:avLst/>
                    </a:prstGeom>
                    <a:noFill/>
                    <a:ln>
                      <a:noFill/>
                    </a:ln>
                  </pic:spPr>
                </pic:pic>
              </a:graphicData>
            </a:graphic>
          </wp:inline>
        </w:drawing>
      </w:r>
    </w:p>
    <w:p w:rsidR="00482120" w:rsidRDefault="00482120" w:rsidP="000D0226">
      <w:pPr>
        <w:rPr>
          <w:u w:val="single"/>
        </w:rPr>
      </w:pPr>
    </w:p>
    <w:p w:rsidR="00482120" w:rsidRDefault="00482120" w:rsidP="000D0226">
      <w:pPr>
        <w:rPr>
          <w:u w:val="single"/>
        </w:rPr>
      </w:pPr>
    </w:p>
    <w:p w:rsidR="00482120" w:rsidRDefault="00482120" w:rsidP="000D0226">
      <w:pPr>
        <w:rPr>
          <w:u w:val="single"/>
        </w:rPr>
      </w:pPr>
    </w:p>
    <w:p w:rsidR="00482120" w:rsidRDefault="00482120" w:rsidP="000D0226">
      <w:pPr>
        <w:rPr>
          <w:u w:val="single"/>
        </w:rPr>
      </w:pPr>
    </w:p>
    <w:p w:rsidR="00482120" w:rsidRPr="000D0226" w:rsidRDefault="00482120" w:rsidP="000D0226">
      <w:pPr>
        <w:rPr>
          <w:u w:val="single"/>
        </w:rPr>
      </w:pPr>
    </w:p>
    <w:p w:rsidR="000D0226" w:rsidRPr="000D0226" w:rsidRDefault="000D0226" w:rsidP="000D0226">
      <w:pPr>
        <w:rPr>
          <w:u w:val="single"/>
        </w:rPr>
      </w:pPr>
    </w:p>
    <w:p w:rsidR="000D0226" w:rsidRPr="000D0226" w:rsidRDefault="000D0226" w:rsidP="000D0226">
      <w:pPr>
        <w:rPr>
          <w:u w:val="single"/>
        </w:rPr>
      </w:pPr>
    </w:p>
    <w:p w:rsidR="000D0226" w:rsidRPr="000D0226" w:rsidRDefault="000D0226" w:rsidP="000D0226">
      <w:pPr>
        <w:rPr>
          <w:u w:val="single"/>
        </w:rPr>
      </w:pPr>
    </w:p>
    <w:p w:rsidR="000D0226" w:rsidRPr="000D0226" w:rsidRDefault="000D0226" w:rsidP="000D0226">
      <w:pPr>
        <w:rPr>
          <w:u w:val="single"/>
        </w:rPr>
      </w:pPr>
    </w:p>
    <w:p w:rsidR="000D0226" w:rsidRPr="000D0226" w:rsidRDefault="000D0226" w:rsidP="000D0226">
      <w:pPr>
        <w:rPr>
          <w:u w:val="single"/>
        </w:rPr>
      </w:pPr>
    </w:p>
    <w:p w:rsidR="000D0226" w:rsidRPr="000D0226" w:rsidRDefault="000D0226" w:rsidP="000D0226">
      <w:pPr>
        <w:rPr>
          <w:u w:val="single"/>
        </w:rPr>
      </w:pPr>
    </w:p>
    <w:p w:rsidR="000D0226" w:rsidRPr="000D0226" w:rsidRDefault="000D0226" w:rsidP="000D0226">
      <w:pPr>
        <w:rPr>
          <w:u w:val="single"/>
        </w:rPr>
      </w:pPr>
    </w:p>
    <w:p w:rsidR="000D0226" w:rsidRPr="000D0226" w:rsidRDefault="000D0226" w:rsidP="000D0226">
      <w:pPr>
        <w:rPr>
          <w:u w:val="single"/>
        </w:rPr>
      </w:pPr>
    </w:p>
    <w:p w:rsidR="000D0226" w:rsidRPr="000D0226" w:rsidRDefault="000D0226" w:rsidP="000D0226">
      <w:pPr>
        <w:rPr>
          <w:u w:val="single"/>
        </w:rPr>
      </w:pPr>
    </w:p>
    <w:p w:rsidR="000D0226" w:rsidRPr="000D0226" w:rsidRDefault="000D0226" w:rsidP="000D0226">
      <w:pPr>
        <w:rPr>
          <w:u w:val="single"/>
        </w:rPr>
      </w:pPr>
    </w:p>
    <w:p w:rsidR="000D0226" w:rsidRPr="000D0226" w:rsidRDefault="000D0226" w:rsidP="000D0226">
      <w:bookmarkStart w:id="10" w:name="_Ref473201945"/>
      <w:r w:rsidRPr="000D0226">
        <w:lastRenderedPageBreak/>
        <w:t xml:space="preserve">Table </w:t>
      </w:r>
      <w:bookmarkEnd w:id="10"/>
      <w:r w:rsidRPr="000D0226">
        <w:t>1: Number of records for each species documented utilizing a hole, the size of hole and whether there was a presence of a game trail.</w:t>
      </w:r>
    </w:p>
    <w:tbl>
      <w:tblPr>
        <w:tblStyle w:val="TableGrid"/>
        <w:tblW w:w="9846" w:type="dxa"/>
        <w:jc w:val="center"/>
        <w:tblLook w:val="04A0" w:firstRow="1" w:lastRow="0" w:firstColumn="1" w:lastColumn="0" w:noHBand="0" w:noVBand="1"/>
      </w:tblPr>
      <w:tblGrid>
        <w:gridCol w:w="1144"/>
        <w:gridCol w:w="2080"/>
        <w:gridCol w:w="2635"/>
        <w:gridCol w:w="2005"/>
        <w:gridCol w:w="764"/>
        <w:gridCol w:w="1218"/>
      </w:tblGrid>
      <w:tr w:rsidR="00482120" w:rsidRPr="007E6E46" w:rsidTr="00C9708D">
        <w:trPr>
          <w:jc w:val="center"/>
        </w:trPr>
        <w:tc>
          <w:tcPr>
            <w:tcW w:w="1144" w:type="dxa"/>
            <w:tcBorders>
              <w:top w:val="single" w:sz="4" w:space="0" w:color="auto"/>
              <w:left w:val="nil"/>
              <w:bottom w:val="single" w:sz="4" w:space="0" w:color="auto"/>
              <w:right w:val="nil"/>
            </w:tcBorders>
            <w:vAlign w:val="center"/>
          </w:tcPr>
          <w:p w:rsidR="00482120" w:rsidRPr="009552BB" w:rsidRDefault="00482120" w:rsidP="00C9708D">
            <w:pPr>
              <w:spacing w:line="240" w:lineRule="auto"/>
              <w:jc w:val="left"/>
              <w:rPr>
                <w:b/>
                <w:color w:val="000000"/>
                <w:sz w:val="22"/>
              </w:rPr>
            </w:pPr>
            <w:r w:rsidRPr="009552BB">
              <w:rPr>
                <w:b/>
                <w:color w:val="000000"/>
                <w:sz w:val="22"/>
              </w:rPr>
              <w:t>Hole</w:t>
            </w:r>
          </w:p>
        </w:tc>
        <w:tc>
          <w:tcPr>
            <w:tcW w:w="2080" w:type="dxa"/>
            <w:tcBorders>
              <w:top w:val="single" w:sz="4" w:space="0" w:color="auto"/>
              <w:left w:val="nil"/>
              <w:bottom w:val="single" w:sz="4" w:space="0" w:color="auto"/>
              <w:right w:val="nil"/>
            </w:tcBorders>
            <w:vAlign w:val="center"/>
          </w:tcPr>
          <w:p w:rsidR="00482120" w:rsidRPr="009552BB" w:rsidRDefault="00482120" w:rsidP="00C9708D">
            <w:pPr>
              <w:spacing w:line="240" w:lineRule="auto"/>
              <w:jc w:val="left"/>
              <w:rPr>
                <w:b/>
                <w:color w:val="000000"/>
                <w:sz w:val="22"/>
              </w:rPr>
            </w:pPr>
            <w:r w:rsidRPr="009552BB">
              <w:rPr>
                <w:b/>
                <w:color w:val="000000"/>
                <w:sz w:val="22"/>
              </w:rPr>
              <w:t>Species present</w:t>
            </w:r>
          </w:p>
        </w:tc>
        <w:tc>
          <w:tcPr>
            <w:tcW w:w="2635" w:type="dxa"/>
            <w:tcBorders>
              <w:top w:val="single" w:sz="4" w:space="0" w:color="auto"/>
              <w:left w:val="nil"/>
              <w:bottom w:val="single" w:sz="4" w:space="0" w:color="auto"/>
              <w:right w:val="nil"/>
            </w:tcBorders>
            <w:vAlign w:val="center"/>
          </w:tcPr>
          <w:p w:rsidR="00482120" w:rsidRPr="009552BB" w:rsidRDefault="00482120" w:rsidP="00C9708D">
            <w:pPr>
              <w:spacing w:line="240" w:lineRule="auto"/>
              <w:jc w:val="left"/>
              <w:rPr>
                <w:b/>
                <w:sz w:val="22"/>
              </w:rPr>
            </w:pPr>
            <w:r w:rsidRPr="009552BB">
              <w:rPr>
                <w:b/>
                <w:sz w:val="22"/>
              </w:rPr>
              <w:t>Binomial name</w:t>
            </w:r>
          </w:p>
        </w:tc>
        <w:tc>
          <w:tcPr>
            <w:tcW w:w="2005" w:type="dxa"/>
            <w:tcBorders>
              <w:top w:val="single" w:sz="4" w:space="0" w:color="auto"/>
              <w:left w:val="nil"/>
              <w:bottom w:val="single" w:sz="4" w:space="0" w:color="auto"/>
              <w:right w:val="nil"/>
            </w:tcBorders>
            <w:vAlign w:val="center"/>
          </w:tcPr>
          <w:p w:rsidR="00482120" w:rsidRPr="009552BB" w:rsidRDefault="00482120" w:rsidP="00C9708D">
            <w:pPr>
              <w:spacing w:line="240" w:lineRule="auto"/>
              <w:jc w:val="center"/>
              <w:rPr>
                <w:b/>
                <w:sz w:val="22"/>
              </w:rPr>
            </w:pPr>
            <w:r w:rsidRPr="009552BB">
              <w:rPr>
                <w:b/>
                <w:sz w:val="22"/>
              </w:rPr>
              <w:t>Taxonomic authority</w:t>
            </w:r>
          </w:p>
        </w:tc>
        <w:tc>
          <w:tcPr>
            <w:tcW w:w="764" w:type="dxa"/>
            <w:tcBorders>
              <w:top w:val="single" w:sz="4" w:space="0" w:color="auto"/>
              <w:left w:val="nil"/>
              <w:bottom w:val="single" w:sz="4" w:space="0" w:color="auto"/>
              <w:right w:val="nil"/>
            </w:tcBorders>
            <w:vAlign w:val="center"/>
          </w:tcPr>
          <w:p w:rsidR="00482120" w:rsidRPr="009552BB" w:rsidRDefault="00482120" w:rsidP="00C9708D">
            <w:pPr>
              <w:spacing w:line="240" w:lineRule="auto"/>
              <w:jc w:val="center"/>
              <w:rPr>
                <w:b/>
                <w:sz w:val="22"/>
              </w:rPr>
            </w:pPr>
            <w:r w:rsidRPr="009552BB">
              <w:rPr>
                <w:b/>
                <w:sz w:val="22"/>
              </w:rPr>
              <w:t>Count</w:t>
            </w:r>
          </w:p>
        </w:tc>
        <w:tc>
          <w:tcPr>
            <w:tcW w:w="1218" w:type="dxa"/>
            <w:tcBorders>
              <w:top w:val="single" w:sz="4" w:space="0" w:color="auto"/>
              <w:left w:val="nil"/>
              <w:bottom w:val="single" w:sz="4" w:space="0" w:color="auto"/>
              <w:right w:val="nil"/>
            </w:tcBorders>
            <w:vAlign w:val="center"/>
          </w:tcPr>
          <w:p w:rsidR="00482120" w:rsidRPr="009552BB" w:rsidRDefault="00482120" w:rsidP="00C9708D">
            <w:pPr>
              <w:spacing w:line="240" w:lineRule="auto"/>
              <w:jc w:val="center"/>
              <w:rPr>
                <w:b/>
                <w:sz w:val="22"/>
              </w:rPr>
            </w:pPr>
            <w:r w:rsidRPr="009552BB">
              <w:rPr>
                <w:b/>
                <w:sz w:val="22"/>
              </w:rPr>
              <w:t>Game trail presence</w:t>
            </w:r>
          </w:p>
        </w:tc>
      </w:tr>
      <w:tr w:rsidR="00482120" w:rsidRPr="007E6E46" w:rsidTr="00C9708D">
        <w:trPr>
          <w:jc w:val="center"/>
        </w:trPr>
        <w:tc>
          <w:tcPr>
            <w:tcW w:w="1144" w:type="dxa"/>
            <w:vMerge w:val="restart"/>
            <w:tcBorders>
              <w:top w:val="single" w:sz="4" w:space="0" w:color="auto"/>
              <w:left w:val="nil"/>
              <w:right w:val="nil"/>
            </w:tcBorders>
            <w:vAlign w:val="center"/>
          </w:tcPr>
          <w:p w:rsidR="00482120" w:rsidRPr="009552BB" w:rsidRDefault="00482120" w:rsidP="00C9708D">
            <w:pPr>
              <w:spacing w:line="240" w:lineRule="auto"/>
              <w:rPr>
                <w:b/>
                <w:color w:val="000000"/>
                <w:sz w:val="22"/>
              </w:rPr>
            </w:pPr>
            <w:r w:rsidRPr="009552BB">
              <w:rPr>
                <w:b/>
                <w:color w:val="000000"/>
                <w:sz w:val="22"/>
              </w:rPr>
              <w:t>Small</w:t>
            </w:r>
          </w:p>
        </w:tc>
        <w:tc>
          <w:tcPr>
            <w:tcW w:w="2080" w:type="dxa"/>
            <w:tcBorders>
              <w:top w:val="single" w:sz="4" w:space="0" w:color="auto"/>
              <w:left w:val="nil"/>
              <w:bottom w:val="nil"/>
              <w:right w:val="nil"/>
            </w:tcBorders>
            <w:vAlign w:val="center"/>
          </w:tcPr>
          <w:p w:rsidR="00482120" w:rsidRPr="009552BB" w:rsidRDefault="00482120" w:rsidP="00C9708D">
            <w:pPr>
              <w:spacing w:line="240" w:lineRule="auto"/>
              <w:rPr>
                <w:rFonts w:asciiTheme="minorHAnsi" w:hAnsiTheme="minorHAnsi"/>
                <w:color w:val="000000"/>
                <w:sz w:val="22"/>
              </w:rPr>
            </w:pPr>
            <w:r w:rsidRPr="009552BB">
              <w:rPr>
                <w:rFonts w:asciiTheme="minorHAnsi" w:hAnsiTheme="minorHAnsi"/>
                <w:color w:val="000000"/>
                <w:sz w:val="22"/>
              </w:rPr>
              <w:t>Rock hyrax</w:t>
            </w:r>
          </w:p>
        </w:tc>
        <w:tc>
          <w:tcPr>
            <w:tcW w:w="2635" w:type="dxa"/>
            <w:tcBorders>
              <w:top w:val="single" w:sz="4" w:space="0" w:color="auto"/>
              <w:left w:val="nil"/>
              <w:bottom w:val="nil"/>
              <w:right w:val="nil"/>
            </w:tcBorders>
            <w:vAlign w:val="center"/>
          </w:tcPr>
          <w:p w:rsidR="00482120" w:rsidRPr="009552BB" w:rsidRDefault="00482120" w:rsidP="00C9708D">
            <w:pPr>
              <w:spacing w:line="240" w:lineRule="auto"/>
              <w:rPr>
                <w:rFonts w:asciiTheme="minorHAnsi" w:hAnsiTheme="minorHAnsi"/>
                <w:i/>
                <w:sz w:val="22"/>
              </w:rPr>
            </w:pPr>
            <w:r w:rsidRPr="009552BB">
              <w:rPr>
                <w:rFonts w:asciiTheme="minorHAnsi" w:hAnsiTheme="minorHAnsi"/>
                <w:i/>
                <w:sz w:val="22"/>
              </w:rPr>
              <w:t>Procavia capensis</w:t>
            </w:r>
          </w:p>
        </w:tc>
        <w:tc>
          <w:tcPr>
            <w:tcW w:w="2005" w:type="dxa"/>
            <w:tcBorders>
              <w:top w:val="single" w:sz="4" w:space="0" w:color="auto"/>
              <w:left w:val="nil"/>
              <w:bottom w:val="nil"/>
              <w:right w:val="nil"/>
            </w:tcBorders>
          </w:tcPr>
          <w:p w:rsidR="00482120" w:rsidRPr="009552BB" w:rsidRDefault="00482120" w:rsidP="00C9708D">
            <w:pPr>
              <w:spacing w:line="240" w:lineRule="auto"/>
              <w:jc w:val="center"/>
              <w:rPr>
                <w:rFonts w:asciiTheme="minorHAnsi" w:hAnsiTheme="minorHAnsi"/>
                <w:sz w:val="22"/>
              </w:rPr>
            </w:pPr>
            <w:r w:rsidRPr="00D74092">
              <w:rPr>
                <w:rFonts w:asciiTheme="minorHAnsi" w:hAnsiTheme="minorHAnsi"/>
                <w:sz w:val="22"/>
              </w:rPr>
              <w:t>Pallas, 1766</w:t>
            </w:r>
          </w:p>
        </w:tc>
        <w:tc>
          <w:tcPr>
            <w:tcW w:w="764" w:type="dxa"/>
            <w:tcBorders>
              <w:top w:val="single" w:sz="4" w:space="0" w:color="auto"/>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1</w:t>
            </w:r>
          </w:p>
        </w:tc>
        <w:tc>
          <w:tcPr>
            <w:tcW w:w="1218" w:type="dxa"/>
            <w:tcBorders>
              <w:top w:val="single" w:sz="4" w:space="0" w:color="auto"/>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1</w:t>
            </w:r>
          </w:p>
        </w:tc>
      </w:tr>
      <w:tr w:rsidR="00482120" w:rsidRPr="007E6E46" w:rsidTr="00C9708D">
        <w:trPr>
          <w:jc w:val="center"/>
        </w:trPr>
        <w:tc>
          <w:tcPr>
            <w:tcW w:w="1144" w:type="dxa"/>
            <w:vMerge/>
            <w:tcBorders>
              <w:left w:val="nil"/>
              <w:bottom w:val="single" w:sz="4" w:space="0" w:color="auto"/>
              <w:right w:val="nil"/>
            </w:tcBorders>
            <w:vAlign w:val="center"/>
          </w:tcPr>
          <w:p w:rsidR="00482120" w:rsidRPr="009552BB" w:rsidRDefault="00482120" w:rsidP="00C9708D">
            <w:pPr>
              <w:spacing w:line="240" w:lineRule="auto"/>
              <w:rPr>
                <w:b/>
                <w:color w:val="000000"/>
                <w:sz w:val="22"/>
              </w:rPr>
            </w:pPr>
          </w:p>
        </w:tc>
        <w:tc>
          <w:tcPr>
            <w:tcW w:w="2080" w:type="dxa"/>
            <w:tcBorders>
              <w:top w:val="nil"/>
              <w:left w:val="nil"/>
              <w:bottom w:val="single" w:sz="4" w:space="0" w:color="auto"/>
              <w:right w:val="nil"/>
            </w:tcBorders>
            <w:vAlign w:val="center"/>
          </w:tcPr>
          <w:p w:rsidR="00482120" w:rsidRPr="009552BB" w:rsidRDefault="00482120" w:rsidP="00C9708D">
            <w:pPr>
              <w:spacing w:line="240" w:lineRule="auto"/>
              <w:rPr>
                <w:rFonts w:asciiTheme="minorHAnsi" w:hAnsiTheme="minorHAnsi"/>
                <w:color w:val="000000"/>
                <w:sz w:val="22"/>
              </w:rPr>
            </w:pPr>
            <w:r w:rsidRPr="009552BB">
              <w:rPr>
                <w:rFonts w:asciiTheme="minorHAnsi" w:hAnsiTheme="minorHAnsi"/>
                <w:color w:val="000000"/>
                <w:sz w:val="22"/>
              </w:rPr>
              <w:t>Smith’s rock rabbit</w:t>
            </w:r>
          </w:p>
        </w:tc>
        <w:tc>
          <w:tcPr>
            <w:tcW w:w="2635" w:type="dxa"/>
            <w:tcBorders>
              <w:top w:val="nil"/>
              <w:left w:val="nil"/>
              <w:bottom w:val="single" w:sz="4" w:space="0" w:color="auto"/>
              <w:right w:val="nil"/>
            </w:tcBorders>
            <w:vAlign w:val="center"/>
          </w:tcPr>
          <w:p w:rsidR="00482120" w:rsidRPr="009552BB" w:rsidRDefault="00482120" w:rsidP="00C9708D">
            <w:pPr>
              <w:spacing w:line="240" w:lineRule="auto"/>
              <w:rPr>
                <w:rFonts w:asciiTheme="minorHAnsi" w:hAnsiTheme="minorHAnsi"/>
                <w:i/>
                <w:sz w:val="22"/>
              </w:rPr>
            </w:pPr>
            <w:r w:rsidRPr="009552BB">
              <w:rPr>
                <w:rFonts w:asciiTheme="minorHAnsi" w:hAnsiTheme="minorHAnsi"/>
                <w:i/>
                <w:sz w:val="22"/>
              </w:rPr>
              <w:t>Pronolagus rupestris</w:t>
            </w:r>
          </w:p>
        </w:tc>
        <w:tc>
          <w:tcPr>
            <w:tcW w:w="2005" w:type="dxa"/>
            <w:tcBorders>
              <w:top w:val="nil"/>
              <w:left w:val="nil"/>
              <w:bottom w:val="single" w:sz="4" w:space="0" w:color="auto"/>
              <w:right w:val="nil"/>
            </w:tcBorders>
          </w:tcPr>
          <w:p w:rsidR="00482120" w:rsidRPr="009552BB" w:rsidRDefault="00482120" w:rsidP="00C9708D">
            <w:pPr>
              <w:spacing w:line="240" w:lineRule="auto"/>
              <w:jc w:val="center"/>
              <w:rPr>
                <w:rFonts w:asciiTheme="minorHAnsi" w:hAnsiTheme="minorHAnsi"/>
                <w:sz w:val="22"/>
              </w:rPr>
            </w:pPr>
            <w:r w:rsidRPr="00D74092">
              <w:rPr>
                <w:rFonts w:asciiTheme="minorHAnsi" w:hAnsiTheme="minorHAnsi"/>
                <w:sz w:val="22"/>
              </w:rPr>
              <w:t>A. Smith, 1834</w:t>
            </w:r>
          </w:p>
        </w:tc>
        <w:tc>
          <w:tcPr>
            <w:tcW w:w="764" w:type="dxa"/>
            <w:tcBorders>
              <w:top w:val="nil"/>
              <w:left w:val="nil"/>
              <w:bottom w:val="single" w:sz="4" w:space="0" w:color="auto"/>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1</w:t>
            </w:r>
          </w:p>
        </w:tc>
        <w:tc>
          <w:tcPr>
            <w:tcW w:w="1218" w:type="dxa"/>
            <w:tcBorders>
              <w:top w:val="nil"/>
              <w:left w:val="nil"/>
              <w:bottom w:val="single" w:sz="4" w:space="0" w:color="auto"/>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1</w:t>
            </w:r>
          </w:p>
        </w:tc>
      </w:tr>
      <w:tr w:rsidR="00482120" w:rsidRPr="007E6E46" w:rsidTr="00C9708D">
        <w:trPr>
          <w:jc w:val="center"/>
        </w:trPr>
        <w:tc>
          <w:tcPr>
            <w:tcW w:w="1144" w:type="dxa"/>
            <w:vMerge w:val="restart"/>
            <w:tcBorders>
              <w:top w:val="single" w:sz="4" w:space="0" w:color="auto"/>
              <w:left w:val="nil"/>
              <w:right w:val="nil"/>
            </w:tcBorders>
            <w:vAlign w:val="center"/>
          </w:tcPr>
          <w:p w:rsidR="00482120" w:rsidRPr="009552BB" w:rsidRDefault="00482120" w:rsidP="00C9708D">
            <w:pPr>
              <w:spacing w:line="240" w:lineRule="auto"/>
              <w:rPr>
                <w:b/>
                <w:color w:val="000000"/>
                <w:sz w:val="22"/>
              </w:rPr>
            </w:pPr>
            <w:r w:rsidRPr="009552BB">
              <w:rPr>
                <w:b/>
                <w:color w:val="000000"/>
                <w:sz w:val="22"/>
              </w:rPr>
              <w:t>Medium</w:t>
            </w:r>
          </w:p>
        </w:tc>
        <w:tc>
          <w:tcPr>
            <w:tcW w:w="2080" w:type="dxa"/>
            <w:tcBorders>
              <w:top w:val="single" w:sz="4" w:space="0" w:color="auto"/>
              <w:left w:val="nil"/>
              <w:bottom w:val="nil"/>
              <w:right w:val="nil"/>
            </w:tcBorders>
            <w:vAlign w:val="center"/>
          </w:tcPr>
          <w:p w:rsidR="00482120" w:rsidRPr="009552BB" w:rsidRDefault="00482120" w:rsidP="00C9708D">
            <w:pPr>
              <w:spacing w:line="240" w:lineRule="auto"/>
              <w:rPr>
                <w:rFonts w:asciiTheme="minorHAnsi" w:hAnsiTheme="minorHAnsi"/>
                <w:color w:val="000000"/>
                <w:sz w:val="22"/>
              </w:rPr>
            </w:pPr>
            <w:r w:rsidRPr="009552BB">
              <w:rPr>
                <w:rFonts w:asciiTheme="minorHAnsi" w:hAnsiTheme="minorHAnsi"/>
                <w:color w:val="000000"/>
                <w:sz w:val="22"/>
              </w:rPr>
              <w:t>Baboon</w:t>
            </w:r>
          </w:p>
        </w:tc>
        <w:tc>
          <w:tcPr>
            <w:tcW w:w="2635" w:type="dxa"/>
            <w:tcBorders>
              <w:top w:val="single" w:sz="4" w:space="0" w:color="auto"/>
              <w:left w:val="nil"/>
              <w:bottom w:val="nil"/>
              <w:right w:val="nil"/>
            </w:tcBorders>
            <w:vAlign w:val="center"/>
          </w:tcPr>
          <w:p w:rsidR="00482120" w:rsidRPr="009552BB" w:rsidRDefault="00482120" w:rsidP="00C9708D">
            <w:pPr>
              <w:spacing w:line="240" w:lineRule="auto"/>
              <w:rPr>
                <w:rFonts w:asciiTheme="minorHAnsi" w:hAnsiTheme="minorHAnsi"/>
                <w:i/>
                <w:sz w:val="22"/>
              </w:rPr>
            </w:pPr>
            <w:r w:rsidRPr="009552BB">
              <w:rPr>
                <w:rFonts w:asciiTheme="minorHAnsi" w:hAnsiTheme="minorHAnsi"/>
                <w:i/>
                <w:sz w:val="22"/>
              </w:rPr>
              <w:t>Papio ursinus</w:t>
            </w:r>
          </w:p>
        </w:tc>
        <w:tc>
          <w:tcPr>
            <w:tcW w:w="2005" w:type="dxa"/>
            <w:tcBorders>
              <w:top w:val="single" w:sz="4" w:space="0" w:color="auto"/>
              <w:left w:val="nil"/>
              <w:bottom w:val="nil"/>
              <w:right w:val="nil"/>
            </w:tcBorders>
          </w:tcPr>
          <w:p w:rsidR="00482120" w:rsidRPr="009552BB" w:rsidRDefault="00482120" w:rsidP="00C9708D">
            <w:pPr>
              <w:spacing w:line="240" w:lineRule="auto"/>
              <w:jc w:val="center"/>
              <w:rPr>
                <w:rFonts w:asciiTheme="minorHAnsi" w:hAnsiTheme="minorHAnsi"/>
                <w:sz w:val="22"/>
              </w:rPr>
            </w:pPr>
            <w:r w:rsidRPr="00D74092">
              <w:rPr>
                <w:rFonts w:asciiTheme="minorHAnsi" w:hAnsiTheme="minorHAnsi"/>
                <w:sz w:val="22"/>
              </w:rPr>
              <w:t>Kerr, 1792</w:t>
            </w:r>
          </w:p>
        </w:tc>
        <w:tc>
          <w:tcPr>
            <w:tcW w:w="764" w:type="dxa"/>
            <w:tcBorders>
              <w:top w:val="single" w:sz="4" w:space="0" w:color="auto"/>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4</w:t>
            </w:r>
          </w:p>
        </w:tc>
        <w:tc>
          <w:tcPr>
            <w:tcW w:w="1218" w:type="dxa"/>
            <w:tcBorders>
              <w:top w:val="single" w:sz="4" w:space="0" w:color="auto"/>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4</w:t>
            </w:r>
          </w:p>
        </w:tc>
      </w:tr>
      <w:tr w:rsidR="00482120" w:rsidRPr="007E6E46" w:rsidTr="00C9708D">
        <w:trPr>
          <w:jc w:val="center"/>
        </w:trPr>
        <w:tc>
          <w:tcPr>
            <w:tcW w:w="1144" w:type="dxa"/>
            <w:vMerge/>
            <w:tcBorders>
              <w:left w:val="nil"/>
              <w:right w:val="nil"/>
            </w:tcBorders>
            <w:vAlign w:val="center"/>
          </w:tcPr>
          <w:p w:rsidR="00482120" w:rsidRPr="009552BB" w:rsidRDefault="00482120" w:rsidP="00C9708D">
            <w:pPr>
              <w:spacing w:line="240" w:lineRule="auto"/>
              <w:rPr>
                <w:b/>
                <w:color w:val="000000"/>
                <w:sz w:val="22"/>
              </w:rPr>
            </w:pPr>
          </w:p>
        </w:tc>
        <w:tc>
          <w:tcPr>
            <w:tcW w:w="2080" w:type="dxa"/>
            <w:tcBorders>
              <w:top w:val="nil"/>
              <w:left w:val="nil"/>
              <w:bottom w:val="nil"/>
              <w:right w:val="nil"/>
            </w:tcBorders>
            <w:vAlign w:val="center"/>
          </w:tcPr>
          <w:p w:rsidR="00482120" w:rsidRPr="009552BB" w:rsidRDefault="00482120" w:rsidP="00C9708D">
            <w:pPr>
              <w:spacing w:line="240" w:lineRule="auto"/>
              <w:rPr>
                <w:rFonts w:asciiTheme="minorHAnsi" w:hAnsiTheme="minorHAnsi"/>
                <w:color w:val="000000"/>
                <w:sz w:val="22"/>
              </w:rPr>
            </w:pPr>
            <w:r w:rsidRPr="009552BB">
              <w:rPr>
                <w:rFonts w:asciiTheme="minorHAnsi" w:hAnsiTheme="minorHAnsi"/>
                <w:color w:val="000000"/>
                <w:sz w:val="22"/>
              </w:rPr>
              <w:t>Meller’s mongoose</w:t>
            </w:r>
          </w:p>
        </w:tc>
        <w:tc>
          <w:tcPr>
            <w:tcW w:w="2635" w:type="dxa"/>
            <w:tcBorders>
              <w:top w:val="nil"/>
              <w:left w:val="nil"/>
              <w:bottom w:val="nil"/>
              <w:right w:val="nil"/>
            </w:tcBorders>
            <w:vAlign w:val="center"/>
          </w:tcPr>
          <w:p w:rsidR="00482120" w:rsidRPr="009552BB" w:rsidRDefault="00482120" w:rsidP="00C9708D">
            <w:pPr>
              <w:spacing w:line="240" w:lineRule="auto"/>
              <w:rPr>
                <w:rFonts w:asciiTheme="minorHAnsi" w:hAnsiTheme="minorHAnsi"/>
                <w:i/>
                <w:sz w:val="22"/>
              </w:rPr>
            </w:pPr>
            <w:r w:rsidRPr="009552BB">
              <w:rPr>
                <w:rFonts w:asciiTheme="minorHAnsi" w:hAnsiTheme="minorHAnsi"/>
                <w:i/>
                <w:sz w:val="22"/>
              </w:rPr>
              <w:t xml:space="preserve">Rhynchogale melleri </w:t>
            </w:r>
          </w:p>
        </w:tc>
        <w:tc>
          <w:tcPr>
            <w:tcW w:w="2005" w:type="dxa"/>
            <w:tcBorders>
              <w:top w:val="nil"/>
              <w:left w:val="nil"/>
              <w:bottom w:val="nil"/>
              <w:right w:val="nil"/>
            </w:tcBorders>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cs="Arial"/>
                <w:color w:val="000000"/>
                <w:sz w:val="22"/>
                <w:shd w:val="clear" w:color="auto" w:fill="FFFFFF"/>
              </w:rPr>
              <w:t>Gray, 1865</w:t>
            </w:r>
          </w:p>
        </w:tc>
        <w:tc>
          <w:tcPr>
            <w:tcW w:w="764" w:type="dxa"/>
            <w:tcBorders>
              <w:top w:val="nil"/>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1</w:t>
            </w:r>
          </w:p>
        </w:tc>
        <w:tc>
          <w:tcPr>
            <w:tcW w:w="1218" w:type="dxa"/>
            <w:tcBorders>
              <w:top w:val="nil"/>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1</w:t>
            </w:r>
          </w:p>
        </w:tc>
      </w:tr>
      <w:tr w:rsidR="00482120" w:rsidRPr="007E6E46" w:rsidTr="00C9708D">
        <w:trPr>
          <w:jc w:val="center"/>
        </w:trPr>
        <w:tc>
          <w:tcPr>
            <w:tcW w:w="1144" w:type="dxa"/>
            <w:vMerge/>
            <w:tcBorders>
              <w:left w:val="nil"/>
              <w:bottom w:val="single" w:sz="4" w:space="0" w:color="auto"/>
              <w:right w:val="nil"/>
            </w:tcBorders>
            <w:vAlign w:val="center"/>
          </w:tcPr>
          <w:p w:rsidR="00482120" w:rsidRPr="009552BB" w:rsidRDefault="00482120" w:rsidP="00C9708D">
            <w:pPr>
              <w:spacing w:line="240" w:lineRule="auto"/>
              <w:rPr>
                <w:b/>
                <w:color w:val="000000"/>
                <w:sz w:val="22"/>
              </w:rPr>
            </w:pPr>
          </w:p>
        </w:tc>
        <w:tc>
          <w:tcPr>
            <w:tcW w:w="2080" w:type="dxa"/>
            <w:tcBorders>
              <w:top w:val="nil"/>
              <w:left w:val="nil"/>
              <w:bottom w:val="single" w:sz="4" w:space="0" w:color="auto"/>
              <w:right w:val="nil"/>
            </w:tcBorders>
            <w:vAlign w:val="center"/>
          </w:tcPr>
          <w:p w:rsidR="00482120" w:rsidRPr="009552BB" w:rsidRDefault="00482120" w:rsidP="00C9708D">
            <w:pPr>
              <w:spacing w:line="240" w:lineRule="auto"/>
              <w:rPr>
                <w:rFonts w:asciiTheme="minorHAnsi" w:hAnsiTheme="minorHAnsi"/>
                <w:color w:val="000000"/>
                <w:sz w:val="22"/>
              </w:rPr>
            </w:pPr>
            <w:r w:rsidRPr="009552BB">
              <w:rPr>
                <w:rFonts w:asciiTheme="minorHAnsi" w:hAnsiTheme="minorHAnsi"/>
                <w:sz w:val="22"/>
              </w:rPr>
              <w:t>Vervet monkey</w:t>
            </w:r>
          </w:p>
        </w:tc>
        <w:tc>
          <w:tcPr>
            <w:tcW w:w="2635" w:type="dxa"/>
            <w:tcBorders>
              <w:top w:val="nil"/>
              <w:left w:val="nil"/>
              <w:bottom w:val="single" w:sz="4" w:space="0" w:color="auto"/>
              <w:right w:val="nil"/>
            </w:tcBorders>
            <w:vAlign w:val="center"/>
          </w:tcPr>
          <w:p w:rsidR="00482120" w:rsidRPr="009552BB" w:rsidRDefault="00482120" w:rsidP="00C9708D">
            <w:pPr>
              <w:spacing w:line="240" w:lineRule="auto"/>
              <w:rPr>
                <w:rFonts w:asciiTheme="minorHAnsi" w:hAnsiTheme="minorHAnsi"/>
                <w:sz w:val="22"/>
              </w:rPr>
            </w:pPr>
            <w:r w:rsidRPr="009552BB">
              <w:rPr>
                <w:rFonts w:asciiTheme="minorHAnsi" w:hAnsiTheme="minorHAnsi"/>
                <w:i/>
                <w:sz w:val="22"/>
              </w:rPr>
              <w:t>Chlorocebus pygerythrus</w:t>
            </w:r>
            <w:r w:rsidRPr="009552BB">
              <w:rPr>
                <w:rFonts w:asciiTheme="minorHAnsi" w:hAnsiTheme="minorHAnsi"/>
                <w:sz w:val="22"/>
              </w:rPr>
              <w:t xml:space="preserve"> </w:t>
            </w:r>
          </w:p>
        </w:tc>
        <w:tc>
          <w:tcPr>
            <w:tcW w:w="2005" w:type="dxa"/>
            <w:tcBorders>
              <w:top w:val="nil"/>
              <w:left w:val="nil"/>
              <w:bottom w:val="single" w:sz="4" w:space="0" w:color="auto"/>
              <w:right w:val="nil"/>
            </w:tcBorders>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F. Cuvier, 1821</w:t>
            </w:r>
          </w:p>
        </w:tc>
        <w:tc>
          <w:tcPr>
            <w:tcW w:w="764" w:type="dxa"/>
            <w:tcBorders>
              <w:top w:val="nil"/>
              <w:left w:val="nil"/>
              <w:bottom w:val="single" w:sz="4" w:space="0" w:color="auto"/>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1</w:t>
            </w:r>
          </w:p>
        </w:tc>
        <w:tc>
          <w:tcPr>
            <w:tcW w:w="1218" w:type="dxa"/>
            <w:tcBorders>
              <w:top w:val="nil"/>
              <w:left w:val="nil"/>
              <w:bottom w:val="single" w:sz="4" w:space="0" w:color="auto"/>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1</w:t>
            </w:r>
          </w:p>
        </w:tc>
      </w:tr>
      <w:tr w:rsidR="00482120" w:rsidRPr="007E6E46" w:rsidTr="00C9708D">
        <w:trPr>
          <w:jc w:val="center"/>
        </w:trPr>
        <w:tc>
          <w:tcPr>
            <w:tcW w:w="1144" w:type="dxa"/>
            <w:vMerge w:val="restart"/>
            <w:tcBorders>
              <w:top w:val="single" w:sz="4" w:space="0" w:color="auto"/>
              <w:left w:val="nil"/>
              <w:right w:val="nil"/>
            </w:tcBorders>
            <w:vAlign w:val="center"/>
          </w:tcPr>
          <w:p w:rsidR="00482120" w:rsidRPr="009552BB" w:rsidRDefault="00482120" w:rsidP="00C9708D">
            <w:pPr>
              <w:spacing w:line="240" w:lineRule="auto"/>
              <w:rPr>
                <w:b/>
                <w:color w:val="000000"/>
                <w:sz w:val="22"/>
              </w:rPr>
            </w:pPr>
            <w:r>
              <w:rPr>
                <w:b/>
                <w:color w:val="000000"/>
                <w:sz w:val="22"/>
              </w:rPr>
              <w:t>L</w:t>
            </w:r>
            <w:r w:rsidRPr="009552BB">
              <w:rPr>
                <w:b/>
                <w:color w:val="000000"/>
                <w:sz w:val="22"/>
              </w:rPr>
              <w:t>arge</w:t>
            </w:r>
          </w:p>
        </w:tc>
        <w:tc>
          <w:tcPr>
            <w:tcW w:w="2080" w:type="dxa"/>
            <w:tcBorders>
              <w:top w:val="single" w:sz="4" w:space="0" w:color="auto"/>
              <w:left w:val="nil"/>
              <w:bottom w:val="nil"/>
              <w:right w:val="nil"/>
            </w:tcBorders>
            <w:vAlign w:val="center"/>
          </w:tcPr>
          <w:p w:rsidR="00482120" w:rsidRPr="009552BB" w:rsidRDefault="00482120" w:rsidP="00C9708D">
            <w:pPr>
              <w:spacing w:line="240" w:lineRule="auto"/>
              <w:rPr>
                <w:rFonts w:asciiTheme="minorHAnsi" w:hAnsiTheme="minorHAnsi"/>
                <w:color w:val="000000"/>
                <w:sz w:val="22"/>
              </w:rPr>
            </w:pPr>
            <w:r w:rsidRPr="009552BB">
              <w:rPr>
                <w:rFonts w:asciiTheme="minorHAnsi" w:hAnsiTheme="minorHAnsi"/>
                <w:sz w:val="22"/>
              </w:rPr>
              <w:t>Bushbuck</w:t>
            </w:r>
          </w:p>
        </w:tc>
        <w:tc>
          <w:tcPr>
            <w:tcW w:w="2635" w:type="dxa"/>
            <w:tcBorders>
              <w:top w:val="single" w:sz="4" w:space="0" w:color="auto"/>
              <w:left w:val="nil"/>
              <w:bottom w:val="nil"/>
              <w:right w:val="nil"/>
            </w:tcBorders>
            <w:vAlign w:val="center"/>
          </w:tcPr>
          <w:p w:rsidR="00482120" w:rsidRPr="009552BB" w:rsidRDefault="00482120" w:rsidP="00C9708D">
            <w:pPr>
              <w:spacing w:line="240" w:lineRule="auto"/>
              <w:rPr>
                <w:rFonts w:asciiTheme="minorHAnsi" w:hAnsiTheme="minorHAnsi"/>
                <w:i/>
                <w:sz w:val="22"/>
              </w:rPr>
            </w:pPr>
            <w:r w:rsidRPr="009552BB">
              <w:rPr>
                <w:rFonts w:asciiTheme="minorHAnsi" w:hAnsiTheme="minorHAnsi"/>
                <w:i/>
                <w:sz w:val="22"/>
              </w:rPr>
              <w:t>Tragelaphus scriptus</w:t>
            </w:r>
          </w:p>
        </w:tc>
        <w:tc>
          <w:tcPr>
            <w:tcW w:w="2005" w:type="dxa"/>
            <w:tcBorders>
              <w:top w:val="single" w:sz="4" w:space="0" w:color="auto"/>
              <w:left w:val="nil"/>
              <w:bottom w:val="nil"/>
              <w:right w:val="nil"/>
            </w:tcBorders>
          </w:tcPr>
          <w:p w:rsidR="00482120" w:rsidRPr="009552BB" w:rsidRDefault="00482120" w:rsidP="00C9708D">
            <w:pPr>
              <w:spacing w:line="240" w:lineRule="auto"/>
              <w:jc w:val="center"/>
              <w:rPr>
                <w:rFonts w:asciiTheme="minorHAnsi" w:hAnsiTheme="minorHAnsi"/>
                <w:sz w:val="22"/>
              </w:rPr>
            </w:pPr>
            <w:r w:rsidRPr="00D74092">
              <w:rPr>
                <w:rFonts w:asciiTheme="minorHAnsi" w:hAnsiTheme="minorHAnsi"/>
                <w:sz w:val="22"/>
              </w:rPr>
              <w:t>Pallas, 1766</w:t>
            </w:r>
          </w:p>
        </w:tc>
        <w:tc>
          <w:tcPr>
            <w:tcW w:w="764" w:type="dxa"/>
            <w:tcBorders>
              <w:top w:val="single" w:sz="4" w:space="0" w:color="auto"/>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1</w:t>
            </w:r>
          </w:p>
        </w:tc>
        <w:tc>
          <w:tcPr>
            <w:tcW w:w="1218" w:type="dxa"/>
            <w:tcBorders>
              <w:top w:val="single" w:sz="4" w:space="0" w:color="auto"/>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1</w:t>
            </w:r>
          </w:p>
        </w:tc>
      </w:tr>
      <w:tr w:rsidR="00482120" w:rsidRPr="007E6E46" w:rsidTr="00C9708D">
        <w:trPr>
          <w:jc w:val="center"/>
        </w:trPr>
        <w:tc>
          <w:tcPr>
            <w:tcW w:w="1144" w:type="dxa"/>
            <w:vMerge/>
            <w:tcBorders>
              <w:left w:val="nil"/>
              <w:right w:val="nil"/>
            </w:tcBorders>
            <w:vAlign w:val="center"/>
          </w:tcPr>
          <w:p w:rsidR="00482120" w:rsidRPr="009552BB" w:rsidRDefault="00482120" w:rsidP="00C9708D">
            <w:pPr>
              <w:spacing w:line="240" w:lineRule="auto"/>
              <w:rPr>
                <w:b/>
                <w:color w:val="000000"/>
                <w:sz w:val="22"/>
              </w:rPr>
            </w:pPr>
          </w:p>
        </w:tc>
        <w:tc>
          <w:tcPr>
            <w:tcW w:w="2080" w:type="dxa"/>
            <w:tcBorders>
              <w:top w:val="nil"/>
              <w:left w:val="nil"/>
              <w:bottom w:val="nil"/>
              <w:right w:val="nil"/>
            </w:tcBorders>
            <w:vAlign w:val="center"/>
          </w:tcPr>
          <w:p w:rsidR="00482120" w:rsidRPr="009552BB" w:rsidRDefault="00482120" w:rsidP="00C9708D">
            <w:pPr>
              <w:spacing w:line="240" w:lineRule="auto"/>
              <w:rPr>
                <w:rFonts w:asciiTheme="minorHAnsi" w:hAnsiTheme="minorHAnsi"/>
                <w:sz w:val="22"/>
              </w:rPr>
            </w:pPr>
            <w:r w:rsidRPr="009552BB">
              <w:rPr>
                <w:rFonts w:asciiTheme="minorHAnsi" w:hAnsiTheme="minorHAnsi"/>
                <w:sz w:val="22"/>
              </w:rPr>
              <w:t>Samango monkey</w:t>
            </w:r>
          </w:p>
        </w:tc>
        <w:tc>
          <w:tcPr>
            <w:tcW w:w="2635" w:type="dxa"/>
            <w:tcBorders>
              <w:top w:val="nil"/>
              <w:left w:val="nil"/>
              <w:bottom w:val="nil"/>
              <w:right w:val="nil"/>
            </w:tcBorders>
            <w:vAlign w:val="center"/>
          </w:tcPr>
          <w:p w:rsidR="00482120" w:rsidRPr="009552BB" w:rsidRDefault="00482120" w:rsidP="00C9708D">
            <w:pPr>
              <w:spacing w:line="240" w:lineRule="auto"/>
              <w:rPr>
                <w:rFonts w:asciiTheme="minorHAnsi" w:hAnsiTheme="minorHAnsi"/>
                <w:sz w:val="22"/>
              </w:rPr>
            </w:pPr>
            <w:r w:rsidRPr="009552BB">
              <w:rPr>
                <w:rFonts w:asciiTheme="minorHAnsi" w:hAnsiTheme="minorHAnsi"/>
                <w:i/>
                <w:sz w:val="22"/>
              </w:rPr>
              <w:t>Cercopithecus mitis</w:t>
            </w:r>
            <w:r w:rsidRPr="009552BB">
              <w:rPr>
                <w:rFonts w:asciiTheme="minorHAnsi" w:hAnsiTheme="minorHAnsi"/>
                <w:sz w:val="22"/>
              </w:rPr>
              <w:t xml:space="preserve"> </w:t>
            </w:r>
          </w:p>
        </w:tc>
        <w:tc>
          <w:tcPr>
            <w:tcW w:w="2005" w:type="dxa"/>
            <w:tcBorders>
              <w:top w:val="nil"/>
              <w:left w:val="nil"/>
              <w:bottom w:val="nil"/>
              <w:right w:val="nil"/>
            </w:tcBorders>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Wolf, 1822</w:t>
            </w:r>
          </w:p>
        </w:tc>
        <w:tc>
          <w:tcPr>
            <w:tcW w:w="764" w:type="dxa"/>
            <w:tcBorders>
              <w:top w:val="nil"/>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1</w:t>
            </w:r>
          </w:p>
        </w:tc>
        <w:tc>
          <w:tcPr>
            <w:tcW w:w="1218" w:type="dxa"/>
            <w:tcBorders>
              <w:top w:val="nil"/>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1</w:t>
            </w:r>
          </w:p>
        </w:tc>
      </w:tr>
      <w:tr w:rsidR="00482120" w:rsidRPr="007E6E46" w:rsidTr="00C9708D">
        <w:trPr>
          <w:jc w:val="center"/>
        </w:trPr>
        <w:tc>
          <w:tcPr>
            <w:tcW w:w="1144" w:type="dxa"/>
            <w:vMerge/>
            <w:tcBorders>
              <w:left w:val="nil"/>
              <w:right w:val="nil"/>
            </w:tcBorders>
            <w:vAlign w:val="center"/>
          </w:tcPr>
          <w:p w:rsidR="00482120" w:rsidRPr="009552BB" w:rsidRDefault="00482120" w:rsidP="00C9708D">
            <w:pPr>
              <w:spacing w:line="240" w:lineRule="auto"/>
              <w:rPr>
                <w:b/>
                <w:color w:val="000000"/>
                <w:sz w:val="22"/>
              </w:rPr>
            </w:pPr>
          </w:p>
        </w:tc>
        <w:tc>
          <w:tcPr>
            <w:tcW w:w="2080" w:type="dxa"/>
            <w:tcBorders>
              <w:top w:val="nil"/>
              <w:left w:val="nil"/>
              <w:bottom w:val="nil"/>
              <w:right w:val="nil"/>
            </w:tcBorders>
            <w:vAlign w:val="center"/>
          </w:tcPr>
          <w:p w:rsidR="00482120" w:rsidRPr="009552BB" w:rsidRDefault="00482120" w:rsidP="00C9708D">
            <w:pPr>
              <w:spacing w:line="240" w:lineRule="auto"/>
              <w:rPr>
                <w:rFonts w:asciiTheme="minorHAnsi" w:hAnsiTheme="minorHAnsi"/>
                <w:sz w:val="22"/>
              </w:rPr>
            </w:pPr>
            <w:r w:rsidRPr="009552BB">
              <w:rPr>
                <w:rFonts w:asciiTheme="minorHAnsi" w:hAnsiTheme="minorHAnsi"/>
                <w:sz w:val="22"/>
              </w:rPr>
              <w:t>Serval</w:t>
            </w:r>
          </w:p>
        </w:tc>
        <w:tc>
          <w:tcPr>
            <w:tcW w:w="2635" w:type="dxa"/>
            <w:tcBorders>
              <w:top w:val="nil"/>
              <w:left w:val="nil"/>
              <w:bottom w:val="nil"/>
              <w:right w:val="nil"/>
            </w:tcBorders>
            <w:vAlign w:val="center"/>
          </w:tcPr>
          <w:p w:rsidR="00482120" w:rsidRPr="009552BB" w:rsidRDefault="00482120" w:rsidP="00C9708D">
            <w:pPr>
              <w:spacing w:line="240" w:lineRule="auto"/>
              <w:rPr>
                <w:rFonts w:asciiTheme="minorHAnsi" w:hAnsiTheme="minorHAnsi"/>
                <w:sz w:val="22"/>
              </w:rPr>
            </w:pPr>
            <w:r w:rsidRPr="009552BB">
              <w:rPr>
                <w:rFonts w:asciiTheme="minorHAnsi" w:hAnsiTheme="minorHAnsi"/>
                <w:i/>
                <w:sz w:val="22"/>
              </w:rPr>
              <w:t xml:space="preserve">Leptailurus serva </w:t>
            </w:r>
          </w:p>
        </w:tc>
        <w:tc>
          <w:tcPr>
            <w:tcW w:w="2005" w:type="dxa"/>
            <w:tcBorders>
              <w:top w:val="nil"/>
              <w:left w:val="nil"/>
              <w:bottom w:val="nil"/>
              <w:right w:val="nil"/>
            </w:tcBorders>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Schreber, 1776</w:t>
            </w:r>
          </w:p>
        </w:tc>
        <w:tc>
          <w:tcPr>
            <w:tcW w:w="764" w:type="dxa"/>
            <w:tcBorders>
              <w:top w:val="nil"/>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1</w:t>
            </w:r>
          </w:p>
        </w:tc>
        <w:tc>
          <w:tcPr>
            <w:tcW w:w="1218" w:type="dxa"/>
            <w:tcBorders>
              <w:top w:val="nil"/>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0</w:t>
            </w:r>
          </w:p>
        </w:tc>
      </w:tr>
      <w:tr w:rsidR="00482120" w:rsidRPr="007E6E46" w:rsidTr="00C9708D">
        <w:trPr>
          <w:jc w:val="center"/>
        </w:trPr>
        <w:tc>
          <w:tcPr>
            <w:tcW w:w="1144" w:type="dxa"/>
            <w:vMerge/>
            <w:tcBorders>
              <w:left w:val="nil"/>
              <w:bottom w:val="single" w:sz="4" w:space="0" w:color="auto"/>
              <w:right w:val="nil"/>
            </w:tcBorders>
            <w:vAlign w:val="center"/>
          </w:tcPr>
          <w:p w:rsidR="00482120" w:rsidRPr="009552BB" w:rsidRDefault="00482120" w:rsidP="00C9708D">
            <w:pPr>
              <w:spacing w:line="240" w:lineRule="auto"/>
              <w:rPr>
                <w:b/>
                <w:color w:val="000000"/>
                <w:sz w:val="22"/>
              </w:rPr>
            </w:pPr>
          </w:p>
        </w:tc>
        <w:tc>
          <w:tcPr>
            <w:tcW w:w="2080" w:type="dxa"/>
            <w:tcBorders>
              <w:top w:val="nil"/>
              <w:left w:val="nil"/>
              <w:bottom w:val="single" w:sz="4" w:space="0" w:color="auto"/>
              <w:right w:val="nil"/>
            </w:tcBorders>
            <w:vAlign w:val="center"/>
          </w:tcPr>
          <w:p w:rsidR="00482120" w:rsidRPr="009552BB" w:rsidRDefault="00482120" w:rsidP="00C9708D">
            <w:pPr>
              <w:spacing w:line="240" w:lineRule="auto"/>
              <w:rPr>
                <w:rFonts w:asciiTheme="minorHAnsi" w:hAnsiTheme="minorHAnsi"/>
                <w:sz w:val="22"/>
              </w:rPr>
            </w:pPr>
            <w:r>
              <w:rPr>
                <w:rFonts w:asciiTheme="minorHAnsi" w:hAnsiTheme="minorHAnsi"/>
                <w:sz w:val="22"/>
              </w:rPr>
              <w:t>Greater kudu</w:t>
            </w:r>
          </w:p>
        </w:tc>
        <w:tc>
          <w:tcPr>
            <w:tcW w:w="2635" w:type="dxa"/>
            <w:tcBorders>
              <w:top w:val="nil"/>
              <w:left w:val="nil"/>
              <w:bottom w:val="single" w:sz="4" w:space="0" w:color="auto"/>
              <w:right w:val="nil"/>
            </w:tcBorders>
            <w:vAlign w:val="center"/>
          </w:tcPr>
          <w:p w:rsidR="00482120" w:rsidRPr="009552BB" w:rsidRDefault="00482120" w:rsidP="00C9708D">
            <w:pPr>
              <w:spacing w:line="240" w:lineRule="auto"/>
              <w:rPr>
                <w:rFonts w:asciiTheme="minorHAnsi" w:hAnsiTheme="minorHAnsi"/>
                <w:i/>
                <w:sz w:val="22"/>
              </w:rPr>
            </w:pPr>
            <w:r w:rsidRPr="00F7352B">
              <w:rPr>
                <w:rFonts w:asciiTheme="minorHAnsi" w:hAnsiTheme="minorHAnsi"/>
                <w:i/>
                <w:sz w:val="22"/>
              </w:rPr>
              <w:t>Tragelaphus strepsiceros</w:t>
            </w:r>
          </w:p>
        </w:tc>
        <w:tc>
          <w:tcPr>
            <w:tcW w:w="2005" w:type="dxa"/>
            <w:tcBorders>
              <w:top w:val="nil"/>
              <w:left w:val="nil"/>
              <w:bottom w:val="single" w:sz="4" w:space="0" w:color="auto"/>
              <w:right w:val="nil"/>
            </w:tcBorders>
          </w:tcPr>
          <w:p w:rsidR="00482120" w:rsidRPr="009552BB" w:rsidRDefault="00482120" w:rsidP="00C9708D">
            <w:pPr>
              <w:spacing w:line="240" w:lineRule="auto"/>
              <w:jc w:val="center"/>
              <w:rPr>
                <w:rFonts w:asciiTheme="minorHAnsi" w:hAnsiTheme="minorHAnsi"/>
                <w:sz w:val="22"/>
              </w:rPr>
            </w:pPr>
            <w:r w:rsidRPr="00D74092">
              <w:rPr>
                <w:rFonts w:asciiTheme="minorHAnsi" w:hAnsiTheme="minorHAnsi"/>
                <w:sz w:val="22"/>
              </w:rPr>
              <w:t>Pallas, 1766</w:t>
            </w:r>
          </w:p>
        </w:tc>
        <w:tc>
          <w:tcPr>
            <w:tcW w:w="764" w:type="dxa"/>
            <w:tcBorders>
              <w:top w:val="nil"/>
              <w:left w:val="nil"/>
              <w:bottom w:val="single" w:sz="4" w:space="0" w:color="auto"/>
              <w:right w:val="nil"/>
            </w:tcBorders>
            <w:vAlign w:val="center"/>
          </w:tcPr>
          <w:p w:rsidR="00482120" w:rsidRPr="009552BB" w:rsidRDefault="00482120" w:rsidP="00C9708D">
            <w:pPr>
              <w:spacing w:line="240" w:lineRule="auto"/>
              <w:jc w:val="center"/>
              <w:rPr>
                <w:rFonts w:asciiTheme="minorHAnsi" w:hAnsiTheme="minorHAnsi"/>
                <w:sz w:val="22"/>
              </w:rPr>
            </w:pPr>
            <w:r>
              <w:rPr>
                <w:rFonts w:asciiTheme="minorHAnsi" w:hAnsiTheme="minorHAnsi"/>
                <w:sz w:val="22"/>
              </w:rPr>
              <w:t>3</w:t>
            </w:r>
          </w:p>
        </w:tc>
        <w:tc>
          <w:tcPr>
            <w:tcW w:w="1218" w:type="dxa"/>
            <w:tcBorders>
              <w:top w:val="nil"/>
              <w:left w:val="nil"/>
              <w:bottom w:val="single" w:sz="4" w:space="0" w:color="auto"/>
              <w:right w:val="nil"/>
            </w:tcBorders>
            <w:vAlign w:val="center"/>
          </w:tcPr>
          <w:p w:rsidR="00482120" w:rsidRPr="009552BB" w:rsidRDefault="00482120" w:rsidP="00C9708D">
            <w:pPr>
              <w:spacing w:line="240" w:lineRule="auto"/>
              <w:jc w:val="center"/>
              <w:rPr>
                <w:rFonts w:asciiTheme="minorHAnsi" w:hAnsiTheme="minorHAnsi"/>
                <w:sz w:val="22"/>
              </w:rPr>
            </w:pPr>
            <w:r>
              <w:rPr>
                <w:rFonts w:asciiTheme="minorHAnsi" w:hAnsiTheme="minorHAnsi"/>
                <w:sz w:val="22"/>
              </w:rPr>
              <w:t>2</w:t>
            </w:r>
          </w:p>
        </w:tc>
      </w:tr>
      <w:tr w:rsidR="00482120" w:rsidRPr="007E6E46" w:rsidTr="00C9708D">
        <w:trPr>
          <w:trHeight w:val="461"/>
          <w:jc w:val="center"/>
        </w:trPr>
        <w:tc>
          <w:tcPr>
            <w:tcW w:w="1144" w:type="dxa"/>
            <w:tcBorders>
              <w:top w:val="single" w:sz="4" w:space="0" w:color="auto"/>
              <w:left w:val="nil"/>
              <w:bottom w:val="single" w:sz="4" w:space="0" w:color="auto"/>
              <w:right w:val="nil"/>
            </w:tcBorders>
            <w:vAlign w:val="center"/>
          </w:tcPr>
          <w:p w:rsidR="00482120" w:rsidRPr="009552BB" w:rsidRDefault="00482120" w:rsidP="00C9708D">
            <w:pPr>
              <w:spacing w:line="240" w:lineRule="auto"/>
              <w:rPr>
                <w:b/>
                <w:color w:val="000000"/>
                <w:sz w:val="22"/>
              </w:rPr>
            </w:pPr>
            <w:r w:rsidRPr="009552BB">
              <w:rPr>
                <w:b/>
                <w:color w:val="000000"/>
                <w:sz w:val="22"/>
              </w:rPr>
              <w:t>Small and medium</w:t>
            </w:r>
          </w:p>
        </w:tc>
        <w:tc>
          <w:tcPr>
            <w:tcW w:w="2080" w:type="dxa"/>
            <w:tcBorders>
              <w:top w:val="single" w:sz="4" w:space="0" w:color="auto"/>
              <w:left w:val="nil"/>
              <w:bottom w:val="single" w:sz="4" w:space="0" w:color="auto"/>
              <w:right w:val="nil"/>
            </w:tcBorders>
            <w:vAlign w:val="center"/>
          </w:tcPr>
          <w:p w:rsidR="00482120" w:rsidRPr="009552BB" w:rsidRDefault="00482120" w:rsidP="00C9708D">
            <w:pPr>
              <w:spacing w:line="240" w:lineRule="auto"/>
              <w:jc w:val="center"/>
              <w:rPr>
                <w:rFonts w:asciiTheme="minorHAnsi" w:hAnsiTheme="minorHAnsi"/>
                <w:sz w:val="22"/>
              </w:rPr>
            </w:pPr>
          </w:p>
        </w:tc>
        <w:tc>
          <w:tcPr>
            <w:tcW w:w="2635" w:type="dxa"/>
            <w:tcBorders>
              <w:top w:val="single" w:sz="4" w:space="0" w:color="auto"/>
              <w:left w:val="nil"/>
              <w:bottom w:val="single" w:sz="4" w:space="0" w:color="auto"/>
              <w:right w:val="nil"/>
            </w:tcBorders>
            <w:vAlign w:val="center"/>
          </w:tcPr>
          <w:p w:rsidR="00482120" w:rsidRPr="009552BB" w:rsidRDefault="00482120" w:rsidP="00C9708D">
            <w:pPr>
              <w:spacing w:line="240" w:lineRule="auto"/>
              <w:jc w:val="center"/>
              <w:rPr>
                <w:rFonts w:asciiTheme="minorHAnsi" w:hAnsiTheme="minorHAnsi"/>
                <w:i/>
                <w:sz w:val="22"/>
              </w:rPr>
            </w:pPr>
          </w:p>
        </w:tc>
        <w:tc>
          <w:tcPr>
            <w:tcW w:w="2005" w:type="dxa"/>
            <w:tcBorders>
              <w:top w:val="single" w:sz="4" w:space="0" w:color="auto"/>
              <w:left w:val="nil"/>
              <w:bottom w:val="single" w:sz="4" w:space="0" w:color="auto"/>
              <w:right w:val="nil"/>
            </w:tcBorders>
          </w:tcPr>
          <w:p w:rsidR="00482120" w:rsidRPr="009552BB" w:rsidRDefault="00482120" w:rsidP="00C9708D">
            <w:pPr>
              <w:spacing w:line="240" w:lineRule="auto"/>
              <w:jc w:val="center"/>
              <w:rPr>
                <w:rFonts w:asciiTheme="minorHAnsi" w:hAnsiTheme="minorHAnsi"/>
                <w:sz w:val="22"/>
              </w:rPr>
            </w:pPr>
          </w:p>
        </w:tc>
        <w:tc>
          <w:tcPr>
            <w:tcW w:w="764" w:type="dxa"/>
            <w:tcBorders>
              <w:top w:val="single" w:sz="4" w:space="0" w:color="auto"/>
              <w:left w:val="nil"/>
              <w:bottom w:val="single" w:sz="4" w:space="0" w:color="auto"/>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0</w:t>
            </w:r>
          </w:p>
        </w:tc>
        <w:tc>
          <w:tcPr>
            <w:tcW w:w="1218" w:type="dxa"/>
            <w:tcBorders>
              <w:top w:val="single" w:sz="4" w:space="0" w:color="auto"/>
              <w:left w:val="nil"/>
              <w:bottom w:val="single" w:sz="4" w:space="0" w:color="auto"/>
              <w:right w:val="nil"/>
            </w:tcBorders>
            <w:vAlign w:val="center"/>
          </w:tcPr>
          <w:p w:rsidR="00482120" w:rsidRPr="009552BB" w:rsidRDefault="00482120" w:rsidP="00C9708D">
            <w:pPr>
              <w:spacing w:line="240" w:lineRule="auto"/>
              <w:jc w:val="center"/>
              <w:rPr>
                <w:rFonts w:asciiTheme="minorHAnsi" w:hAnsiTheme="minorHAnsi"/>
                <w:sz w:val="22"/>
              </w:rPr>
            </w:pPr>
          </w:p>
        </w:tc>
      </w:tr>
      <w:tr w:rsidR="00482120" w:rsidRPr="007E6E46" w:rsidTr="00C9708D">
        <w:trPr>
          <w:trHeight w:val="301"/>
          <w:jc w:val="center"/>
        </w:trPr>
        <w:tc>
          <w:tcPr>
            <w:tcW w:w="1144" w:type="dxa"/>
            <w:vMerge w:val="restart"/>
            <w:tcBorders>
              <w:top w:val="single" w:sz="4" w:space="0" w:color="auto"/>
              <w:left w:val="nil"/>
              <w:right w:val="nil"/>
            </w:tcBorders>
            <w:vAlign w:val="center"/>
          </w:tcPr>
          <w:p w:rsidR="00482120" w:rsidRDefault="00482120" w:rsidP="00C9708D">
            <w:pPr>
              <w:spacing w:line="240" w:lineRule="auto"/>
              <w:rPr>
                <w:b/>
                <w:color w:val="000000"/>
                <w:sz w:val="22"/>
              </w:rPr>
            </w:pPr>
            <w:r w:rsidRPr="009552BB">
              <w:rPr>
                <w:b/>
                <w:color w:val="000000"/>
                <w:sz w:val="22"/>
              </w:rPr>
              <w:t xml:space="preserve">Medium and </w:t>
            </w:r>
          </w:p>
          <w:p w:rsidR="00482120" w:rsidRPr="009552BB" w:rsidRDefault="00482120" w:rsidP="00C9708D">
            <w:pPr>
              <w:spacing w:line="240" w:lineRule="auto"/>
              <w:rPr>
                <w:b/>
                <w:color w:val="000000"/>
                <w:sz w:val="22"/>
              </w:rPr>
            </w:pPr>
            <w:r w:rsidRPr="009552BB">
              <w:rPr>
                <w:b/>
                <w:color w:val="000000"/>
                <w:sz w:val="22"/>
              </w:rPr>
              <w:t>large</w:t>
            </w:r>
          </w:p>
        </w:tc>
        <w:tc>
          <w:tcPr>
            <w:tcW w:w="2080" w:type="dxa"/>
            <w:tcBorders>
              <w:top w:val="single" w:sz="4" w:space="0" w:color="auto"/>
              <w:left w:val="nil"/>
              <w:bottom w:val="nil"/>
              <w:right w:val="nil"/>
            </w:tcBorders>
            <w:vAlign w:val="center"/>
          </w:tcPr>
          <w:p w:rsidR="00482120" w:rsidRPr="009552BB" w:rsidRDefault="00482120" w:rsidP="00C9708D">
            <w:pPr>
              <w:spacing w:line="240" w:lineRule="auto"/>
              <w:rPr>
                <w:rFonts w:asciiTheme="minorHAnsi" w:hAnsiTheme="minorHAnsi"/>
                <w:sz w:val="22"/>
              </w:rPr>
            </w:pPr>
            <w:r w:rsidRPr="009552BB">
              <w:rPr>
                <w:rFonts w:asciiTheme="minorHAnsi" w:hAnsiTheme="minorHAnsi"/>
                <w:sz w:val="22"/>
              </w:rPr>
              <w:t>Aardvark</w:t>
            </w:r>
          </w:p>
        </w:tc>
        <w:tc>
          <w:tcPr>
            <w:tcW w:w="2635" w:type="dxa"/>
            <w:tcBorders>
              <w:top w:val="single" w:sz="4" w:space="0" w:color="auto"/>
              <w:left w:val="nil"/>
              <w:bottom w:val="nil"/>
              <w:right w:val="nil"/>
            </w:tcBorders>
            <w:vAlign w:val="center"/>
          </w:tcPr>
          <w:p w:rsidR="00482120" w:rsidRPr="009552BB" w:rsidRDefault="00482120" w:rsidP="00C9708D">
            <w:pPr>
              <w:spacing w:line="240" w:lineRule="auto"/>
              <w:rPr>
                <w:rFonts w:asciiTheme="minorHAnsi" w:hAnsiTheme="minorHAnsi"/>
                <w:i/>
                <w:sz w:val="22"/>
              </w:rPr>
            </w:pPr>
            <w:r w:rsidRPr="009552BB">
              <w:rPr>
                <w:rFonts w:asciiTheme="minorHAnsi" w:hAnsiTheme="minorHAnsi"/>
                <w:i/>
                <w:sz w:val="22"/>
              </w:rPr>
              <w:t>Orycteropus afer</w:t>
            </w:r>
          </w:p>
        </w:tc>
        <w:tc>
          <w:tcPr>
            <w:tcW w:w="2005" w:type="dxa"/>
            <w:tcBorders>
              <w:top w:val="single" w:sz="4" w:space="0" w:color="auto"/>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D74092">
              <w:rPr>
                <w:rFonts w:asciiTheme="minorHAnsi" w:hAnsiTheme="minorHAnsi"/>
                <w:sz w:val="22"/>
              </w:rPr>
              <w:t>Pallas, 1766</w:t>
            </w:r>
          </w:p>
        </w:tc>
        <w:tc>
          <w:tcPr>
            <w:tcW w:w="764" w:type="dxa"/>
            <w:tcBorders>
              <w:top w:val="single" w:sz="4" w:space="0" w:color="auto"/>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2</w:t>
            </w:r>
          </w:p>
        </w:tc>
        <w:tc>
          <w:tcPr>
            <w:tcW w:w="1218" w:type="dxa"/>
            <w:tcBorders>
              <w:top w:val="single" w:sz="4" w:space="0" w:color="auto"/>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2</w:t>
            </w:r>
          </w:p>
        </w:tc>
      </w:tr>
      <w:tr w:rsidR="00482120" w:rsidRPr="007E6E46" w:rsidTr="00C9708D">
        <w:trPr>
          <w:trHeight w:val="123"/>
          <w:jc w:val="center"/>
        </w:trPr>
        <w:tc>
          <w:tcPr>
            <w:tcW w:w="1144" w:type="dxa"/>
            <w:vMerge/>
            <w:tcBorders>
              <w:left w:val="nil"/>
              <w:right w:val="nil"/>
            </w:tcBorders>
            <w:vAlign w:val="center"/>
          </w:tcPr>
          <w:p w:rsidR="00482120" w:rsidRPr="009552BB" w:rsidRDefault="00482120" w:rsidP="00C9708D">
            <w:pPr>
              <w:spacing w:line="240" w:lineRule="auto"/>
              <w:rPr>
                <w:b/>
                <w:color w:val="000000"/>
                <w:sz w:val="22"/>
              </w:rPr>
            </w:pPr>
          </w:p>
        </w:tc>
        <w:tc>
          <w:tcPr>
            <w:tcW w:w="2080" w:type="dxa"/>
            <w:tcBorders>
              <w:top w:val="nil"/>
              <w:left w:val="nil"/>
              <w:bottom w:val="nil"/>
              <w:right w:val="nil"/>
            </w:tcBorders>
            <w:vAlign w:val="center"/>
          </w:tcPr>
          <w:p w:rsidR="00482120" w:rsidRPr="009552BB" w:rsidRDefault="00482120" w:rsidP="00C9708D">
            <w:pPr>
              <w:spacing w:line="240" w:lineRule="auto"/>
              <w:rPr>
                <w:rFonts w:asciiTheme="minorHAnsi" w:hAnsiTheme="minorHAnsi"/>
                <w:sz w:val="22"/>
              </w:rPr>
            </w:pPr>
            <w:r w:rsidRPr="009552BB">
              <w:rPr>
                <w:rFonts w:asciiTheme="minorHAnsi" w:hAnsiTheme="minorHAnsi"/>
                <w:sz w:val="22"/>
              </w:rPr>
              <w:t>Brown hyena</w:t>
            </w:r>
          </w:p>
        </w:tc>
        <w:tc>
          <w:tcPr>
            <w:tcW w:w="2635" w:type="dxa"/>
            <w:tcBorders>
              <w:top w:val="nil"/>
              <w:left w:val="nil"/>
              <w:bottom w:val="nil"/>
              <w:right w:val="nil"/>
            </w:tcBorders>
            <w:vAlign w:val="center"/>
          </w:tcPr>
          <w:p w:rsidR="00482120" w:rsidRPr="009552BB" w:rsidRDefault="00482120" w:rsidP="00C9708D">
            <w:pPr>
              <w:spacing w:line="240" w:lineRule="auto"/>
              <w:rPr>
                <w:rFonts w:asciiTheme="minorHAnsi" w:hAnsiTheme="minorHAnsi"/>
                <w:i/>
                <w:sz w:val="22"/>
              </w:rPr>
            </w:pPr>
            <w:r w:rsidRPr="009552BB">
              <w:rPr>
                <w:rFonts w:asciiTheme="minorHAnsi" w:hAnsiTheme="minorHAnsi"/>
                <w:i/>
                <w:sz w:val="22"/>
              </w:rPr>
              <w:t>Parahyaena brunnea</w:t>
            </w:r>
          </w:p>
        </w:tc>
        <w:tc>
          <w:tcPr>
            <w:tcW w:w="2005" w:type="dxa"/>
            <w:tcBorders>
              <w:top w:val="nil"/>
              <w:left w:val="nil"/>
              <w:bottom w:val="nil"/>
              <w:right w:val="nil"/>
            </w:tcBorders>
          </w:tcPr>
          <w:p w:rsidR="00482120" w:rsidRPr="009552BB" w:rsidRDefault="00482120" w:rsidP="00C9708D">
            <w:pPr>
              <w:spacing w:line="240" w:lineRule="auto"/>
              <w:jc w:val="center"/>
              <w:rPr>
                <w:rFonts w:asciiTheme="minorHAnsi" w:hAnsiTheme="minorHAnsi"/>
                <w:sz w:val="22"/>
              </w:rPr>
            </w:pPr>
            <w:r w:rsidRPr="00D74092">
              <w:rPr>
                <w:rFonts w:asciiTheme="minorHAnsi" w:hAnsiTheme="minorHAnsi"/>
                <w:sz w:val="22"/>
              </w:rPr>
              <w:t>Thunberg, 1820</w:t>
            </w:r>
          </w:p>
        </w:tc>
        <w:tc>
          <w:tcPr>
            <w:tcW w:w="764" w:type="dxa"/>
            <w:tcBorders>
              <w:top w:val="nil"/>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6</w:t>
            </w:r>
          </w:p>
        </w:tc>
        <w:tc>
          <w:tcPr>
            <w:tcW w:w="1218" w:type="dxa"/>
            <w:tcBorders>
              <w:top w:val="nil"/>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3</w:t>
            </w:r>
          </w:p>
        </w:tc>
      </w:tr>
      <w:tr w:rsidR="00482120" w:rsidRPr="007E6E46" w:rsidTr="00C9708D">
        <w:trPr>
          <w:trHeight w:val="141"/>
          <w:jc w:val="center"/>
        </w:trPr>
        <w:tc>
          <w:tcPr>
            <w:tcW w:w="1144" w:type="dxa"/>
            <w:vMerge/>
            <w:tcBorders>
              <w:left w:val="nil"/>
              <w:right w:val="nil"/>
            </w:tcBorders>
            <w:vAlign w:val="center"/>
          </w:tcPr>
          <w:p w:rsidR="00482120" w:rsidRPr="009552BB" w:rsidRDefault="00482120" w:rsidP="00C9708D">
            <w:pPr>
              <w:spacing w:line="240" w:lineRule="auto"/>
              <w:rPr>
                <w:b/>
                <w:color w:val="000000"/>
                <w:sz w:val="22"/>
              </w:rPr>
            </w:pPr>
          </w:p>
        </w:tc>
        <w:tc>
          <w:tcPr>
            <w:tcW w:w="2080" w:type="dxa"/>
            <w:tcBorders>
              <w:top w:val="nil"/>
              <w:left w:val="nil"/>
              <w:bottom w:val="nil"/>
              <w:right w:val="nil"/>
            </w:tcBorders>
            <w:vAlign w:val="center"/>
          </w:tcPr>
          <w:p w:rsidR="00482120" w:rsidRPr="009552BB" w:rsidRDefault="00482120" w:rsidP="00C9708D">
            <w:pPr>
              <w:spacing w:line="240" w:lineRule="auto"/>
              <w:rPr>
                <w:rFonts w:asciiTheme="minorHAnsi" w:hAnsiTheme="minorHAnsi"/>
                <w:sz w:val="22"/>
              </w:rPr>
            </w:pPr>
            <w:r w:rsidRPr="009552BB">
              <w:rPr>
                <w:rFonts w:asciiTheme="minorHAnsi" w:hAnsiTheme="minorHAnsi"/>
                <w:sz w:val="22"/>
              </w:rPr>
              <w:t>Grey duiker</w:t>
            </w:r>
          </w:p>
        </w:tc>
        <w:tc>
          <w:tcPr>
            <w:tcW w:w="2635" w:type="dxa"/>
            <w:tcBorders>
              <w:top w:val="nil"/>
              <w:left w:val="nil"/>
              <w:bottom w:val="nil"/>
              <w:right w:val="nil"/>
            </w:tcBorders>
            <w:vAlign w:val="center"/>
          </w:tcPr>
          <w:p w:rsidR="00482120" w:rsidRPr="009552BB" w:rsidRDefault="00482120" w:rsidP="00C9708D">
            <w:pPr>
              <w:spacing w:line="240" w:lineRule="auto"/>
              <w:rPr>
                <w:rFonts w:asciiTheme="minorHAnsi" w:hAnsiTheme="minorHAnsi"/>
                <w:i/>
                <w:sz w:val="22"/>
              </w:rPr>
            </w:pPr>
            <w:r w:rsidRPr="009552BB">
              <w:rPr>
                <w:rFonts w:asciiTheme="minorHAnsi" w:hAnsiTheme="minorHAnsi"/>
                <w:i/>
                <w:sz w:val="22"/>
              </w:rPr>
              <w:t>Sylvicapra grimmia</w:t>
            </w:r>
          </w:p>
        </w:tc>
        <w:tc>
          <w:tcPr>
            <w:tcW w:w="2005" w:type="dxa"/>
            <w:tcBorders>
              <w:top w:val="nil"/>
              <w:left w:val="nil"/>
              <w:bottom w:val="nil"/>
              <w:right w:val="nil"/>
            </w:tcBorders>
          </w:tcPr>
          <w:p w:rsidR="00482120" w:rsidRPr="009552BB" w:rsidRDefault="00482120" w:rsidP="00C9708D">
            <w:pPr>
              <w:spacing w:line="240" w:lineRule="auto"/>
              <w:jc w:val="center"/>
              <w:rPr>
                <w:rFonts w:asciiTheme="minorHAnsi" w:hAnsiTheme="minorHAnsi"/>
                <w:sz w:val="22"/>
              </w:rPr>
            </w:pPr>
            <w:r w:rsidRPr="00D74092">
              <w:rPr>
                <w:rFonts w:asciiTheme="minorHAnsi" w:hAnsiTheme="minorHAnsi"/>
                <w:sz w:val="22"/>
              </w:rPr>
              <w:t>Linnaeus, 1758</w:t>
            </w:r>
          </w:p>
        </w:tc>
        <w:tc>
          <w:tcPr>
            <w:tcW w:w="764" w:type="dxa"/>
            <w:tcBorders>
              <w:top w:val="nil"/>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3</w:t>
            </w:r>
          </w:p>
        </w:tc>
        <w:tc>
          <w:tcPr>
            <w:tcW w:w="1218" w:type="dxa"/>
            <w:tcBorders>
              <w:top w:val="nil"/>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3</w:t>
            </w:r>
          </w:p>
        </w:tc>
      </w:tr>
      <w:tr w:rsidR="00482120" w:rsidRPr="007E6E46" w:rsidTr="00C9708D">
        <w:trPr>
          <w:trHeight w:val="285"/>
          <w:jc w:val="center"/>
        </w:trPr>
        <w:tc>
          <w:tcPr>
            <w:tcW w:w="1144" w:type="dxa"/>
            <w:vMerge/>
            <w:tcBorders>
              <w:left w:val="nil"/>
              <w:right w:val="nil"/>
            </w:tcBorders>
            <w:vAlign w:val="center"/>
          </w:tcPr>
          <w:p w:rsidR="00482120" w:rsidRPr="009552BB" w:rsidRDefault="00482120" w:rsidP="00C9708D">
            <w:pPr>
              <w:spacing w:line="240" w:lineRule="auto"/>
              <w:rPr>
                <w:b/>
                <w:color w:val="000000"/>
                <w:sz w:val="22"/>
              </w:rPr>
            </w:pPr>
          </w:p>
        </w:tc>
        <w:tc>
          <w:tcPr>
            <w:tcW w:w="2080" w:type="dxa"/>
            <w:tcBorders>
              <w:top w:val="nil"/>
              <w:left w:val="nil"/>
              <w:bottom w:val="nil"/>
              <w:right w:val="nil"/>
            </w:tcBorders>
            <w:vAlign w:val="center"/>
          </w:tcPr>
          <w:p w:rsidR="00482120" w:rsidRPr="009552BB" w:rsidRDefault="00482120" w:rsidP="00C9708D">
            <w:pPr>
              <w:spacing w:line="240" w:lineRule="auto"/>
              <w:rPr>
                <w:rFonts w:asciiTheme="minorHAnsi" w:hAnsiTheme="minorHAnsi"/>
                <w:sz w:val="22"/>
              </w:rPr>
            </w:pPr>
            <w:r w:rsidRPr="009552BB">
              <w:rPr>
                <w:rFonts w:asciiTheme="minorHAnsi" w:hAnsiTheme="minorHAnsi"/>
                <w:sz w:val="22"/>
              </w:rPr>
              <w:t>Warthog</w:t>
            </w:r>
          </w:p>
        </w:tc>
        <w:tc>
          <w:tcPr>
            <w:tcW w:w="2635" w:type="dxa"/>
            <w:tcBorders>
              <w:top w:val="nil"/>
              <w:left w:val="nil"/>
              <w:bottom w:val="nil"/>
              <w:right w:val="nil"/>
            </w:tcBorders>
            <w:vAlign w:val="center"/>
          </w:tcPr>
          <w:p w:rsidR="00482120" w:rsidRPr="009552BB" w:rsidRDefault="00482120" w:rsidP="00C9708D">
            <w:pPr>
              <w:spacing w:line="240" w:lineRule="auto"/>
              <w:rPr>
                <w:rFonts w:asciiTheme="minorHAnsi" w:hAnsiTheme="minorHAnsi"/>
                <w:i/>
                <w:sz w:val="22"/>
              </w:rPr>
            </w:pPr>
            <w:r w:rsidRPr="009552BB">
              <w:rPr>
                <w:rFonts w:asciiTheme="minorHAnsi" w:hAnsiTheme="minorHAnsi"/>
                <w:i/>
                <w:sz w:val="22"/>
              </w:rPr>
              <w:t>Potamochoerus porcus</w:t>
            </w:r>
          </w:p>
        </w:tc>
        <w:tc>
          <w:tcPr>
            <w:tcW w:w="2005" w:type="dxa"/>
            <w:tcBorders>
              <w:top w:val="nil"/>
              <w:left w:val="nil"/>
              <w:bottom w:val="nil"/>
              <w:right w:val="nil"/>
            </w:tcBorders>
          </w:tcPr>
          <w:p w:rsidR="00482120" w:rsidRPr="009552BB" w:rsidRDefault="00482120" w:rsidP="00C9708D">
            <w:pPr>
              <w:spacing w:line="240" w:lineRule="auto"/>
              <w:jc w:val="center"/>
              <w:rPr>
                <w:rFonts w:asciiTheme="minorHAnsi" w:hAnsiTheme="minorHAnsi"/>
                <w:sz w:val="22"/>
              </w:rPr>
            </w:pPr>
            <w:r w:rsidRPr="00D74092">
              <w:rPr>
                <w:rFonts w:asciiTheme="minorHAnsi" w:hAnsiTheme="minorHAnsi"/>
                <w:sz w:val="22"/>
              </w:rPr>
              <w:t>Linnaeus, 1758</w:t>
            </w:r>
          </w:p>
        </w:tc>
        <w:tc>
          <w:tcPr>
            <w:tcW w:w="764" w:type="dxa"/>
            <w:tcBorders>
              <w:top w:val="nil"/>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2</w:t>
            </w:r>
          </w:p>
        </w:tc>
        <w:tc>
          <w:tcPr>
            <w:tcW w:w="1218" w:type="dxa"/>
            <w:tcBorders>
              <w:top w:val="nil"/>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2</w:t>
            </w:r>
          </w:p>
        </w:tc>
      </w:tr>
      <w:tr w:rsidR="00482120" w:rsidRPr="007E6E46" w:rsidTr="00C9708D">
        <w:trPr>
          <w:trHeight w:val="275"/>
          <w:jc w:val="center"/>
        </w:trPr>
        <w:tc>
          <w:tcPr>
            <w:tcW w:w="1144" w:type="dxa"/>
            <w:vMerge/>
            <w:tcBorders>
              <w:left w:val="nil"/>
              <w:right w:val="nil"/>
            </w:tcBorders>
            <w:vAlign w:val="center"/>
          </w:tcPr>
          <w:p w:rsidR="00482120" w:rsidRPr="009552BB" w:rsidRDefault="00482120" w:rsidP="00C9708D">
            <w:pPr>
              <w:spacing w:line="240" w:lineRule="auto"/>
              <w:rPr>
                <w:b/>
                <w:color w:val="000000"/>
                <w:sz w:val="22"/>
              </w:rPr>
            </w:pPr>
          </w:p>
        </w:tc>
        <w:tc>
          <w:tcPr>
            <w:tcW w:w="2080" w:type="dxa"/>
            <w:tcBorders>
              <w:top w:val="nil"/>
              <w:left w:val="nil"/>
              <w:bottom w:val="nil"/>
              <w:right w:val="nil"/>
            </w:tcBorders>
            <w:vAlign w:val="center"/>
          </w:tcPr>
          <w:p w:rsidR="00482120" w:rsidRPr="009552BB" w:rsidRDefault="00482120" w:rsidP="00C9708D">
            <w:pPr>
              <w:spacing w:line="240" w:lineRule="auto"/>
              <w:rPr>
                <w:rFonts w:asciiTheme="minorHAnsi" w:hAnsiTheme="minorHAnsi"/>
                <w:sz w:val="22"/>
              </w:rPr>
            </w:pPr>
            <w:r>
              <w:rPr>
                <w:rFonts w:asciiTheme="minorHAnsi" w:hAnsiTheme="minorHAnsi"/>
                <w:sz w:val="22"/>
              </w:rPr>
              <w:t>Cape</w:t>
            </w:r>
            <w:r w:rsidRPr="009552BB">
              <w:rPr>
                <w:rFonts w:asciiTheme="minorHAnsi" w:hAnsiTheme="minorHAnsi"/>
                <w:sz w:val="22"/>
              </w:rPr>
              <w:t xml:space="preserve"> porcupine</w:t>
            </w:r>
          </w:p>
        </w:tc>
        <w:tc>
          <w:tcPr>
            <w:tcW w:w="2635" w:type="dxa"/>
            <w:tcBorders>
              <w:top w:val="nil"/>
              <w:left w:val="nil"/>
              <w:bottom w:val="nil"/>
              <w:right w:val="nil"/>
            </w:tcBorders>
            <w:vAlign w:val="center"/>
          </w:tcPr>
          <w:p w:rsidR="00482120" w:rsidRPr="009552BB" w:rsidRDefault="00482120" w:rsidP="00C9708D">
            <w:pPr>
              <w:spacing w:line="240" w:lineRule="auto"/>
              <w:rPr>
                <w:rFonts w:asciiTheme="minorHAnsi" w:hAnsiTheme="minorHAnsi"/>
                <w:i/>
                <w:sz w:val="22"/>
              </w:rPr>
            </w:pPr>
            <w:r w:rsidRPr="009552BB">
              <w:rPr>
                <w:rFonts w:asciiTheme="minorHAnsi" w:hAnsiTheme="minorHAnsi"/>
                <w:i/>
                <w:sz w:val="22"/>
              </w:rPr>
              <w:t xml:space="preserve">Hystrix </w:t>
            </w:r>
            <w:r>
              <w:rPr>
                <w:rFonts w:asciiTheme="minorHAnsi" w:hAnsiTheme="minorHAnsi"/>
                <w:i/>
                <w:sz w:val="22"/>
              </w:rPr>
              <w:t>africaeaustralis</w:t>
            </w:r>
          </w:p>
        </w:tc>
        <w:tc>
          <w:tcPr>
            <w:tcW w:w="2005" w:type="dxa"/>
            <w:tcBorders>
              <w:top w:val="nil"/>
              <w:left w:val="nil"/>
              <w:bottom w:val="nil"/>
              <w:right w:val="nil"/>
            </w:tcBorders>
          </w:tcPr>
          <w:p w:rsidR="00482120" w:rsidRPr="009552BB" w:rsidRDefault="00482120" w:rsidP="00C9708D">
            <w:pPr>
              <w:spacing w:line="240" w:lineRule="auto"/>
              <w:jc w:val="center"/>
              <w:rPr>
                <w:rFonts w:asciiTheme="minorHAnsi" w:hAnsiTheme="minorHAnsi"/>
                <w:sz w:val="22"/>
              </w:rPr>
            </w:pPr>
            <w:r>
              <w:rPr>
                <w:rFonts w:asciiTheme="minorHAnsi" w:hAnsiTheme="minorHAnsi"/>
                <w:sz w:val="22"/>
              </w:rPr>
              <w:t>Peters</w:t>
            </w:r>
            <w:r w:rsidRPr="00D74092">
              <w:rPr>
                <w:rFonts w:asciiTheme="minorHAnsi" w:hAnsiTheme="minorHAnsi"/>
                <w:sz w:val="22"/>
              </w:rPr>
              <w:t xml:space="preserve">, </w:t>
            </w:r>
            <w:r>
              <w:rPr>
                <w:rFonts w:asciiTheme="minorHAnsi" w:hAnsiTheme="minorHAnsi"/>
                <w:sz w:val="22"/>
              </w:rPr>
              <w:t>1852</w:t>
            </w:r>
          </w:p>
        </w:tc>
        <w:tc>
          <w:tcPr>
            <w:tcW w:w="764" w:type="dxa"/>
            <w:tcBorders>
              <w:top w:val="nil"/>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2</w:t>
            </w:r>
          </w:p>
        </w:tc>
        <w:tc>
          <w:tcPr>
            <w:tcW w:w="1218" w:type="dxa"/>
            <w:tcBorders>
              <w:top w:val="nil"/>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2</w:t>
            </w:r>
          </w:p>
        </w:tc>
      </w:tr>
      <w:tr w:rsidR="00482120" w:rsidRPr="007E6E46" w:rsidTr="00C9708D">
        <w:trPr>
          <w:trHeight w:val="123"/>
          <w:jc w:val="center"/>
        </w:trPr>
        <w:tc>
          <w:tcPr>
            <w:tcW w:w="1144" w:type="dxa"/>
            <w:vMerge/>
            <w:tcBorders>
              <w:left w:val="nil"/>
              <w:right w:val="nil"/>
            </w:tcBorders>
            <w:vAlign w:val="center"/>
          </w:tcPr>
          <w:p w:rsidR="00482120" w:rsidRPr="009552BB" w:rsidRDefault="00482120" w:rsidP="00C9708D">
            <w:pPr>
              <w:spacing w:line="240" w:lineRule="auto"/>
              <w:rPr>
                <w:b/>
                <w:color w:val="000000"/>
                <w:sz w:val="22"/>
              </w:rPr>
            </w:pPr>
          </w:p>
        </w:tc>
        <w:tc>
          <w:tcPr>
            <w:tcW w:w="2080" w:type="dxa"/>
            <w:tcBorders>
              <w:top w:val="nil"/>
              <w:left w:val="nil"/>
              <w:bottom w:val="nil"/>
              <w:right w:val="nil"/>
            </w:tcBorders>
            <w:vAlign w:val="center"/>
          </w:tcPr>
          <w:p w:rsidR="00482120" w:rsidRPr="009552BB" w:rsidRDefault="00482120" w:rsidP="00C9708D">
            <w:pPr>
              <w:spacing w:line="240" w:lineRule="auto"/>
              <w:rPr>
                <w:rFonts w:asciiTheme="minorHAnsi" w:hAnsiTheme="minorHAnsi"/>
                <w:sz w:val="22"/>
              </w:rPr>
            </w:pPr>
            <w:r>
              <w:rPr>
                <w:rFonts w:asciiTheme="minorHAnsi" w:hAnsiTheme="minorHAnsi"/>
                <w:sz w:val="22"/>
              </w:rPr>
              <w:t>*Genet species</w:t>
            </w:r>
          </w:p>
        </w:tc>
        <w:tc>
          <w:tcPr>
            <w:tcW w:w="2635" w:type="dxa"/>
            <w:tcBorders>
              <w:top w:val="nil"/>
              <w:left w:val="nil"/>
              <w:bottom w:val="nil"/>
              <w:right w:val="nil"/>
            </w:tcBorders>
            <w:vAlign w:val="center"/>
          </w:tcPr>
          <w:p w:rsidR="00482120" w:rsidRPr="009552BB" w:rsidRDefault="00482120" w:rsidP="00C9708D">
            <w:pPr>
              <w:spacing w:line="240" w:lineRule="auto"/>
              <w:rPr>
                <w:rFonts w:asciiTheme="minorHAnsi" w:hAnsiTheme="minorHAnsi"/>
                <w:i/>
                <w:sz w:val="22"/>
              </w:rPr>
            </w:pPr>
            <w:r w:rsidRPr="009552BB">
              <w:rPr>
                <w:rFonts w:asciiTheme="minorHAnsi" w:hAnsiTheme="minorHAnsi"/>
                <w:i/>
                <w:sz w:val="22"/>
              </w:rPr>
              <w:t xml:space="preserve">Genetta </w:t>
            </w:r>
            <w:r>
              <w:rPr>
                <w:rFonts w:asciiTheme="minorHAnsi" w:hAnsiTheme="minorHAnsi"/>
                <w:i/>
                <w:sz w:val="22"/>
              </w:rPr>
              <w:t>spp.</w:t>
            </w:r>
          </w:p>
        </w:tc>
        <w:tc>
          <w:tcPr>
            <w:tcW w:w="2005" w:type="dxa"/>
            <w:tcBorders>
              <w:top w:val="nil"/>
              <w:left w:val="nil"/>
              <w:bottom w:val="nil"/>
              <w:right w:val="nil"/>
            </w:tcBorders>
          </w:tcPr>
          <w:p w:rsidR="00482120" w:rsidRPr="009552BB" w:rsidRDefault="00482120" w:rsidP="00C9708D">
            <w:pPr>
              <w:spacing w:line="240" w:lineRule="auto"/>
              <w:jc w:val="center"/>
              <w:rPr>
                <w:rFonts w:asciiTheme="minorHAnsi" w:hAnsiTheme="minorHAnsi"/>
                <w:sz w:val="22"/>
              </w:rPr>
            </w:pPr>
          </w:p>
        </w:tc>
        <w:tc>
          <w:tcPr>
            <w:tcW w:w="764" w:type="dxa"/>
            <w:tcBorders>
              <w:top w:val="nil"/>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4</w:t>
            </w:r>
          </w:p>
        </w:tc>
        <w:tc>
          <w:tcPr>
            <w:tcW w:w="1218" w:type="dxa"/>
            <w:tcBorders>
              <w:top w:val="nil"/>
              <w:left w:val="nil"/>
              <w:bottom w:val="nil"/>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3</w:t>
            </w:r>
          </w:p>
        </w:tc>
      </w:tr>
      <w:tr w:rsidR="00482120" w:rsidRPr="007E6E46" w:rsidTr="00C9708D">
        <w:trPr>
          <w:trHeight w:val="283"/>
          <w:jc w:val="center"/>
        </w:trPr>
        <w:tc>
          <w:tcPr>
            <w:tcW w:w="1144" w:type="dxa"/>
            <w:vMerge/>
            <w:tcBorders>
              <w:left w:val="nil"/>
              <w:bottom w:val="single" w:sz="4" w:space="0" w:color="auto"/>
              <w:right w:val="nil"/>
            </w:tcBorders>
            <w:vAlign w:val="center"/>
          </w:tcPr>
          <w:p w:rsidR="00482120" w:rsidRPr="009552BB" w:rsidRDefault="00482120" w:rsidP="00C9708D">
            <w:pPr>
              <w:spacing w:line="240" w:lineRule="auto"/>
              <w:rPr>
                <w:b/>
                <w:color w:val="000000"/>
                <w:sz w:val="22"/>
              </w:rPr>
            </w:pPr>
          </w:p>
        </w:tc>
        <w:tc>
          <w:tcPr>
            <w:tcW w:w="2080" w:type="dxa"/>
            <w:tcBorders>
              <w:top w:val="nil"/>
              <w:left w:val="nil"/>
              <w:bottom w:val="single" w:sz="4" w:space="0" w:color="auto"/>
              <w:right w:val="nil"/>
            </w:tcBorders>
            <w:vAlign w:val="center"/>
          </w:tcPr>
          <w:p w:rsidR="00482120" w:rsidRPr="009552BB" w:rsidRDefault="00482120" w:rsidP="00C9708D">
            <w:pPr>
              <w:spacing w:line="240" w:lineRule="auto"/>
              <w:rPr>
                <w:rFonts w:asciiTheme="minorHAnsi" w:hAnsiTheme="minorHAnsi"/>
                <w:sz w:val="22"/>
              </w:rPr>
            </w:pPr>
            <w:r w:rsidRPr="009552BB">
              <w:rPr>
                <w:rFonts w:asciiTheme="minorHAnsi" w:hAnsiTheme="minorHAnsi"/>
                <w:sz w:val="22"/>
              </w:rPr>
              <w:t>Klipspringer</w:t>
            </w:r>
          </w:p>
        </w:tc>
        <w:tc>
          <w:tcPr>
            <w:tcW w:w="2635" w:type="dxa"/>
            <w:tcBorders>
              <w:top w:val="nil"/>
              <w:left w:val="nil"/>
              <w:bottom w:val="single" w:sz="4" w:space="0" w:color="auto"/>
              <w:right w:val="nil"/>
            </w:tcBorders>
            <w:vAlign w:val="center"/>
          </w:tcPr>
          <w:p w:rsidR="00482120" w:rsidRPr="009552BB" w:rsidRDefault="00482120" w:rsidP="00C9708D">
            <w:pPr>
              <w:spacing w:line="240" w:lineRule="auto"/>
              <w:rPr>
                <w:rFonts w:asciiTheme="minorHAnsi" w:hAnsiTheme="minorHAnsi"/>
                <w:i/>
                <w:sz w:val="22"/>
              </w:rPr>
            </w:pPr>
            <w:r w:rsidRPr="009552BB">
              <w:rPr>
                <w:rFonts w:asciiTheme="minorHAnsi" w:hAnsiTheme="minorHAnsi"/>
                <w:i/>
                <w:sz w:val="22"/>
              </w:rPr>
              <w:t>Oreotragus oreotragus</w:t>
            </w:r>
          </w:p>
        </w:tc>
        <w:tc>
          <w:tcPr>
            <w:tcW w:w="2005" w:type="dxa"/>
            <w:tcBorders>
              <w:top w:val="nil"/>
              <w:left w:val="nil"/>
              <w:bottom w:val="single" w:sz="4" w:space="0" w:color="auto"/>
              <w:right w:val="nil"/>
            </w:tcBorders>
          </w:tcPr>
          <w:p w:rsidR="00482120" w:rsidRPr="009552BB" w:rsidRDefault="00482120" w:rsidP="00C9708D">
            <w:pPr>
              <w:spacing w:line="240" w:lineRule="auto"/>
              <w:jc w:val="center"/>
              <w:rPr>
                <w:rFonts w:asciiTheme="minorHAnsi" w:hAnsiTheme="minorHAnsi"/>
                <w:sz w:val="22"/>
              </w:rPr>
            </w:pPr>
            <w:r w:rsidRPr="00D74092">
              <w:rPr>
                <w:rFonts w:asciiTheme="minorHAnsi" w:hAnsiTheme="minorHAnsi"/>
                <w:sz w:val="22"/>
              </w:rPr>
              <w:t>Zimmermann, 1783</w:t>
            </w:r>
          </w:p>
        </w:tc>
        <w:tc>
          <w:tcPr>
            <w:tcW w:w="764" w:type="dxa"/>
            <w:tcBorders>
              <w:top w:val="nil"/>
              <w:left w:val="nil"/>
              <w:bottom w:val="single" w:sz="4" w:space="0" w:color="auto"/>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3</w:t>
            </w:r>
          </w:p>
        </w:tc>
        <w:tc>
          <w:tcPr>
            <w:tcW w:w="1218" w:type="dxa"/>
            <w:tcBorders>
              <w:top w:val="nil"/>
              <w:left w:val="nil"/>
              <w:bottom w:val="single" w:sz="4" w:space="0" w:color="auto"/>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2</w:t>
            </w:r>
          </w:p>
        </w:tc>
      </w:tr>
      <w:tr w:rsidR="00482120" w:rsidRPr="007E6E46" w:rsidTr="00C9708D">
        <w:trPr>
          <w:trHeight w:val="405"/>
          <w:jc w:val="center"/>
        </w:trPr>
        <w:tc>
          <w:tcPr>
            <w:tcW w:w="1144" w:type="dxa"/>
            <w:tcBorders>
              <w:top w:val="single" w:sz="4" w:space="0" w:color="auto"/>
              <w:left w:val="nil"/>
              <w:bottom w:val="single" w:sz="4" w:space="0" w:color="auto"/>
              <w:right w:val="nil"/>
            </w:tcBorders>
            <w:vAlign w:val="center"/>
          </w:tcPr>
          <w:p w:rsidR="00482120" w:rsidRPr="009552BB" w:rsidRDefault="00482120" w:rsidP="00C9708D">
            <w:pPr>
              <w:spacing w:line="240" w:lineRule="auto"/>
              <w:rPr>
                <w:b/>
                <w:color w:val="000000"/>
                <w:sz w:val="22"/>
              </w:rPr>
            </w:pPr>
            <w:r w:rsidRPr="009552BB">
              <w:rPr>
                <w:b/>
                <w:color w:val="000000"/>
                <w:sz w:val="22"/>
              </w:rPr>
              <w:t>All three</w:t>
            </w:r>
          </w:p>
        </w:tc>
        <w:tc>
          <w:tcPr>
            <w:tcW w:w="2080" w:type="dxa"/>
            <w:tcBorders>
              <w:top w:val="single" w:sz="4" w:space="0" w:color="auto"/>
              <w:left w:val="nil"/>
              <w:bottom w:val="single" w:sz="4" w:space="0" w:color="auto"/>
              <w:right w:val="nil"/>
            </w:tcBorders>
            <w:vAlign w:val="center"/>
          </w:tcPr>
          <w:p w:rsidR="00482120" w:rsidRPr="009552BB" w:rsidRDefault="00482120" w:rsidP="00C9708D">
            <w:pPr>
              <w:spacing w:line="240" w:lineRule="auto"/>
              <w:rPr>
                <w:rFonts w:asciiTheme="minorHAnsi" w:hAnsiTheme="minorHAnsi"/>
                <w:sz w:val="22"/>
              </w:rPr>
            </w:pPr>
          </w:p>
        </w:tc>
        <w:tc>
          <w:tcPr>
            <w:tcW w:w="2635" w:type="dxa"/>
            <w:tcBorders>
              <w:top w:val="single" w:sz="4" w:space="0" w:color="auto"/>
              <w:left w:val="nil"/>
              <w:bottom w:val="single" w:sz="4" w:space="0" w:color="auto"/>
              <w:right w:val="nil"/>
            </w:tcBorders>
            <w:vAlign w:val="center"/>
          </w:tcPr>
          <w:p w:rsidR="00482120" w:rsidRPr="009552BB" w:rsidRDefault="00482120" w:rsidP="00C9708D">
            <w:pPr>
              <w:spacing w:line="240" w:lineRule="auto"/>
              <w:rPr>
                <w:rFonts w:asciiTheme="minorHAnsi" w:hAnsiTheme="minorHAnsi"/>
                <w:sz w:val="22"/>
              </w:rPr>
            </w:pPr>
          </w:p>
        </w:tc>
        <w:tc>
          <w:tcPr>
            <w:tcW w:w="2005" w:type="dxa"/>
            <w:tcBorders>
              <w:top w:val="single" w:sz="4" w:space="0" w:color="auto"/>
              <w:left w:val="nil"/>
              <w:bottom w:val="single" w:sz="4" w:space="0" w:color="auto"/>
              <w:right w:val="nil"/>
            </w:tcBorders>
          </w:tcPr>
          <w:p w:rsidR="00482120" w:rsidRPr="009552BB" w:rsidRDefault="00482120" w:rsidP="00C9708D">
            <w:pPr>
              <w:spacing w:line="240" w:lineRule="auto"/>
              <w:jc w:val="center"/>
              <w:rPr>
                <w:rFonts w:asciiTheme="minorHAnsi" w:hAnsiTheme="minorHAnsi"/>
                <w:sz w:val="22"/>
              </w:rPr>
            </w:pPr>
          </w:p>
        </w:tc>
        <w:tc>
          <w:tcPr>
            <w:tcW w:w="764" w:type="dxa"/>
            <w:tcBorders>
              <w:top w:val="single" w:sz="4" w:space="0" w:color="auto"/>
              <w:left w:val="nil"/>
              <w:bottom w:val="single" w:sz="4" w:space="0" w:color="auto"/>
              <w:right w:val="nil"/>
            </w:tcBorders>
            <w:vAlign w:val="center"/>
          </w:tcPr>
          <w:p w:rsidR="00482120" w:rsidRPr="009552BB" w:rsidRDefault="00482120" w:rsidP="00C9708D">
            <w:pPr>
              <w:spacing w:line="240" w:lineRule="auto"/>
              <w:jc w:val="center"/>
              <w:rPr>
                <w:rFonts w:asciiTheme="minorHAnsi" w:hAnsiTheme="minorHAnsi"/>
                <w:sz w:val="22"/>
              </w:rPr>
            </w:pPr>
            <w:r w:rsidRPr="009552BB">
              <w:rPr>
                <w:rFonts w:asciiTheme="minorHAnsi" w:hAnsiTheme="minorHAnsi"/>
                <w:sz w:val="22"/>
              </w:rPr>
              <w:t>0</w:t>
            </w:r>
          </w:p>
        </w:tc>
        <w:tc>
          <w:tcPr>
            <w:tcW w:w="1218" w:type="dxa"/>
            <w:tcBorders>
              <w:top w:val="single" w:sz="4" w:space="0" w:color="auto"/>
              <w:left w:val="nil"/>
              <w:bottom w:val="single" w:sz="4" w:space="0" w:color="auto"/>
              <w:right w:val="nil"/>
            </w:tcBorders>
            <w:vAlign w:val="center"/>
          </w:tcPr>
          <w:p w:rsidR="00482120" w:rsidRPr="009552BB" w:rsidRDefault="00482120" w:rsidP="00C9708D">
            <w:pPr>
              <w:spacing w:line="240" w:lineRule="auto"/>
              <w:jc w:val="center"/>
              <w:rPr>
                <w:rFonts w:asciiTheme="minorHAnsi" w:hAnsiTheme="minorHAnsi"/>
                <w:sz w:val="22"/>
              </w:rPr>
            </w:pPr>
          </w:p>
        </w:tc>
      </w:tr>
      <w:tr w:rsidR="00482120" w:rsidRPr="007E6E46" w:rsidTr="00C9708D">
        <w:trPr>
          <w:trHeight w:val="405"/>
          <w:jc w:val="center"/>
        </w:trPr>
        <w:tc>
          <w:tcPr>
            <w:tcW w:w="1144" w:type="dxa"/>
            <w:tcBorders>
              <w:top w:val="single" w:sz="4" w:space="0" w:color="auto"/>
              <w:left w:val="nil"/>
              <w:bottom w:val="single" w:sz="4" w:space="0" w:color="auto"/>
              <w:right w:val="nil"/>
            </w:tcBorders>
            <w:vAlign w:val="center"/>
          </w:tcPr>
          <w:p w:rsidR="00482120" w:rsidRPr="009552BB" w:rsidRDefault="00482120" w:rsidP="00C9708D">
            <w:pPr>
              <w:spacing w:line="240" w:lineRule="auto"/>
              <w:rPr>
                <w:b/>
                <w:color w:val="000000"/>
                <w:sz w:val="22"/>
              </w:rPr>
            </w:pPr>
            <w:r>
              <w:rPr>
                <w:b/>
                <w:color w:val="000000"/>
                <w:sz w:val="22"/>
              </w:rPr>
              <w:t>Total</w:t>
            </w:r>
          </w:p>
        </w:tc>
        <w:tc>
          <w:tcPr>
            <w:tcW w:w="2080" w:type="dxa"/>
            <w:tcBorders>
              <w:top w:val="single" w:sz="4" w:space="0" w:color="auto"/>
              <w:left w:val="nil"/>
              <w:bottom w:val="single" w:sz="4" w:space="0" w:color="auto"/>
              <w:right w:val="nil"/>
            </w:tcBorders>
            <w:vAlign w:val="center"/>
          </w:tcPr>
          <w:p w:rsidR="00482120" w:rsidRPr="009552BB" w:rsidRDefault="00482120" w:rsidP="00C9708D">
            <w:pPr>
              <w:spacing w:line="240" w:lineRule="auto"/>
              <w:rPr>
                <w:rFonts w:asciiTheme="minorHAnsi" w:hAnsiTheme="minorHAnsi"/>
                <w:sz w:val="22"/>
              </w:rPr>
            </w:pPr>
          </w:p>
        </w:tc>
        <w:tc>
          <w:tcPr>
            <w:tcW w:w="2635" w:type="dxa"/>
            <w:tcBorders>
              <w:top w:val="single" w:sz="4" w:space="0" w:color="auto"/>
              <w:left w:val="nil"/>
              <w:bottom w:val="single" w:sz="4" w:space="0" w:color="auto"/>
              <w:right w:val="nil"/>
            </w:tcBorders>
            <w:vAlign w:val="center"/>
          </w:tcPr>
          <w:p w:rsidR="00482120" w:rsidRPr="009552BB" w:rsidRDefault="00482120" w:rsidP="00C9708D">
            <w:pPr>
              <w:spacing w:line="240" w:lineRule="auto"/>
              <w:rPr>
                <w:rFonts w:asciiTheme="minorHAnsi" w:hAnsiTheme="minorHAnsi"/>
                <w:sz w:val="22"/>
              </w:rPr>
            </w:pPr>
          </w:p>
        </w:tc>
        <w:tc>
          <w:tcPr>
            <w:tcW w:w="2005" w:type="dxa"/>
            <w:tcBorders>
              <w:top w:val="single" w:sz="4" w:space="0" w:color="auto"/>
              <w:left w:val="nil"/>
              <w:bottom w:val="single" w:sz="4" w:space="0" w:color="auto"/>
              <w:right w:val="nil"/>
            </w:tcBorders>
          </w:tcPr>
          <w:p w:rsidR="00482120" w:rsidRPr="009552BB" w:rsidRDefault="00482120" w:rsidP="00C9708D">
            <w:pPr>
              <w:spacing w:line="240" w:lineRule="auto"/>
              <w:jc w:val="center"/>
              <w:rPr>
                <w:rFonts w:asciiTheme="minorHAnsi" w:hAnsiTheme="minorHAnsi"/>
                <w:sz w:val="22"/>
              </w:rPr>
            </w:pPr>
          </w:p>
        </w:tc>
        <w:tc>
          <w:tcPr>
            <w:tcW w:w="764" w:type="dxa"/>
            <w:tcBorders>
              <w:top w:val="single" w:sz="4" w:space="0" w:color="auto"/>
              <w:left w:val="nil"/>
              <w:bottom w:val="single" w:sz="4" w:space="0" w:color="auto"/>
              <w:right w:val="nil"/>
            </w:tcBorders>
            <w:vAlign w:val="center"/>
          </w:tcPr>
          <w:p w:rsidR="00482120" w:rsidRPr="009552BB" w:rsidRDefault="00482120" w:rsidP="00C9708D">
            <w:pPr>
              <w:spacing w:line="240" w:lineRule="auto"/>
              <w:jc w:val="center"/>
              <w:rPr>
                <w:rFonts w:asciiTheme="minorHAnsi" w:hAnsiTheme="minorHAnsi"/>
                <w:sz w:val="22"/>
              </w:rPr>
            </w:pPr>
            <w:r>
              <w:rPr>
                <w:rFonts w:asciiTheme="minorHAnsi" w:hAnsiTheme="minorHAnsi"/>
                <w:sz w:val="22"/>
              </w:rPr>
              <w:t>36</w:t>
            </w:r>
          </w:p>
        </w:tc>
        <w:tc>
          <w:tcPr>
            <w:tcW w:w="1218" w:type="dxa"/>
            <w:tcBorders>
              <w:top w:val="single" w:sz="4" w:space="0" w:color="auto"/>
              <w:left w:val="nil"/>
              <w:bottom w:val="single" w:sz="4" w:space="0" w:color="auto"/>
              <w:right w:val="nil"/>
            </w:tcBorders>
            <w:vAlign w:val="center"/>
          </w:tcPr>
          <w:p w:rsidR="00482120" w:rsidRPr="009552BB" w:rsidRDefault="00482120" w:rsidP="00C9708D">
            <w:pPr>
              <w:spacing w:line="240" w:lineRule="auto"/>
              <w:jc w:val="center"/>
              <w:rPr>
                <w:rFonts w:asciiTheme="minorHAnsi" w:hAnsiTheme="minorHAnsi"/>
                <w:sz w:val="22"/>
              </w:rPr>
            </w:pPr>
            <w:r>
              <w:rPr>
                <w:rFonts w:asciiTheme="minorHAnsi" w:hAnsiTheme="minorHAnsi"/>
                <w:sz w:val="22"/>
              </w:rPr>
              <w:t>29</w:t>
            </w:r>
          </w:p>
        </w:tc>
      </w:tr>
    </w:tbl>
    <w:p w:rsidR="00482120" w:rsidRDefault="00482120" w:rsidP="00482120">
      <w:r>
        <w:t>*Genet species are difficult to distinguish separately by field signs.</w:t>
      </w:r>
    </w:p>
    <w:p w:rsidR="000D0226" w:rsidRDefault="000D0226" w:rsidP="000D0226">
      <w:pPr>
        <w:rPr>
          <w:u w:val="single"/>
        </w:rPr>
      </w:pPr>
    </w:p>
    <w:p w:rsidR="00482120" w:rsidRDefault="00482120" w:rsidP="000D0226">
      <w:pPr>
        <w:rPr>
          <w:u w:val="single"/>
        </w:rPr>
      </w:pPr>
    </w:p>
    <w:p w:rsidR="00482120" w:rsidRDefault="00482120" w:rsidP="000D0226">
      <w:pPr>
        <w:rPr>
          <w:u w:val="single"/>
        </w:rPr>
      </w:pPr>
    </w:p>
    <w:p w:rsidR="00482120" w:rsidRDefault="00482120" w:rsidP="000D0226">
      <w:pPr>
        <w:rPr>
          <w:u w:val="single"/>
        </w:rPr>
      </w:pPr>
    </w:p>
    <w:p w:rsidR="00482120" w:rsidRDefault="00482120" w:rsidP="000D0226">
      <w:pPr>
        <w:rPr>
          <w:u w:val="single"/>
        </w:rPr>
      </w:pPr>
    </w:p>
    <w:p w:rsidR="00482120" w:rsidRDefault="00482120" w:rsidP="000D0226">
      <w:pPr>
        <w:rPr>
          <w:u w:val="single"/>
        </w:rPr>
      </w:pPr>
    </w:p>
    <w:p w:rsidR="00482120" w:rsidRDefault="00482120" w:rsidP="000D0226">
      <w:pPr>
        <w:rPr>
          <w:u w:val="single"/>
        </w:rPr>
      </w:pPr>
    </w:p>
    <w:p w:rsidR="00482120" w:rsidRDefault="00482120" w:rsidP="000D0226">
      <w:pPr>
        <w:rPr>
          <w:u w:val="single"/>
        </w:rPr>
      </w:pPr>
    </w:p>
    <w:p w:rsidR="00482120" w:rsidRDefault="00482120" w:rsidP="000D0226">
      <w:pPr>
        <w:rPr>
          <w:u w:val="single"/>
        </w:rPr>
      </w:pPr>
    </w:p>
    <w:p w:rsidR="00482120" w:rsidRDefault="00482120" w:rsidP="000D0226">
      <w:pPr>
        <w:rPr>
          <w:u w:val="single"/>
        </w:rPr>
      </w:pPr>
    </w:p>
    <w:p w:rsidR="00482120" w:rsidRDefault="00482120" w:rsidP="000D0226">
      <w:pPr>
        <w:rPr>
          <w:u w:val="single"/>
        </w:rPr>
      </w:pPr>
    </w:p>
    <w:p w:rsidR="00482120" w:rsidRDefault="00482120" w:rsidP="000D0226">
      <w:pPr>
        <w:rPr>
          <w:u w:val="single"/>
        </w:rPr>
      </w:pPr>
    </w:p>
    <w:p w:rsidR="00482120" w:rsidRDefault="00482120" w:rsidP="000D0226">
      <w:pPr>
        <w:rPr>
          <w:u w:val="single"/>
        </w:rPr>
      </w:pPr>
    </w:p>
    <w:p w:rsidR="00482120" w:rsidRPr="000D0226" w:rsidRDefault="00482120" w:rsidP="000D0226">
      <w:pPr>
        <w:rPr>
          <w:u w:val="single"/>
        </w:rPr>
      </w:pPr>
    </w:p>
    <w:p w:rsidR="000D0226" w:rsidRPr="000D0226" w:rsidRDefault="000D0226" w:rsidP="000D0226">
      <w:bookmarkStart w:id="11" w:name="_Ref443391219"/>
      <w:r w:rsidRPr="000D0226">
        <w:lastRenderedPageBreak/>
        <w:t xml:space="preserve">Table </w:t>
      </w:r>
      <w:bookmarkEnd w:id="11"/>
      <w:r w:rsidRPr="000D0226">
        <w:t>2: Effect of the fence on vegetation attributes for all transects and transects without holes, with p-values adjusted following sequential Holm-Bonferroni correction</w:t>
      </w:r>
      <w:r w:rsidR="00C10043">
        <w:t xml:space="preserve"> following Paired Wilcoxon test</w:t>
      </w:r>
      <w:r w:rsidRPr="000D0226">
        <w:t xml:space="preserve">. (Height categories were as follows: 1: 0-20cm; 2: 20cm-1m; 3: 1-2m; 4: 2-3m; 5: 3-4m and 6: &gt; 4m. Plant cover percentages were taken along each transect). </w:t>
      </w:r>
    </w:p>
    <w:tbl>
      <w:tblPr>
        <w:tblStyle w:val="PlainTable21"/>
        <w:tblW w:w="9946" w:type="dxa"/>
        <w:tblLayout w:type="fixed"/>
        <w:tblLook w:val="04A0" w:firstRow="1" w:lastRow="0" w:firstColumn="1" w:lastColumn="0" w:noHBand="0" w:noVBand="1"/>
      </w:tblPr>
      <w:tblGrid>
        <w:gridCol w:w="1408"/>
        <w:gridCol w:w="3588"/>
        <w:gridCol w:w="1035"/>
        <w:gridCol w:w="1092"/>
        <w:gridCol w:w="992"/>
        <w:gridCol w:w="609"/>
        <w:gridCol w:w="1222"/>
      </w:tblGrid>
      <w:tr w:rsidR="00482120" w:rsidRPr="001B1200" w:rsidTr="00C97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auto"/>
              <w:bottom w:val="single" w:sz="4" w:space="0" w:color="auto"/>
            </w:tcBorders>
          </w:tcPr>
          <w:p w:rsidR="00482120" w:rsidRPr="001B1200" w:rsidRDefault="00482120" w:rsidP="00C9708D">
            <w:pPr>
              <w:rPr>
                <w:sz w:val="22"/>
              </w:rPr>
            </w:pPr>
            <w:r w:rsidRPr="001B1200">
              <w:rPr>
                <w:sz w:val="22"/>
              </w:rPr>
              <w:t>Transect data</w:t>
            </w:r>
          </w:p>
        </w:tc>
        <w:tc>
          <w:tcPr>
            <w:tcW w:w="3588" w:type="dxa"/>
            <w:tcBorders>
              <w:top w:val="single" w:sz="4" w:space="0" w:color="auto"/>
              <w:bottom w:val="single" w:sz="4" w:space="0" w:color="auto"/>
            </w:tcBorders>
          </w:tcPr>
          <w:p w:rsidR="00482120" w:rsidRPr="001B1200" w:rsidRDefault="00482120" w:rsidP="00C9708D">
            <w:pPr>
              <w:cnfStyle w:val="100000000000" w:firstRow="1" w:lastRow="0" w:firstColumn="0" w:lastColumn="0" w:oddVBand="0" w:evenVBand="0" w:oddHBand="0" w:evenHBand="0" w:firstRowFirstColumn="0" w:firstRowLastColumn="0" w:lastRowFirstColumn="0" w:lastRowLastColumn="0"/>
              <w:rPr>
                <w:sz w:val="22"/>
              </w:rPr>
            </w:pPr>
            <w:r w:rsidRPr="001B1200">
              <w:rPr>
                <w:sz w:val="22"/>
              </w:rPr>
              <w:t>Attribute</w:t>
            </w:r>
          </w:p>
        </w:tc>
        <w:tc>
          <w:tcPr>
            <w:tcW w:w="1035" w:type="dxa"/>
            <w:tcBorders>
              <w:top w:val="single" w:sz="4" w:space="0" w:color="auto"/>
              <w:bottom w:val="single" w:sz="4" w:space="0" w:color="auto"/>
            </w:tcBorders>
          </w:tcPr>
          <w:p w:rsidR="00482120" w:rsidRPr="001B1200" w:rsidRDefault="00482120" w:rsidP="00C9708D">
            <w:pPr>
              <w:jc w:val="center"/>
              <w:cnfStyle w:val="100000000000" w:firstRow="1" w:lastRow="0" w:firstColumn="0" w:lastColumn="0" w:oddVBand="0" w:evenVBand="0" w:oddHBand="0" w:evenHBand="0" w:firstRowFirstColumn="0" w:firstRowLastColumn="0" w:lastRowFirstColumn="0" w:lastRowLastColumn="0"/>
              <w:rPr>
                <w:sz w:val="22"/>
              </w:rPr>
            </w:pPr>
            <w:r w:rsidRPr="001B1200">
              <w:rPr>
                <w:sz w:val="22"/>
              </w:rPr>
              <w:t>Median inside</w:t>
            </w:r>
          </w:p>
        </w:tc>
        <w:tc>
          <w:tcPr>
            <w:tcW w:w="1092" w:type="dxa"/>
            <w:tcBorders>
              <w:top w:val="single" w:sz="4" w:space="0" w:color="auto"/>
              <w:bottom w:val="single" w:sz="4" w:space="0" w:color="auto"/>
            </w:tcBorders>
          </w:tcPr>
          <w:p w:rsidR="00482120" w:rsidRPr="001B1200" w:rsidRDefault="00482120" w:rsidP="00C9708D">
            <w:pPr>
              <w:jc w:val="center"/>
              <w:cnfStyle w:val="100000000000" w:firstRow="1" w:lastRow="0" w:firstColumn="0" w:lastColumn="0" w:oddVBand="0" w:evenVBand="0" w:oddHBand="0" w:evenHBand="0" w:firstRowFirstColumn="0" w:firstRowLastColumn="0" w:lastRowFirstColumn="0" w:lastRowLastColumn="0"/>
              <w:rPr>
                <w:sz w:val="22"/>
              </w:rPr>
            </w:pPr>
            <w:r w:rsidRPr="001B1200">
              <w:rPr>
                <w:sz w:val="22"/>
              </w:rPr>
              <w:t>Median outside</w:t>
            </w:r>
          </w:p>
        </w:tc>
        <w:tc>
          <w:tcPr>
            <w:tcW w:w="992" w:type="dxa"/>
            <w:tcBorders>
              <w:top w:val="single" w:sz="4" w:space="0" w:color="auto"/>
              <w:bottom w:val="single" w:sz="4" w:space="0" w:color="auto"/>
            </w:tcBorders>
          </w:tcPr>
          <w:p w:rsidR="00482120" w:rsidRPr="001B1200" w:rsidRDefault="00482120" w:rsidP="00C9708D">
            <w:pPr>
              <w:jc w:val="center"/>
              <w:cnfStyle w:val="100000000000" w:firstRow="1" w:lastRow="0" w:firstColumn="0" w:lastColumn="0" w:oddVBand="0" w:evenVBand="0" w:oddHBand="0" w:evenHBand="0" w:firstRowFirstColumn="0" w:firstRowLastColumn="0" w:lastRowFirstColumn="0" w:lastRowLastColumn="0"/>
              <w:rPr>
                <w:i/>
                <w:sz w:val="22"/>
              </w:rPr>
            </w:pPr>
            <w:r w:rsidRPr="001B1200">
              <w:rPr>
                <w:i/>
                <w:sz w:val="22"/>
              </w:rPr>
              <w:t>Z</w:t>
            </w:r>
          </w:p>
        </w:tc>
        <w:tc>
          <w:tcPr>
            <w:tcW w:w="609" w:type="dxa"/>
            <w:tcBorders>
              <w:top w:val="single" w:sz="4" w:space="0" w:color="auto"/>
              <w:bottom w:val="single" w:sz="4" w:space="0" w:color="auto"/>
            </w:tcBorders>
          </w:tcPr>
          <w:p w:rsidR="00482120" w:rsidRPr="001B1200" w:rsidRDefault="00482120" w:rsidP="00C9708D">
            <w:pPr>
              <w:jc w:val="center"/>
              <w:cnfStyle w:val="100000000000" w:firstRow="1" w:lastRow="0" w:firstColumn="0" w:lastColumn="0" w:oddVBand="0" w:evenVBand="0" w:oddHBand="0" w:evenHBand="0" w:firstRowFirstColumn="0" w:firstRowLastColumn="0" w:lastRowFirstColumn="0" w:lastRowLastColumn="0"/>
              <w:rPr>
                <w:sz w:val="22"/>
              </w:rPr>
            </w:pPr>
            <w:r w:rsidRPr="001B1200">
              <w:rPr>
                <w:sz w:val="22"/>
              </w:rPr>
              <w:t>n</w:t>
            </w:r>
          </w:p>
        </w:tc>
        <w:tc>
          <w:tcPr>
            <w:tcW w:w="1222" w:type="dxa"/>
            <w:tcBorders>
              <w:top w:val="single" w:sz="4" w:space="0" w:color="auto"/>
              <w:bottom w:val="single" w:sz="4" w:space="0" w:color="auto"/>
            </w:tcBorders>
          </w:tcPr>
          <w:p w:rsidR="00482120" w:rsidRPr="001B1200" w:rsidRDefault="00482120" w:rsidP="00C9708D">
            <w:pPr>
              <w:jc w:val="center"/>
              <w:cnfStyle w:val="100000000000" w:firstRow="1" w:lastRow="0" w:firstColumn="0" w:lastColumn="0" w:oddVBand="0" w:evenVBand="0" w:oddHBand="0" w:evenHBand="0" w:firstRowFirstColumn="0" w:firstRowLastColumn="0" w:lastRowFirstColumn="0" w:lastRowLastColumn="0"/>
              <w:rPr>
                <w:sz w:val="22"/>
              </w:rPr>
            </w:pPr>
            <w:r w:rsidRPr="001B1200">
              <w:rPr>
                <w:sz w:val="22"/>
              </w:rPr>
              <w:t xml:space="preserve">Adjusted </w:t>
            </w:r>
            <w:r w:rsidRPr="001B1200">
              <w:rPr>
                <w:i/>
                <w:sz w:val="22"/>
              </w:rPr>
              <w:t>P</w:t>
            </w:r>
          </w:p>
        </w:tc>
      </w:tr>
      <w:tr w:rsidR="00482120" w:rsidRPr="001B1200" w:rsidTr="00C97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auto"/>
            </w:tcBorders>
          </w:tcPr>
          <w:p w:rsidR="00482120" w:rsidRPr="001B1200" w:rsidRDefault="00482120" w:rsidP="00C9708D">
            <w:pPr>
              <w:rPr>
                <w:sz w:val="22"/>
              </w:rPr>
            </w:pPr>
            <w:r w:rsidRPr="001B1200">
              <w:rPr>
                <w:sz w:val="22"/>
              </w:rPr>
              <w:t>All excluding incomplete</w:t>
            </w:r>
          </w:p>
        </w:tc>
        <w:tc>
          <w:tcPr>
            <w:tcW w:w="3588" w:type="dxa"/>
            <w:tcBorders>
              <w:top w:val="single" w:sz="4" w:space="0" w:color="auto"/>
            </w:tcBorders>
          </w:tcPr>
          <w:p w:rsidR="00482120" w:rsidRPr="001B1200" w:rsidRDefault="00482120" w:rsidP="00C9708D">
            <w:pPr>
              <w:cnfStyle w:val="000000100000" w:firstRow="0" w:lastRow="0" w:firstColumn="0" w:lastColumn="0" w:oddVBand="0" w:evenVBand="0" w:oddHBand="1" w:evenHBand="0" w:firstRowFirstColumn="0" w:firstRowLastColumn="0" w:lastRowFirstColumn="0" w:lastRowLastColumn="0"/>
              <w:rPr>
                <w:sz w:val="22"/>
              </w:rPr>
            </w:pPr>
            <w:r w:rsidRPr="001B1200">
              <w:rPr>
                <w:sz w:val="22"/>
              </w:rPr>
              <w:t xml:space="preserve">Vegetation </w:t>
            </w:r>
            <w:r>
              <w:rPr>
                <w:sz w:val="22"/>
              </w:rPr>
              <w:t>richness</w:t>
            </w:r>
          </w:p>
        </w:tc>
        <w:tc>
          <w:tcPr>
            <w:tcW w:w="1035" w:type="dxa"/>
            <w:tcBorders>
              <w:top w:val="single" w:sz="4" w:space="0" w:color="auto"/>
            </w:tcBorders>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6</w:t>
            </w:r>
          </w:p>
        </w:tc>
        <w:tc>
          <w:tcPr>
            <w:tcW w:w="1092" w:type="dxa"/>
            <w:tcBorders>
              <w:top w:val="single" w:sz="4" w:space="0" w:color="auto"/>
            </w:tcBorders>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5</w:t>
            </w:r>
          </w:p>
        </w:tc>
        <w:tc>
          <w:tcPr>
            <w:tcW w:w="992" w:type="dxa"/>
            <w:tcBorders>
              <w:top w:val="single" w:sz="4" w:space="0" w:color="auto"/>
            </w:tcBorders>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3559</w:t>
            </w:r>
          </w:p>
        </w:tc>
        <w:tc>
          <w:tcPr>
            <w:tcW w:w="609" w:type="dxa"/>
            <w:tcBorders>
              <w:top w:val="single" w:sz="4" w:space="0" w:color="auto"/>
            </w:tcBorders>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101</w:t>
            </w:r>
          </w:p>
        </w:tc>
        <w:tc>
          <w:tcPr>
            <w:tcW w:w="1222" w:type="dxa"/>
            <w:tcBorders>
              <w:top w:val="single" w:sz="4" w:space="0" w:color="auto"/>
            </w:tcBorders>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&lt;0.001</w:t>
            </w:r>
          </w:p>
        </w:tc>
      </w:tr>
      <w:tr w:rsidR="00482120" w:rsidRPr="001B1200" w:rsidTr="00C9708D">
        <w:tc>
          <w:tcPr>
            <w:cnfStyle w:val="001000000000" w:firstRow="0" w:lastRow="0" w:firstColumn="1" w:lastColumn="0" w:oddVBand="0" w:evenVBand="0" w:oddHBand="0" w:evenHBand="0" w:firstRowFirstColumn="0" w:firstRowLastColumn="0" w:lastRowFirstColumn="0" w:lastRowLastColumn="0"/>
            <w:tcW w:w="1408" w:type="dxa"/>
            <w:vMerge/>
          </w:tcPr>
          <w:p w:rsidR="00482120" w:rsidRPr="001B1200" w:rsidRDefault="00482120" w:rsidP="00C9708D">
            <w:pPr>
              <w:rPr>
                <w:sz w:val="22"/>
              </w:rPr>
            </w:pPr>
          </w:p>
        </w:tc>
        <w:tc>
          <w:tcPr>
            <w:tcW w:w="3588" w:type="dxa"/>
          </w:tcPr>
          <w:p w:rsidR="00482120" w:rsidRPr="001B1200" w:rsidRDefault="00482120" w:rsidP="00C9708D">
            <w:pPr>
              <w:cnfStyle w:val="000000000000" w:firstRow="0" w:lastRow="0" w:firstColumn="0" w:lastColumn="0" w:oddVBand="0" w:evenVBand="0" w:oddHBand="0" w:evenHBand="0" w:firstRowFirstColumn="0" w:firstRowLastColumn="0" w:lastRowFirstColumn="0" w:lastRowLastColumn="0"/>
              <w:rPr>
                <w:sz w:val="22"/>
              </w:rPr>
            </w:pPr>
            <w:r w:rsidRPr="001B1200">
              <w:rPr>
                <w:sz w:val="22"/>
              </w:rPr>
              <w:t>Max. vegetation height</w:t>
            </w:r>
            <w:r>
              <w:rPr>
                <w:sz w:val="22"/>
              </w:rPr>
              <w:t xml:space="preserve"> category</w:t>
            </w:r>
          </w:p>
        </w:tc>
        <w:tc>
          <w:tcPr>
            <w:tcW w:w="1035" w:type="dxa"/>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2</w:t>
            </w:r>
          </w:p>
        </w:tc>
        <w:tc>
          <w:tcPr>
            <w:tcW w:w="1092" w:type="dxa"/>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2</w:t>
            </w:r>
          </w:p>
        </w:tc>
        <w:tc>
          <w:tcPr>
            <w:tcW w:w="992" w:type="dxa"/>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1187</w:t>
            </w:r>
          </w:p>
        </w:tc>
        <w:tc>
          <w:tcPr>
            <w:tcW w:w="609" w:type="dxa"/>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101</w:t>
            </w:r>
          </w:p>
        </w:tc>
        <w:tc>
          <w:tcPr>
            <w:tcW w:w="1222" w:type="dxa"/>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NS</w:t>
            </w:r>
          </w:p>
        </w:tc>
      </w:tr>
      <w:tr w:rsidR="00482120" w:rsidRPr="001B1200" w:rsidTr="00C97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rsidR="00482120" w:rsidRPr="001B1200" w:rsidRDefault="00482120" w:rsidP="00C9708D">
            <w:pPr>
              <w:rPr>
                <w:sz w:val="22"/>
              </w:rPr>
            </w:pPr>
          </w:p>
        </w:tc>
        <w:tc>
          <w:tcPr>
            <w:tcW w:w="3588" w:type="dxa"/>
          </w:tcPr>
          <w:p w:rsidR="00482120" w:rsidRPr="001B1200" w:rsidRDefault="00482120" w:rsidP="00C9708D">
            <w:pPr>
              <w:cnfStyle w:val="000000100000" w:firstRow="0" w:lastRow="0" w:firstColumn="0" w:lastColumn="0" w:oddVBand="0" w:evenVBand="0" w:oddHBand="1" w:evenHBand="0" w:firstRowFirstColumn="0" w:firstRowLastColumn="0" w:lastRowFirstColumn="0" w:lastRowLastColumn="0"/>
              <w:rPr>
                <w:sz w:val="22"/>
              </w:rPr>
            </w:pPr>
            <w:r w:rsidRPr="001B1200">
              <w:rPr>
                <w:sz w:val="22"/>
              </w:rPr>
              <w:t>Median vegetation height</w:t>
            </w:r>
            <w:r>
              <w:rPr>
                <w:sz w:val="22"/>
              </w:rPr>
              <w:t xml:space="preserve"> category</w:t>
            </w:r>
          </w:p>
        </w:tc>
        <w:tc>
          <w:tcPr>
            <w:tcW w:w="1035" w:type="dxa"/>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2</w:t>
            </w:r>
          </w:p>
        </w:tc>
        <w:tc>
          <w:tcPr>
            <w:tcW w:w="1092" w:type="dxa"/>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2</w:t>
            </w:r>
          </w:p>
        </w:tc>
        <w:tc>
          <w:tcPr>
            <w:tcW w:w="992" w:type="dxa"/>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1247</w:t>
            </w:r>
          </w:p>
        </w:tc>
        <w:tc>
          <w:tcPr>
            <w:tcW w:w="609" w:type="dxa"/>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101</w:t>
            </w:r>
          </w:p>
        </w:tc>
        <w:tc>
          <w:tcPr>
            <w:tcW w:w="1222" w:type="dxa"/>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NS</w:t>
            </w:r>
          </w:p>
        </w:tc>
      </w:tr>
      <w:tr w:rsidR="00482120" w:rsidRPr="001B1200" w:rsidTr="00C9708D">
        <w:tc>
          <w:tcPr>
            <w:cnfStyle w:val="001000000000" w:firstRow="0" w:lastRow="0" w:firstColumn="1" w:lastColumn="0" w:oddVBand="0" w:evenVBand="0" w:oddHBand="0" w:evenHBand="0" w:firstRowFirstColumn="0" w:firstRowLastColumn="0" w:lastRowFirstColumn="0" w:lastRowLastColumn="0"/>
            <w:tcW w:w="1408" w:type="dxa"/>
            <w:vMerge/>
          </w:tcPr>
          <w:p w:rsidR="00482120" w:rsidRPr="001B1200" w:rsidRDefault="00482120" w:rsidP="00C9708D">
            <w:pPr>
              <w:rPr>
                <w:sz w:val="22"/>
              </w:rPr>
            </w:pPr>
          </w:p>
        </w:tc>
        <w:tc>
          <w:tcPr>
            <w:tcW w:w="3588" w:type="dxa"/>
          </w:tcPr>
          <w:p w:rsidR="00482120" w:rsidRPr="001B1200" w:rsidRDefault="00482120" w:rsidP="00C9708D">
            <w:pPr>
              <w:cnfStyle w:val="000000000000" w:firstRow="0" w:lastRow="0" w:firstColumn="0" w:lastColumn="0" w:oddVBand="0" w:evenVBand="0" w:oddHBand="0" w:evenHBand="0" w:firstRowFirstColumn="0" w:firstRowLastColumn="0" w:lastRowFirstColumn="0" w:lastRowLastColumn="0"/>
              <w:rPr>
                <w:sz w:val="22"/>
              </w:rPr>
            </w:pPr>
            <w:r w:rsidRPr="001B1200">
              <w:rPr>
                <w:sz w:val="22"/>
              </w:rPr>
              <w:t>P</w:t>
            </w:r>
            <w:r>
              <w:rPr>
                <w:sz w:val="22"/>
              </w:rPr>
              <w:t>ercentage</w:t>
            </w:r>
            <w:r w:rsidRPr="001B1200">
              <w:rPr>
                <w:sz w:val="22"/>
              </w:rPr>
              <w:t xml:space="preserve"> of bare ground</w:t>
            </w:r>
          </w:p>
        </w:tc>
        <w:tc>
          <w:tcPr>
            <w:tcW w:w="1035" w:type="dxa"/>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9</w:t>
            </w:r>
          </w:p>
        </w:tc>
        <w:tc>
          <w:tcPr>
            <w:tcW w:w="1092" w:type="dxa"/>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9</w:t>
            </w:r>
          </w:p>
        </w:tc>
        <w:tc>
          <w:tcPr>
            <w:tcW w:w="992" w:type="dxa"/>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1616</w:t>
            </w:r>
          </w:p>
        </w:tc>
        <w:tc>
          <w:tcPr>
            <w:tcW w:w="609" w:type="dxa"/>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101</w:t>
            </w:r>
          </w:p>
        </w:tc>
        <w:tc>
          <w:tcPr>
            <w:tcW w:w="1222" w:type="dxa"/>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NS</w:t>
            </w:r>
          </w:p>
        </w:tc>
      </w:tr>
      <w:tr w:rsidR="00482120" w:rsidRPr="001B1200" w:rsidTr="00C97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rsidR="00482120" w:rsidRPr="001B1200" w:rsidRDefault="00482120" w:rsidP="00C9708D">
            <w:pPr>
              <w:rPr>
                <w:sz w:val="22"/>
              </w:rPr>
            </w:pPr>
          </w:p>
        </w:tc>
        <w:tc>
          <w:tcPr>
            <w:tcW w:w="3588" w:type="dxa"/>
          </w:tcPr>
          <w:p w:rsidR="00482120" w:rsidRPr="001B1200" w:rsidRDefault="00482120" w:rsidP="00C9708D">
            <w:pPr>
              <w:cnfStyle w:val="000000100000" w:firstRow="0" w:lastRow="0" w:firstColumn="0" w:lastColumn="0" w:oddVBand="0" w:evenVBand="0" w:oddHBand="1" w:evenHBand="0" w:firstRowFirstColumn="0" w:firstRowLastColumn="0" w:lastRowFirstColumn="0" w:lastRowLastColumn="0"/>
              <w:rPr>
                <w:sz w:val="22"/>
              </w:rPr>
            </w:pPr>
            <w:r w:rsidRPr="001B1200">
              <w:rPr>
                <w:sz w:val="22"/>
              </w:rPr>
              <w:t>P</w:t>
            </w:r>
            <w:r>
              <w:rPr>
                <w:sz w:val="22"/>
              </w:rPr>
              <w:t>ercentage</w:t>
            </w:r>
            <w:r w:rsidRPr="001B1200">
              <w:rPr>
                <w:sz w:val="22"/>
              </w:rPr>
              <w:t xml:space="preserve"> of non-woody plant cover</w:t>
            </w:r>
          </w:p>
        </w:tc>
        <w:tc>
          <w:tcPr>
            <w:tcW w:w="1035" w:type="dxa"/>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73</w:t>
            </w:r>
          </w:p>
        </w:tc>
        <w:tc>
          <w:tcPr>
            <w:tcW w:w="1092" w:type="dxa"/>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64</w:t>
            </w:r>
          </w:p>
        </w:tc>
        <w:tc>
          <w:tcPr>
            <w:tcW w:w="992" w:type="dxa"/>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3470.5</w:t>
            </w:r>
          </w:p>
        </w:tc>
        <w:tc>
          <w:tcPr>
            <w:tcW w:w="609" w:type="dxa"/>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101</w:t>
            </w:r>
          </w:p>
        </w:tc>
        <w:tc>
          <w:tcPr>
            <w:tcW w:w="1222" w:type="dxa"/>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0.019</w:t>
            </w:r>
          </w:p>
        </w:tc>
      </w:tr>
      <w:tr w:rsidR="00482120" w:rsidRPr="001B1200" w:rsidTr="00C9708D">
        <w:tc>
          <w:tcPr>
            <w:cnfStyle w:val="001000000000" w:firstRow="0" w:lastRow="0" w:firstColumn="1" w:lastColumn="0" w:oddVBand="0" w:evenVBand="0" w:oddHBand="0" w:evenHBand="0" w:firstRowFirstColumn="0" w:firstRowLastColumn="0" w:lastRowFirstColumn="0" w:lastRowLastColumn="0"/>
            <w:tcW w:w="1408" w:type="dxa"/>
            <w:vMerge/>
            <w:tcBorders>
              <w:bottom w:val="single" w:sz="4" w:space="0" w:color="7F7F7F" w:themeColor="text1" w:themeTint="80"/>
            </w:tcBorders>
          </w:tcPr>
          <w:p w:rsidR="00482120" w:rsidRPr="001B1200" w:rsidRDefault="00482120" w:rsidP="00C9708D">
            <w:pPr>
              <w:rPr>
                <w:sz w:val="22"/>
              </w:rPr>
            </w:pPr>
          </w:p>
        </w:tc>
        <w:tc>
          <w:tcPr>
            <w:tcW w:w="3588" w:type="dxa"/>
            <w:tcBorders>
              <w:bottom w:val="single" w:sz="4" w:space="0" w:color="7F7F7F" w:themeColor="text1" w:themeTint="80"/>
            </w:tcBorders>
          </w:tcPr>
          <w:p w:rsidR="00482120" w:rsidRPr="001B1200" w:rsidRDefault="00482120" w:rsidP="00C9708D">
            <w:pPr>
              <w:cnfStyle w:val="000000000000" w:firstRow="0" w:lastRow="0" w:firstColumn="0" w:lastColumn="0" w:oddVBand="0" w:evenVBand="0" w:oddHBand="0" w:evenHBand="0" w:firstRowFirstColumn="0" w:firstRowLastColumn="0" w:lastRowFirstColumn="0" w:lastRowLastColumn="0"/>
              <w:rPr>
                <w:sz w:val="22"/>
              </w:rPr>
            </w:pPr>
            <w:r w:rsidRPr="001B1200">
              <w:rPr>
                <w:sz w:val="22"/>
              </w:rPr>
              <w:t>P</w:t>
            </w:r>
            <w:r>
              <w:rPr>
                <w:sz w:val="22"/>
              </w:rPr>
              <w:t>ercentage</w:t>
            </w:r>
            <w:r w:rsidRPr="001B1200">
              <w:rPr>
                <w:sz w:val="22"/>
              </w:rPr>
              <w:t xml:space="preserve"> of woody plant cover</w:t>
            </w:r>
          </w:p>
        </w:tc>
        <w:tc>
          <w:tcPr>
            <w:tcW w:w="1035" w:type="dxa"/>
            <w:tcBorders>
              <w:bottom w:val="single" w:sz="4" w:space="0" w:color="7F7F7F" w:themeColor="text1" w:themeTint="80"/>
            </w:tcBorders>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18</w:t>
            </w:r>
          </w:p>
        </w:tc>
        <w:tc>
          <w:tcPr>
            <w:tcW w:w="1092" w:type="dxa"/>
            <w:tcBorders>
              <w:bottom w:val="single" w:sz="4" w:space="0" w:color="7F7F7F" w:themeColor="text1" w:themeTint="80"/>
            </w:tcBorders>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18</w:t>
            </w:r>
          </w:p>
        </w:tc>
        <w:tc>
          <w:tcPr>
            <w:tcW w:w="992" w:type="dxa"/>
            <w:tcBorders>
              <w:bottom w:val="single" w:sz="4" w:space="0" w:color="7F7F7F" w:themeColor="text1" w:themeTint="80"/>
            </w:tcBorders>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2008.5</w:t>
            </w:r>
          </w:p>
        </w:tc>
        <w:tc>
          <w:tcPr>
            <w:tcW w:w="609" w:type="dxa"/>
            <w:tcBorders>
              <w:bottom w:val="single" w:sz="4" w:space="0" w:color="7F7F7F" w:themeColor="text1" w:themeTint="80"/>
            </w:tcBorders>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101</w:t>
            </w:r>
          </w:p>
        </w:tc>
        <w:tc>
          <w:tcPr>
            <w:tcW w:w="1222" w:type="dxa"/>
            <w:tcBorders>
              <w:bottom w:val="single" w:sz="4" w:space="0" w:color="7F7F7F" w:themeColor="text1" w:themeTint="80"/>
            </w:tcBorders>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NS</w:t>
            </w:r>
          </w:p>
        </w:tc>
      </w:tr>
      <w:tr w:rsidR="00482120" w:rsidRPr="001B1200" w:rsidTr="00C97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Pr>
          <w:p w:rsidR="00482120" w:rsidRPr="001B1200" w:rsidRDefault="00482120" w:rsidP="00C9708D">
            <w:pPr>
              <w:rPr>
                <w:sz w:val="22"/>
              </w:rPr>
            </w:pPr>
            <w:r w:rsidRPr="001B1200">
              <w:rPr>
                <w:sz w:val="22"/>
              </w:rPr>
              <w:t>Without holes</w:t>
            </w:r>
          </w:p>
        </w:tc>
        <w:tc>
          <w:tcPr>
            <w:tcW w:w="3588" w:type="dxa"/>
          </w:tcPr>
          <w:p w:rsidR="00482120" w:rsidRPr="001B1200" w:rsidRDefault="00482120" w:rsidP="00482120">
            <w:pPr>
              <w:cnfStyle w:val="000000100000" w:firstRow="0" w:lastRow="0" w:firstColumn="0" w:lastColumn="0" w:oddVBand="0" w:evenVBand="0" w:oddHBand="1" w:evenHBand="0" w:firstRowFirstColumn="0" w:firstRowLastColumn="0" w:lastRowFirstColumn="0" w:lastRowLastColumn="0"/>
              <w:rPr>
                <w:sz w:val="22"/>
              </w:rPr>
            </w:pPr>
            <w:r w:rsidRPr="001B1200">
              <w:rPr>
                <w:sz w:val="22"/>
              </w:rPr>
              <w:t xml:space="preserve">Vegetation </w:t>
            </w:r>
            <w:r>
              <w:rPr>
                <w:sz w:val="22"/>
              </w:rPr>
              <w:t>richness</w:t>
            </w:r>
          </w:p>
        </w:tc>
        <w:tc>
          <w:tcPr>
            <w:tcW w:w="1035" w:type="dxa"/>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6</w:t>
            </w:r>
          </w:p>
        </w:tc>
        <w:tc>
          <w:tcPr>
            <w:tcW w:w="1092" w:type="dxa"/>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5</w:t>
            </w:r>
          </w:p>
        </w:tc>
        <w:tc>
          <w:tcPr>
            <w:tcW w:w="992" w:type="dxa"/>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534.5</w:t>
            </w:r>
          </w:p>
        </w:tc>
        <w:tc>
          <w:tcPr>
            <w:tcW w:w="609" w:type="dxa"/>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81</w:t>
            </w:r>
          </w:p>
        </w:tc>
        <w:tc>
          <w:tcPr>
            <w:tcW w:w="1222" w:type="dxa"/>
          </w:tcPr>
          <w:p w:rsidR="00482120" w:rsidRPr="001B1200" w:rsidRDefault="00482120" w:rsidP="00C9708D">
            <w:pPr>
              <w:jc w:val="center"/>
              <w:cnfStyle w:val="000000100000" w:firstRow="0" w:lastRow="0" w:firstColumn="0" w:lastColumn="0" w:oddVBand="0" w:evenVBand="0" w:oddHBand="1" w:evenHBand="0" w:firstRowFirstColumn="0" w:firstRowLastColumn="0" w:lastRowFirstColumn="0" w:lastRowLastColumn="0"/>
              <w:rPr>
                <w:sz w:val="22"/>
              </w:rPr>
            </w:pPr>
            <w:r w:rsidRPr="001B1200">
              <w:rPr>
                <w:sz w:val="22"/>
              </w:rPr>
              <w:t>&lt;0.001</w:t>
            </w:r>
          </w:p>
        </w:tc>
      </w:tr>
      <w:tr w:rsidR="00482120" w:rsidRPr="001B1200" w:rsidTr="00C9708D">
        <w:tc>
          <w:tcPr>
            <w:cnfStyle w:val="001000000000" w:firstRow="0" w:lastRow="0" w:firstColumn="1" w:lastColumn="0" w:oddVBand="0" w:evenVBand="0" w:oddHBand="0" w:evenHBand="0" w:firstRowFirstColumn="0" w:firstRowLastColumn="0" w:lastRowFirstColumn="0" w:lastRowLastColumn="0"/>
            <w:tcW w:w="1408" w:type="dxa"/>
            <w:vMerge/>
            <w:tcBorders>
              <w:top w:val="single" w:sz="4" w:space="0" w:color="7F7F7F" w:themeColor="text1" w:themeTint="80"/>
              <w:bottom w:val="single" w:sz="4" w:space="0" w:color="auto"/>
            </w:tcBorders>
          </w:tcPr>
          <w:p w:rsidR="00482120" w:rsidRPr="001B1200" w:rsidRDefault="00482120" w:rsidP="00C9708D">
            <w:pPr>
              <w:rPr>
                <w:sz w:val="22"/>
              </w:rPr>
            </w:pPr>
          </w:p>
        </w:tc>
        <w:tc>
          <w:tcPr>
            <w:tcW w:w="3588" w:type="dxa"/>
            <w:tcBorders>
              <w:top w:val="single" w:sz="4" w:space="0" w:color="7F7F7F" w:themeColor="text1" w:themeTint="80"/>
              <w:bottom w:val="single" w:sz="4" w:space="0" w:color="auto"/>
            </w:tcBorders>
          </w:tcPr>
          <w:p w:rsidR="00482120" w:rsidRPr="001B1200" w:rsidRDefault="00482120" w:rsidP="00C9708D">
            <w:pPr>
              <w:cnfStyle w:val="000000000000" w:firstRow="0" w:lastRow="0" w:firstColumn="0" w:lastColumn="0" w:oddVBand="0" w:evenVBand="0" w:oddHBand="0" w:evenHBand="0" w:firstRowFirstColumn="0" w:firstRowLastColumn="0" w:lastRowFirstColumn="0" w:lastRowLastColumn="0"/>
              <w:rPr>
                <w:sz w:val="22"/>
              </w:rPr>
            </w:pPr>
            <w:r w:rsidRPr="001B1200">
              <w:rPr>
                <w:sz w:val="22"/>
              </w:rPr>
              <w:t>P</w:t>
            </w:r>
            <w:r>
              <w:rPr>
                <w:sz w:val="22"/>
              </w:rPr>
              <w:t>ercentage</w:t>
            </w:r>
            <w:r w:rsidRPr="001B1200">
              <w:rPr>
                <w:sz w:val="22"/>
              </w:rPr>
              <w:t xml:space="preserve"> of non-woody plant cover</w:t>
            </w:r>
          </w:p>
        </w:tc>
        <w:tc>
          <w:tcPr>
            <w:tcW w:w="1035" w:type="dxa"/>
            <w:tcBorders>
              <w:top w:val="single" w:sz="4" w:space="0" w:color="7F7F7F" w:themeColor="text1" w:themeTint="80"/>
              <w:bottom w:val="single" w:sz="4" w:space="0" w:color="auto"/>
            </w:tcBorders>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73</w:t>
            </w:r>
          </w:p>
        </w:tc>
        <w:tc>
          <w:tcPr>
            <w:tcW w:w="1092" w:type="dxa"/>
            <w:tcBorders>
              <w:top w:val="single" w:sz="4" w:space="0" w:color="7F7F7F" w:themeColor="text1" w:themeTint="80"/>
              <w:bottom w:val="single" w:sz="4" w:space="0" w:color="auto"/>
            </w:tcBorders>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65.7</w:t>
            </w:r>
          </w:p>
        </w:tc>
        <w:tc>
          <w:tcPr>
            <w:tcW w:w="992" w:type="dxa"/>
            <w:tcBorders>
              <w:top w:val="single" w:sz="4" w:space="0" w:color="7F7F7F" w:themeColor="text1" w:themeTint="80"/>
              <w:bottom w:val="single" w:sz="4" w:space="0" w:color="auto"/>
            </w:tcBorders>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738</w:t>
            </w:r>
          </w:p>
        </w:tc>
        <w:tc>
          <w:tcPr>
            <w:tcW w:w="609" w:type="dxa"/>
            <w:tcBorders>
              <w:top w:val="single" w:sz="4" w:space="0" w:color="7F7F7F" w:themeColor="text1" w:themeTint="80"/>
              <w:bottom w:val="single" w:sz="4" w:space="0" w:color="auto"/>
            </w:tcBorders>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81</w:t>
            </w:r>
          </w:p>
        </w:tc>
        <w:tc>
          <w:tcPr>
            <w:tcW w:w="1222" w:type="dxa"/>
            <w:tcBorders>
              <w:top w:val="single" w:sz="4" w:space="0" w:color="7F7F7F" w:themeColor="text1" w:themeTint="80"/>
              <w:bottom w:val="single" w:sz="4" w:space="0" w:color="auto"/>
            </w:tcBorders>
          </w:tcPr>
          <w:p w:rsidR="00482120" w:rsidRPr="001B1200" w:rsidRDefault="00482120" w:rsidP="00C9708D">
            <w:pPr>
              <w:jc w:val="center"/>
              <w:cnfStyle w:val="000000000000" w:firstRow="0" w:lastRow="0" w:firstColumn="0" w:lastColumn="0" w:oddVBand="0" w:evenVBand="0" w:oddHBand="0" w:evenHBand="0" w:firstRowFirstColumn="0" w:firstRowLastColumn="0" w:lastRowFirstColumn="0" w:lastRowLastColumn="0"/>
              <w:rPr>
                <w:sz w:val="22"/>
              </w:rPr>
            </w:pPr>
            <w:r w:rsidRPr="001B1200">
              <w:rPr>
                <w:sz w:val="22"/>
              </w:rPr>
              <w:t>0.004</w:t>
            </w:r>
          </w:p>
        </w:tc>
      </w:tr>
    </w:tbl>
    <w:p w:rsidR="000D0226" w:rsidRPr="000D0226" w:rsidRDefault="000D0226" w:rsidP="000D0226"/>
    <w:p w:rsidR="00737039" w:rsidRDefault="00737039"/>
    <w:sectPr w:rsidR="00737039" w:rsidSect="00482120">
      <w:headerReference w:type="default" r:id="rId17"/>
      <w:footerReference w:type="default" r:id="rId18"/>
      <w:footerReference w:type="first" r:id="rId1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EEB" w:rsidRDefault="008E3EEB">
      <w:pPr>
        <w:spacing w:line="240" w:lineRule="auto"/>
      </w:pPr>
      <w:r>
        <w:separator/>
      </w:r>
    </w:p>
  </w:endnote>
  <w:endnote w:type="continuationSeparator" w:id="0">
    <w:p w:rsidR="008E3EEB" w:rsidRDefault="008E3E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7EF" w:rsidRDefault="008E3EEB">
    <w:pPr>
      <w:pStyle w:val="Footer"/>
    </w:pPr>
  </w:p>
  <w:p w:rsidR="00F537EF" w:rsidRDefault="008E3E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7EF" w:rsidRDefault="008E3EEB" w:rsidP="009552BB">
    <w:pPr>
      <w:spacing w:line="48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EEB" w:rsidRDefault="008E3EEB">
      <w:pPr>
        <w:spacing w:line="240" w:lineRule="auto"/>
      </w:pPr>
      <w:r>
        <w:separator/>
      </w:r>
    </w:p>
  </w:footnote>
  <w:footnote w:type="continuationSeparator" w:id="0">
    <w:p w:rsidR="008E3EEB" w:rsidRDefault="008E3EE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2297113"/>
      <w:docPartObj>
        <w:docPartGallery w:val="Page Numbers (Top of Page)"/>
        <w:docPartUnique/>
      </w:docPartObj>
    </w:sdtPr>
    <w:sdtEndPr>
      <w:rPr>
        <w:rFonts w:ascii="Times New Roman" w:hAnsi="Times New Roman"/>
        <w:noProof/>
      </w:rPr>
    </w:sdtEndPr>
    <w:sdtContent>
      <w:p w:rsidR="00F537EF" w:rsidRPr="006E5DC7" w:rsidRDefault="000D0226">
        <w:pPr>
          <w:pStyle w:val="Header"/>
          <w:jc w:val="right"/>
          <w:rPr>
            <w:rFonts w:ascii="Times New Roman" w:hAnsi="Times New Roman"/>
          </w:rPr>
        </w:pPr>
        <w:r w:rsidRPr="006E5DC7">
          <w:rPr>
            <w:rFonts w:ascii="Times New Roman" w:hAnsi="Times New Roman"/>
          </w:rPr>
          <w:fldChar w:fldCharType="begin"/>
        </w:r>
        <w:r w:rsidRPr="006E5DC7">
          <w:rPr>
            <w:rFonts w:ascii="Times New Roman" w:hAnsi="Times New Roman"/>
          </w:rPr>
          <w:instrText xml:space="preserve"> PAGE   \* MERGEFORMAT </w:instrText>
        </w:r>
        <w:r w:rsidRPr="006E5DC7">
          <w:rPr>
            <w:rFonts w:ascii="Times New Roman" w:hAnsi="Times New Roman"/>
          </w:rPr>
          <w:fldChar w:fldCharType="separate"/>
        </w:r>
        <w:r w:rsidR="00871AA5">
          <w:rPr>
            <w:rFonts w:ascii="Times New Roman" w:hAnsi="Times New Roman"/>
            <w:noProof/>
          </w:rPr>
          <w:t>2</w:t>
        </w:r>
        <w:r w:rsidRPr="006E5DC7">
          <w:rPr>
            <w:rFonts w:ascii="Times New Roman" w:hAnsi="Times New Roman"/>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53AB3"/>
    <w:multiLevelType w:val="hybridMultilevel"/>
    <w:tmpl w:val="7F44F666"/>
    <w:lvl w:ilvl="0" w:tplc="28164120">
      <w:start w:val="1"/>
      <w:numFmt w:val="decimal"/>
      <w:lvlText w:val="%1)"/>
      <w:lvlJc w:val="left"/>
      <w:pPr>
        <w:ind w:left="720" w:hanging="360"/>
      </w:pPr>
      <w:rPr>
        <w:rFonts w:ascii="Calibri" w:eastAsia="Calibri" w:hAnsi="Calibri"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122BB2"/>
    <w:multiLevelType w:val="hybridMultilevel"/>
    <w:tmpl w:val="101A1FF8"/>
    <w:lvl w:ilvl="0" w:tplc="52A60CDE">
      <w:start w:val="8"/>
      <w:numFmt w:val="bullet"/>
      <w:lvlText w:val="-"/>
      <w:lvlJc w:val="left"/>
      <w:pPr>
        <w:ind w:left="2760" w:hanging="360"/>
      </w:pPr>
      <w:rPr>
        <w:rFonts w:ascii="Calibri" w:eastAsia="Calibri" w:hAnsi="Calibri" w:cs="Arial" w:hint="default"/>
      </w:rPr>
    </w:lvl>
    <w:lvl w:ilvl="1" w:tplc="08090003" w:tentative="1">
      <w:start w:val="1"/>
      <w:numFmt w:val="bullet"/>
      <w:lvlText w:val="o"/>
      <w:lvlJc w:val="left"/>
      <w:pPr>
        <w:ind w:left="3480" w:hanging="360"/>
      </w:pPr>
      <w:rPr>
        <w:rFonts w:ascii="Courier New" w:hAnsi="Courier New" w:cs="Courier New" w:hint="default"/>
      </w:rPr>
    </w:lvl>
    <w:lvl w:ilvl="2" w:tplc="08090005" w:tentative="1">
      <w:start w:val="1"/>
      <w:numFmt w:val="bullet"/>
      <w:lvlText w:val=""/>
      <w:lvlJc w:val="left"/>
      <w:pPr>
        <w:ind w:left="4200" w:hanging="360"/>
      </w:pPr>
      <w:rPr>
        <w:rFonts w:ascii="Wingdings" w:hAnsi="Wingdings" w:hint="default"/>
      </w:rPr>
    </w:lvl>
    <w:lvl w:ilvl="3" w:tplc="08090001" w:tentative="1">
      <w:start w:val="1"/>
      <w:numFmt w:val="bullet"/>
      <w:lvlText w:val=""/>
      <w:lvlJc w:val="left"/>
      <w:pPr>
        <w:ind w:left="4920" w:hanging="360"/>
      </w:pPr>
      <w:rPr>
        <w:rFonts w:ascii="Symbol" w:hAnsi="Symbol" w:hint="default"/>
      </w:rPr>
    </w:lvl>
    <w:lvl w:ilvl="4" w:tplc="08090003" w:tentative="1">
      <w:start w:val="1"/>
      <w:numFmt w:val="bullet"/>
      <w:lvlText w:val="o"/>
      <w:lvlJc w:val="left"/>
      <w:pPr>
        <w:ind w:left="5640" w:hanging="360"/>
      </w:pPr>
      <w:rPr>
        <w:rFonts w:ascii="Courier New" w:hAnsi="Courier New" w:cs="Courier New" w:hint="default"/>
      </w:rPr>
    </w:lvl>
    <w:lvl w:ilvl="5" w:tplc="08090005" w:tentative="1">
      <w:start w:val="1"/>
      <w:numFmt w:val="bullet"/>
      <w:lvlText w:val=""/>
      <w:lvlJc w:val="left"/>
      <w:pPr>
        <w:ind w:left="6360" w:hanging="360"/>
      </w:pPr>
      <w:rPr>
        <w:rFonts w:ascii="Wingdings" w:hAnsi="Wingdings" w:hint="default"/>
      </w:rPr>
    </w:lvl>
    <w:lvl w:ilvl="6" w:tplc="08090001" w:tentative="1">
      <w:start w:val="1"/>
      <w:numFmt w:val="bullet"/>
      <w:lvlText w:val=""/>
      <w:lvlJc w:val="left"/>
      <w:pPr>
        <w:ind w:left="7080" w:hanging="360"/>
      </w:pPr>
      <w:rPr>
        <w:rFonts w:ascii="Symbol" w:hAnsi="Symbol" w:hint="default"/>
      </w:rPr>
    </w:lvl>
    <w:lvl w:ilvl="7" w:tplc="08090003" w:tentative="1">
      <w:start w:val="1"/>
      <w:numFmt w:val="bullet"/>
      <w:lvlText w:val="o"/>
      <w:lvlJc w:val="left"/>
      <w:pPr>
        <w:ind w:left="7800" w:hanging="360"/>
      </w:pPr>
      <w:rPr>
        <w:rFonts w:ascii="Courier New" w:hAnsi="Courier New" w:cs="Courier New" w:hint="default"/>
      </w:rPr>
    </w:lvl>
    <w:lvl w:ilvl="8" w:tplc="08090005" w:tentative="1">
      <w:start w:val="1"/>
      <w:numFmt w:val="bullet"/>
      <w:lvlText w:val=""/>
      <w:lvlJc w:val="left"/>
      <w:pPr>
        <w:ind w:left="8520" w:hanging="360"/>
      </w:pPr>
      <w:rPr>
        <w:rFonts w:ascii="Wingdings" w:hAnsi="Wingdings" w:hint="default"/>
      </w:rPr>
    </w:lvl>
  </w:abstractNum>
  <w:abstractNum w:abstractNumId="2" w15:restartNumberingAfterBreak="0">
    <w:nsid w:val="6AA041BB"/>
    <w:multiLevelType w:val="hybridMultilevel"/>
    <w:tmpl w:val="A68CCD6E"/>
    <w:lvl w:ilvl="0" w:tplc="0A802A8C">
      <w:start w:val="8"/>
      <w:numFmt w:val="bullet"/>
      <w:lvlText w:val="-"/>
      <w:lvlJc w:val="left"/>
      <w:pPr>
        <w:ind w:left="2880" w:hanging="360"/>
      </w:pPr>
      <w:rPr>
        <w:rFonts w:ascii="Calibri" w:eastAsia="Calibri" w:hAnsi="Calibri"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 w15:restartNumberingAfterBreak="0">
    <w:nsid w:val="7C2436D3"/>
    <w:multiLevelType w:val="hybridMultilevel"/>
    <w:tmpl w:val="3662A3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226"/>
    <w:rsid w:val="000D0226"/>
    <w:rsid w:val="001F5E9A"/>
    <w:rsid w:val="002A57FA"/>
    <w:rsid w:val="00477554"/>
    <w:rsid w:val="00482120"/>
    <w:rsid w:val="00567760"/>
    <w:rsid w:val="00692074"/>
    <w:rsid w:val="00694552"/>
    <w:rsid w:val="006D1170"/>
    <w:rsid w:val="00737039"/>
    <w:rsid w:val="00871AA5"/>
    <w:rsid w:val="008E3EEB"/>
    <w:rsid w:val="00A826ED"/>
    <w:rsid w:val="00A97F30"/>
    <w:rsid w:val="00C100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24C48A-888F-4119-920C-5E819188E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226"/>
    <w:pPr>
      <w:spacing w:after="0" w:line="360" w:lineRule="auto"/>
      <w:jc w:val="both"/>
    </w:pPr>
    <w:rPr>
      <w:rFonts w:ascii="Calibri" w:eastAsia="Calibri" w:hAnsi="Calibri" w:cs="Times New Roman"/>
      <w:sz w:val="24"/>
    </w:rPr>
  </w:style>
  <w:style w:type="paragraph" w:styleId="Heading1">
    <w:name w:val="heading 1"/>
    <w:basedOn w:val="Normal"/>
    <w:next w:val="Normal"/>
    <w:link w:val="Heading1Char"/>
    <w:uiPriority w:val="9"/>
    <w:qFormat/>
    <w:rsid w:val="000D0226"/>
    <w:pPr>
      <w:keepNext/>
      <w:keepLines/>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0D0226"/>
    <w:pPr>
      <w:keepNext/>
      <w:keepLines/>
      <w:outlineLvl w:val="1"/>
    </w:pPr>
    <w:rPr>
      <w:rFonts w:asciiTheme="minorHAnsi" w:eastAsiaTheme="majorEastAsia" w:hAnsiTheme="minorHAnsi" w:cstheme="majorBidi"/>
      <w:b/>
      <w:bCs/>
      <w:i/>
      <w:color w:val="000000" w:themeColor="text1"/>
      <w:szCs w:val="26"/>
    </w:rPr>
  </w:style>
  <w:style w:type="paragraph" w:styleId="Heading3">
    <w:name w:val="heading 3"/>
    <w:basedOn w:val="Normal"/>
    <w:next w:val="Normal"/>
    <w:link w:val="Heading3Char"/>
    <w:uiPriority w:val="9"/>
    <w:unhideWhenUsed/>
    <w:qFormat/>
    <w:rsid w:val="000D0226"/>
    <w:pPr>
      <w:keepNext/>
      <w:keepLines/>
      <w:outlineLvl w:val="2"/>
    </w:pPr>
    <w:rPr>
      <w:rFonts w:asciiTheme="minorHAnsi" w:eastAsiaTheme="majorEastAsia" w:hAnsiTheme="minorHAns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226"/>
    <w:rPr>
      <w:rFonts w:ascii="Calibri" w:eastAsiaTheme="majorEastAsia" w:hAnsi="Calibri" w:cstheme="majorBidi"/>
      <w:b/>
      <w:bCs/>
      <w:color w:val="000000" w:themeColor="text1"/>
      <w:sz w:val="24"/>
      <w:szCs w:val="28"/>
    </w:rPr>
  </w:style>
  <w:style w:type="character" w:customStyle="1" w:styleId="Heading2Char">
    <w:name w:val="Heading 2 Char"/>
    <w:basedOn w:val="DefaultParagraphFont"/>
    <w:link w:val="Heading2"/>
    <w:uiPriority w:val="9"/>
    <w:rsid w:val="000D0226"/>
    <w:rPr>
      <w:rFonts w:eastAsiaTheme="majorEastAsia" w:cstheme="majorBidi"/>
      <w:b/>
      <w:bCs/>
      <w:i/>
      <w:color w:val="000000" w:themeColor="text1"/>
      <w:sz w:val="24"/>
      <w:szCs w:val="26"/>
    </w:rPr>
  </w:style>
  <w:style w:type="character" w:customStyle="1" w:styleId="Heading3Char">
    <w:name w:val="Heading 3 Char"/>
    <w:basedOn w:val="DefaultParagraphFont"/>
    <w:link w:val="Heading3"/>
    <w:uiPriority w:val="9"/>
    <w:rsid w:val="000D0226"/>
    <w:rPr>
      <w:rFonts w:eastAsiaTheme="majorEastAsia" w:cstheme="majorBidi"/>
      <w:bCs/>
      <w:i/>
      <w:sz w:val="24"/>
    </w:rPr>
  </w:style>
  <w:style w:type="table" w:styleId="TableGrid">
    <w:name w:val="Table Grid"/>
    <w:basedOn w:val="TableNormal"/>
    <w:uiPriority w:val="59"/>
    <w:rsid w:val="000D0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0226"/>
    <w:rPr>
      <w:rFonts w:ascii="Tahoma" w:hAnsi="Tahoma" w:cs="Tahoma"/>
      <w:sz w:val="16"/>
      <w:szCs w:val="16"/>
    </w:rPr>
  </w:style>
  <w:style w:type="character" w:customStyle="1" w:styleId="BalloonTextChar">
    <w:name w:val="Balloon Text Char"/>
    <w:basedOn w:val="DefaultParagraphFont"/>
    <w:link w:val="BalloonText"/>
    <w:uiPriority w:val="99"/>
    <w:semiHidden/>
    <w:rsid w:val="000D0226"/>
    <w:rPr>
      <w:rFonts w:ascii="Tahoma" w:eastAsia="Calibri" w:hAnsi="Tahoma" w:cs="Tahoma"/>
      <w:sz w:val="16"/>
      <w:szCs w:val="16"/>
    </w:rPr>
  </w:style>
  <w:style w:type="character" w:styleId="CommentReference">
    <w:name w:val="annotation reference"/>
    <w:basedOn w:val="DefaultParagraphFont"/>
    <w:uiPriority w:val="99"/>
    <w:semiHidden/>
    <w:unhideWhenUsed/>
    <w:rsid w:val="000D0226"/>
    <w:rPr>
      <w:sz w:val="16"/>
      <w:szCs w:val="16"/>
    </w:rPr>
  </w:style>
  <w:style w:type="paragraph" w:styleId="CommentText">
    <w:name w:val="annotation text"/>
    <w:basedOn w:val="Normal"/>
    <w:link w:val="CommentTextChar"/>
    <w:uiPriority w:val="99"/>
    <w:semiHidden/>
    <w:unhideWhenUsed/>
    <w:rsid w:val="000D0226"/>
    <w:rPr>
      <w:sz w:val="20"/>
      <w:szCs w:val="20"/>
    </w:rPr>
  </w:style>
  <w:style w:type="character" w:customStyle="1" w:styleId="CommentTextChar">
    <w:name w:val="Comment Text Char"/>
    <w:basedOn w:val="DefaultParagraphFont"/>
    <w:link w:val="CommentText"/>
    <w:uiPriority w:val="99"/>
    <w:semiHidden/>
    <w:rsid w:val="000D022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D0226"/>
    <w:rPr>
      <w:b/>
      <w:bCs/>
    </w:rPr>
  </w:style>
  <w:style w:type="character" w:customStyle="1" w:styleId="CommentSubjectChar">
    <w:name w:val="Comment Subject Char"/>
    <w:basedOn w:val="CommentTextChar"/>
    <w:link w:val="CommentSubject"/>
    <w:uiPriority w:val="99"/>
    <w:semiHidden/>
    <w:rsid w:val="000D0226"/>
    <w:rPr>
      <w:rFonts w:ascii="Calibri" w:eastAsia="Calibri" w:hAnsi="Calibri" w:cs="Times New Roman"/>
      <w:b/>
      <w:bCs/>
      <w:sz w:val="20"/>
      <w:szCs w:val="20"/>
    </w:rPr>
  </w:style>
  <w:style w:type="character" w:styleId="Hyperlink">
    <w:name w:val="Hyperlink"/>
    <w:basedOn w:val="DefaultParagraphFont"/>
    <w:uiPriority w:val="99"/>
    <w:unhideWhenUsed/>
    <w:rsid w:val="000D0226"/>
    <w:rPr>
      <w:color w:val="0000FF" w:themeColor="hyperlink"/>
      <w:u w:val="single"/>
    </w:rPr>
  </w:style>
  <w:style w:type="character" w:styleId="Emphasis">
    <w:name w:val="Emphasis"/>
    <w:basedOn w:val="DefaultParagraphFont"/>
    <w:uiPriority w:val="20"/>
    <w:qFormat/>
    <w:rsid w:val="000D0226"/>
    <w:rPr>
      <w:i/>
      <w:iCs/>
    </w:rPr>
  </w:style>
  <w:style w:type="character" w:customStyle="1" w:styleId="apple-converted-space">
    <w:name w:val="apple-converted-space"/>
    <w:basedOn w:val="DefaultParagraphFont"/>
    <w:rsid w:val="000D0226"/>
  </w:style>
  <w:style w:type="paragraph" w:styleId="ListParagraph">
    <w:name w:val="List Paragraph"/>
    <w:basedOn w:val="Normal"/>
    <w:uiPriority w:val="34"/>
    <w:qFormat/>
    <w:rsid w:val="000D0226"/>
    <w:pPr>
      <w:ind w:left="720"/>
      <w:contextualSpacing/>
    </w:pPr>
  </w:style>
  <w:style w:type="paragraph" w:styleId="Revision">
    <w:name w:val="Revision"/>
    <w:hidden/>
    <w:uiPriority w:val="99"/>
    <w:semiHidden/>
    <w:rsid w:val="000D0226"/>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0D0226"/>
    <w:pPr>
      <w:tabs>
        <w:tab w:val="center" w:pos="4513"/>
        <w:tab w:val="right" w:pos="9026"/>
      </w:tabs>
    </w:pPr>
  </w:style>
  <w:style w:type="character" w:customStyle="1" w:styleId="HeaderChar">
    <w:name w:val="Header Char"/>
    <w:basedOn w:val="DefaultParagraphFont"/>
    <w:link w:val="Header"/>
    <w:uiPriority w:val="99"/>
    <w:rsid w:val="000D0226"/>
    <w:rPr>
      <w:rFonts w:ascii="Calibri" w:eastAsia="Calibri" w:hAnsi="Calibri" w:cs="Times New Roman"/>
      <w:sz w:val="24"/>
    </w:rPr>
  </w:style>
  <w:style w:type="paragraph" w:styleId="Footer">
    <w:name w:val="footer"/>
    <w:basedOn w:val="Normal"/>
    <w:link w:val="FooterChar"/>
    <w:uiPriority w:val="99"/>
    <w:unhideWhenUsed/>
    <w:rsid w:val="000D0226"/>
    <w:pPr>
      <w:tabs>
        <w:tab w:val="center" w:pos="4513"/>
        <w:tab w:val="right" w:pos="9026"/>
      </w:tabs>
    </w:pPr>
  </w:style>
  <w:style w:type="character" w:customStyle="1" w:styleId="FooterChar">
    <w:name w:val="Footer Char"/>
    <w:basedOn w:val="DefaultParagraphFont"/>
    <w:link w:val="Footer"/>
    <w:uiPriority w:val="99"/>
    <w:rsid w:val="000D0226"/>
    <w:rPr>
      <w:rFonts w:ascii="Calibri" w:eastAsia="Calibri" w:hAnsi="Calibri" w:cs="Times New Roman"/>
      <w:sz w:val="24"/>
    </w:rPr>
  </w:style>
  <w:style w:type="paragraph" w:customStyle="1" w:styleId="EndNoteBibliography">
    <w:name w:val="EndNote Bibliography"/>
    <w:basedOn w:val="Normal"/>
    <w:link w:val="EndNoteBibliographyChar"/>
    <w:rsid w:val="000D0226"/>
    <w:rPr>
      <w:noProof/>
      <w:lang w:val="en-US"/>
    </w:rPr>
  </w:style>
  <w:style w:type="character" w:customStyle="1" w:styleId="EndNoteBibliographyChar">
    <w:name w:val="EndNote Bibliography Char"/>
    <w:basedOn w:val="DefaultParagraphFont"/>
    <w:link w:val="EndNoteBibliography"/>
    <w:rsid w:val="000D0226"/>
    <w:rPr>
      <w:rFonts w:ascii="Calibri" w:eastAsia="Calibri" w:hAnsi="Calibri" w:cs="Times New Roman"/>
      <w:noProof/>
      <w:sz w:val="24"/>
      <w:lang w:val="en-US"/>
    </w:rPr>
  </w:style>
  <w:style w:type="paragraph" w:styleId="Caption">
    <w:name w:val="caption"/>
    <w:basedOn w:val="Normal"/>
    <w:next w:val="Normal"/>
    <w:uiPriority w:val="35"/>
    <w:unhideWhenUsed/>
    <w:qFormat/>
    <w:rsid w:val="000D0226"/>
    <w:pPr>
      <w:spacing w:after="200"/>
    </w:pPr>
    <w:rPr>
      <w:b/>
      <w:bCs/>
      <w:color w:val="4F81BD" w:themeColor="accent1"/>
      <w:sz w:val="18"/>
      <w:szCs w:val="18"/>
    </w:rPr>
  </w:style>
  <w:style w:type="paragraph" w:customStyle="1" w:styleId="Mycaption">
    <w:name w:val="My caption"/>
    <w:basedOn w:val="Caption"/>
    <w:qFormat/>
    <w:rsid w:val="000D0226"/>
    <w:pPr>
      <w:spacing w:after="0"/>
    </w:pPr>
    <w:rPr>
      <w:b w:val="0"/>
      <w:color w:val="000000" w:themeColor="text1"/>
      <w:sz w:val="22"/>
      <w:szCs w:val="24"/>
    </w:rPr>
  </w:style>
  <w:style w:type="character" w:styleId="LineNumber">
    <w:name w:val="line number"/>
    <w:basedOn w:val="DefaultParagraphFont"/>
    <w:uiPriority w:val="99"/>
    <w:semiHidden/>
    <w:unhideWhenUsed/>
    <w:rsid w:val="000D0226"/>
  </w:style>
  <w:style w:type="table" w:customStyle="1" w:styleId="PlainTable21">
    <w:name w:val="Plain Table 21"/>
    <w:basedOn w:val="TableNormal"/>
    <w:uiPriority w:val="42"/>
    <w:rsid w:val="000D02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aliases w:val="heading 3"/>
    <w:basedOn w:val="Normal"/>
    <w:next w:val="Normal"/>
    <w:link w:val="TitleChar"/>
    <w:uiPriority w:val="10"/>
    <w:qFormat/>
    <w:rsid w:val="000D0226"/>
    <w:pPr>
      <w:pBdr>
        <w:bottom w:val="single" w:sz="8" w:space="4" w:color="4F81BD" w:themeColor="accent1"/>
      </w:pBdr>
      <w:spacing w:after="300"/>
      <w:contextualSpacing/>
    </w:pPr>
    <w:rPr>
      <w:rFonts w:asciiTheme="majorHAnsi" w:eastAsiaTheme="majorEastAsia" w:hAnsiTheme="majorHAnsi" w:cstheme="majorBidi"/>
      <w:i/>
      <w:spacing w:val="5"/>
      <w:kern w:val="28"/>
      <w:szCs w:val="52"/>
    </w:rPr>
  </w:style>
  <w:style w:type="character" w:customStyle="1" w:styleId="TitleChar">
    <w:name w:val="Title Char"/>
    <w:aliases w:val="heading 3 Char"/>
    <w:basedOn w:val="DefaultParagraphFont"/>
    <w:link w:val="Title"/>
    <w:uiPriority w:val="10"/>
    <w:rsid w:val="000D0226"/>
    <w:rPr>
      <w:rFonts w:asciiTheme="majorHAnsi" w:eastAsiaTheme="majorEastAsia" w:hAnsiTheme="majorHAnsi" w:cstheme="majorBidi"/>
      <w:i/>
      <w:spacing w:val="5"/>
      <w:kern w:val="28"/>
      <w:sz w:val="24"/>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becca.thomas@reading.ac.uk" TargetMode="External"/><Relationship Id="rId13" Type="http://schemas.openxmlformats.org/officeDocument/2006/relationships/image" Target="media/image2.tif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t.j.pirie@pgr.reading.ac.uk" TargetMode="Externa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project.org/"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qgis.osgeo.org"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m.fellowes@reading.ac.u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7781</Words>
  <Characters>44357</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52034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Services</dc:creator>
  <cp:lastModifiedBy>Thomas, Rebecca</cp:lastModifiedBy>
  <cp:revision>3</cp:revision>
  <dcterms:created xsi:type="dcterms:W3CDTF">2017-12-18T11:23:00Z</dcterms:created>
  <dcterms:modified xsi:type="dcterms:W3CDTF">2017-12-18T11:24:00Z</dcterms:modified>
</cp:coreProperties>
</file>