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0493D" w14:textId="232DC047" w:rsidR="000D5778" w:rsidRDefault="00161680" w:rsidP="00D76226">
      <w:pPr>
        <w:spacing w:after="0"/>
        <w:rPr>
          <w:b/>
        </w:rPr>
      </w:pPr>
      <w:r>
        <w:rPr>
          <w:b/>
        </w:rPr>
        <w:t>Decision-making p</w:t>
      </w:r>
      <w:r w:rsidR="008E10AC">
        <w:rPr>
          <w:b/>
        </w:rPr>
        <w:t>s</w:t>
      </w:r>
      <w:r w:rsidR="001C3B36">
        <w:rPr>
          <w:b/>
        </w:rPr>
        <w:t>ychology</w:t>
      </w:r>
      <w:r>
        <w:rPr>
          <w:b/>
        </w:rPr>
        <w:t xml:space="preserve"> </w:t>
      </w:r>
      <w:r w:rsidR="00E41FF4">
        <w:rPr>
          <w:b/>
        </w:rPr>
        <w:t>can bolster</w:t>
      </w:r>
      <w:r>
        <w:rPr>
          <w:b/>
        </w:rPr>
        <w:t xml:space="preserve"> conservation</w:t>
      </w:r>
      <w:r w:rsidR="00FC000D">
        <w:rPr>
          <w:b/>
        </w:rPr>
        <w:t xml:space="preserve"> </w:t>
      </w:r>
    </w:p>
    <w:p w14:paraId="31450AC5" w14:textId="77777777" w:rsidR="00DF2D48" w:rsidRDefault="00DF2D48" w:rsidP="00D76226">
      <w:pPr>
        <w:spacing w:after="0"/>
        <w:rPr>
          <w:b/>
        </w:rPr>
      </w:pPr>
    </w:p>
    <w:p w14:paraId="4A378ED3" w14:textId="77777777" w:rsidR="00AA3413" w:rsidRDefault="00203475" w:rsidP="00D76226">
      <w:pPr>
        <w:spacing w:after="0"/>
        <w:rPr>
          <w:b/>
        </w:rPr>
      </w:pPr>
      <w:r w:rsidRPr="00D76226">
        <w:rPr>
          <w:b/>
        </w:rPr>
        <w:t>Sarah Papworth</w:t>
      </w:r>
    </w:p>
    <w:p w14:paraId="519CB1A6" w14:textId="77777777" w:rsidR="00AA3413" w:rsidRDefault="00AA3413" w:rsidP="00D76226">
      <w:pPr>
        <w:spacing w:after="0"/>
        <w:rPr>
          <w:b/>
        </w:rPr>
      </w:pPr>
    </w:p>
    <w:p w14:paraId="645E995E" w14:textId="511A8BBB" w:rsidR="00AA3413" w:rsidRPr="00D76226" w:rsidRDefault="00AA3413" w:rsidP="00D76226">
      <w:pPr>
        <w:spacing w:after="0"/>
        <w:rPr>
          <w:rFonts w:cs="Times New Roman"/>
          <w:i/>
        </w:rPr>
      </w:pPr>
      <w:r w:rsidRPr="00D76226">
        <w:rPr>
          <w:rFonts w:cs="Times New Roman"/>
          <w:i/>
        </w:rPr>
        <w:t xml:space="preserve">The actions that lead to conservation successes and failures are the result of decision making by individuals and organisations about what to conserve and how to conserve it. The psychology of decision making </w:t>
      </w:r>
      <w:r>
        <w:rPr>
          <w:rFonts w:cs="Times New Roman"/>
          <w:i/>
        </w:rPr>
        <w:t>should be considered when assessing</w:t>
      </w:r>
      <w:r w:rsidRPr="00D76226">
        <w:rPr>
          <w:rFonts w:cs="Times New Roman"/>
          <w:i/>
        </w:rPr>
        <w:t xml:space="preserve"> conservation outcomes.</w:t>
      </w:r>
    </w:p>
    <w:p w14:paraId="762A6362" w14:textId="77777777" w:rsidR="00AA3413" w:rsidRDefault="00AA3413" w:rsidP="00D76226">
      <w:pPr>
        <w:spacing w:after="0"/>
        <w:rPr>
          <w:vertAlign w:val="superscript"/>
        </w:rPr>
      </w:pPr>
    </w:p>
    <w:p w14:paraId="57E37155" w14:textId="62B8D009" w:rsidR="00D71A09" w:rsidRDefault="00B65A65" w:rsidP="00D76226">
      <w:pPr>
        <w:spacing w:after="0"/>
        <w:rPr>
          <w:rFonts w:cs="Times New Roman"/>
        </w:rPr>
      </w:pPr>
      <w:r>
        <w:rPr>
          <w:rFonts w:cs="Times New Roman"/>
        </w:rPr>
        <w:t>There is a current</w:t>
      </w:r>
      <w:r w:rsidRPr="00D76226">
        <w:rPr>
          <w:rFonts w:cs="Times New Roman"/>
          <w:color w:val="FF0000"/>
        </w:rPr>
        <w:t xml:space="preserve"> </w:t>
      </w:r>
      <w:r>
        <w:rPr>
          <w:rFonts w:cs="Times New Roman"/>
        </w:rPr>
        <w:t>focus on evidence-</w:t>
      </w:r>
      <w:r w:rsidRPr="00935CC0">
        <w:rPr>
          <w:rFonts w:cs="Times New Roman"/>
        </w:rPr>
        <w:t>ba</w:t>
      </w:r>
      <w:r>
        <w:rPr>
          <w:rFonts w:cs="Times New Roman"/>
        </w:rPr>
        <w:t xml:space="preserve">sed approaches to conservation, </w:t>
      </w:r>
      <w:r w:rsidRPr="00935CC0">
        <w:rPr>
          <w:rFonts w:cs="Times New Roman"/>
        </w:rPr>
        <w:t>and</w:t>
      </w:r>
      <w:r>
        <w:rPr>
          <w:rFonts w:cs="Times New Roman"/>
        </w:rPr>
        <w:t xml:space="preserve"> on</w:t>
      </w:r>
      <w:r w:rsidRPr="00935CC0">
        <w:rPr>
          <w:rFonts w:cs="Times New Roman"/>
        </w:rPr>
        <w:t xml:space="preserve"> promoting evidence-based decision making through knowledge transfer and exchange</w:t>
      </w:r>
      <w:r w:rsidRPr="00935CC0">
        <w:rPr>
          <w:rFonts w:cs="Times New Roman"/>
        </w:rPr>
        <w:fldChar w:fldCharType="begin" w:fldLock="1"/>
      </w:r>
      <w:r w:rsidR="00D852B3">
        <w:rPr>
          <w:rFonts w:cs="Times New Roman"/>
        </w:rPr>
        <w:instrText>ADDIN CSL_CITATION { "citationItems" : [ { "id" : "ITEM-1", "itemData" : { "DOI" : "10.1016/j.tree.2004.03.018", "author" : [ { "dropping-particle" : "", "family" : "Sutherland", "given" : "William J", "non-dropping-particle" : "", "parse-names" : false, "suffix" : "" }, { "dropping-particle" : "", "family" : "Pullin", "given" : "Andrew S", "non-dropping-particle" : "", "parse-names" : false, "suffix" : "" }, { "dropping-particle" : "", "family" : "Dolman", "given" : "Paul M", "non-dropping-particle" : "", "parse-names" : false, "suffix" : "" }, { "dropping-particle" : "", "family" : "Knight", "given" : "Teri M", "non-dropping-particle" : "", "parse-names" : false, "suffix" : "" } ], "container-title" : "Trends in ecology &amp; evolution", "id" : "ITEM-1", "issue" : "6", "issued" : { "date-parts" : [ [ "2004" ] ] }, "page" : "4-7", "title" : "The need for evidence-based conservation", "type" : "article-journal", "volume" : "19" }, "uris" : [ "http://www.mendeley.com/documents/?uuid=e83c04a5-d78b-44d1-835d-c0fdf961b028" ] } ], "mendeley" : { "formattedCitation" : "&lt;sup&gt;1&lt;/sup&gt;", "plainTextFormattedCitation" : "1", "previouslyFormattedCitation" : "&lt;sup&gt;1&lt;/sup&gt;" }, "properties" : { "noteIndex" : 0 }, "schema" : "https://github.com/citation-style-language/schema/raw/master/csl-citation.json" }</w:instrText>
      </w:r>
      <w:r w:rsidRPr="00935CC0">
        <w:rPr>
          <w:rFonts w:cs="Times New Roman"/>
        </w:rPr>
        <w:fldChar w:fldCharType="separate"/>
      </w:r>
      <w:r w:rsidR="00D852B3" w:rsidRPr="00D852B3">
        <w:rPr>
          <w:rFonts w:cs="Times New Roman"/>
          <w:noProof/>
          <w:vertAlign w:val="superscript"/>
        </w:rPr>
        <w:t>1</w:t>
      </w:r>
      <w:r w:rsidRPr="00935CC0">
        <w:rPr>
          <w:rFonts w:cs="Times New Roman"/>
        </w:rPr>
        <w:fldChar w:fldCharType="end"/>
      </w:r>
      <w:r w:rsidRPr="00935CC0">
        <w:rPr>
          <w:rFonts w:cs="Times New Roman"/>
        </w:rPr>
        <w:t xml:space="preserve">. </w:t>
      </w:r>
      <w:r w:rsidR="00AA3413">
        <w:rPr>
          <w:rFonts w:cs="Times New Roman"/>
        </w:rPr>
        <w:t>T</w:t>
      </w:r>
      <w:r>
        <w:rPr>
          <w:rFonts w:cs="Times New Roman"/>
        </w:rPr>
        <w:t>hese approaches</w:t>
      </w:r>
      <w:r w:rsidR="00470EF8">
        <w:rPr>
          <w:rFonts w:cs="Times New Roman"/>
        </w:rPr>
        <w:t xml:space="preserve"> attempt to</w:t>
      </w:r>
      <w:r w:rsidR="00AA3413">
        <w:rPr>
          <w:rFonts w:cs="Times New Roman"/>
        </w:rPr>
        <w:t xml:space="preserve"> address the ‘</w:t>
      </w:r>
      <w:r>
        <w:rPr>
          <w:rFonts w:cs="Times New Roman"/>
        </w:rPr>
        <w:t>research-implementation gap</w:t>
      </w:r>
      <w:r w:rsidR="00AA3413">
        <w:rPr>
          <w:rFonts w:cs="Times New Roman"/>
        </w:rPr>
        <w:t>’, yet they</w:t>
      </w:r>
      <w:r>
        <w:rPr>
          <w:rFonts w:cs="Times New Roman"/>
        </w:rPr>
        <w:t xml:space="preserve"> ignore the psychology of decision making. </w:t>
      </w:r>
      <w:r w:rsidR="00AE7E3D">
        <w:rPr>
          <w:rFonts w:cs="Times New Roman"/>
        </w:rPr>
        <w:t xml:space="preserve">In fact, the </w:t>
      </w:r>
      <w:r w:rsidRPr="00935CC0">
        <w:rPr>
          <w:rFonts w:cs="Times New Roman"/>
        </w:rPr>
        <w:t>psychology of conservation practitioners is a key part of decision making</w:t>
      </w:r>
      <w:r w:rsidRPr="00935CC0">
        <w:rPr>
          <w:rFonts w:cs="Times New Roman"/>
        </w:rPr>
        <w:fldChar w:fldCharType="begin" w:fldLock="1"/>
      </w:r>
      <w:r w:rsidR="00D852B3">
        <w:rPr>
          <w:rFonts w:cs="Times New Roman"/>
        </w:rPr>
        <w:instrText>ADDIN CSL_CITATION { "citationItems" : [ { "id" : "ITEM-1", "itemData" : { "DOI" : "10.3152/147154600781767402", "ISSN" : "1461-5517", "PMID" : "21130774", "abstract" : "A proper integration of strategic environmental assessment (SEA) into policy-making processes is considered critical to the success of SEA. Most of the work in SEA seems to be based on the assumption that the provision of rational information will help improve decision-making, but the literature points to other characteristics of real decision-making processes, including cognitive limitations, behavioural biases, ambiguity and variability of preferences and norms, distribution of decision-making over actors and in time, and the notion of decision-making as a process of learning and negotiation between multiple actors. All these are very relevant at the planning and policy level. In the policy sciences literature, some approaches may also hold promise for SEA, such as supporting an open learning process, variety in ways to support and roles to play in these processes, and paying more attention to the actor configuration and distribution of interests, as a basis for finding implementable and effective solutions to policy problems. The elaboration of these ideas holds promises as well as challenges for SEA. A proper integration of strategic environmental assessment (SEA) into policy-making processes is considered critical to the success of SEA. Most of the work in SEA seems to be based on the assumption that the provision of rational information will help improve decision-making, but the literature points to other characteristics of real decision-making processes, including cognitive limitations, behavioural biases, ambiguity and variability of preferences and norms, distribution of decision-making over actors and in time, and the notion of decision-making as a process of learning and negotiation between multiple actors. All these are very relevant at the planning and policy level. In the policy sciences literature, some approaches may also hold promise for SEA, such as supporting an open learning process, variety in ways to support and roles to play in these processes, and paying more attention to the actor configuration and distribution of interests, as a basis for finding implementable and effective solutions to policy problems. The elaboration of these ideas holds promises as well as challenges for SEA.", "author" : [ { "dropping-particle" : "", "family" : "K\u00f8rn\u00f8v", "given" : "Lone", "non-dropping-particle" : "", "parse-names" : false, "suffix" : "" }, { "dropping-particle" : "", "family" : "Thissen", "given" : "Wil", "non-dropping-particle" : "", "parse-names" : false, "suffix" : "" } ], "container-title" : "Impact Assessment and Project Appraisal", "id" : "ITEM-1", "issue" : "3", "issued" : { "date-parts" : [ [ "2000" ] ] }, "page" : "191-200", "title" : "Rationality in decision- and policy-making: implications for strategic environmental assessment", "type" : "article-journal", "volume" : "18" }, "uris" : [ "http://www.mendeley.com/documents/?uuid=fd5f4eee-3080-4849-9e77-941db677ade7" ] } ], "mendeley" : { "formattedCitation" : "&lt;sup&gt;2&lt;/sup&gt;", "plainTextFormattedCitation" : "2", "previouslyFormattedCitation" : "&lt;sup&gt;2&lt;/sup&gt;" }, "properties" : { "noteIndex" : 0 }, "schema" : "https://github.com/citation-style-language/schema/raw/master/csl-citation.json" }</w:instrText>
      </w:r>
      <w:r w:rsidRPr="00935CC0">
        <w:rPr>
          <w:rFonts w:cs="Times New Roman"/>
        </w:rPr>
        <w:fldChar w:fldCharType="separate"/>
      </w:r>
      <w:r w:rsidR="00D852B3" w:rsidRPr="00D852B3">
        <w:rPr>
          <w:rFonts w:cs="Times New Roman"/>
          <w:noProof/>
          <w:vertAlign w:val="superscript"/>
        </w:rPr>
        <w:t>2</w:t>
      </w:r>
      <w:r w:rsidRPr="00935CC0">
        <w:rPr>
          <w:rFonts w:cs="Times New Roman"/>
        </w:rPr>
        <w:fldChar w:fldCharType="end"/>
      </w:r>
      <w:r w:rsidRPr="00935CC0">
        <w:rPr>
          <w:rFonts w:cs="Times New Roman"/>
        </w:rPr>
        <w:t>, and could have</w:t>
      </w:r>
      <w:r w:rsidR="00AE7E3D">
        <w:rPr>
          <w:rFonts w:cs="Times New Roman"/>
        </w:rPr>
        <w:t xml:space="preserve"> a</w:t>
      </w:r>
      <w:r w:rsidRPr="00935CC0">
        <w:rPr>
          <w:rFonts w:cs="Times New Roman"/>
        </w:rPr>
        <w:t xml:space="preserve"> substantial impact on conservation</w:t>
      </w:r>
      <w:r w:rsidR="00470EF8">
        <w:rPr>
          <w:rFonts w:cs="Times New Roman"/>
        </w:rPr>
        <w:t xml:space="preserve"> actions</w:t>
      </w:r>
      <w:r w:rsidRPr="00935CC0">
        <w:rPr>
          <w:rFonts w:cs="Times New Roman"/>
        </w:rPr>
        <w:t xml:space="preserve"> </w:t>
      </w:r>
      <w:r w:rsidR="008F3331">
        <w:rPr>
          <w:rFonts w:cs="Times New Roman"/>
        </w:rPr>
        <w:t xml:space="preserve">and </w:t>
      </w:r>
      <w:r w:rsidR="00470EF8">
        <w:rPr>
          <w:rFonts w:cs="Times New Roman"/>
        </w:rPr>
        <w:t xml:space="preserve">on </w:t>
      </w:r>
      <w:r w:rsidR="008F3331">
        <w:rPr>
          <w:rFonts w:cs="Times New Roman"/>
        </w:rPr>
        <w:t>individuals living in conservation areas</w:t>
      </w:r>
      <w:r w:rsidRPr="00935CC0">
        <w:rPr>
          <w:rFonts w:cs="Times New Roman"/>
        </w:rPr>
        <w:fldChar w:fldCharType="begin" w:fldLock="1"/>
      </w:r>
      <w:r w:rsidR="00D852B3">
        <w:rPr>
          <w:rFonts w:cs="Times New Roman"/>
        </w:rPr>
        <w:instrText>ADDIN CSL_CITATION { "citationItems" : [ { "id" : "ITEM-1", "itemData" : { "DOI" : "10.1016/j.biocon.2015.01.025", "ISSN" : "00063207", "author" : [ { "dropping-particle" : "", "family" : "Meek", "given" : "Mariah H.", "non-dropping-particle" : "", "parse-names" : false, "suffix" : "" }, { "dropping-particle" : "", "family" : "Wells", "given" : "Caitlin", "non-dropping-particle" : "", "parse-names" : false, "suffix" : "" }, { "dropping-particle" : "", "family" : "Tomalty", "given" : "Katharine M.", "non-dropping-particle" : "", "parse-names" : false, "suffix" : "" }, { "dropping-particle" : "", "family" : "Ashander", "given" : "Jaime", "non-dropping-particle" : "", "parse-names" : false, "suffix" : "" }, { "dropping-particle" : "", "family" : "Cole", "given" : "Esther M.", "non-dropping-particle" : "", "parse-names" : false, "suffix" : "" }, { "dropping-particle" : "", "family" : "Gille", "given" : "Daphne a.", "non-dropping-particle" : "", "parse-names" : false, "suffix" : "" }, { "dropping-particle" : "", "family" : "Putman", "given" : "Breanna J.", "non-dropping-particle" : "", "parse-names" : false, "suffix" : "" }, { "dropping-particle" : "", "family" : "Rose", "given" : "Jonathan P.", "non-dropping-particle" : "", "parse-names" : false, "suffix" : "" }, { "dropping-particle" : "", "family" : "Savoca", "given" : "Matthew S.", "non-dropping-particle" : "", "parse-names" : false, "suffix" : "" }, { "dropping-particle" : "", "family" : "Yamane", "given" : "Lauren", "non-dropping-particle" : "", "parse-names" : false, "suffix" : "" }, { "dropping-particle" : "", "family" : "Hull", "given" : "Joshua M.", "non-dropping-particle" : "", "parse-names" : false, "suffix" : "" }, { "dropping-particle" : "", "family" : "Rogers", "given" : "Deborah L.", "non-dropping-particle" : "", "parse-names" : false, "suffix" : "" }, { "dropping-particle" : "", "family" : "Rosenblum", "given" : "Erica Bree", "non-dropping-particle" : "", "parse-names" : false, "suffix" : "" }, { "dropping-particle" : "", "family" : "Shogren", "given" : "Jason F.", "non-dropping-particle" : "", "parse-names" : false, "suffix" : "" }, { "dropping-particle" : "", "family" : "Swaisgood", "given" : "Ronald R.", "non-dropping-particle" : "", "parse-names" : false, "suffix" : "" }, { "dropping-particle" : "", "family" : "May", "given" : "Bernie", "non-dropping-particle" : "", "parse-names" : false, "suffix" : "" } ], "container-title" : "Biological Conservation", "id" : "ITEM-1", "issue" : "July", "issued" : { "date-parts" : [ [ "2015" ] ] }, "page" : "209-217", "title" : "Fear of failure in conservation: The problem and potential solutions to aid conservation of extremely small populations", "type" : "article-journal", "volume" : "184" }, "uris" : [ "http://www.mendeley.com/documents/?uuid=bdc236c8-4e7c-4c90-a78d-0c51450fea10" ] } ], "mendeley" : { "formattedCitation" : "&lt;sup&gt;3&lt;/sup&gt;", "plainTextFormattedCitation" : "3", "previouslyFormattedCitation" : "&lt;sup&gt;3&lt;/sup&gt;" }, "properties" : { "noteIndex" : 0 }, "schema" : "https://github.com/citation-style-language/schema/raw/master/csl-citation.json" }</w:instrText>
      </w:r>
      <w:r w:rsidRPr="00935CC0">
        <w:rPr>
          <w:rFonts w:cs="Times New Roman"/>
        </w:rPr>
        <w:fldChar w:fldCharType="separate"/>
      </w:r>
      <w:r w:rsidR="00D852B3" w:rsidRPr="00D852B3">
        <w:rPr>
          <w:rFonts w:cs="Times New Roman"/>
          <w:noProof/>
          <w:vertAlign w:val="superscript"/>
        </w:rPr>
        <w:t>3</w:t>
      </w:r>
      <w:r w:rsidRPr="00935CC0">
        <w:rPr>
          <w:rFonts w:cs="Times New Roman"/>
        </w:rPr>
        <w:fldChar w:fldCharType="end"/>
      </w:r>
      <w:r w:rsidRPr="00935CC0">
        <w:rPr>
          <w:rFonts w:cs="Times New Roman"/>
        </w:rPr>
        <w:t>.</w:t>
      </w:r>
      <w:r w:rsidR="00A578E1">
        <w:rPr>
          <w:rFonts w:cs="Times New Roman"/>
        </w:rPr>
        <w:t xml:space="preserve"> C</w:t>
      </w:r>
      <w:r w:rsidR="00D71A09" w:rsidRPr="00935CC0">
        <w:rPr>
          <w:rFonts w:cs="Times New Roman"/>
        </w:rPr>
        <w:t>onservation psychology is a growth sub-discipline</w:t>
      </w:r>
      <w:r w:rsidR="00D71A09" w:rsidRPr="00935CC0">
        <w:rPr>
          <w:rFonts w:cs="Times New Roman"/>
        </w:rPr>
        <w:fldChar w:fldCharType="begin" w:fldLock="1"/>
      </w:r>
      <w:r w:rsidR="00D852B3">
        <w:rPr>
          <w:rFonts w:cs="Times New Roman"/>
        </w:rPr>
        <w:instrText>ADDIN CSL_CITATION { "citationItems" : [ { "id" : "ITEM-1", "itemData" : { "DOI" : "10.3390/su5062770", "ISBN" : "1859622305", "ISSN" : "2071-1050", "abstract" : "Within the field of environmental psychology, there are two distinct bodies of literature. First, there are experimental studies that have evaluated techniques for getting people to perform conservation behaviors. Second, there are theoretical studies that have surveyed people to create some type of theoretical model that explains conservation behaviors. These two types of research almost never overlap. This research project attempts to bridge these two literatures. Specifically, we coded over 100 environmental experiments for the type of treatment that each one employed and the effect size that was reported. Then we mapped the ten leading treatments on to the main components of six leading theoretical models. Our findings indicate that a moderate amount of variance in the effect sizes of the experimental literature is explained by the theoretical models and that one of the strongest predictors of conservation behavior is the situation or context. While we acknowledge the limitations of our method, this research raises a fundamentally important question: Why are our theories somewhat limited at predicting the behavior patterns that we see in our experiments? Are our theories built on the wrong set of psychological constructs, or are our experiments manipulating the wrong set of variables?", "author" : [ { "dropping-particle" : "", "family" : "Osbaldiston", "given" : "Richard", "non-dropping-particle" : "", "parse-names" : false, "suffix" : "" } ], "container-title" : "Sustainability", "id" : "ITEM-1", "issue" : "6", "issued" : { "date-parts" : [ [ "2013", "6", "20" ] ] }, "page" : "2770-2795", "title" : "Synthesizing the experiments and theories of conservation psychology", "type" : "article-journal", "volume" : "5" }, "uris" : [ "http://www.mendeley.com/documents/?uuid=09cd4818-a115-40f2-b223-5283bed53df8" ] }, { "id" : "ITEM-2", "itemData" : { "author" : [ { "dropping-particle" : "", "family" : "Clayton", "given" : "Susan", "non-dropping-particle" : "", "parse-names" : false, "suffix" : "" }, { "dropping-particle" : "", "family" : "Myers", "given" : "Gene", "non-dropping-particle" : "", "parse-names" : false, "suffix" : "" } ], "edition" : "Second Edi", "id" : "ITEM-2", "issued" : { "date-parts" : [ [ "2015" ] ] }, "page" : "325", "publisher" : "John Wiley &amp; Sons Ltd", "publisher-place" : "Oxford", "title" : "Conservation psychology: understanding and promoting human care for nature", "type" : "book" }, "uris" : [ "http://www.mendeley.com/documents/?uuid=318cc9d1-8f95-4ec9-9690-6d3888628a19" ] } ], "mendeley" : { "formattedCitation" : "&lt;sup&gt;4,5&lt;/sup&gt;", "plainTextFormattedCitation" : "4,5", "previouslyFormattedCitation" : "&lt;sup&gt;4,5&lt;/sup&gt;" }, "properties" : { "noteIndex" : 0 }, "schema" : "https://github.com/citation-style-language/schema/raw/master/csl-citation.json" }</w:instrText>
      </w:r>
      <w:r w:rsidR="00D71A09" w:rsidRPr="00935CC0">
        <w:rPr>
          <w:rFonts w:cs="Times New Roman"/>
        </w:rPr>
        <w:fldChar w:fldCharType="separate"/>
      </w:r>
      <w:r w:rsidR="00D852B3" w:rsidRPr="00D852B3">
        <w:rPr>
          <w:rFonts w:cs="Times New Roman"/>
          <w:noProof/>
          <w:vertAlign w:val="superscript"/>
        </w:rPr>
        <w:t>4,5</w:t>
      </w:r>
      <w:r w:rsidR="00D71A09" w:rsidRPr="00935CC0">
        <w:rPr>
          <w:rFonts w:cs="Times New Roman"/>
        </w:rPr>
        <w:fldChar w:fldCharType="end"/>
      </w:r>
      <w:r w:rsidR="00470EF8">
        <w:rPr>
          <w:rFonts w:cs="Times New Roman"/>
        </w:rPr>
        <w:t>, but</w:t>
      </w:r>
      <w:r w:rsidR="00D71A09" w:rsidRPr="00935CC0">
        <w:rPr>
          <w:rFonts w:cs="Times New Roman"/>
        </w:rPr>
        <w:t xml:space="preserve"> there has been little </w:t>
      </w:r>
      <w:r w:rsidR="008F3331">
        <w:rPr>
          <w:rFonts w:cs="Times New Roman"/>
        </w:rPr>
        <w:t>investigation of</w:t>
      </w:r>
      <w:r w:rsidR="00D71A09" w:rsidRPr="00935CC0">
        <w:rPr>
          <w:rFonts w:cs="Times New Roman"/>
        </w:rPr>
        <w:t xml:space="preserve"> the psychology of </w:t>
      </w:r>
      <w:r w:rsidR="00A578E1">
        <w:rPr>
          <w:rFonts w:cs="Times New Roman"/>
        </w:rPr>
        <w:t>those</w:t>
      </w:r>
      <w:r w:rsidR="00A578E1" w:rsidRPr="00935CC0">
        <w:rPr>
          <w:rFonts w:cs="Times New Roman"/>
        </w:rPr>
        <w:t xml:space="preserve"> </w:t>
      </w:r>
      <w:r w:rsidR="00D71A09" w:rsidRPr="00935CC0">
        <w:rPr>
          <w:rFonts w:cs="Times New Roman"/>
        </w:rPr>
        <w:t>pr</w:t>
      </w:r>
      <w:r w:rsidR="00D71A09">
        <w:rPr>
          <w:rFonts w:cs="Times New Roman"/>
        </w:rPr>
        <w:t>ofessionals</w:t>
      </w:r>
      <w:r w:rsidR="00A578E1">
        <w:rPr>
          <w:rFonts w:cs="Times New Roman"/>
        </w:rPr>
        <w:t xml:space="preserve"> who</w:t>
      </w:r>
      <w:r w:rsidR="00D71A09">
        <w:rPr>
          <w:rFonts w:cs="Times New Roman"/>
        </w:rPr>
        <w:t xml:space="preserve"> implement actions for natural resource management and protection</w:t>
      </w:r>
      <w:r w:rsidR="00293F61">
        <w:rPr>
          <w:rFonts w:cs="Times New Roman"/>
        </w:rPr>
        <w:t>.</w:t>
      </w:r>
    </w:p>
    <w:p w14:paraId="12566ED0" w14:textId="77777777" w:rsidR="00DF2D48" w:rsidRDefault="00DF2D48" w:rsidP="00D76226">
      <w:pPr>
        <w:spacing w:after="0"/>
        <w:rPr>
          <w:rFonts w:cs="Times New Roman"/>
        </w:rPr>
      </w:pPr>
    </w:p>
    <w:p w14:paraId="03BA0927" w14:textId="3FC37AEB" w:rsidR="00A578E1" w:rsidRDefault="00A578E1" w:rsidP="00A578E1">
      <w:pPr>
        <w:spacing w:after="0"/>
        <w:rPr>
          <w:rFonts w:cs="Times New Roman"/>
        </w:rPr>
      </w:pPr>
      <w:r>
        <w:rPr>
          <w:rFonts w:cs="Times New Roman"/>
        </w:rPr>
        <w:t xml:space="preserve">I </w:t>
      </w:r>
      <w:r w:rsidR="00167A53">
        <w:rPr>
          <w:rFonts w:cs="Times New Roman"/>
        </w:rPr>
        <w:t>suggest</w:t>
      </w:r>
      <w:r>
        <w:rPr>
          <w:rFonts w:cs="Times New Roman"/>
        </w:rPr>
        <w:t xml:space="preserve"> that applying the ideas of dual-processing theory </w:t>
      </w:r>
      <w:r w:rsidR="00167A53">
        <w:rPr>
          <w:rFonts w:cs="Times New Roman"/>
        </w:rPr>
        <w:t>could</w:t>
      </w:r>
      <w:r>
        <w:rPr>
          <w:rFonts w:cs="Times New Roman"/>
        </w:rPr>
        <w:t xml:space="preserve"> contribute to </w:t>
      </w:r>
      <w:r w:rsidR="00470EF8">
        <w:rPr>
          <w:rFonts w:cs="Times New Roman"/>
        </w:rPr>
        <w:t>closing</w:t>
      </w:r>
      <w:r>
        <w:rPr>
          <w:rFonts w:cs="Times New Roman"/>
        </w:rPr>
        <w:t xml:space="preserve"> the research-implementation gap</w:t>
      </w:r>
      <w:r w:rsidR="00FC38AE">
        <w:rPr>
          <w:rFonts w:cs="Times New Roman"/>
        </w:rPr>
        <w:t xml:space="preserve"> in conservation</w:t>
      </w:r>
      <w:r>
        <w:rPr>
          <w:rFonts w:cs="Times New Roman"/>
        </w:rPr>
        <w:t>. This theory</w:t>
      </w:r>
      <w:r w:rsidRPr="00935CC0">
        <w:rPr>
          <w:rFonts w:cs="Times New Roman"/>
        </w:rPr>
        <w:t xml:space="preserve"> suggests</w:t>
      </w:r>
      <w:r>
        <w:rPr>
          <w:rFonts w:cs="Times New Roman"/>
        </w:rPr>
        <w:t xml:space="preserve"> that</w:t>
      </w:r>
      <w:r w:rsidRPr="00935CC0">
        <w:rPr>
          <w:rFonts w:cs="Times New Roman"/>
        </w:rPr>
        <w:t xml:space="preserve"> humans possess two sys</w:t>
      </w:r>
      <w:r>
        <w:rPr>
          <w:rFonts w:cs="Times New Roman"/>
        </w:rPr>
        <w:t>tems for decision making: type</w:t>
      </w:r>
      <w:r w:rsidRPr="00935CC0">
        <w:rPr>
          <w:rFonts w:cs="Times New Roman"/>
        </w:rPr>
        <w:t xml:space="preserve"> </w:t>
      </w:r>
      <w:r>
        <w:rPr>
          <w:rFonts w:cs="Times New Roman"/>
        </w:rPr>
        <w:t>I</w:t>
      </w:r>
      <w:r w:rsidRPr="00935CC0">
        <w:rPr>
          <w:rFonts w:cs="Times New Roman"/>
        </w:rPr>
        <w:t xml:space="preserve">, which </w:t>
      </w:r>
      <w:r w:rsidR="00470EF8">
        <w:rPr>
          <w:rFonts w:cs="Times New Roman"/>
        </w:rPr>
        <w:t>is low-effort and intuitive</w:t>
      </w:r>
      <w:r>
        <w:rPr>
          <w:rFonts w:cs="Times New Roman"/>
        </w:rPr>
        <w:t xml:space="preserve">, </w:t>
      </w:r>
      <w:r w:rsidRPr="00935CC0">
        <w:rPr>
          <w:rFonts w:cs="Times New Roman"/>
        </w:rPr>
        <w:t>rel</w:t>
      </w:r>
      <w:r>
        <w:rPr>
          <w:rFonts w:cs="Times New Roman"/>
        </w:rPr>
        <w:t>ying</w:t>
      </w:r>
      <w:r w:rsidRPr="00935CC0">
        <w:rPr>
          <w:rFonts w:cs="Times New Roman"/>
        </w:rPr>
        <w:t xml:space="preserve"> on heuristics and pattern-matching for rapid decision-making</w:t>
      </w:r>
      <w:r>
        <w:rPr>
          <w:rFonts w:cs="Times New Roman"/>
        </w:rPr>
        <w:t xml:space="preserve">; </w:t>
      </w:r>
      <w:r w:rsidRPr="00935CC0">
        <w:rPr>
          <w:rFonts w:cs="Times New Roman"/>
        </w:rPr>
        <w:t xml:space="preserve">and </w:t>
      </w:r>
      <w:r>
        <w:rPr>
          <w:rFonts w:cs="Times New Roman"/>
        </w:rPr>
        <w:t>type II</w:t>
      </w:r>
      <w:r w:rsidRPr="00935CC0">
        <w:rPr>
          <w:rFonts w:cs="Times New Roman"/>
        </w:rPr>
        <w:t xml:space="preserve">, which </w:t>
      </w:r>
      <w:r w:rsidR="00FC38AE">
        <w:rPr>
          <w:rFonts w:cs="Times New Roman"/>
        </w:rPr>
        <w:t xml:space="preserve">is </w:t>
      </w:r>
      <w:r w:rsidR="00FC38AE" w:rsidRPr="00935CC0">
        <w:rPr>
          <w:rFonts w:cs="Times New Roman"/>
        </w:rPr>
        <w:t>deliberative and analytical</w:t>
      </w:r>
      <w:r w:rsidR="00FC38AE">
        <w:rPr>
          <w:rFonts w:cs="Times New Roman"/>
        </w:rPr>
        <w:t xml:space="preserve">, </w:t>
      </w:r>
      <w:r w:rsidRPr="00935CC0">
        <w:rPr>
          <w:rFonts w:cs="Times New Roman"/>
        </w:rPr>
        <w:t>r</w:t>
      </w:r>
      <w:r w:rsidR="00FC38AE">
        <w:rPr>
          <w:rFonts w:cs="Times New Roman"/>
        </w:rPr>
        <w:t>eviewing and processing all information and requiring</w:t>
      </w:r>
      <w:r w:rsidRPr="00935CC0">
        <w:rPr>
          <w:rFonts w:cs="Times New Roman"/>
        </w:rPr>
        <w:t xml:space="preserve"> a greater cognitive burden</w:t>
      </w:r>
      <w:r w:rsidRPr="00935CC0">
        <w:rPr>
          <w:rFonts w:cs="Times New Roman"/>
        </w:rPr>
        <w:fldChar w:fldCharType="begin" w:fldLock="1"/>
      </w:r>
      <w:r w:rsidR="00D852B3">
        <w:rPr>
          <w:rFonts w:cs="Times New Roman"/>
        </w:rPr>
        <w:instrText>ADDIN CSL_CITATION { "citationItems" : [ { "id" : "ITEM-1", "itemData" : { "DOI" : "10.1146/annurev.psych.59.103006.093629", "ISBN" : "0066-4308\\r978-0-8243-0259-7", "ISSN" : "0066-4308", "PMID" : "18154502", "abstract" : "This article reviews a diverse set of proposals for dual processing in higher cognition within largely disconnected literatures in cognitive and social psychology. All these theories have in common the distinction between cognitive processes that are fast, automatic, and unconscious and those that are slow, deliberative, and conscious. A number of authors have recently suggested that there may be two architecturally (and evolutionarily) distinct cognitive systems underlying these dual-process accounts. However, it emerges that (a) there are multiple kinds of implicit processes described by different theorists and (b) not all of the proposed attributes of the two kinds of processing can be sensibly mapped on to two systems as currently conceived. It is suggested that while some dual-process theories are concerned with parallel competing processes involving explicit and implicit knowledge systems, others are concerned with the influence of preconscious processes that contextualize and shape deliberative reasoning and decision-making.", "author" : [ { "dropping-particle" : "", "family" : "Evans", "given" : "Jonathan St B T", "non-dropping-particle" : "", "parse-names" : false, "suffix" : "" } ], "container-title" : "Annual review of psychology", "id" : "ITEM-1", "issued" : { "date-parts" : [ [ "2008" ] ] }, "page" : "255-278", "title" : "Dual-processing accounts of reasoning, judgment, and social cognition.", "type" : "article-journal", "volume" : "59" }, "uris" : [ "http://www.mendeley.com/documents/?uuid=16a04b69-0ae9-4105-8a9c-8cea46691368" ] }, { "id" : "ITEM-2", "itemData" : { "DOI" : "10.1002/asi", "ISBN" : "9783848215430", "ISSN" : "14923831", "PMID" : "502955140", "abstract" : "This article reviews results from a research project designed to understand the mediating influence of information technology on information behavior. During the analysis of the data, five modes of information behavior were uncovered. These provide us with a reconceptua ization of core information-seeking and search activities, as well as a fruitful opening to redevelop, augment, or complement existing models of information behavior. The findings resonate with emerging theories of decision making and judgement and illustrate the need for information behavior researchers to undertake research in differing contexts.Thework illuminates an issue of current concern for public policy: police use of information in decision-making", "author" : [ { "dropping-particle" : "", "family" : "Allen", "given" : "David", "non-dropping-particle" : "", "parse-names" : false, "suffix" : "" } ], "container-title" : "Journal of the American Society for information science and technology", "id" : "ITEM-2", "issue" : "11", "issued" : { "date-parts" : [ [ "2011" ] ] }, "page" : "2165 \u2013 2181", "title" : "Information behaviour and decision making in time-constrained practice: a dual-processing perspective", "type" : "article-journal", "volume" : "62" }, "uris" : [ "http://www.mendeley.com/documents/?uuid=058d1956-2d11-44e8-a1f8-1e8c39e5fcb8" ] } ], "mendeley" : { "formattedCitation" : "&lt;sup&gt;6,7&lt;/sup&gt;", "plainTextFormattedCitation" : "6,7", "previouslyFormattedCitation" : "&lt;sup&gt;6,7&lt;/sup&gt;" }, "properties" : { "noteIndex" : 0 }, "schema" : "https://github.com/citation-style-language/schema/raw/master/csl-citation.json" }</w:instrText>
      </w:r>
      <w:r w:rsidRPr="00935CC0">
        <w:rPr>
          <w:rFonts w:cs="Times New Roman"/>
        </w:rPr>
        <w:fldChar w:fldCharType="separate"/>
      </w:r>
      <w:r w:rsidR="00D852B3" w:rsidRPr="00D852B3">
        <w:rPr>
          <w:rFonts w:cs="Times New Roman"/>
          <w:noProof/>
          <w:vertAlign w:val="superscript"/>
        </w:rPr>
        <w:t>6,7</w:t>
      </w:r>
      <w:r w:rsidRPr="00935CC0">
        <w:rPr>
          <w:rFonts w:cs="Times New Roman"/>
        </w:rPr>
        <w:fldChar w:fldCharType="end"/>
      </w:r>
      <w:r w:rsidRPr="00935CC0">
        <w:rPr>
          <w:rFonts w:cs="Times New Roman"/>
        </w:rPr>
        <w:t xml:space="preserve">. </w:t>
      </w:r>
      <w:r>
        <w:rPr>
          <w:rFonts w:cs="Times New Roman"/>
        </w:rPr>
        <w:t>Dual-processing theory characterises these two types of decision making as distinct processes, although some argue that the</w:t>
      </w:r>
      <w:r w:rsidR="00FC38AE">
        <w:rPr>
          <w:rFonts w:cs="Times New Roman"/>
        </w:rPr>
        <w:t>y</w:t>
      </w:r>
      <w:r>
        <w:rPr>
          <w:rFonts w:cs="Times New Roman"/>
        </w:rPr>
        <w:t xml:space="preserve"> are extremes at either end of a continuum</w:t>
      </w:r>
      <w:r>
        <w:rPr>
          <w:rFonts w:cs="Times New Roman"/>
        </w:rPr>
        <w:fldChar w:fldCharType="begin" w:fldLock="1"/>
      </w:r>
      <w:r w:rsidR="00D852B3">
        <w:rPr>
          <w:rFonts w:cs="Times New Roman"/>
        </w:rPr>
        <w:instrText>ADDIN CSL_CITATION { "citationItems" : [ { "id" : "ITEM-1", "itemData" : { "author" : [ { "dropping-particle" : "", "family" : "Hammond", "given" : "Kenneth R", "non-dropping-particle" : "", "parse-names" : false, "suffix" : "" }, { "dropping-particle" : "", "family" : "Hamm", "given" : "Robert M", "non-dropping-particle" : "", "parse-names" : false, "suffix" : "" }, { "dropping-particle" : "", "family" : "Grassia", "given" : "Janet", "non-dropping-particle" : "", "parse-names" : false, "suffix" : "" }, { "dropping-particle" : "", "family" : "Pearson", "given" : "Tamra", "non-dropping-particle" : "", "parse-names" : false, "suffix" : "" } ], "container-title" : "IEEE Transactions on Systems, Man and Cybernetics", "id" : "ITEM-1", "issue" : "5", "issued" : { "date-parts" : [ [ "1987" ] ] }, "page" : "753-770", "title" : "Direct comparison efficacy of intuitive &amp; analytical cognition in expert judgement", "type" : "article-journal", "volume" : "17" }, "uris" : [ "http://www.mendeley.com/documents/?uuid=f478df67-41fc-4d05-bdab-bb9245cf3bfa", "http://www.mendeley.com/documents/?uuid=5a2b1f12-9ffd-46c2-90b7-6d2061483ee0" ] } ], "mendeley" : { "formattedCitation" : "&lt;sup&gt;8&lt;/sup&gt;", "plainTextFormattedCitation" : "8", "previouslyFormattedCitation" : "&lt;sup&gt;8&lt;/sup&gt;" }, "properties" : { "noteIndex" : 0 }, "schema" : "https://github.com/citation-style-language/schema/raw/master/csl-citation.json" }</w:instrText>
      </w:r>
      <w:r>
        <w:rPr>
          <w:rFonts w:cs="Times New Roman"/>
        </w:rPr>
        <w:fldChar w:fldCharType="separate"/>
      </w:r>
      <w:r w:rsidR="00D852B3" w:rsidRPr="00D852B3">
        <w:rPr>
          <w:rFonts w:cs="Times New Roman"/>
          <w:noProof/>
          <w:vertAlign w:val="superscript"/>
        </w:rPr>
        <w:t>8</w:t>
      </w:r>
      <w:r>
        <w:rPr>
          <w:rFonts w:cs="Times New Roman"/>
        </w:rPr>
        <w:fldChar w:fldCharType="end"/>
      </w:r>
      <w:r>
        <w:rPr>
          <w:rFonts w:cs="Times New Roman"/>
        </w:rPr>
        <w:t>. To exemplify how decision making might move along this continuum over time, consider a novice birdwatcher, who uses a guide to match the bird they see to a description in a book</w:t>
      </w:r>
      <w:r w:rsidR="00FC38AE">
        <w:rPr>
          <w:rFonts w:cs="Times New Roman"/>
        </w:rPr>
        <w:t>. This is</w:t>
      </w:r>
      <w:r>
        <w:rPr>
          <w:rFonts w:cs="Times New Roman"/>
        </w:rPr>
        <w:t xml:space="preserve"> analytical type II processing. As the birdwatcher gains expertise, this process becomes less and less cognitively challenging, until they </w:t>
      </w:r>
      <w:r w:rsidR="00603191">
        <w:rPr>
          <w:rFonts w:cs="Times New Roman"/>
        </w:rPr>
        <w:t xml:space="preserve">automatically </w:t>
      </w:r>
      <w:r>
        <w:rPr>
          <w:rFonts w:cs="Times New Roman"/>
        </w:rPr>
        <w:t xml:space="preserve">classify an individual bird to its species after only a brief glimpse </w:t>
      </w:r>
      <w:r w:rsidR="00470EF8">
        <w:rPr>
          <w:rFonts w:cs="Times New Roman"/>
        </w:rPr>
        <w:t xml:space="preserve"> —</w:t>
      </w:r>
      <w:r>
        <w:rPr>
          <w:rFonts w:cs="Times New Roman"/>
        </w:rPr>
        <w:t xml:space="preserve"> an example of type I processing. </w:t>
      </w:r>
    </w:p>
    <w:p w14:paraId="19D8A06A" w14:textId="77777777" w:rsidR="00A578E1" w:rsidRDefault="00A578E1" w:rsidP="00D76226">
      <w:pPr>
        <w:spacing w:after="0"/>
        <w:rPr>
          <w:rFonts w:cs="Times New Roman"/>
        </w:rPr>
      </w:pPr>
    </w:p>
    <w:p w14:paraId="0BF77893" w14:textId="6F5EF5BD" w:rsidR="00FC38AE" w:rsidRDefault="00FC38AE" w:rsidP="00D76226">
      <w:pPr>
        <w:spacing w:after="0"/>
        <w:rPr>
          <w:rFonts w:cs="Times New Roman"/>
        </w:rPr>
      </w:pPr>
      <w:r>
        <w:rPr>
          <w:rFonts w:cs="Times New Roman"/>
        </w:rPr>
        <w:t xml:space="preserve">How does this theory apply to conservation practice? </w:t>
      </w:r>
      <w:r w:rsidR="00563045">
        <w:rPr>
          <w:rFonts w:cs="Times New Roman"/>
        </w:rPr>
        <w:t>If individuals are using type I decision</w:t>
      </w:r>
      <w:r w:rsidR="00470EF8">
        <w:rPr>
          <w:rFonts w:cs="Times New Roman"/>
        </w:rPr>
        <w:t xml:space="preserve"> </w:t>
      </w:r>
      <w:r w:rsidR="00563045">
        <w:rPr>
          <w:rFonts w:cs="Times New Roman"/>
        </w:rPr>
        <w:t xml:space="preserve">making, they are unlikely to seek and evaluate sources of information, such as formally produced conservation prioritisations. Indeed, we would only expect evidence-based conservation to be considered when analytical type II decision-making is being used. Under these circumstances, structural and other barriers </w:t>
      </w:r>
      <w:r w:rsidR="00493EA5">
        <w:rPr>
          <w:rFonts w:cs="Times New Roman"/>
        </w:rPr>
        <w:t>(</w:t>
      </w:r>
      <w:r w:rsidR="00563045">
        <w:rPr>
          <w:rFonts w:cs="Times New Roman"/>
        </w:rPr>
        <w:t>such as access to information or institutional and financial constrain</w:t>
      </w:r>
      <w:r w:rsidR="00AC1009">
        <w:rPr>
          <w:rFonts w:cs="Times New Roman"/>
        </w:rPr>
        <w:t>ts</w:t>
      </w:r>
      <w:r w:rsidR="00AC1009">
        <w:rPr>
          <w:rFonts w:cs="Times New Roman"/>
        </w:rPr>
        <w:fldChar w:fldCharType="begin" w:fldLock="1"/>
      </w:r>
      <w:r w:rsidR="00AC1009">
        <w:rPr>
          <w:rFonts w:cs="Times New Roman"/>
        </w:rPr>
        <w:instrText>ADDIN CSL_CITATION { "citationItems" : [ { "id" : "ITEM-1", "itemData" : { "DOI" : "10.1016/j.biocon.2003.11.007", "ISBN" : "0006-3207", "ISSN" : "00063207", "PMID" : "2815", "abstract" : "Conservation involves making decisions on appropriate action from a wide range of options. For conservation to be effective, decision-makers need to know what actions do and do not work. Ideally, decisions should be based on effectiveness as demonstrated by scientific experiment or systematic review of evidence. Can decision-makers get this kind of information? We undertook a formal assessment of the extent to which scientific evidence is being used in conservation practice by conducting a survey of management plans and their compilers from major conservation organizations within the UK. Data collected suggest that the majority of conservation actions remain experience-based and rely heavily on traditional land management practices because, many management interventions remain unevaluated and, although some evidence exists, much is not readily accessible in a suitable form. We argue that nature conservation along with other fields of applied ecology, should exploit the concept of evidence-based practice developed and used in medicine and public health that aims to provide the best available evidence to the decision-maker(s) on the likely outcomes of alternative actions. Through critical evaluation, we present the challenges and benefits of adopting evidence based practice from the decision-makers point of view and identify the process to be followed to make it work. ?? 2003 Elsevier Ltd. All rights reserved.", "author" : [ { "dropping-particle" : "", "family" : "Pullin", "given" : "Andrew S.", "non-dropping-particle" : "", "parse-names" : false, "suffix" : "" }, { "dropping-particle" : "", "family" : "Knight", "given" : "Teri M.", "non-dropping-particle" : "", "parse-names" : false, "suffix" : "" }, { "dropping-particle" : "", "family" : "Stone", "given" : "David A", "non-dropping-particle" : "", "parse-names" : false, "suffix" : "" }, { "dropping-particle" : "", "family" : "Charman", "given" : "Kevin", "non-dropping-particle" : "", "parse-names" : false, "suffix" : "" } ], "container-title" : "Biological Conservation", "id" : "ITEM-1", "issue" : "2", "issued" : { "date-parts" : [ [ "2004" ] ] }, "page" : "245-252", "title" : "Do conservation managers use scientific evidence to support their decision-making?", "type" : "article-journal", "volume" : "119" }, "uris" : [ "http://www.mendeley.com/documents/?uuid=23ee8127-5022-4fd9-863c-ab73c14d65b9" ] } ], "mendeley" : { "formattedCitation" : "&lt;sup&gt;9&lt;/sup&gt;", "plainTextFormattedCitation" : "9" }, "properties" : { "noteIndex" : 0 }, "schema" : "https://github.com/citation-style-language/schema/raw/master/csl-citation.json" }</w:instrText>
      </w:r>
      <w:r w:rsidR="00AC1009">
        <w:rPr>
          <w:rFonts w:cs="Times New Roman"/>
        </w:rPr>
        <w:fldChar w:fldCharType="separate"/>
      </w:r>
      <w:r w:rsidR="00AC1009" w:rsidRPr="00AC1009">
        <w:rPr>
          <w:rFonts w:cs="Times New Roman"/>
          <w:noProof/>
          <w:vertAlign w:val="superscript"/>
        </w:rPr>
        <w:t>9</w:t>
      </w:r>
      <w:r w:rsidR="00AC1009">
        <w:rPr>
          <w:rFonts w:cs="Times New Roman"/>
        </w:rPr>
        <w:fldChar w:fldCharType="end"/>
      </w:r>
      <w:r w:rsidR="00493EA5">
        <w:rPr>
          <w:rFonts w:cs="Times New Roman"/>
        </w:rPr>
        <w:t>)</w:t>
      </w:r>
      <w:r w:rsidR="00563045">
        <w:rPr>
          <w:rFonts w:cs="Times New Roman"/>
        </w:rPr>
        <w:t xml:space="preserve"> could prevent the use of conservation evidence, but these barriers are irrelevant if type I decision-making is being used in the first place. </w:t>
      </w:r>
    </w:p>
    <w:p w14:paraId="424CD0E1" w14:textId="77777777" w:rsidR="00FC38AE" w:rsidRDefault="00FC38AE" w:rsidP="00D76226">
      <w:pPr>
        <w:spacing w:after="0"/>
        <w:rPr>
          <w:rFonts w:cs="Times New Roman"/>
        </w:rPr>
      </w:pPr>
    </w:p>
    <w:p w14:paraId="25BD2926" w14:textId="4C601B9F" w:rsidR="0020456A" w:rsidRDefault="0020456A" w:rsidP="00D76226">
      <w:pPr>
        <w:spacing w:after="0"/>
        <w:rPr>
          <w:rFonts w:cs="Times New Roman"/>
        </w:rPr>
      </w:pPr>
      <w:r>
        <w:rPr>
          <w:rFonts w:cs="Times New Roman"/>
        </w:rPr>
        <w:t>For example, previous research on dual</w:t>
      </w:r>
      <w:r w:rsidR="00FC38AE">
        <w:rPr>
          <w:rFonts w:cs="Times New Roman"/>
        </w:rPr>
        <w:t>-</w:t>
      </w:r>
      <w:r>
        <w:rPr>
          <w:rFonts w:cs="Times New Roman"/>
        </w:rPr>
        <w:t>processing theor</w:t>
      </w:r>
      <w:r w:rsidR="00FC38AE">
        <w:rPr>
          <w:rFonts w:cs="Times New Roman"/>
        </w:rPr>
        <w:t>y</w:t>
      </w:r>
      <w:r>
        <w:rPr>
          <w:rFonts w:cs="Times New Roman"/>
        </w:rPr>
        <w:t xml:space="preserve"> ha</w:t>
      </w:r>
      <w:r w:rsidR="00FC38AE">
        <w:rPr>
          <w:rFonts w:cs="Times New Roman"/>
        </w:rPr>
        <w:t>s</w:t>
      </w:r>
      <w:r>
        <w:rPr>
          <w:rFonts w:cs="Times New Roman"/>
        </w:rPr>
        <w:t xml:space="preserve"> suggested that individuals are more likely to use type I decision</w:t>
      </w:r>
      <w:r w:rsidR="00470EF8">
        <w:rPr>
          <w:rFonts w:cs="Times New Roman"/>
        </w:rPr>
        <w:t xml:space="preserve"> </w:t>
      </w:r>
      <w:r>
        <w:rPr>
          <w:rFonts w:cs="Times New Roman"/>
        </w:rPr>
        <w:t>making when they experience time pressure</w:t>
      </w:r>
      <w:r>
        <w:rPr>
          <w:rFonts w:cs="Times New Roman"/>
        </w:rPr>
        <w:fldChar w:fldCharType="begin" w:fldLock="1"/>
      </w:r>
      <w:r w:rsidR="00AC1009">
        <w:rPr>
          <w:rFonts w:cs="Times New Roman"/>
        </w:rPr>
        <w:instrText>ADDIN CSL_CITATION { "citationItems" : [ { "id" : "ITEM-1", "itemData" : { "DOI" : "10.1002/asi", "ISBN" : "9783848215430", "ISSN" : "14923831", "PMID" : "502955140", "abstract" : "This article reviews results from a research project designed to understand the mediating influence of information technology on information behavior. During the analysis of the data, five modes of information behavior were uncovered. These provide us with a reconceptua ization of core information-seeking and search activities, as well as a fruitful opening to redevelop, augment, or complement existing models of information behavior. The findings resonate with emerging theories of decision making and judgement and illustrate the need for information behavior researchers to undertake research in differing contexts.Thework illuminates an issue of current concern for public policy: police use of information in decision-making", "author" : [ { "dropping-particle" : "", "family" : "Allen", "given" : "David", "non-dropping-particle" : "", "parse-names" : false, "suffix" : "" } ], "container-title" : "Journal of the American Society for information science and technology", "id" : "ITEM-1", "issue" : "11", "issued" : { "date-parts" : [ [ "2011" ] ] }, "page" : "2165 \u2013 2181", "title" : "Information behaviour and decision making in time-constrained practice: a dual-processing perspective", "type" : "article-journal", "volume" : "62" }, "uris" : [ "http://www.mendeley.com/documents/?uuid=38ea03ea-944f-412d-9204-2b202fd9a64c", "http://www.mendeley.com/documents/?uuid=058d1956-2d11-44e8-a1f8-1e8c39e5fcb8" ] } ], "mendeley" : { "formattedCitation" : "&lt;sup&gt;7&lt;/sup&gt;", "plainTextFormattedCitation" : "7", "previouslyFormattedCitation" : "&lt;sup&gt;7&lt;/sup&gt;" }, "properties" : { "noteIndex" : 0 }, "schema" : "https://github.com/citation-style-language/schema/raw/master/csl-citation.json" }</w:instrText>
      </w:r>
      <w:r>
        <w:rPr>
          <w:rFonts w:cs="Times New Roman"/>
        </w:rPr>
        <w:fldChar w:fldCharType="separate"/>
      </w:r>
      <w:r w:rsidR="00D852B3" w:rsidRPr="00D852B3">
        <w:rPr>
          <w:rFonts w:cs="Times New Roman"/>
          <w:noProof/>
          <w:vertAlign w:val="superscript"/>
        </w:rPr>
        <w:t>7</w:t>
      </w:r>
      <w:r>
        <w:rPr>
          <w:rFonts w:cs="Times New Roman"/>
        </w:rPr>
        <w:fldChar w:fldCharType="end"/>
      </w:r>
      <w:r w:rsidR="00470EF8">
        <w:rPr>
          <w:rFonts w:cs="Times New Roman"/>
        </w:rPr>
        <w:t>. Indeed,</w:t>
      </w:r>
      <w:r>
        <w:rPr>
          <w:rFonts w:cs="Times New Roman"/>
        </w:rPr>
        <w:t xml:space="preserve"> the time taken to locate and access primary literature was the most common reason given by conservation management-plan compliers for not using this evidence</w:t>
      </w:r>
      <w:r>
        <w:rPr>
          <w:rFonts w:cs="Times New Roman"/>
        </w:rPr>
        <w:fldChar w:fldCharType="begin" w:fldLock="1"/>
      </w:r>
      <w:r w:rsidR="00AC1009">
        <w:rPr>
          <w:rFonts w:cs="Times New Roman"/>
        </w:rPr>
        <w:instrText>ADDIN CSL_CITATION { "citationItems" : [ { "id" : "ITEM-1", "itemData" : { "DOI" : "10.1016/j.biocon.2003.11.007", "ISBN" : "0006-3207", "ISSN" : "00063207", "PMID" : "2815", "abstract" : "Conservation involves making decisions on appropriate action from a wide range of options. For conservation to be effective, decision-makers need to know what actions do and do not work. Ideally, decisions should be based on effectiveness as demonstrated by scientific experiment or systematic review of evidence. Can decision-makers get this kind of information? We undertook a formal assessment of the extent to which scientific evidence is being used in conservation practice by conducting a survey of management plans and their compilers from major conservation organizations within the UK. Data collected suggest that the majority of conservation actions remain experience-based and rely heavily on traditional land management practices because, many management interventions remain unevaluated and, although some evidence exists, much is not readily accessible in a suitable form. We argue that nature conservation along with other fields of applied ecology, should exploit the concept of evidence-based practice developed and used in medicine and public health that aims to provide the best available evidence to the decision-maker(s) on the likely outcomes of alternative actions. Through critical evaluation, we present the challenges and benefits of adopting evidence based practice from the decision-makers point of view and identify the process to be followed to make it work. ?? 2003 Elsevier Ltd. All rights reserved.", "author" : [ { "dropping-particle" : "", "family" : "Pullin", "given" : "Andrew S.", "non-dropping-particle" : "", "parse-names" : false, "suffix" : "" }, { "dropping-particle" : "", "family" : "Knight", "given" : "Teri M.", "non-dropping-particle" : "", "parse-names" : false, "suffix" : "" }, { "dropping-particle" : "", "family" : "Stone", "given" : "David A", "non-dropping-particle" : "", "parse-names" : false, "suffix" : "" }, { "dropping-particle" : "", "family" : "Charman", "given" : "Kevin", "non-dropping-particle" : "", "parse-names" : false, "suffix" : "" } ], "container-title" : "Biological Conservation", "id" : "ITEM-1", "issue" : "2", "issued" : { "date-parts" : [ [ "2004" ] ] }, "page" : "245-252", "title" : "Do conservation managers use scientific evidence to support their decision-making?", "type" : "article-journal", "volume" : "119" }, "uris" : [ "http://www.mendeley.com/documents/?uuid=23ee8127-5022-4fd9-863c-ab73c14d65b9" ] } ], "mendeley" : { "formattedCitation" : "&lt;sup&gt;9&lt;/sup&gt;", "plainTextFormattedCitation" : "9", "previouslyFormattedCitation" : "&lt;sup&gt;9&lt;/sup&gt;" }, "properties" : { "noteIndex" : 0 }, "schema" : "https://github.com/citation-style-language/schema/raw/master/csl-citation.json" }</w:instrText>
      </w:r>
      <w:r>
        <w:rPr>
          <w:rFonts w:cs="Times New Roman"/>
        </w:rPr>
        <w:fldChar w:fldCharType="separate"/>
      </w:r>
      <w:r w:rsidR="00D852B3" w:rsidRPr="00D852B3">
        <w:rPr>
          <w:rFonts w:cs="Times New Roman"/>
          <w:noProof/>
          <w:vertAlign w:val="superscript"/>
        </w:rPr>
        <w:t>9</w:t>
      </w:r>
      <w:r>
        <w:rPr>
          <w:rFonts w:cs="Times New Roman"/>
        </w:rPr>
        <w:fldChar w:fldCharType="end"/>
      </w:r>
      <w:r>
        <w:rPr>
          <w:rFonts w:cs="Times New Roman"/>
        </w:rPr>
        <w:t xml:space="preserve">. Although producing research summaries </w:t>
      </w:r>
      <w:r w:rsidR="00470EF8">
        <w:rPr>
          <w:rFonts w:cs="Times New Roman"/>
        </w:rPr>
        <w:t>that</w:t>
      </w:r>
      <w:r>
        <w:rPr>
          <w:rFonts w:cs="Times New Roman"/>
        </w:rPr>
        <w:t xml:space="preserve"> can be more rapidly processed reduces the time taken to gather information</w:t>
      </w:r>
      <w:r>
        <w:rPr>
          <w:rFonts w:cs="Times New Roman"/>
        </w:rPr>
        <w:fldChar w:fldCharType="begin" w:fldLock="1"/>
      </w:r>
      <w:r w:rsidR="00D852B3">
        <w:rPr>
          <w:rFonts w:cs="Times New Roman"/>
        </w:rPr>
        <w:instrText>ADDIN CSL_CITATION { "citationItems" : [ { "id" : "ITEM-1", "itemData" : { "DOI" : "10.1016/j.tree.2004.03.018", "author" : [ { "dropping-particle" : "", "family" : "Sutherland", "given" : "William J", "non-dropping-particle" : "", "parse-names" : false, "suffix" : "" }, { "dropping-particle" : "", "family" : "Pullin", "given" : "Andrew S", "non-dropping-particle" : "", "parse-names" : false, "suffix" : "" }, { "dropping-particle" : "", "family" : "Dolman", "given" : "Paul M", "non-dropping-particle" : "", "parse-names" : false, "suffix" : "" }, { "dropping-particle" : "", "family" : "Knight", "given" : "Teri M", "non-dropping-particle" : "", "parse-names" : false, "suffix" : "" } ], "container-title" : "Trends in ecology &amp; evolution", "id" : "ITEM-1", "issue" : "6", "issued" : { "date-parts" : [ [ "2004" ] ] }, "page" : "4-7", "title" : "The need for evidence-based conservation", "type" : "article-journal", "volume" : "19" }, "uris" : [ "http://www.mendeley.com/documents/?uuid=e83c04a5-d78b-44d1-835d-c0fdf961b028" ] } ], "mendeley" : { "formattedCitation" : "&lt;sup&gt;1&lt;/sup&gt;", "plainTextFormattedCitation" : "1", "previouslyFormattedCitation" : "&lt;sup&gt;1&lt;/sup&gt;" }, "properties" : { "noteIndex" : 0 }, "schema" : "https://github.com/citation-style-language/schema/raw/master/csl-citation.json" }</w:instrText>
      </w:r>
      <w:r>
        <w:rPr>
          <w:rFonts w:cs="Times New Roman"/>
        </w:rPr>
        <w:fldChar w:fldCharType="separate"/>
      </w:r>
      <w:r w:rsidR="00D852B3" w:rsidRPr="00D852B3">
        <w:rPr>
          <w:rFonts w:cs="Times New Roman"/>
          <w:noProof/>
          <w:vertAlign w:val="superscript"/>
        </w:rPr>
        <w:t>1</w:t>
      </w:r>
      <w:r>
        <w:rPr>
          <w:rFonts w:cs="Times New Roman"/>
        </w:rPr>
        <w:fldChar w:fldCharType="end"/>
      </w:r>
      <w:r>
        <w:rPr>
          <w:rFonts w:cs="Times New Roman"/>
        </w:rPr>
        <w:t>, this time reduction still relies on people using type II decision</w:t>
      </w:r>
      <w:r w:rsidR="00470EF8">
        <w:rPr>
          <w:rFonts w:cs="Times New Roman"/>
        </w:rPr>
        <w:t xml:space="preserve"> </w:t>
      </w:r>
      <w:r>
        <w:rPr>
          <w:rFonts w:cs="Times New Roman"/>
        </w:rPr>
        <w:t xml:space="preserve">making, which may not </w:t>
      </w:r>
      <w:r w:rsidR="00FC38AE">
        <w:rPr>
          <w:rFonts w:cs="Times New Roman"/>
        </w:rPr>
        <w:t>happen</w:t>
      </w:r>
      <w:r w:rsidR="00DC4682">
        <w:rPr>
          <w:rFonts w:cs="Times New Roman"/>
        </w:rPr>
        <w:t>, particularly</w:t>
      </w:r>
      <w:r>
        <w:rPr>
          <w:rFonts w:cs="Times New Roman"/>
        </w:rPr>
        <w:t xml:space="preserve"> if they are under extreme time pressure.</w:t>
      </w:r>
    </w:p>
    <w:p w14:paraId="4566E414" w14:textId="77777777" w:rsidR="00DF2D48" w:rsidRDefault="00DF2D48" w:rsidP="00D76226">
      <w:pPr>
        <w:spacing w:after="0"/>
        <w:rPr>
          <w:rFonts w:cs="Times New Roman"/>
        </w:rPr>
      </w:pPr>
    </w:p>
    <w:p w14:paraId="5DB8F827" w14:textId="494F5E6A" w:rsidR="00030FA8" w:rsidRDefault="00FC38AE" w:rsidP="00D76226">
      <w:pPr>
        <w:spacing w:after="0"/>
        <w:rPr>
          <w:rFonts w:cs="Times New Roman"/>
        </w:rPr>
      </w:pPr>
      <w:r>
        <w:rPr>
          <w:rFonts w:cs="Times New Roman"/>
        </w:rPr>
        <w:t>A</w:t>
      </w:r>
      <w:r w:rsidR="003F367E">
        <w:rPr>
          <w:rFonts w:cs="Times New Roman"/>
        </w:rPr>
        <w:t>t</w:t>
      </w:r>
      <w:r w:rsidR="00FC000D" w:rsidRPr="00935CC0">
        <w:rPr>
          <w:rFonts w:cs="Times New Roman"/>
        </w:rPr>
        <w:t xml:space="preserve"> first glance, </w:t>
      </w:r>
      <w:r w:rsidR="00FC000D">
        <w:rPr>
          <w:rFonts w:cs="Times New Roman"/>
        </w:rPr>
        <w:t>type</w:t>
      </w:r>
      <w:r w:rsidR="00FC000D" w:rsidRPr="00935CC0">
        <w:rPr>
          <w:rFonts w:cs="Times New Roman"/>
        </w:rPr>
        <w:t xml:space="preserve"> I decision making </w:t>
      </w:r>
      <w:r>
        <w:rPr>
          <w:rFonts w:cs="Times New Roman"/>
        </w:rPr>
        <w:t xml:space="preserve">seems </w:t>
      </w:r>
      <w:r w:rsidR="00FC000D" w:rsidRPr="00935CC0">
        <w:rPr>
          <w:rFonts w:cs="Times New Roman"/>
        </w:rPr>
        <w:t xml:space="preserve">to better describe how conservation </w:t>
      </w:r>
      <w:r w:rsidR="001F45FD">
        <w:rPr>
          <w:rFonts w:cs="Times New Roman"/>
        </w:rPr>
        <w:t>professionals</w:t>
      </w:r>
      <w:r w:rsidR="00FC000D" w:rsidRPr="00935CC0">
        <w:rPr>
          <w:rFonts w:cs="Times New Roman"/>
        </w:rPr>
        <w:t xml:space="preserve"> make decisions </w:t>
      </w:r>
      <w:r w:rsidR="00FC000D" w:rsidRPr="00935CC0">
        <w:rPr>
          <w:rFonts w:cs="Times New Roman"/>
        </w:rPr>
        <w:fldChar w:fldCharType="begin" w:fldLock="1"/>
      </w:r>
      <w:r w:rsidR="00AC1009">
        <w:rPr>
          <w:rFonts w:cs="Times New Roman"/>
        </w:rPr>
        <w:instrText>ADDIN CSL_CITATION { "citationItems" : [ { "id" : "ITEM-1", "itemData" : { "DOI" : "10.1111/cobi.12370", "ISSN" : "08888892", "PMID" : "25103469", "abstract" : "A major justification of environmental management research is that it helps practitioners, yet previous studies show it is rarely used to inform their decisions. We tested whether conservation practitioners focusing on bird management were willing to use a synopsis of relevant scientific literature to inform their management decisions. This allowed us to examine whether the limited use of scientific information in management is due to a lack of access to the scientific literature or whether it is because practitioners are either not interested or unable to incorporate the research into their decisions. In on-line surveys, we asked 92 conservation managers, predominantly from Australia, New Zealand, and the United Kingdom, to provide opinions on 28 management techniques that could be applied to reduce predation on birds. We asked their opinions before and after giving them a summary of the literature about the interventions' effectiveness. We scored the overall effectiveness and certainty of evidence for each intervention through an expert elicitation process-the Delphi method. We used the effectiveness scores to assess the practitioners' level of understanding and awareness of the literature. On average, each survey participant changed their likelihood of using 45.7% of the interventions after reading the synopsis of the evidence. They were more likely to implement effective interventions and avoid ineffective actions, suggesting that their intended future management strategies may be more successful than current practice. More experienced practitioners were less likely to change their management practices than those with less experience, even though they were not more aware of the existing scientific information than less experienced practitioners. The practitioners' willingness to change their management choices when provided with summarized scientific evidence suggests that improved accessibility to scientific information would benefit conservation management outcomes. El Efecto de la Evidencia Cient\u00edfica sobre las Decisiones de Manejo de Quienes Practican la Conservaci\u00f3n Walsh, Dicks &amp; Sutherland.", "author" : [ { "dropping-particle" : "", "family" : "Walsh", "given" : "Jessica C.", "non-dropping-particle" : "", "parse-names" : false, "suffix" : "" }, { "dropping-particle" : "V.", "family" : "Dicks", "given" : "Lynn", "non-dropping-particle" : "", "parse-names" : false, "suffix" : "" }, { "dropping-particle" : "", "family" : "Sutherland", "given" : "William J.", "non-dropping-particle" : "", "parse-names" : false, "suffix" : "" } ], "container-title" : "Conservation Biology", "id" : "ITEM-1", "issue" : "1", "issued" : { "date-parts" : [ [ "2014" ] ] }, "page" : "88-98", "title" : "The effect of scientific evidence on conservation practitioners' management decisions", "type" : "article-journal", "volume" : "29" }, "uris" : [ "http://www.mendeley.com/documents/?uuid=a1a4dc15-4ab6-4e0a-b789-fc1b34caacd6" ] }, { "id" : "ITEM-2", "itemData" : { "DOI" : "10.1111/j.1523-1739.2005.00287.x", "ISBN" : "0888-8892", "ISSN" : "08888892", "abstract" : "http://dx.doi.org/10.1111/j.1523-1739.2005.00287.x", "author" : [ { "dropping-particle" : "", "family" : "Pullin", "given" : "Andrew S.", "non-dropping-particle" : "", "parse-names" : false, "suffix" : "" }, { "dropping-particle" : "", "family" : "Knight", "given" : "Teri M.", "non-dropping-particle" : "", "parse-names" : false, "suffix" : "" } ], "container-title" : "Conservation Biology", "id" : "ITEM-2", "issue" : "6", "issued" : { "date-parts" : [ [ "2005" ] ] }, "page" : "1989-1996", "title" : "Assessing conservation management's evidence base: A survey of management-plan compilers in the United Kingdom and Australia", "type" : "article-journal", "volume" : "19" }, "uris" : [ "http://www.mendeley.com/documents/?uuid=b70817b9-e2e7-4a65-9739-8c780054d929" ] }, { "id" : "ITEM-3", "itemData" : { "DOI" : "10.1016/j.biocon.2003.11.007", "ISBN" : "0006-3207", "ISSN" : "00063207", "PMID" : "2815", "abstract" : "Conservation involves making decisions on appropriate action from a wide range of options. For conservation to be effective, decision-makers need to know what actions do and do not work. Ideally, decisions should be based on effectiveness as demonstrated by scientific experiment or systematic review of evidence. Can decision-makers get this kind of information? We undertook a formal assessment of the extent to which scientific evidence is being used in conservation practice by conducting a survey of management plans and their compilers from major conservation organizations within the UK. Data collected suggest that the majority of conservation actions remain experience-based and rely heavily on traditional land management practices because, many management interventions remain unevaluated and, although some evidence exists, much is not readily accessible in a suitable form. We argue that nature conservation along with other fields of applied ecology, should exploit the concept of evidence-based practice developed and used in medicine and public health that aims to provide the best available evidence to the decision-maker(s) on the likely outcomes of alternative actions. Through critical evaluation, we present the challenges and benefits of adopting evidence based practice from the decision-makers point of view and identify the process to be followed to make it work. ?? 2003 Elsevier Ltd. All rights reserved.", "author" : [ { "dropping-particle" : "", "family" : "Pullin", "given" : "Andrew S.", "non-dropping-particle" : "", "parse-names" : false, "suffix" : "" }, { "dropping-particle" : "", "family" : "Knight", "given" : "Teri M.", "non-dropping-particle" : "", "parse-names" : false, "suffix" : "" }, { "dropping-particle" : "", "family" : "Stone", "given" : "David A", "non-dropping-particle" : "", "parse-names" : false, "suffix" : "" }, { "dropping-particle" : "", "family" : "Charman", "given" : "Kevin", "non-dropping-particle" : "", "parse-names" : false, "suffix" : "" } ], "container-title" : "Biological Conservation", "id" : "ITEM-3", "issue" : "2", "issued" : { "date-parts" : [ [ "2004" ] ] }, "page" : "245-252", "title" : "Do conservation managers use scientific evidence to support their decision-making?", "type" : "article-journal", "volume" : "119" }, "uris" : [ "http://www.mendeley.com/documents/?uuid=23ee8127-5022-4fd9-863c-ab73c14d65b9" ] }, { "id" : "ITEM-4", "itemData" : { "author" : [ { "dropping-particle" : "", "family" : "Cook", "given" : "Carly N", "non-dropping-particle" : "", "parse-names" : false, "suffix" : "" }, { "dropping-particle" : "", "family" : "Wardell-Johnson", "given" : "Grant", "non-dropping-particle" : "", "parse-names" : false, "suffix" : "" }, { "dropping-particle" : "", "family" : "Carter", "given" : "R W", "non-dropping-particle" : "", "parse-names" : false, "suffix" : "" }, { "dropping-particle" : "", "family" : "Hockings", "given" : "Marc", "non-dropping-particle" : "", "parse-names" : false, "suffix" : "" } ], "id" : "ITEM-4", "issue" : "2", "issued" : { "date-parts" : [ [ "2014" ] ] }, "title" : "How accurate is the local ecological knowledge of protected area practitioners?", "type" : "article-journal", "volume" : "19" }, "uris" : [ "http://www.mendeley.com/documents/?uuid=2d14b203-1a3e-4586-8101-2c427d38a795" ] } ], "mendeley" : { "formattedCitation" : "&lt;sup&gt;9\u201312&lt;/sup&gt;", "plainTextFormattedCitation" : "9\u201312", "previouslyFormattedCitation" : "&lt;sup&gt;9\u201312&lt;/sup&gt;" }, "properties" : { "noteIndex" : 0 }, "schema" : "https://github.com/citation-style-language/schema/raw/master/csl-citation.json" }</w:instrText>
      </w:r>
      <w:r w:rsidR="00FC000D" w:rsidRPr="00935CC0">
        <w:rPr>
          <w:rFonts w:cs="Times New Roman"/>
        </w:rPr>
        <w:fldChar w:fldCharType="separate"/>
      </w:r>
      <w:r w:rsidR="00D852B3" w:rsidRPr="00D852B3">
        <w:rPr>
          <w:rFonts w:cs="Times New Roman"/>
          <w:noProof/>
          <w:vertAlign w:val="superscript"/>
        </w:rPr>
        <w:t>9–12</w:t>
      </w:r>
      <w:r w:rsidR="00FC000D" w:rsidRPr="00935CC0">
        <w:rPr>
          <w:rFonts w:cs="Times New Roman"/>
        </w:rPr>
        <w:fldChar w:fldCharType="end"/>
      </w:r>
      <w:r>
        <w:rPr>
          <w:rFonts w:cs="Times New Roman"/>
        </w:rPr>
        <w:t>. But</w:t>
      </w:r>
      <w:r w:rsidR="00FC000D">
        <w:rPr>
          <w:rFonts w:cs="Times New Roman"/>
        </w:rPr>
        <w:t xml:space="preserve"> c</w:t>
      </w:r>
      <w:r w:rsidR="00FC000D" w:rsidRPr="00967998">
        <w:rPr>
          <w:rFonts w:cs="Times New Roman"/>
        </w:rPr>
        <w:t xml:space="preserve">onservation </w:t>
      </w:r>
      <w:r w:rsidR="00470EF8">
        <w:rPr>
          <w:rFonts w:cs="Times New Roman"/>
        </w:rPr>
        <w:t>professionals</w:t>
      </w:r>
      <w:r w:rsidR="00FC000D" w:rsidRPr="00967998">
        <w:rPr>
          <w:rFonts w:cs="Times New Roman"/>
        </w:rPr>
        <w:t xml:space="preserve"> do use both</w:t>
      </w:r>
      <w:r w:rsidR="00FC000D">
        <w:rPr>
          <w:rFonts w:cs="Times New Roman"/>
        </w:rPr>
        <w:t xml:space="preserve"> experiential and scientific knowledge to support</w:t>
      </w:r>
      <w:r w:rsidR="00FC000D" w:rsidRPr="00967998">
        <w:rPr>
          <w:rFonts w:cs="Times New Roman"/>
        </w:rPr>
        <w:t xml:space="preserve"> </w:t>
      </w:r>
      <w:r w:rsidR="001F45FD">
        <w:rPr>
          <w:rFonts w:cs="Times New Roman"/>
        </w:rPr>
        <w:t xml:space="preserve">their </w:t>
      </w:r>
      <w:r w:rsidR="00FC000D" w:rsidRPr="00967998">
        <w:rPr>
          <w:rFonts w:cs="Times New Roman"/>
        </w:rPr>
        <w:t>decision</w:t>
      </w:r>
      <w:r w:rsidR="001F45FD">
        <w:rPr>
          <w:rFonts w:cs="Times New Roman"/>
        </w:rPr>
        <w:t>s</w:t>
      </w:r>
      <w:r w:rsidR="00FC000D">
        <w:rPr>
          <w:rFonts w:cs="Times New Roman"/>
        </w:rPr>
        <w:fldChar w:fldCharType="begin" w:fldLock="1"/>
      </w:r>
      <w:r w:rsidR="00AC1009">
        <w:rPr>
          <w:rFonts w:cs="Times New Roman"/>
        </w:rPr>
        <w:instrText>ADDIN CSL_CITATION { "citationItems" : [ { "id" : "ITEM-1", "itemData" : { "DOI" : "10.1017/S037689290600275X", "author" : [ { "dropping-particle" : "", "family" : "Fazey", "given" : "Ioan", "non-dropping-particle" : "", "parse-names" : false, "suffix" : "" }, { "dropping-particle" : "", "family" : "Fazey", "given" : "John A", "non-dropping-particle" : "", "parse-names" : false, "suffix" : "" }, { "dropping-particle" : "", "family" : "Salisbury", "given" : "Janet G", "non-dropping-particle" : "", "parse-names" : false, "suffix" : "" }, { "dropping-particle" : "", "family" : "Lindenmayer", "given" : "David B", "non-dropping-particle" : "", "parse-names" : false, "suffix" : "" }, { "dropping-particle" : "", "family" : "Dovers", "given" : "Steve", "non-dropping-particle" : "", "parse-names" : false, "suffix" : "" } ], "container-title" : "Environmental Conservation", "id" : "ITEM-1", "issue" : "1", "issued" : { "date-parts" : [ [ "2006" ] ] }, "page" : "1-10", "title" : "The nature and role of experiential knowledge for environmental conservation", "type" : "article-journal", "volume" : "33" }, "uris" : [ "http://www.mendeley.com/documents/?uuid=4372791c-dddd-467f-b3e6-e125573ec0ad", "http://www.mendeley.com/documents/?uuid=05568530-90b5-4c01-9d6b-64be998dff63" ] } ], "mendeley" : { "formattedCitation" : "&lt;sup&gt;13&lt;/sup&gt;", "plainTextFormattedCitation" : "13", "previouslyFormattedCitation" : "&lt;sup&gt;13&lt;/sup&gt;" }, "properties" : { "noteIndex" : 0 }, "schema" : "https://github.com/citation-style-language/schema/raw/master/csl-citation.json" }</w:instrText>
      </w:r>
      <w:r w:rsidR="00FC000D">
        <w:rPr>
          <w:rFonts w:cs="Times New Roman"/>
        </w:rPr>
        <w:fldChar w:fldCharType="separate"/>
      </w:r>
      <w:r w:rsidR="00D852B3" w:rsidRPr="00D852B3">
        <w:rPr>
          <w:rFonts w:cs="Times New Roman"/>
          <w:noProof/>
          <w:vertAlign w:val="superscript"/>
        </w:rPr>
        <w:t>13</w:t>
      </w:r>
      <w:r w:rsidR="00FC000D">
        <w:rPr>
          <w:rFonts w:cs="Times New Roman"/>
        </w:rPr>
        <w:fldChar w:fldCharType="end"/>
      </w:r>
      <w:r w:rsidR="003F367E">
        <w:rPr>
          <w:rFonts w:cs="Times New Roman"/>
        </w:rPr>
        <w:t>.</w:t>
      </w:r>
      <w:r w:rsidR="003F367E" w:rsidRPr="003F367E">
        <w:rPr>
          <w:rFonts w:cs="Times New Roman"/>
        </w:rPr>
        <w:t xml:space="preserve"> </w:t>
      </w:r>
      <w:r w:rsidR="00B24A82" w:rsidRPr="00024728">
        <w:rPr>
          <w:rFonts w:cs="Times New Roman"/>
        </w:rPr>
        <w:t xml:space="preserve">Understanding the contexts in which each type of decision making </w:t>
      </w:r>
      <w:r w:rsidR="001F45FD">
        <w:rPr>
          <w:rFonts w:cs="Times New Roman"/>
        </w:rPr>
        <w:t>occurs</w:t>
      </w:r>
      <w:r w:rsidR="00B24A82" w:rsidRPr="00024728">
        <w:rPr>
          <w:rFonts w:cs="Times New Roman"/>
        </w:rPr>
        <w:t xml:space="preserve"> </w:t>
      </w:r>
      <w:r w:rsidR="00470EF8">
        <w:rPr>
          <w:rFonts w:cs="Times New Roman"/>
        </w:rPr>
        <w:lastRenderedPageBreak/>
        <w:t>is important</w:t>
      </w:r>
      <w:r w:rsidR="00B24A82" w:rsidRPr="00024728">
        <w:rPr>
          <w:rFonts w:cs="Times New Roman"/>
        </w:rPr>
        <w:t>.</w:t>
      </w:r>
      <w:r w:rsidR="00D01FF4" w:rsidRPr="00024728">
        <w:rPr>
          <w:rFonts w:cs="Times New Roman"/>
        </w:rPr>
        <w:t xml:space="preserve"> </w:t>
      </w:r>
      <w:r w:rsidR="00030FA8">
        <w:rPr>
          <w:rFonts w:cs="Times New Roman"/>
        </w:rPr>
        <w:t xml:space="preserve">For example, </w:t>
      </w:r>
      <w:r w:rsidR="00EE66F8">
        <w:rPr>
          <w:rFonts w:cs="Times New Roman"/>
        </w:rPr>
        <w:t>experts are more likely to use</w:t>
      </w:r>
      <w:r w:rsidR="00E3701E">
        <w:rPr>
          <w:rFonts w:cs="Times New Roman"/>
        </w:rPr>
        <w:t xml:space="preserve"> intuitive,</w:t>
      </w:r>
      <w:r w:rsidR="00EE66F8">
        <w:rPr>
          <w:rFonts w:cs="Times New Roman"/>
        </w:rPr>
        <w:t xml:space="preserve"> type I decision</w:t>
      </w:r>
      <w:r w:rsidR="001F45FD">
        <w:rPr>
          <w:rFonts w:cs="Times New Roman"/>
        </w:rPr>
        <w:t xml:space="preserve"> </w:t>
      </w:r>
      <w:r w:rsidR="00EE66F8">
        <w:rPr>
          <w:rFonts w:cs="Times New Roman"/>
        </w:rPr>
        <w:t>making</w:t>
      </w:r>
      <w:r w:rsidR="00EE66F8">
        <w:rPr>
          <w:rFonts w:cs="Times New Roman"/>
        </w:rPr>
        <w:fldChar w:fldCharType="begin" w:fldLock="1"/>
      </w:r>
      <w:r w:rsidR="00AC1009">
        <w:rPr>
          <w:rFonts w:cs="Times New Roman"/>
        </w:rPr>
        <w:instrText>ADDIN CSL_CITATION { "citationItems" : [ { "id" : "ITEM-1", "itemData" : { "DOI" : "10.1177/0149206309350084", "ISBN" : "0149-2063", "ISSN" : "0149-2063", "abstract" : "expert (or knowledge-based) intuition can be acquired through experience (Salas et al. 2010, S. 966).", "author" : [ { "dropping-particle" : "", "family" : "Salas", "given" : "E.", "non-dropping-particle" : "", "parse-names" : false, "suffix" : "" }, { "dropping-particle" : "", "family" : "Rosen", "given" : "M. A.", "non-dropping-particle" : "", "parse-names" : false, "suffix" : "" }, { "dropping-particle" : "", "family" : "DiazGranados", "given" : "D.", "non-dropping-particle" : "", "parse-names" : false, "suffix" : "" } ], "container-title" : "Journal of Management", "id" : "ITEM-1", "issue" : "4", "issued" : { "date-parts" : [ [ "2010" ] ] }, "page" : "941-973", "title" : "Expertise-Based Intuition and Decision Making in Organizations", "type" : "article-journal", "volume" : "36" }, "uris" : [ "http://www.mendeley.com/documents/?uuid=7b793531-e076-4273-9d90-0982918b4711" ] } ], "mendeley" : { "formattedCitation" : "&lt;sup&gt;14&lt;/sup&gt;", "plainTextFormattedCitation" : "14", "previouslyFormattedCitation" : "&lt;sup&gt;14&lt;/sup&gt;" }, "properties" : { "noteIndex" : 0 }, "schema" : "https://github.com/citation-style-language/schema/raw/master/csl-citation.json" }</w:instrText>
      </w:r>
      <w:r w:rsidR="00EE66F8">
        <w:rPr>
          <w:rFonts w:cs="Times New Roman"/>
        </w:rPr>
        <w:fldChar w:fldCharType="separate"/>
      </w:r>
      <w:r w:rsidR="00D852B3" w:rsidRPr="00D852B3">
        <w:rPr>
          <w:rFonts w:cs="Times New Roman"/>
          <w:noProof/>
          <w:vertAlign w:val="superscript"/>
        </w:rPr>
        <w:t>14</w:t>
      </w:r>
      <w:r w:rsidR="00EE66F8">
        <w:rPr>
          <w:rFonts w:cs="Times New Roman"/>
        </w:rPr>
        <w:fldChar w:fldCharType="end"/>
      </w:r>
      <w:r w:rsidR="00EE66F8">
        <w:rPr>
          <w:rFonts w:cs="Times New Roman"/>
        </w:rPr>
        <w:t>. This suggests that younger professionals</w:t>
      </w:r>
      <w:r w:rsidR="00030FA8">
        <w:rPr>
          <w:rFonts w:cs="Times New Roman"/>
        </w:rPr>
        <w:t>, or those who move into a new area (whether geographically or conceptually)</w:t>
      </w:r>
      <w:r w:rsidR="001F45FD">
        <w:rPr>
          <w:rFonts w:cs="Times New Roman"/>
        </w:rPr>
        <w:t>,</w:t>
      </w:r>
      <w:r w:rsidR="007A7EF2">
        <w:rPr>
          <w:rFonts w:cs="Times New Roman"/>
        </w:rPr>
        <w:t xml:space="preserve"> are more likely to </w:t>
      </w:r>
      <w:r w:rsidR="00E3701E">
        <w:rPr>
          <w:rFonts w:cs="Times New Roman"/>
        </w:rPr>
        <w:t>use</w:t>
      </w:r>
      <w:r w:rsidR="007A7EF2">
        <w:rPr>
          <w:rFonts w:cs="Times New Roman"/>
        </w:rPr>
        <w:t xml:space="preserve"> t</w:t>
      </w:r>
      <w:r w:rsidR="00EE66F8">
        <w:rPr>
          <w:rFonts w:cs="Times New Roman"/>
        </w:rPr>
        <w:t xml:space="preserve">ype II decision making, </w:t>
      </w:r>
      <w:r w:rsidR="00E3701E">
        <w:rPr>
          <w:rFonts w:cs="Times New Roman"/>
        </w:rPr>
        <w:t>and</w:t>
      </w:r>
      <w:r w:rsidR="00EE66F8">
        <w:rPr>
          <w:rFonts w:cs="Times New Roman"/>
        </w:rPr>
        <w:t xml:space="preserve"> thus more likely to search for information. </w:t>
      </w:r>
      <w:r w:rsidR="00E3701E">
        <w:rPr>
          <w:rFonts w:cs="Times New Roman"/>
        </w:rPr>
        <w:t>T</w:t>
      </w:r>
      <w:r w:rsidR="00267D22">
        <w:rPr>
          <w:rFonts w:cs="Times New Roman"/>
        </w:rPr>
        <w:t>his</w:t>
      </w:r>
      <w:r w:rsidR="00E3701E">
        <w:rPr>
          <w:rFonts w:cs="Times New Roman"/>
        </w:rPr>
        <w:t xml:space="preserve"> idea</w:t>
      </w:r>
      <w:r w:rsidR="00267D22">
        <w:rPr>
          <w:rFonts w:cs="Times New Roman"/>
        </w:rPr>
        <w:t xml:space="preserve"> </w:t>
      </w:r>
      <w:r w:rsidR="00B06908">
        <w:rPr>
          <w:rFonts w:cs="Times New Roman"/>
        </w:rPr>
        <w:t>is supported by the increased use of scientific papers by less</w:t>
      </w:r>
      <w:r w:rsidR="00E3701E">
        <w:rPr>
          <w:rFonts w:cs="Times New Roman"/>
        </w:rPr>
        <w:t>-</w:t>
      </w:r>
      <w:r w:rsidR="00B06908">
        <w:rPr>
          <w:rFonts w:cs="Times New Roman"/>
        </w:rPr>
        <w:t>experienced Australian management-plan compliers</w:t>
      </w:r>
      <w:r w:rsidR="00B06908">
        <w:rPr>
          <w:rFonts w:cs="Times New Roman"/>
        </w:rPr>
        <w:fldChar w:fldCharType="begin" w:fldLock="1"/>
      </w:r>
      <w:r w:rsidR="00AC1009">
        <w:rPr>
          <w:rFonts w:cs="Times New Roman"/>
        </w:rPr>
        <w:instrText>ADDIN CSL_CITATION { "citationItems" : [ { "id" : "ITEM-1", "itemData" : { "DOI" : "10.1111/j.1523-1739.2005.00287.x", "ISBN" : "0888-8892", "ISSN" : "08888892", "abstract" : "http://dx.doi.org/10.1111/j.1523-1739.2005.00287.x", "author" : [ { "dropping-particle" : "", "family" : "Pullin", "given" : "Andrew S.", "non-dropping-particle" : "", "parse-names" : false, "suffix" : "" }, { "dropping-particle" : "", "family" : "Knight", "given" : "Teri M.", "non-dropping-particle" : "", "parse-names" : false, "suffix" : "" } ], "container-title" : "Conservation Biology", "id" : "ITEM-1", "issue" : "6", "issued" : { "date-parts" : [ [ "2005" ] ] }, "page" : "1989-1996", "title" : "Assessing conservation management's evidence base: A survey of management-plan compilers in the United Kingdom and Australia", "type" : "article-journal", "volume" : "19" }, "uris" : [ "http://www.mendeley.com/documents/?uuid=b70817b9-e2e7-4a65-9739-8c780054d929" ] } ], "mendeley" : { "formattedCitation" : "&lt;sup&gt;11&lt;/sup&gt;", "plainTextFormattedCitation" : "11", "previouslyFormattedCitation" : "&lt;sup&gt;11&lt;/sup&gt;" }, "properties" : { "noteIndex" : 0 }, "schema" : "https://github.com/citation-style-language/schema/raw/master/csl-citation.json" }</w:instrText>
      </w:r>
      <w:r w:rsidR="00B06908">
        <w:rPr>
          <w:rFonts w:cs="Times New Roman"/>
        </w:rPr>
        <w:fldChar w:fldCharType="separate"/>
      </w:r>
      <w:r w:rsidR="00D852B3" w:rsidRPr="00D852B3">
        <w:rPr>
          <w:rFonts w:cs="Times New Roman"/>
          <w:noProof/>
          <w:vertAlign w:val="superscript"/>
        </w:rPr>
        <w:t>11</w:t>
      </w:r>
      <w:r w:rsidR="00B06908">
        <w:rPr>
          <w:rFonts w:cs="Times New Roman"/>
        </w:rPr>
        <w:fldChar w:fldCharType="end"/>
      </w:r>
      <w:r w:rsidR="00B06908">
        <w:rPr>
          <w:rFonts w:cs="Times New Roman"/>
        </w:rPr>
        <w:t>.</w:t>
      </w:r>
      <w:r w:rsidR="00267D22">
        <w:rPr>
          <w:rFonts w:cs="Times New Roman"/>
        </w:rPr>
        <w:t xml:space="preserve"> </w:t>
      </w:r>
      <w:r w:rsidR="00030FA8">
        <w:rPr>
          <w:rFonts w:cs="Times New Roman"/>
        </w:rPr>
        <w:t>Therefore, d</w:t>
      </w:r>
      <w:r w:rsidR="00EE66F8">
        <w:rPr>
          <w:rFonts w:cs="Times New Roman"/>
        </w:rPr>
        <w:t xml:space="preserve">esigning undergraduate courses </w:t>
      </w:r>
      <w:r w:rsidR="00030FA8">
        <w:rPr>
          <w:rFonts w:cs="Times New Roman"/>
        </w:rPr>
        <w:t>which include information on how to locate and evaluate conservation evidence, and including similar information in training courses or job inductions, is one way to use our understanding of the psychology of decision</w:t>
      </w:r>
      <w:r w:rsidR="001F45FD">
        <w:rPr>
          <w:rFonts w:cs="Times New Roman"/>
        </w:rPr>
        <w:t xml:space="preserve"> </w:t>
      </w:r>
      <w:r w:rsidR="00030FA8">
        <w:rPr>
          <w:rFonts w:cs="Times New Roman"/>
        </w:rPr>
        <w:t xml:space="preserve">making </w:t>
      </w:r>
      <w:r w:rsidR="00E3701E">
        <w:rPr>
          <w:rFonts w:cs="Times New Roman"/>
        </w:rPr>
        <w:t>to</w:t>
      </w:r>
      <w:r w:rsidR="001F45FD">
        <w:rPr>
          <w:rFonts w:cs="Times New Roman"/>
        </w:rPr>
        <w:t xml:space="preserve"> further conservation practice</w:t>
      </w:r>
      <w:r w:rsidR="00EE66F8">
        <w:rPr>
          <w:rFonts w:cs="Times New Roman"/>
        </w:rPr>
        <w:t xml:space="preserve">. </w:t>
      </w:r>
    </w:p>
    <w:p w14:paraId="1748B3B3" w14:textId="77777777" w:rsidR="00DF2D48" w:rsidRDefault="00DF2D48" w:rsidP="00D76226">
      <w:pPr>
        <w:spacing w:after="0"/>
        <w:rPr>
          <w:rFonts w:cs="Times New Roman"/>
        </w:rPr>
      </w:pPr>
    </w:p>
    <w:p w14:paraId="20D2C70C" w14:textId="5F0C6365" w:rsidR="001F45FD" w:rsidRDefault="00030FA8" w:rsidP="00D76226">
      <w:pPr>
        <w:spacing w:after="0"/>
        <w:rPr>
          <w:rFonts w:cs="Times New Roman"/>
        </w:rPr>
      </w:pPr>
      <w:r>
        <w:rPr>
          <w:rFonts w:cs="Times New Roman"/>
        </w:rPr>
        <w:t xml:space="preserve">In addition to </w:t>
      </w:r>
      <w:r w:rsidR="007A7EF2">
        <w:rPr>
          <w:rFonts w:cs="Times New Roman"/>
        </w:rPr>
        <w:t>ensuring</w:t>
      </w:r>
      <w:r w:rsidR="00470EF8">
        <w:rPr>
          <w:rFonts w:cs="Times New Roman"/>
        </w:rPr>
        <w:t xml:space="preserve"> that</w:t>
      </w:r>
      <w:r w:rsidR="007A7EF2">
        <w:rPr>
          <w:rFonts w:cs="Times New Roman"/>
        </w:rPr>
        <w:t xml:space="preserve"> </w:t>
      </w:r>
      <w:r>
        <w:rPr>
          <w:rFonts w:cs="Times New Roman"/>
        </w:rPr>
        <w:t xml:space="preserve">research </w:t>
      </w:r>
      <w:r w:rsidR="007A7EF2">
        <w:rPr>
          <w:rFonts w:cs="Times New Roman"/>
        </w:rPr>
        <w:t>i</w:t>
      </w:r>
      <w:r w:rsidR="00E3701E">
        <w:rPr>
          <w:rFonts w:cs="Times New Roman"/>
        </w:rPr>
        <w:t>s</w:t>
      </w:r>
      <w:r w:rsidR="007A7EF2">
        <w:rPr>
          <w:rFonts w:cs="Times New Roman"/>
        </w:rPr>
        <w:t xml:space="preserve"> accessible in</w:t>
      </w:r>
      <w:r w:rsidR="00470EF8">
        <w:rPr>
          <w:rFonts w:cs="Times New Roman"/>
        </w:rPr>
        <w:t xml:space="preserve"> the</w:t>
      </w:r>
      <w:r>
        <w:rPr>
          <w:rFonts w:cs="Times New Roman"/>
        </w:rPr>
        <w:t xml:space="preserve"> decision-making contexts </w:t>
      </w:r>
      <w:r w:rsidR="00E3701E">
        <w:rPr>
          <w:rFonts w:cs="Times New Roman"/>
        </w:rPr>
        <w:t xml:space="preserve">in which </w:t>
      </w:r>
      <w:r>
        <w:rPr>
          <w:rFonts w:cs="Times New Roman"/>
        </w:rPr>
        <w:t>it</w:t>
      </w:r>
      <w:r w:rsidR="00E3701E">
        <w:rPr>
          <w:rFonts w:cs="Times New Roman"/>
        </w:rPr>
        <w:t xml:space="preserve"> i</w:t>
      </w:r>
      <w:r>
        <w:rPr>
          <w:rFonts w:cs="Times New Roman"/>
        </w:rPr>
        <w:t xml:space="preserve">s likely to be used, </w:t>
      </w:r>
      <w:r w:rsidR="00470EF8">
        <w:rPr>
          <w:rFonts w:cs="Times New Roman"/>
        </w:rPr>
        <w:t>we should</w:t>
      </w:r>
      <w:r>
        <w:rPr>
          <w:rFonts w:cs="Times New Roman"/>
        </w:rPr>
        <w:t xml:space="preserve"> try and understand the </w:t>
      </w:r>
      <w:r w:rsidR="001F45FD">
        <w:rPr>
          <w:rFonts w:cs="Times New Roman"/>
        </w:rPr>
        <w:t>situations</w:t>
      </w:r>
      <w:r>
        <w:rPr>
          <w:rFonts w:cs="Times New Roman"/>
        </w:rPr>
        <w:t xml:space="preserve"> when type I or type II decision</w:t>
      </w:r>
      <w:r w:rsidR="001F45FD">
        <w:rPr>
          <w:rFonts w:cs="Times New Roman"/>
        </w:rPr>
        <w:t xml:space="preserve"> </w:t>
      </w:r>
      <w:r>
        <w:rPr>
          <w:rFonts w:cs="Times New Roman"/>
        </w:rPr>
        <w:t xml:space="preserve">making might lead to better conservation outcomes. </w:t>
      </w:r>
      <w:r w:rsidR="0020456A">
        <w:rPr>
          <w:rFonts w:cs="Times New Roman"/>
        </w:rPr>
        <w:t>As mentioned above, expertise is associated with type I decision</w:t>
      </w:r>
      <w:r w:rsidR="001F45FD">
        <w:rPr>
          <w:rFonts w:cs="Times New Roman"/>
        </w:rPr>
        <w:t xml:space="preserve"> </w:t>
      </w:r>
      <w:r w:rsidR="0020456A">
        <w:rPr>
          <w:rFonts w:cs="Times New Roman"/>
        </w:rPr>
        <w:t xml:space="preserve">making. </w:t>
      </w:r>
      <w:r>
        <w:rPr>
          <w:rFonts w:cs="Times New Roman"/>
        </w:rPr>
        <w:t xml:space="preserve">In </w:t>
      </w:r>
      <w:r w:rsidR="0020456A">
        <w:rPr>
          <w:rFonts w:cs="Times New Roman"/>
        </w:rPr>
        <w:t xml:space="preserve">one example of </w:t>
      </w:r>
      <w:r w:rsidR="001F45FD">
        <w:rPr>
          <w:rFonts w:cs="Times New Roman"/>
        </w:rPr>
        <w:t xml:space="preserve">this among </w:t>
      </w:r>
      <w:r w:rsidR="0020456A">
        <w:rPr>
          <w:rFonts w:cs="Times New Roman"/>
        </w:rPr>
        <w:t>conservation professionals</w:t>
      </w:r>
      <w:r>
        <w:rPr>
          <w:rFonts w:cs="Times New Roman"/>
        </w:rPr>
        <w:t xml:space="preserve">, </w:t>
      </w:r>
      <w:r w:rsidR="0020456A">
        <w:rPr>
          <w:rFonts w:cs="Times New Roman"/>
        </w:rPr>
        <w:t>practitioners at the</w:t>
      </w:r>
      <w:r w:rsidR="001F45FD">
        <w:rPr>
          <w:rFonts w:cs="Times New Roman"/>
        </w:rPr>
        <w:t xml:space="preserve"> </w:t>
      </w:r>
      <w:r w:rsidR="0020456A">
        <w:rPr>
          <w:rFonts w:cs="Times New Roman"/>
        </w:rPr>
        <w:t>Office of Environment and Heritage</w:t>
      </w:r>
      <w:r w:rsidR="001F45FD">
        <w:rPr>
          <w:rFonts w:cs="Times New Roman"/>
        </w:rPr>
        <w:t xml:space="preserve"> in New South Wales, Australia,</w:t>
      </w:r>
      <w:r>
        <w:rPr>
          <w:rFonts w:cs="Times New Roman"/>
        </w:rPr>
        <w:t xml:space="preserve"> gave assessments </w:t>
      </w:r>
      <w:r w:rsidR="0020456A">
        <w:rPr>
          <w:rFonts w:cs="Times New Roman"/>
        </w:rPr>
        <w:t xml:space="preserve">of vegetation condition in a protected area </w:t>
      </w:r>
      <w:r w:rsidR="001F45FD">
        <w:rPr>
          <w:rFonts w:cs="Times New Roman"/>
        </w:rPr>
        <w:t>that</w:t>
      </w:r>
      <w:r>
        <w:rPr>
          <w:rFonts w:cs="Times New Roman"/>
        </w:rPr>
        <w:t xml:space="preserve"> were considered comparable to a quantitative assessment which depended</w:t>
      </w:r>
      <w:r w:rsidR="001F45FD">
        <w:rPr>
          <w:rFonts w:cs="Times New Roman"/>
        </w:rPr>
        <w:t xml:space="preserve"> on</w:t>
      </w:r>
      <w:r>
        <w:rPr>
          <w:rFonts w:cs="Times New Roman"/>
        </w:rPr>
        <w:t xml:space="preserve"> more time</w:t>
      </w:r>
      <w:r w:rsidR="001F45FD">
        <w:rPr>
          <w:rFonts w:cs="Times New Roman"/>
        </w:rPr>
        <w:t>-</w:t>
      </w:r>
      <w:r>
        <w:rPr>
          <w:rFonts w:cs="Times New Roman"/>
        </w:rPr>
        <w:t>intensive collection of primary data</w:t>
      </w:r>
      <w:r w:rsidR="0020456A">
        <w:rPr>
          <w:rFonts w:cs="Times New Roman"/>
        </w:rPr>
        <w:fldChar w:fldCharType="begin" w:fldLock="1"/>
      </w:r>
      <w:r w:rsidR="00AC1009">
        <w:rPr>
          <w:rFonts w:cs="Times New Roman"/>
        </w:rPr>
        <w:instrText>ADDIN CSL_CITATION { "citationItems" : [ { "id" : "ITEM-1", "itemData" : { "author" : [ { "dropping-particle" : "", "family" : "Cook", "given" : "Carly N", "non-dropping-particle" : "", "parse-names" : false, "suffix" : "" }, { "dropping-particle" : "", "family" : "Wardell-Johnson", "given" : "Grant", "non-dropping-particle" : "", "parse-names" : false, "suffix" : "" }, { "dropping-particle" : "", "family" : "Carter", "given" : "R W", "non-dropping-particle" : "", "parse-names" : false, "suffix" : "" }, { "dropping-particle" : "", "family" : "Hockings", "given" : "Marc", "non-dropping-particle" : "", "parse-names" : false, "suffix" : "" } ], "id" : "ITEM-1", "issue" : "2", "issued" : { "date-parts" : [ [ "2014" ] ] }, "title" : "How accurate is the local ecological knowledge of protected area practitioners?", "type" : "article-journal", "volume" : "19" }, "uris" : [ "http://www.mendeley.com/documents/?uuid=2d14b203-1a3e-4586-8101-2c427d38a795" ] } ], "mendeley" : { "formattedCitation" : "&lt;sup&gt;12&lt;/sup&gt;", "plainTextFormattedCitation" : "12", "previouslyFormattedCitation" : "&lt;sup&gt;12&lt;/sup&gt;" }, "properties" : { "noteIndex" : 0 }, "schema" : "https://github.com/citation-style-language/schema/raw/master/csl-citation.json" }</w:instrText>
      </w:r>
      <w:r w:rsidR="0020456A">
        <w:rPr>
          <w:rFonts w:cs="Times New Roman"/>
        </w:rPr>
        <w:fldChar w:fldCharType="separate"/>
      </w:r>
      <w:r w:rsidR="00D852B3" w:rsidRPr="00D852B3">
        <w:rPr>
          <w:rFonts w:cs="Times New Roman"/>
          <w:noProof/>
          <w:vertAlign w:val="superscript"/>
        </w:rPr>
        <w:t>12</w:t>
      </w:r>
      <w:r w:rsidR="0020456A">
        <w:rPr>
          <w:rFonts w:cs="Times New Roman"/>
        </w:rPr>
        <w:fldChar w:fldCharType="end"/>
      </w:r>
      <w:r>
        <w:rPr>
          <w:rFonts w:cs="Times New Roman"/>
        </w:rPr>
        <w:t xml:space="preserve">. </w:t>
      </w:r>
      <w:r w:rsidR="0020456A">
        <w:rPr>
          <w:rFonts w:cs="Times New Roman"/>
        </w:rPr>
        <w:t xml:space="preserve">They produced these assessments even though most only had access to personal experience. </w:t>
      </w:r>
      <w:r>
        <w:rPr>
          <w:rFonts w:cs="Times New Roman"/>
        </w:rPr>
        <w:t xml:space="preserve">In this context, if vegetation condition was being assessed to determine whether mitigation were necessary, producing additional information and moving from type I to type II decision making would </w:t>
      </w:r>
      <w:r w:rsidRPr="0020456A">
        <w:rPr>
          <w:rFonts w:cs="Times New Roman"/>
        </w:rPr>
        <w:t>not necessarily produce a superior decision.</w:t>
      </w:r>
      <w:r w:rsidR="0020456A" w:rsidRPr="0020456A">
        <w:rPr>
          <w:rFonts w:cs="Times New Roman"/>
        </w:rPr>
        <w:t xml:space="preserve"> The importance of expertise is already recognised in conservation science</w:t>
      </w:r>
      <w:r w:rsidR="0020456A" w:rsidRPr="0020456A">
        <w:rPr>
          <w:rFonts w:cs="Times New Roman"/>
        </w:rPr>
        <w:fldChar w:fldCharType="begin" w:fldLock="1"/>
      </w:r>
      <w:r w:rsidR="00AC1009">
        <w:rPr>
          <w:rFonts w:cs="Times New Roman"/>
        </w:rPr>
        <w:instrText>ADDIN CSL_CITATION { "citationItems" : [ { "id" : "ITEM-1", "itemData" : { "DOI" : "10.1111/j.1523-1739.2011.01806.x", "ISSN" : "1523-1739", "PMID" : "22280323", "abstract" : "Expert knowledge is used widely in the science and practice of conservation because of the complexity of problems, relative lack of data, and the imminent nature of many conservation decisions. Expert knowledge is substantive information on a particular topic that is not widely known by others. An expert is someone who holds this knowledge and who is often deferred to in its interpretation. We refer to predictions by experts of what may happen in a particular context as expert judgments. In general, an expert-elicitation approach consists of five steps: deciding how information will be used, determining what to elicit, designing the elicitation process, performing the elicitation, and translating the elicited information into quantitative statements that can be used in a model or directly to make decisions. This last step is known as encoding. Some of the considerations in eliciting expert knowledge include determining how to work with multiple experts and how to combine multiple judgments, minimizing bias in the elicited information, and verifying the accuracy of expert information. We highlight structured elicitation techniques that, if adopted, will improve the accuracy and information content of expert judgment and ensure uncertainty is captured accurately. We suggest four aspects of an expert elicitation exercise be examined to determine its comprehensiveness and effectiveness: study design and context, elicitation design, elicitation method, and elicitation output. Just as the reliability of empirical data depends on the rigor with which it was acquired so too does that of expert knowledge.", "author" : [ { "dropping-particle" : "", "family" : "Martin", "given" : "Tara G", "non-dropping-particle" : "", "parse-names" : false, "suffix" : "" }, { "dropping-particle" : "", "family" : "Burgman", "given" : "Mark a", "non-dropping-particle" : "", "parse-names" : false, "suffix" : "" }, { "dropping-particle" : "", "family" : "Fidler", "given" : "Fiona", "non-dropping-particle" : "", "parse-names" : false, "suffix" : "" }, { "dropping-particle" : "", "family" : "Kuhnert", "given" : "Petra M", "non-dropping-particle" : "", "parse-names" : false, "suffix" : "" }, { "dropping-particle" : "", "family" : "Low-Choy", "given" : "Samantha", "non-dropping-particle" : "", "parse-names" : false, "suffix" : "" }, { "dropping-particle" : "", "family" : "McBride", "given" : "Marissa", "non-dropping-particle" : "", "parse-names" : false, "suffix" : "" }, { "dropping-particle" : "", "family" : "Mengersen", "given" : "Kerrie", "non-dropping-particle" : "", "parse-names" : false, "suffix" : "" } ], "container-title" : "Conservation biology : the journal of the Society for Conservation Biology", "id" : "ITEM-1", "issue" : "1", "issued" : { "date-parts" : [ [ "2012", "2" ] ] }, "page" : "29-38", "title" : "Eliciting expert knowledge in conservation science.", "type" : "article-journal", "volume" : "26" }, "uris" : [ "http://www.mendeley.com/documents/?uuid=7b728271-629a-4498-8be5-776b9b35dd7b" ] } ], "mendeley" : { "formattedCitation" : "&lt;sup&gt;15&lt;/sup&gt;", "plainTextFormattedCitation" : "15", "previouslyFormattedCitation" : "&lt;sup&gt;15&lt;/sup&gt;" }, "properties" : { "noteIndex" : 0 }, "schema" : "https://github.com/citation-style-language/schema/raw/master/csl-citation.json" }</w:instrText>
      </w:r>
      <w:r w:rsidR="0020456A" w:rsidRPr="0020456A">
        <w:rPr>
          <w:rFonts w:cs="Times New Roman"/>
        </w:rPr>
        <w:fldChar w:fldCharType="separate"/>
      </w:r>
      <w:r w:rsidR="00D852B3" w:rsidRPr="00D852B3">
        <w:rPr>
          <w:rFonts w:cs="Times New Roman"/>
          <w:noProof/>
          <w:vertAlign w:val="superscript"/>
        </w:rPr>
        <w:t>15</w:t>
      </w:r>
      <w:r w:rsidR="0020456A" w:rsidRPr="0020456A">
        <w:rPr>
          <w:rFonts w:cs="Times New Roman"/>
        </w:rPr>
        <w:fldChar w:fldCharType="end"/>
      </w:r>
      <w:r w:rsidR="0020456A" w:rsidRPr="0020456A">
        <w:rPr>
          <w:rFonts w:cs="Times New Roman"/>
        </w:rPr>
        <w:t xml:space="preserve">, but by recognising </w:t>
      </w:r>
      <w:r w:rsidR="007A7EF2" w:rsidRPr="0020456A">
        <w:rPr>
          <w:rFonts w:cs="Times New Roman"/>
        </w:rPr>
        <w:t>contexts</w:t>
      </w:r>
      <w:r w:rsidR="007A7EF2">
        <w:rPr>
          <w:rFonts w:cs="Times New Roman"/>
        </w:rPr>
        <w:t xml:space="preserve"> when</w:t>
      </w:r>
      <w:r w:rsidR="001F45FD">
        <w:rPr>
          <w:rFonts w:cs="Times New Roman"/>
        </w:rPr>
        <w:t xml:space="preserve"> intuitive,</w:t>
      </w:r>
      <w:r w:rsidR="007A7EF2">
        <w:rPr>
          <w:rFonts w:cs="Times New Roman"/>
        </w:rPr>
        <w:t xml:space="preserve"> type I</w:t>
      </w:r>
      <w:r w:rsidR="00DC4682">
        <w:rPr>
          <w:rFonts w:cs="Times New Roman"/>
        </w:rPr>
        <w:t xml:space="preserve"> </w:t>
      </w:r>
      <w:r w:rsidR="007A7EF2">
        <w:rPr>
          <w:rFonts w:cs="Times New Roman"/>
        </w:rPr>
        <w:t>decision</w:t>
      </w:r>
      <w:r w:rsidR="001F45FD">
        <w:rPr>
          <w:rFonts w:cs="Times New Roman"/>
        </w:rPr>
        <w:t xml:space="preserve"> </w:t>
      </w:r>
      <w:r w:rsidR="007A7EF2">
        <w:rPr>
          <w:rFonts w:cs="Times New Roman"/>
        </w:rPr>
        <w:t xml:space="preserve">making produces equal or better conservation outcomes, we can focus on producing research </w:t>
      </w:r>
      <w:r w:rsidR="0020456A">
        <w:rPr>
          <w:rFonts w:cs="Times New Roman"/>
        </w:rPr>
        <w:t>and supporting type II decision</w:t>
      </w:r>
      <w:r w:rsidR="001F45FD">
        <w:rPr>
          <w:rFonts w:cs="Times New Roman"/>
        </w:rPr>
        <w:t xml:space="preserve"> </w:t>
      </w:r>
      <w:r w:rsidR="0020456A">
        <w:rPr>
          <w:rFonts w:cs="Times New Roman"/>
        </w:rPr>
        <w:t>making in other contexts.</w:t>
      </w:r>
      <w:r w:rsidR="00DC4682">
        <w:rPr>
          <w:rFonts w:cs="Times New Roman"/>
        </w:rPr>
        <w:t xml:space="preserve"> </w:t>
      </w:r>
    </w:p>
    <w:p w14:paraId="5B22AB19" w14:textId="77777777" w:rsidR="00DF2D48" w:rsidRDefault="00DF2D48" w:rsidP="00D76226">
      <w:pPr>
        <w:spacing w:after="0"/>
        <w:rPr>
          <w:b/>
        </w:rPr>
      </w:pPr>
    </w:p>
    <w:p w14:paraId="5E121ADC" w14:textId="0F891396" w:rsidR="00DF2D48" w:rsidRDefault="00DF2D48" w:rsidP="00DF2D48">
      <w:pPr>
        <w:spacing w:after="0"/>
      </w:pPr>
      <w:r w:rsidRPr="00D4619F">
        <w:rPr>
          <w:b/>
        </w:rPr>
        <w:t>Sarah Papworth</w:t>
      </w:r>
      <w:r>
        <w:rPr>
          <w:b/>
        </w:rPr>
        <w:t xml:space="preserve"> </w:t>
      </w:r>
      <w:r w:rsidRPr="00D76226">
        <w:t>is in the</w:t>
      </w:r>
      <w:r>
        <w:rPr>
          <w:b/>
        </w:rPr>
        <w:t xml:space="preserve"> </w:t>
      </w:r>
      <w:r w:rsidRPr="00935CC0">
        <w:t>School of Biological Sciences, Royal Holloway University of London</w:t>
      </w:r>
      <w:bookmarkStart w:id="0" w:name="_GoBack"/>
      <w:r w:rsidR="00603191">
        <w:t xml:space="preserve">, </w:t>
      </w:r>
      <w:bookmarkEnd w:id="0"/>
      <w:r w:rsidRPr="00935CC0">
        <w:t>Egham, TW20 0EX</w:t>
      </w:r>
      <w:r>
        <w:t xml:space="preserve">, UK. </w:t>
      </w:r>
    </w:p>
    <w:p w14:paraId="39105239" w14:textId="67C0B69F" w:rsidR="00DF2D48" w:rsidRDefault="00DF2D48" w:rsidP="00DF2D48">
      <w:pPr>
        <w:spacing w:after="0"/>
      </w:pPr>
      <w:r>
        <w:t xml:space="preserve">e-mail: </w:t>
      </w:r>
      <w:hyperlink r:id="rId5" w:history="1">
        <w:r w:rsidR="00126D76" w:rsidRPr="00696C75">
          <w:rPr>
            <w:rStyle w:val="Hyperlink"/>
          </w:rPr>
          <w:t>sarah.papworth@rhul.ac.uk</w:t>
        </w:r>
      </w:hyperlink>
    </w:p>
    <w:p w14:paraId="6E02A46A" w14:textId="77777777" w:rsidR="00126D76" w:rsidRDefault="00126D76" w:rsidP="00DF2D48">
      <w:pPr>
        <w:spacing w:after="0"/>
      </w:pPr>
    </w:p>
    <w:p w14:paraId="3C6CB564" w14:textId="77777777" w:rsidR="00DF2D48" w:rsidRDefault="00DF2D48" w:rsidP="00D76226">
      <w:pPr>
        <w:spacing w:after="0"/>
        <w:rPr>
          <w:b/>
        </w:rPr>
      </w:pPr>
    </w:p>
    <w:p w14:paraId="730706C6" w14:textId="68213186" w:rsidR="00AC1009" w:rsidRPr="00AC1009" w:rsidRDefault="0070427A">
      <w:pPr>
        <w:pStyle w:val="NormalWeb"/>
        <w:ind w:left="640" w:hanging="640"/>
        <w:divId w:val="2035105513"/>
        <w:rPr>
          <w:rFonts w:ascii="Calibri" w:eastAsiaTheme="minorEastAsia" w:hAnsi="Calibri"/>
          <w:noProof/>
          <w:sz w:val="22"/>
        </w:rPr>
      </w:pPr>
      <w:r w:rsidRPr="00935CC0">
        <w:rPr>
          <w:b/>
        </w:rPr>
        <w:fldChar w:fldCharType="begin" w:fldLock="1"/>
      </w:r>
      <w:r w:rsidRPr="00935CC0">
        <w:rPr>
          <w:b/>
        </w:rPr>
        <w:instrText xml:space="preserve">ADDIN Mendeley Bibliography CSL_BIBLIOGRAPHY </w:instrText>
      </w:r>
      <w:r w:rsidRPr="00935CC0">
        <w:rPr>
          <w:b/>
        </w:rPr>
        <w:fldChar w:fldCharType="separate"/>
      </w:r>
      <w:r w:rsidR="00AC1009" w:rsidRPr="00AC1009">
        <w:rPr>
          <w:rFonts w:ascii="Calibri" w:hAnsi="Calibri"/>
          <w:noProof/>
          <w:sz w:val="22"/>
        </w:rPr>
        <w:t>1.</w:t>
      </w:r>
      <w:r w:rsidR="00AC1009" w:rsidRPr="00AC1009">
        <w:rPr>
          <w:rFonts w:ascii="Calibri" w:hAnsi="Calibri"/>
          <w:noProof/>
          <w:sz w:val="22"/>
        </w:rPr>
        <w:tab/>
        <w:t xml:space="preserve">Sutherland, W. J., Pullin, A. S., Dolman, P. M. &amp; Knight, T. M. The need for evidence-based conservation. </w:t>
      </w:r>
      <w:r w:rsidR="00AC1009" w:rsidRPr="00AC1009">
        <w:rPr>
          <w:rFonts w:ascii="Calibri" w:hAnsi="Calibri"/>
          <w:i/>
          <w:iCs/>
          <w:noProof/>
          <w:sz w:val="22"/>
        </w:rPr>
        <w:t>Trends Ecol. Evol.</w:t>
      </w:r>
      <w:r w:rsidR="00AC1009" w:rsidRPr="00AC1009">
        <w:rPr>
          <w:rFonts w:ascii="Calibri" w:hAnsi="Calibri"/>
          <w:noProof/>
          <w:sz w:val="22"/>
        </w:rPr>
        <w:t xml:space="preserve"> </w:t>
      </w:r>
      <w:r w:rsidR="00AC1009" w:rsidRPr="00AC1009">
        <w:rPr>
          <w:rFonts w:ascii="Calibri" w:hAnsi="Calibri"/>
          <w:b/>
          <w:bCs/>
          <w:noProof/>
          <w:sz w:val="22"/>
        </w:rPr>
        <w:t>19,</w:t>
      </w:r>
      <w:r w:rsidR="00AC1009" w:rsidRPr="00AC1009">
        <w:rPr>
          <w:rFonts w:ascii="Calibri" w:hAnsi="Calibri"/>
          <w:noProof/>
          <w:sz w:val="22"/>
        </w:rPr>
        <w:t xml:space="preserve"> 4–7 (2004).</w:t>
      </w:r>
    </w:p>
    <w:p w14:paraId="6F9BD808"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2.</w:t>
      </w:r>
      <w:r w:rsidRPr="00AC1009">
        <w:rPr>
          <w:rFonts w:ascii="Calibri" w:hAnsi="Calibri"/>
          <w:noProof/>
          <w:sz w:val="22"/>
        </w:rPr>
        <w:tab/>
        <w:t xml:space="preserve">Kørnøv, L. &amp; Thissen, W. Rationality in decision- and policy-making: implications for strategic environmental assessment. </w:t>
      </w:r>
      <w:r w:rsidRPr="00AC1009">
        <w:rPr>
          <w:rFonts w:ascii="Calibri" w:hAnsi="Calibri"/>
          <w:i/>
          <w:iCs/>
          <w:noProof/>
          <w:sz w:val="22"/>
        </w:rPr>
        <w:t>Impact Assess. Proj. Apprais.</w:t>
      </w:r>
      <w:r w:rsidRPr="00AC1009">
        <w:rPr>
          <w:rFonts w:ascii="Calibri" w:hAnsi="Calibri"/>
          <w:noProof/>
          <w:sz w:val="22"/>
        </w:rPr>
        <w:t xml:space="preserve"> </w:t>
      </w:r>
      <w:r w:rsidRPr="00AC1009">
        <w:rPr>
          <w:rFonts w:ascii="Calibri" w:hAnsi="Calibri"/>
          <w:b/>
          <w:bCs/>
          <w:noProof/>
          <w:sz w:val="22"/>
        </w:rPr>
        <w:t>18,</w:t>
      </w:r>
      <w:r w:rsidRPr="00AC1009">
        <w:rPr>
          <w:rFonts w:ascii="Calibri" w:hAnsi="Calibri"/>
          <w:noProof/>
          <w:sz w:val="22"/>
        </w:rPr>
        <w:t xml:space="preserve"> 191–200 (2000).</w:t>
      </w:r>
    </w:p>
    <w:p w14:paraId="48BB9FB8"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3.</w:t>
      </w:r>
      <w:r w:rsidRPr="00AC1009">
        <w:rPr>
          <w:rFonts w:ascii="Calibri" w:hAnsi="Calibri"/>
          <w:noProof/>
          <w:sz w:val="22"/>
        </w:rPr>
        <w:tab/>
        <w:t xml:space="preserve">Meek, M. H. </w:t>
      </w:r>
      <w:r w:rsidRPr="00AC1009">
        <w:rPr>
          <w:rFonts w:ascii="Calibri" w:hAnsi="Calibri"/>
          <w:i/>
          <w:iCs/>
          <w:noProof/>
          <w:sz w:val="22"/>
        </w:rPr>
        <w:t>et al.</w:t>
      </w:r>
      <w:r w:rsidRPr="00AC1009">
        <w:rPr>
          <w:rFonts w:ascii="Calibri" w:hAnsi="Calibri"/>
          <w:noProof/>
          <w:sz w:val="22"/>
        </w:rPr>
        <w:t xml:space="preserve"> Fear of failure in conservation: The problem and potential solutions to aid conservation of extremely small populations. </w:t>
      </w:r>
      <w:r w:rsidRPr="00AC1009">
        <w:rPr>
          <w:rFonts w:ascii="Calibri" w:hAnsi="Calibri"/>
          <w:i/>
          <w:iCs/>
          <w:noProof/>
          <w:sz w:val="22"/>
        </w:rPr>
        <w:t>Biol. Conserv.</w:t>
      </w:r>
      <w:r w:rsidRPr="00AC1009">
        <w:rPr>
          <w:rFonts w:ascii="Calibri" w:hAnsi="Calibri"/>
          <w:noProof/>
          <w:sz w:val="22"/>
        </w:rPr>
        <w:t xml:space="preserve"> </w:t>
      </w:r>
      <w:r w:rsidRPr="00AC1009">
        <w:rPr>
          <w:rFonts w:ascii="Calibri" w:hAnsi="Calibri"/>
          <w:b/>
          <w:bCs/>
          <w:noProof/>
          <w:sz w:val="22"/>
        </w:rPr>
        <w:t>184,</w:t>
      </w:r>
      <w:r w:rsidRPr="00AC1009">
        <w:rPr>
          <w:rFonts w:ascii="Calibri" w:hAnsi="Calibri"/>
          <w:noProof/>
          <w:sz w:val="22"/>
        </w:rPr>
        <w:t xml:space="preserve"> 209–217 (2015).</w:t>
      </w:r>
    </w:p>
    <w:p w14:paraId="60EB3693"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4.</w:t>
      </w:r>
      <w:r w:rsidRPr="00AC1009">
        <w:rPr>
          <w:rFonts w:ascii="Calibri" w:hAnsi="Calibri"/>
          <w:noProof/>
          <w:sz w:val="22"/>
        </w:rPr>
        <w:tab/>
        <w:t xml:space="preserve">Osbaldiston, R. Synthesizing the experiments and theories of conservation psychology. </w:t>
      </w:r>
      <w:r w:rsidRPr="00AC1009">
        <w:rPr>
          <w:rFonts w:ascii="Calibri" w:hAnsi="Calibri"/>
          <w:i/>
          <w:iCs/>
          <w:noProof/>
          <w:sz w:val="22"/>
        </w:rPr>
        <w:t>Sustainability</w:t>
      </w:r>
      <w:r w:rsidRPr="00AC1009">
        <w:rPr>
          <w:rFonts w:ascii="Calibri" w:hAnsi="Calibri"/>
          <w:noProof/>
          <w:sz w:val="22"/>
        </w:rPr>
        <w:t xml:space="preserve"> </w:t>
      </w:r>
      <w:r w:rsidRPr="00AC1009">
        <w:rPr>
          <w:rFonts w:ascii="Calibri" w:hAnsi="Calibri"/>
          <w:b/>
          <w:bCs/>
          <w:noProof/>
          <w:sz w:val="22"/>
        </w:rPr>
        <w:t>5,</w:t>
      </w:r>
      <w:r w:rsidRPr="00AC1009">
        <w:rPr>
          <w:rFonts w:ascii="Calibri" w:hAnsi="Calibri"/>
          <w:noProof/>
          <w:sz w:val="22"/>
        </w:rPr>
        <w:t xml:space="preserve"> 2770–2795 (2013).</w:t>
      </w:r>
    </w:p>
    <w:p w14:paraId="3A999259"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5.</w:t>
      </w:r>
      <w:r w:rsidRPr="00AC1009">
        <w:rPr>
          <w:rFonts w:ascii="Calibri" w:hAnsi="Calibri"/>
          <w:noProof/>
          <w:sz w:val="22"/>
        </w:rPr>
        <w:tab/>
        <w:t xml:space="preserve">Clayton, S. &amp; Myers, G. </w:t>
      </w:r>
      <w:r w:rsidRPr="00AC1009">
        <w:rPr>
          <w:rFonts w:ascii="Calibri" w:hAnsi="Calibri"/>
          <w:i/>
          <w:iCs/>
          <w:noProof/>
          <w:sz w:val="22"/>
        </w:rPr>
        <w:t>Conservation psychology: understanding and promoting human care for nature</w:t>
      </w:r>
      <w:r w:rsidRPr="00AC1009">
        <w:rPr>
          <w:rFonts w:ascii="Calibri" w:hAnsi="Calibri"/>
          <w:noProof/>
          <w:sz w:val="22"/>
        </w:rPr>
        <w:t>. 325 (John Wiley &amp; Sons Ltd, 2015).</w:t>
      </w:r>
    </w:p>
    <w:p w14:paraId="30903E38"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6.</w:t>
      </w:r>
      <w:r w:rsidRPr="00AC1009">
        <w:rPr>
          <w:rFonts w:ascii="Calibri" w:hAnsi="Calibri"/>
          <w:noProof/>
          <w:sz w:val="22"/>
        </w:rPr>
        <w:tab/>
        <w:t xml:space="preserve">Evans, J. S. B. T. Dual-processing accounts of reasoning, judgment, and social cognition. </w:t>
      </w:r>
      <w:r w:rsidRPr="00AC1009">
        <w:rPr>
          <w:rFonts w:ascii="Calibri" w:hAnsi="Calibri"/>
          <w:i/>
          <w:iCs/>
          <w:noProof/>
          <w:sz w:val="22"/>
        </w:rPr>
        <w:t>Annu. Rev. Psychol.</w:t>
      </w:r>
      <w:r w:rsidRPr="00AC1009">
        <w:rPr>
          <w:rFonts w:ascii="Calibri" w:hAnsi="Calibri"/>
          <w:noProof/>
          <w:sz w:val="22"/>
        </w:rPr>
        <w:t xml:space="preserve"> </w:t>
      </w:r>
      <w:r w:rsidRPr="00AC1009">
        <w:rPr>
          <w:rFonts w:ascii="Calibri" w:hAnsi="Calibri"/>
          <w:b/>
          <w:bCs/>
          <w:noProof/>
          <w:sz w:val="22"/>
        </w:rPr>
        <w:t>59,</w:t>
      </w:r>
      <w:r w:rsidRPr="00AC1009">
        <w:rPr>
          <w:rFonts w:ascii="Calibri" w:hAnsi="Calibri"/>
          <w:noProof/>
          <w:sz w:val="22"/>
        </w:rPr>
        <w:t xml:space="preserve"> 255–278 (2008).</w:t>
      </w:r>
    </w:p>
    <w:p w14:paraId="28AFB4AD"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7.</w:t>
      </w:r>
      <w:r w:rsidRPr="00AC1009">
        <w:rPr>
          <w:rFonts w:ascii="Calibri" w:hAnsi="Calibri"/>
          <w:noProof/>
          <w:sz w:val="22"/>
        </w:rPr>
        <w:tab/>
        <w:t xml:space="preserve">Allen, D. Information behaviour and decision making in time-constrained practice: a dual-processing perspective. </w:t>
      </w:r>
      <w:r w:rsidRPr="00AC1009">
        <w:rPr>
          <w:rFonts w:ascii="Calibri" w:hAnsi="Calibri"/>
          <w:i/>
          <w:iCs/>
          <w:noProof/>
          <w:sz w:val="22"/>
        </w:rPr>
        <w:t>J. Am. Soc. Inf. Sci. Technol.</w:t>
      </w:r>
      <w:r w:rsidRPr="00AC1009">
        <w:rPr>
          <w:rFonts w:ascii="Calibri" w:hAnsi="Calibri"/>
          <w:noProof/>
          <w:sz w:val="22"/>
        </w:rPr>
        <w:t xml:space="preserve"> </w:t>
      </w:r>
      <w:r w:rsidRPr="00AC1009">
        <w:rPr>
          <w:rFonts w:ascii="Calibri" w:hAnsi="Calibri"/>
          <w:b/>
          <w:bCs/>
          <w:noProof/>
          <w:sz w:val="22"/>
        </w:rPr>
        <w:t>62,</w:t>
      </w:r>
      <w:r w:rsidRPr="00AC1009">
        <w:rPr>
          <w:rFonts w:ascii="Calibri" w:hAnsi="Calibri"/>
          <w:noProof/>
          <w:sz w:val="22"/>
        </w:rPr>
        <w:t xml:space="preserve"> 2165 – 2181 (2011).</w:t>
      </w:r>
    </w:p>
    <w:p w14:paraId="77B30B83"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8.</w:t>
      </w:r>
      <w:r w:rsidRPr="00AC1009">
        <w:rPr>
          <w:rFonts w:ascii="Calibri" w:hAnsi="Calibri"/>
          <w:noProof/>
          <w:sz w:val="22"/>
        </w:rPr>
        <w:tab/>
        <w:t xml:space="preserve">Hammond, K. R., Hamm, R. M., Grassia, J. &amp; Pearson, T. Direct comparison efficacy of intuitive &amp; analytical cognition in expert judgement. </w:t>
      </w:r>
      <w:r w:rsidRPr="00AC1009">
        <w:rPr>
          <w:rFonts w:ascii="Calibri" w:hAnsi="Calibri"/>
          <w:i/>
          <w:iCs/>
          <w:noProof/>
          <w:sz w:val="22"/>
        </w:rPr>
        <w:t>IEEE Trans. Syst. Man Cybern.</w:t>
      </w:r>
      <w:r w:rsidRPr="00AC1009">
        <w:rPr>
          <w:rFonts w:ascii="Calibri" w:hAnsi="Calibri"/>
          <w:noProof/>
          <w:sz w:val="22"/>
        </w:rPr>
        <w:t xml:space="preserve"> </w:t>
      </w:r>
      <w:r w:rsidRPr="00AC1009">
        <w:rPr>
          <w:rFonts w:ascii="Calibri" w:hAnsi="Calibri"/>
          <w:b/>
          <w:bCs/>
          <w:noProof/>
          <w:sz w:val="22"/>
        </w:rPr>
        <w:t>17,</w:t>
      </w:r>
      <w:r w:rsidRPr="00AC1009">
        <w:rPr>
          <w:rFonts w:ascii="Calibri" w:hAnsi="Calibri"/>
          <w:noProof/>
          <w:sz w:val="22"/>
        </w:rPr>
        <w:t xml:space="preserve"> 753–770 (1987).</w:t>
      </w:r>
    </w:p>
    <w:p w14:paraId="2ACDA969"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9.</w:t>
      </w:r>
      <w:r w:rsidRPr="00AC1009">
        <w:rPr>
          <w:rFonts w:ascii="Calibri" w:hAnsi="Calibri"/>
          <w:noProof/>
          <w:sz w:val="22"/>
        </w:rPr>
        <w:tab/>
        <w:t xml:space="preserve">Pullin, A. S., Knight, T. M., Stone, D. A. &amp; Charman, K. Do conservation managers use scientific evidence to support their decision-making? </w:t>
      </w:r>
      <w:r w:rsidRPr="00AC1009">
        <w:rPr>
          <w:rFonts w:ascii="Calibri" w:hAnsi="Calibri"/>
          <w:i/>
          <w:iCs/>
          <w:noProof/>
          <w:sz w:val="22"/>
        </w:rPr>
        <w:t>Biol. Conserv.</w:t>
      </w:r>
      <w:r w:rsidRPr="00AC1009">
        <w:rPr>
          <w:rFonts w:ascii="Calibri" w:hAnsi="Calibri"/>
          <w:noProof/>
          <w:sz w:val="22"/>
        </w:rPr>
        <w:t xml:space="preserve"> </w:t>
      </w:r>
      <w:r w:rsidRPr="00AC1009">
        <w:rPr>
          <w:rFonts w:ascii="Calibri" w:hAnsi="Calibri"/>
          <w:b/>
          <w:bCs/>
          <w:noProof/>
          <w:sz w:val="22"/>
        </w:rPr>
        <w:t>119,</w:t>
      </w:r>
      <w:r w:rsidRPr="00AC1009">
        <w:rPr>
          <w:rFonts w:ascii="Calibri" w:hAnsi="Calibri"/>
          <w:noProof/>
          <w:sz w:val="22"/>
        </w:rPr>
        <w:t xml:space="preserve"> 245–252 (2004).</w:t>
      </w:r>
    </w:p>
    <w:p w14:paraId="2EE8EEB2"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10.</w:t>
      </w:r>
      <w:r w:rsidRPr="00AC1009">
        <w:rPr>
          <w:rFonts w:ascii="Calibri" w:hAnsi="Calibri"/>
          <w:noProof/>
          <w:sz w:val="22"/>
        </w:rPr>
        <w:tab/>
        <w:t xml:space="preserve">Walsh, J. C., Dicks, L. V. &amp; Sutherland, W. J. The effect of scientific evidence on conservation practitioners’ management decisions. </w:t>
      </w:r>
      <w:r w:rsidRPr="00AC1009">
        <w:rPr>
          <w:rFonts w:ascii="Calibri" w:hAnsi="Calibri"/>
          <w:i/>
          <w:iCs/>
          <w:noProof/>
          <w:sz w:val="22"/>
        </w:rPr>
        <w:t>Conserv. Biol.</w:t>
      </w:r>
      <w:r w:rsidRPr="00AC1009">
        <w:rPr>
          <w:rFonts w:ascii="Calibri" w:hAnsi="Calibri"/>
          <w:noProof/>
          <w:sz w:val="22"/>
        </w:rPr>
        <w:t xml:space="preserve"> </w:t>
      </w:r>
      <w:r w:rsidRPr="00AC1009">
        <w:rPr>
          <w:rFonts w:ascii="Calibri" w:hAnsi="Calibri"/>
          <w:b/>
          <w:bCs/>
          <w:noProof/>
          <w:sz w:val="22"/>
        </w:rPr>
        <w:t>29,</w:t>
      </w:r>
      <w:r w:rsidRPr="00AC1009">
        <w:rPr>
          <w:rFonts w:ascii="Calibri" w:hAnsi="Calibri"/>
          <w:noProof/>
          <w:sz w:val="22"/>
        </w:rPr>
        <w:t xml:space="preserve"> 88–98 (2014).</w:t>
      </w:r>
    </w:p>
    <w:p w14:paraId="3919FC6E"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lastRenderedPageBreak/>
        <w:t>11.</w:t>
      </w:r>
      <w:r w:rsidRPr="00AC1009">
        <w:rPr>
          <w:rFonts w:ascii="Calibri" w:hAnsi="Calibri"/>
          <w:noProof/>
          <w:sz w:val="22"/>
        </w:rPr>
        <w:tab/>
        <w:t xml:space="preserve">Pullin, A. S. &amp; Knight, T. M. Assessing conservation management’s evidence base: A survey of management-plan compilers in the United Kingdom and Australia. </w:t>
      </w:r>
      <w:r w:rsidRPr="00AC1009">
        <w:rPr>
          <w:rFonts w:ascii="Calibri" w:hAnsi="Calibri"/>
          <w:i/>
          <w:iCs/>
          <w:noProof/>
          <w:sz w:val="22"/>
        </w:rPr>
        <w:t>Conserv. Biol.</w:t>
      </w:r>
      <w:r w:rsidRPr="00AC1009">
        <w:rPr>
          <w:rFonts w:ascii="Calibri" w:hAnsi="Calibri"/>
          <w:noProof/>
          <w:sz w:val="22"/>
        </w:rPr>
        <w:t xml:space="preserve"> </w:t>
      </w:r>
      <w:r w:rsidRPr="00AC1009">
        <w:rPr>
          <w:rFonts w:ascii="Calibri" w:hAnsi="Calibri"/>
          <w:b/>
          <w:bCs/>
          <w:noProof/>
          <w:sz w:val="22"/>
        </w:rPr>
        <w:t>19,</w:t>
      </w:r>
      <w:r w:rsidRPr="00AC1009">
        <w:rPr>
          <w:rFonts w:ascii="Calibri" w:hAnsi="Calibri"/>
          <w:noProof/>
          <w:sz w:val="22"/>
        </w:rPr>
        <w:t xml:space="preserve"> 1989–1996 (2005).</w:t>
      </w:r>
    </w:p>
    <w:p w14:paraId="34F5D2AA"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12.</w:t>
      </w:r>
      <w:r w:rsidRPr="00AC1009">
        <w:rPr>
          <w:rFonts w:ascii="Calibri" w:hAnsi="Calibri"/>
          <w:noProof/>
          <w:sz w:val="22"/>
        </w:rPr>
        <w:tab/>
        <w:t xml:space="preserve">Cook, C. N., Wardell-Johnson, G., Carter, R. W. &amp; Hockings, M. How accurate is the local ecological knowledge of protected area practitioners? </w:t>
      </w:r>
      <w:r w:rsidRPr="00AC1009">
        <w:rPr>
          <w:rFonts w:ascii="Calibri" w:hAnsi="Calibri"/>
          <w:b/>
          <w:bCs/>
          <w:noProof/>
          <w:sz w:val="22"/>
        </w:rPr>
        <w:t>19,</w:t>
      </w:r>
      <w:r w:rsidRPr="00AC1009">
        <w:rPr>
          <w:rFonts w:ascii="Calibri" w:hAnsi="Calibri"/>
          <w:noProof/>
          <w:sz w:val="22"/>
        </w:rPr>
        <w:t xml:space="preserve"> (2014).</w:t>
      </w:r>
    </w:p>
    <w:p w14:paraId="559FA144"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13.</w:t>
      </w:r>
      <w:r w:rsidRPr="00AC1009">
        <w:rPr>
          <w:rFonts w:ascii="Calibri" w:hAnsi="Calibri"/>
          <w:noProof/>
          <w:sz w:val="22"/>
        </w:rPr>
        <w:tab/>
        <w:t xml:space="preserve">Fazey, I., Fazey, J. A., Salisbury, J. G., Lindenmayer, D. B. &amp; Dovers, S. The nature and role of experiential knowledge for environmental conservation. </w:t>
      </w:r>
      <w:r w:rsidRPr="00AC1009">
        <w:rPr>
          <w:rFonts w:ascii="Calibri" w:hAnsi="Calibri"/>
          <w:i/>
          <w:iCs/>
          <w:noProof/>
          <w:sz w:val="22"/>
        </w:rPr>
        <w:t>Environ. Conserv.</w:t>
      </w:r>
      <w:r w:rsidRPr="00AC1009">
        <w:rPr>
          <w:rFonts w:ascii="Calibri" w:hAnsi="Calibri"/>
          <w:noProof/>
          <w:sz w:val="22"/>
        </w:rPr>
        <w:t xml:space="preserve"> </w:t>
      </w:r>
      <w:r w:rsidRPr="00AC1009">
        <w:rPr>
          <w:rFonts w:ascii="Calibri" w:hAnsi="Calibri"/>
          <w:b/>
          <w:bCs/>
          <w:noProof/>
          <w:sz w:val="22"/>
        </w:rPr>
        <w:t>33,</w:t>
      </w:r>
      <w:r w:rsidRPr="00AC1009">
        <w:rPr>
          <w:rFonts w:ascii="Calibri" w:hAnsi="Calibri"/>
          <w:noProof/>
          <w:sz w:val="22"/>
        </w:rPr>
        <w:t xml:space="preserve"> 1–10 (2006).</w:t>
      </w:r>
    </w:p>
    <w:p w14:paraId="67FAA1EA"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14.</w:t>
      </w:r>
      <w:r w:rsidRPr="00AC1009">
        <w:rPr>
          <w:rFonts w:ascii="Calibri" w:hAnsi="Calibri"/>
          <w:noProof/>
          <w:sz w:val="22"/>
        </w:rPr>
        <w:tab/>
        <w:t xml:space="preserve">Salas, E., Rosen, M. A. &amp; DiazGranados, D. Expertise-Based Intuition and Decision Making in Organizations. </w:t>
      </w:r>
      <w:r w:rsidRPr="00AC1009">
        <w:rPr>
          <w:rFonts w:ascii="Calibri" w:hAnsi="Calibri"/>
          <w:i/>
          <w:iCs/>
          <w:noProof/>
          <w:sz w:val="22"/>
        </w:rPr>
        <w:t>J. Manage.</w:t>
      </w:r>
      <w:r w:rsidRPr="00AC1009">
        <w:rPr>
          <w:rFonts w:ascii="Calibri" w:hAnsi="Calibri"/>
          <w:noProof/>
          <w:sz w:val="22"/>
        </w:rPr>
        <w:t xml:space="preserve"> </w:t>
      </w:r>
      <w:r w:rsidRPr="00AC1009">
        <w:rPr>
          <w:rFonts w:ascii="Calibri" w:hAnsi="Calibri"/>
          <w:b/>
          <w:bCs/>
          <w:noProof/>
          <w:sz w:val="22"/>
        </w:rPr>
        <w:t>36,</w:t>
      </w:r>
      <w:r w:rsidRPr="00AC1009">
        <w:rPr>
          <w:rFonts w:ascii="Calibri" w:hAnsi="Calibri"/>
          <w:noProof/>
          <w:sz w:val="22"/>
        </w:rPr>
        <w:t xml:space="preserve"> 941–973 (2010).</w:t>
      </w:r>
    </w:p>
    <w:p w14:paraId="152283A6" w14:textId="77777777" w:rsidR="00AC1009" w:rsidRPr="00AC1009" w:rsidRDefault="00AC1009">
      <w:pPr>
        <w:pStyle w:val="NormalWeb"/>
        <w:ind w:left="640" w:hanging="640"/>
        <w:divId w:val="2035105513"/>
        <w:rPr>
          <w:rFonts w:ascii="Calibri" w:hAnsi="Calibri"/>
          <w:noProof/>
          <w:sz w:val="22"/>
        </w:rPr>
      </w:pPr>
      <w:r w:rsidRPr="00AC1009">
        <w:rPr>
          <w:rFonts w:ascii="Calibri" w:hAnsi="Calibri"/>
          <w:noProof/>
          <w:sz w:val="22"/>
        </w:rPr>
        <w:t>15.</w:t>
      </w:r>
      <w:r w:rsidRPr="00AC1009">
        <w:rPr>
          <w:rFonts w:ascii="Calibri" w:hAnsi="Calibri"/>
          <w:noProof/>
          <w:sz w:val="22"/>
        </w:rPr>
        <w:tab/>
        <w:t xml:space="preserve">Martin, T. G. </w:t>
      </w:r>
      <w:r w:rsidRPr="00AC1009">
        <w:rPr>
          <w:rFonts w:ascii="Calibri" w:hAnsi="Calibri"/>
          <w:i/>
          <w:iCs/>
          <w:noProof/>
          <w:sz w:val="22"/>
        </w:rPr>
        <w:t>et al.</w:t>
      </w:r>
      <w:r w:rsidRPr="00AC1009">
        <w:rPr>
          <w:rFonts w:ascii="Calibri" w:hAnsi="Calibri"/>
          <w:noProof/>
          <w:sz w:val="22"/>
        </w:rPr>
        <w:t xml:space="preserve"> Eliciting expert knowledge in conservation science. </w:t>
      </w:r>
      <w:r w:rsidRPr="00AC1009">
        <w:rPr>
          <w:rFonts w:ascii="Calibri" w:hAnsi="Calibri"/>
          <w:i/>
          <w:iCs/>
          <w:noProof/>
          <w:sz w:val="22"/>
        </w:rPr>
        <w:t>Conserv. Biol.</w:t>
      </w:r>
      <w:r w:rsidRPr="00AC1009">
        <w:rPr>
          <w:rFonts w:ascii="Calibri" w:hAnsi="Calibri"/>
          <w:noProof/>
          <w:sz w:val="22"/>
        </w:rPr>
        <w:t xml:space="preserve"> </w:t>
      </w:r>
      <w:r w:rsidRPr="00AC1009">
        <w:rPr>
          <w:rFonts w:ascii="Calibri" w:hAnsi="Calibri"/>
          <w:b/>
          <w:bCs/>
          <w:noProof/>
          <w:sz w:val="22"/>
        </w:rPr>
        <w:t>26,</w:t>
      </w:r>
      <w:r w:rsidRPr="00AC1009">
        <w:rPr>
          <w:rFonts w:ascii="Calibri" w:hAnsi="Calibri"/>
          <w:noProof/>
          <w:sz w:val="22"/>
        </w:rPr>
        <w:t xml:space="preserve"> 29–38 (2012). </w:t>
      </w:r>
    </w:p>
    <w:p w14:paraId="14EF0B4C" w14:textId="48886B24" w:rsidR="0070427A" w:rsidRPr="00935CC0" w:rsidRDefault="0070427A" w:rsidP="00D852B3">
      <w:pPr>
        <w:widowControl w:val="0"/>
        <w:autoSpaceDE w:val="0"/>
        <w:autoSpaceDN w:val="0"/>
        <w:adjustRightInd w:val="0"/>
        <w:spacing w:after="0" w:line="240" w:lineRule="auto"/>
        <w:ind w:left="640" w:hanging="640"/>
        <w:rPr>
          <w:b/>
        </w:rPr>
      </w:pPr>
      <w:r w:rsidRPr="00935CC0">
        <w:rPr>
          <w:b/>
        </w:rPr>
        <w:fldChar w:fldCharType="end"/>
      </w:r>
    </w:p>
    <w:sectPr w:rsidR="0070427A" w:rsidRPr="00935CC0" w:rsidSect="00D76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D9137DD-CE28-494D-8E0E-70110773B0CC}"/>
    <w:docVar w:name="dgnword-eventsink" w:val="158940904"/>
  </w:docVars>
  <w:rsids>
    <w:rsidRoot w:val="00203475"/>
    <w:rsid w:val="00024728"/>
    <w:rsid w:val="00030FA8"/>
    <w:rsid w:val="00031A26"/>
    <w:rsid w:val="000C274E"/>
    <w:rsid w:val="000D12B8"/>
    <w:rsid w:val="000D30D5"/>
    <w:rsid w:val="000D5778"/>
    <w:rsid w:val="00113170"/>
    <w:rsid w:val="00116D0C"/>
    <w:rsid w:val="00121503"/>
    <w:rsid w:val="00125316"/>
    <w:rsid w:val="00126D76"/>
    <w:rsid w:val="00161680"/>
    <w:rsid w:val="00167A53"/>
    <w:rsid w:val="001B00CD"/>
    <w:rsid w:val="001C05C1"/>
    <w:rsid w:val="001C3B36"/>
    <w:rsid w:val="001D3DE0"/>
    <w:rsid w:val="001F0628"/>
    <w:rsid w:val="001F2424"/>
    <w:rsid w:val="001F45FD"/>
    <w:rsid w:val="00203475"/>
    <w:rsid w:val="0020456A"/>
    <w:rsid w:val="002046A0"/>
    <w:rsid w:val="00261406"/>
    <w:rsid w:val="00267D22"/>
    <w:rsid w:val="00283D94"/>
    <w:rsid w:val="00293F61"/>
    <w:rsid w:val="002D45FF"/>
    <w:rsid w:val="002D5340"/>
    <w:rsid w:val="002F747E"/>
    <w:rsid w:val="00325CEA"/>
    <w:rsid w:val="003277ED"/>
    <w:rsid w:val="00334C2B"/>
    <w:rsid w:val="00355567"/>
    <w:rsid w:val="00363ED6"/>
    <w:rsid w:val="00374CBE"/>
    <w:rsid w:val="00376ADD"/>
    <w:rsid w:val="00393985"/>
    <w:rsid w:val="003A63A7"/>
    <w:rsid w:val="003B6CF7"/>
    <w:rsid w:val="003E6E44"/>
    <w:rsid w:val="003F367E"/>
    <w:rsid w:val="0042156A"/>
    <w:rsid w:val="004220BA"/>
    <w:rsid w:val="00425BEA"/>
    <w:rsid w:val="004312EE"/>
    <w:rsid w:val="0043705E"/>
    <w:rsid w:val="0044542B"/>
    <w:rsid w:val="00470EF8"/>
    <w:rsid w:val="004827D0"/>
    <w:rsid w:val="00482EC3"/>
    <w:rsid w:val="00493EA5"/>
    <w:rsid w:val="004A08E1"/>
    <w:rsid w:val="004A7A8D"/>
    <w:rsid w:val="004C191D"/>
    <w:rsid w:val="004D7DEC"/>
    <w:rsid w:val="005241DA"/>
    <w:rsid w:val="00563045"/>
    <w:rsid w:val="005A113C"/>
    <w:rsid w:val="005A61DD"/>
    <w:rsid w:val="005E528E"/>
    <w:rsid w:val="005E6616"/>
    <w:rsid w:val="00603191"/>
    <w:rsid w:val="00646729"/>
    <w:rsid w:val="00653D77"/>
    <w:rsid w:val="00663767"/>
    <w:rsid w:val="0067078B"/>
    <w:rsid w:val="006B55C4"/>
    <w:rsid w:val="006F63C5"/>
    <w:rsid w:val="0070427A"/>
    <w:rsid w:val="00715E3E"/>
    <w:rsid w:val="00721CF7"/>
    <w:rsid w:val="00723A31"/>
    <w:rsid w:val="00725015"/>
    <w:rsid w:val="00726334"/>
    <w:rsid w:val="007A3ED1"/>
    <w:rsid w:val="007A7EF2"/>
    <w:rsid w:val="007D1DA9"/>
    <w:rsid w:val="00825B73"/>
    <w:rsid w:val="00834F22"/>
    <w:rsid w:val="0083660E"/>
    <w:rsid w:val="008603E5"/>
    <w:rsid w:val="008712C4"/>
    <w:rsid w:val="00880828"/>
    <w:rsid w:val="00883C1F"/>
    <w:rsid w:val="008956A6"/>
    <w:rsid w:val="008E10AC"/>
    <w:rsid w:val="008E467F"/>
    <w:rsid w:val="008F2DD1"/>
    <w:rsid w:val="008F3331"/>
    <w:rsid w:val="00924222"/>
    <w:rsid w:val="00935CC0"/>
    <w:rsid w:val="00950863"/>
    <w:rsid w:val="00967998"/>
    <w:rsid w:val="009872B7"/>
    <w:rsid w:val="009966EC"/>
    <w:rsid w:val="009D5964"/>
    <w:rsid w:val="009D66CD"/>
    <w:rsid w:val="00A2038A"/>
    <w:rsid w:val="00A55EBC"/>
    <w:rsid w:val="00A578E1"/>
    <w:rsid w:val="00A614A9"/>
    <w:rsid w:val="00AA3413"/>
    <w:rsid w:val="00AC1009"/>
    <w:rsid w:val="00AE7E3D"/>
    <w:rsid w:val="00B06908"/>
    <w:rsid w:val="00B22C59"/>
    <w:rsid w:val="00B24A82"/>
    <w:rsid w:val="00B36FF3"/>
    <w:rsid w:val="00B57D6C"/>
    <w:rsid w:val="00B65A65"/>
    <w:rsid w:val="00B86584"/>
    <w:rsid w:val="00B86FE3"/>
    <w:rsid w:val="00BA4311"/>
    <w:rsid w:val="00BD1ADC"/>
    <w:rsid w:val="00BF60E6"/>
    <w:rsid w:val="00C045E7"/>
    <w:rsid w:val="00C221B8"/>
    <w:rsid w:val="00C22DDD"/>
    <w:rsid w:val="00C607C3"/>
    <w:rsid w:val="00C61C0D"/>
    <w:rsid w:val="00C70D9A"/>
    <w:rsid w:val="00C77FA3"/>
    <w:rsid w:val="00C92ACC"/>
    <w:rsid w:val="00CA1153"/>
    <w:rsid w:val="00CD3618"/>
    <w:rsid w:val="00D01FF4"/>
    <w:rsid w:val="00D553F0"/>
    <w:rsid w:val="00D71A09"/>
    <w:rsid w:val="00D76226"/>
    <w:rsid w:val="00D852B3"/>
    <w:rsid w:val="00D86A28"/>
    <w:rsid w:val="00DA37F8"/>
    <w:rsid w:val="00DA6B19"/>
    <w:rsid w:val="00DC4682"/>
    <w:rsid w:val="00DD1B4C"/>
    <w:rsid w:val="00DD2C10"/>
    <w:rsid w:val="00DD764F"/>
    <w:rsid w:val="00DF2D48"/>
    <w:rsid w:val="00DF566C"/>
    <w:rsid w:val="00E1237E"/>
    <w:rsid w:val="00E14208"/>
    <w:rsid w:val="00E25252"/>
    <w:rsid w:val="00E35C46"/>
    <w:rsid w:val="00E3701E"/>
    <w:rsid w:val="00E41FF4"/>
    <w:rsid w:val="00EB7B8D"/>
    <w:rsid w:val="00EE66F8"/>
    <w:rsid w:val="00F070EE"/>
    <w:rsid w:val="00F120D5"/>
    <w:rsid w:val="00F235E2"/>
    <w:rsid w:val="00F2485B"/>
    <w:rsid w:val="00F76AFF"/>
    <w:rsid w:val="00F92D21"/>
    <w:rsid w:val="00FB0F8D"/>
    <w:rsid w:val="00FB3583"/>
    <w:rsid w:val="00FC000D"/>
    <w:rsid w:val="00FC38AE"/>
    <w:rsid w:val="00FE3373"/>
    <w:rsid w:val="00FF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397D"/>
  <w15:docId w15:val="{D8E75EC1-3B6F-4B24-8926-86C28110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C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CF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63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767"/>
    <w:rPr>
      <w:rFonts w:ascii="Segoe UI" w:hAnsi="Segoe UI" w:cs="Segoe UI"/>
      <w:sz w:val="18"/>
      <w:szCs w:val="18"/>
    </w:rPr>
  </w:style>
  <w:style w:type="character" w:styleId="CommentReference">
    <w:name w:val="annotation reference"/>
    <w:basedOn w:val="DefaultParagraphFont"/>
    <w:uiPriority w:val="99"/>
    <w:semiHidden/>
    <w:unhideWhenUsed/>
    <w:rsid w:val="00D553F0"/>
    <w:rPr>
      <w:sz w:val="16"/>
      <w:szCs w:val="16"/>
    </w:rPr>
  </w:style>
  <w:style w:type="paragraph" w:styleId="CommentText">
    <w:name w:val="annotation text"/>
    <w:basedOn w:val="Normal"/>
    <w:link w:val="CommentTextChar"/>
    <w:uiPriority w:val="99"/>
    <w:semiHidden/>
    <w:unhideWhenUsed/>
    <w:rsid w:val="00D553F0"/>
    <w:pPr>
      <w:spacing w:line="240" w:lineRule="auto"/>
    </w:pPr>
    <w:rPr>
      <w:sz w:val="20"/>
      <w:szCs w:val="20"/>
    </w:rPr>
  </w:style>
  <w:style w:type="character" w:customStyle="1" w:styleId="CommentTextChar">
    <w:name w:val="Comment Text Char"/>
    <w:basedOn w:val="DefaultParagraphFont"/>
    <w:link w:val="CommentText"/>
    <w:uiPriority w:val="99"/>
    <w:semiHidden/>
    <w:rsid w:val="00D553F0"/>
    <w:rPr>
      <w:sz w:val="20"/>
      <w:szCs w:val="20"/>
    </w:rPr>
  </w:style>
  <w:style w:type="paragraph" w:styleId="CommentSubject">
    <w:name w:val="annotation subject"/>
    <w:basedOn w:val="CommentText"/>
    <w:next w:val="CommentText"/>
    <w:link w:val="CommentSubjectChar"/>
    <w:uiPriority w:val="99"/>
    <w:semiHidden/>
    <w:unhideWhenUsed/>
    <w:rsid w:val="00D553F0"/>
    <w:rPr>
      <w:b/>
      <w:bCs/>
    </w:rPr>
  </w:style>
  <w:style w:type="character" w:customStyle="1" w:styleId="CommentSubjectChar">
    <w:name w:val="Comment Subject Char"/>
    <w:basedOn w:val="CommentTextChar"/>
    <w:link w:val="CommentSubject"/>
    <w:uiPriority w:val="99"/>
    <w:semiHidden/>
    <w:rsid w:val="00D553F0"/>
    <w:rPr>
      <w:b/>
      <w:bCs/>
      <w:sz w:val="20"/>
      <w:szCs w:val="20"/>
    </w:rPr>
  </w:style>
  <w:style w:type="paragraph" w:styleId="NormalWeb">
    <w:name w:val="Normal (Web)"/>
    <w:basedOn w:val="Normal"/>
    <w:uiPriority w:val="99"/>
    <w:unhideWhenUsed/>
    <w:rsid w:val="00261406"/>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DF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19918">
      <w:bodyDiv w:val="1"/>
      <w:marLeft w:val="0"/>
      <w:marRight w:val="0"/>
      <w:marTop w:val="0"/>
      <w:marBottom w:val="0"/>
      <w:divBdr>
        <w:top w:val="none" w:sz="0" w:space="0" w:color="auto"/>
        <w:left w:val="none" w:sz="0" w:space="0" w:color="auto"/>
        <w:bottom w:val="none" w:sz="0" w:space="0" w:color="auto"/>
        <w:right w:val="none" w:sz="0" w:space="0" w:color="auto"/>
      </w:divBdr>
    </w:div>
    <w:div w:id="1981497405">
      <w:bodyDiv w:val="1"/>
      <w:marLeft w:val="0"/>
      <w:marRight w:val="0"/>
      <w:marTop w:val="0"/>
      <w:marBottom w:val="0"/>
      <w:divBdr>
        <w:top w:val="none" w:sz="0" w:space="0" w:color="auto"/>
        <w:left w:val="none" w:sz="0" w:space="0" w:color="auto"/>
        <w:bottom w:val="none" w:sz="0" w:space="0" w:color="auto"/>
        <w:right w:val="none" w:sz="0" w:space="0" w:color="auto"/>
      </w:divBdr>
      <w:divsChild>
        <w:div w:id="757752683">
          <w:marLeft w:val="0"/>
          <w:marRight w:val="0"/>
          <w:marTop w:val="0"/>
          <w:marBottom w:val="0"/>
          <w:divBdr>
            <w:top w:val="none" w:sz="0" w:space="0" w:color="auto"/>
            <w:left w:val="none" w:sz="0" w:space="0" w:color="auto"/>
            <w:bottom w:val="none" w:sz="0" w:space="0" w:color="auto"/>
            <w:right w:val="none" w:sz="0" w:space="0" w:color="auto"/>
          </w:divBdr>
        </w:div>
        <w:div w:id="177618542">
          <w:marLeft w:val="0"/>
          <w:marRight w:val="0"/>
          <w:marTop w:val="0"/>
          <w:marBottom w:val="0"/>
          <w:divBdr>
            <w:top w:val="none" w:sz="0" w:space="0" w:color="auto"/>
            <w:left w:val="none" w:sz="0" w:space="0" w:color="auto"/>
            <w:bottom w:val="none" w:sz="0" w:space="0" w:color="auto"/>
            <w:right w:val="none" w:sz="0" w:space="0" w:color="auto"/>
          </w:divBdr>
          <w:divsChild>
            <w:div w:id="1863662741">
              <w:marLeft w:val="0"/>
              <w:marRight w:val="0"/>
              <w:marTop w:val="0"/>
              <w:marBottom w:val="0"/>
              <w:divBdr>
                <w:top w:val="none" w:sz="0" w:space="0" w:color="auto"/>
                <w:left w:val="none" w:sz="0" w:space="0" w:color="auto"/>
                <w:bottom w:val="none" w:sz="0" w:space="0" w:color="auto"/>
                <w:right w:val="none" w:sz="0" w:space="0" w:color="auto"/>
              </w:divBdr>
              <w:divsChild>
                <w:div w:id="588198103">
                  <w:marLeft w:val="0"/>
                  <w:marRight w:val="0"/>
                  <w:marTop w:val="0"/>
                  <w:marBottom w:val="0"/>
                  <w:divBdr>
                    <w:top w:val="none" w:sz="0" w:space="0" w:color="auto"/>
                    <w:left w:val="none" w:sz="0" w:space="0" w:color="auto"/>
                    <w:bottom w:val="none" w:sz="0" w:space="0" w:color="auto"/>
                    <w:right w:val="none" w:sz="0" w:space="0" w:color="auto"/>
                  </w:divBdr>
                  <w:divsChild>
                    <w:div w:id="2008945043">
                      <w:marLeft w:val="0"/>
                      <w:marRight w:val="0"/>
                      <w:marTop w:val="0"/>
                      <w:marBottom w:val="0"/>
                      <w:divBdr>
                        <w:top w:val="none" w:sz="0" w:space="0" w:color="auto"/>
                        <w:left w:val="none" w:sz="0" w:space="0" w:color="auto"/>
                        <w:bottom w:val="none" w:sz="0" w:space="0" w:color="auto"/>
                        <w:right w:val="none" w:sz="0" w:space="0" w:color="auto"/>
                      </w:divBdr>
                      <w:divsChild>
                        <w:div w:id="1777558830">
                          <w:marLeft w:val="0"/>
                          <w:marRight w:val="0"/>
                          <w:marTop w:val="0"/>
                          <w:marBottom w:val="0"/>
                          <w:divBdr>
                            <w:top w:val="none" w:sz="0" w:space="0" w:color="auto"/>
                            <w:left w:val="none" w:sz="0" w:space="0" w:color="auto"/>
                            <w:bottom w:val="none" w:sz="0" w:space="0" w:color="auto"/>
                            <w:right w:val="none" w:sz="0" w:space="0" w:color="auto"/>
                          </w:divBdr>
                          <w:divsChild>
                            <w:div w:id="255208306">
                              <w:marLeft w:val="0"/>
                              <w:marRight w:val="0"/>
                              <w:marTop w:val="0"/>
                              <w:marBottom w:val="0"/>
                              <w:divBdr>
                                <w:top w:val="none" w:sz="0" w:space="0" w:color="auto"/>
                                <w:left w:val="none" w:sz="0" w:space="0" w:color="auto"/>
                                <w:bottom w:val="none" w:sz="0" w:space="0" w:color="auto"/>
                                <w:right w:val="none" w:sz="0" w:space="0" w:color="auto"/>
                              </w:divBdr>
                              <w:divsChild>
                                <w:div w:id="1443913784">
                                  <w:marLeft w:val="0"/>
                                  <w:marRight w:val="0"/>
                                  <w:marTop w:val="0"/>
                                  <w:marBottom w:val="0"/>
                                  <w:divBdr>
                                    <w:top w:val="none" w:sz="0" w:space="0" w:color="auto"/>
                                    <w:left w:val="none" w:sz="0" w:space="0" w:color="auto"/>
                                    <w:bottom w:val="none" w:sz="0" w:space="0" w:color="auto"/>
                                    <w:right w:val="none" w:sz="0" w:space="0" w:color="auto"/>
                                  </w:divBdr>
                                  <w:divsChild>
                                    <w:div w:id="20351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rah.papworth@rh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92DF-3BF2-4559-AB84-2A465F79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7401</Words>
  <Characters>42187</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Papworth, Sarah</dc:creator>
  <cp:lastModifiedBy>Papworth, Sarah</cp:lastModifiedBy>
  <cp:revision>2</cp:revision>
  <cp:lastPrinted>2016-03-02T17:40:00Z</cp:lastPrinted>
  <dcterms:created xsi:type="dcterms:W3CDTF">2017-11-06T13:42:00Z</dcterms:created>
  <dcterms:modified xsi:type="dcterms:W3CDTF">2017-11-06T13:42:00Z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sarah.k.papworth@gmail.com@www.mendeley.com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http://www.zotero.org/styles/conservation-biology</vt:lpwstr>
  </property>
  <property fmtid="{D5CDD505-2E9C-101B-9397-08002B2CF9AE}" pid="12" name="Mendeley Recent Style Name 3_1">
    <vt:lpwstr>Conservation Biology</vt:lpwstr>
  </property>
  <property fmtid="{D5CDD505-2E9C-101B-9397-08002B2CF9AE}" pid="13" name="Mendeley Recent Style Id 4_1">
    <vt:lpwstr>http://www.zotero.org/styles/elsevier-harvard</vt:lpwstr>
  </property>
  <property fmtid="{D5CDD505-2E9C-101B-9397-08002B2CF9AE}" pid="14" name="Mendeley Recent Style Name 4_1">
    <vt:lpwstr>Elsevier Harvard (with titles)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