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C9741D" w14:textId="77777777" w:rsidR="002C0214" w:rsidRDefault="002C0214" w:rsidP="00530331">
      <w:pPr>
        <w:pStyle w:val="Heading1"/>
      </w:pPr>
      <w:r>
        <w:t>GR Focus Review</w:t>
      </w:r>
    </w:p>
    <w:p w14:paraId="72490F34" w14:textId="5E784032" w:rsidR="000332D3" w:rsidRPr="00E941C2" w:rsidRDefault="000332D3" w:rsidP="00530331">
      <w:pPr>
        <w:pStyle w:val="Heading1"/>
      </w:pPr>
      <w:r>
        <w:t>Subduction erosion</w:t>
      </w:r>
      <w:r w:rsidR="00530331">
        <w:t>,</w:t>
      </w:r>
      <w:r>
        <w:t xml:space="preserve"> and the de-construction of continental crust: the Central America case and its global implications</w:t>
      </w:r>
    </w:p>
    <w:p w14:paraId="77D93D44" w14:textId="77777777" w:rsidR="000332D3" w:rsidRDefault="000332D3" w:rsidP="00530331">
      <w:pPr>
        <w:rPr>
          <w:lang w:val="it-IT"/>
        </w:rPr>
      </w:pPr>
      <w:r w:rsidRPr="00FA528B">
        <w:rPr>
          <w:lang w:val="it-IT"/>
        </w:rPr>
        <w:t>Paola Vannucchi</w:t>
      </w:r>
      <w:r w:rsidRPr="00A878A5">
        <w:rPr>
          <w:vertAlign w:val="superscript"/>
          <w:lang w:val="it-IT"/>
        </w:rPr>
        <w:t>1,2</w:t>
      </w:r>
      <w:r w:rsidRPr="00FA528B">
        <w:rPr>
          <w:lang w:val="it-IT"/>
        </w:rPr>
        <w:t xml:space="preserve"> Jason </w:t>
      </w:r>
      <w:r w:rsidR="00530331">
        <w:rPr>
          <w:lang w:val="it-IT"/>
        </w:rPr>
        <w:t xml:space="preserve">P. </w:t>
      </w:r>
      <w:r w:rsidRPr="00FA528B">
        <w:rPr>
          <w:lang w:val="it-IT"/>
        </w:rPr>
        <w:t>Morgan</w:t>
      </w:r>
      <w:r w:rsidRPr="00A878A5">
        <w:rPr>
          <w:vertAlign w:val="superscript"/>
          <w:lang w:val="it-IT"/>
        </w:rPr>
        <w:t>1</w:t>
      </w:r>
      <w:r w:rsidRPr="00FA528B">
        <w:rPr>
          <w:lang w:val="it-IT"/>
        </w:rPr>
        <w:t>, Maria L</w:t>
      </w:r>
      <w:r>
        <w:rPr>
          <w:lang w:val="it-IT"/>
        </w:rPr>
        <w:t>aura Balestrieri</w:t>
      </w:r>
      <w:r w:rsidRPr="00A878A5">
        <w:rPr>
          <w:vertAlign w:val="superscript"/>
          <w:lang w:val="it-IT"/>
        </w:rPr>
        <w:t>3</w:t>
      </w:r>
    </w:p>
    <w:p w14:paraId="641051D0" w14:textId="77777777" w:rsidR="000332D3" w:rsidRDefault="000332D3" w:rsidP="00530331">
      <w:r w:rsidRPr="00A878A5">
        <w:rPr>
          <w:vertAlign w:val="superscript"/>
        </w:rPr>
        <w:t>1</w:t>
      </w:r>
      <w:r w:rsidRPr="00A878A5">
        <w:t xml:space="preserve"> Earth Sciences Department, Royal Holloway,</w:t>
      </w:r>
      <w:r>
        <w:t xml:space="preserve"> University of London, </w:t>
      </w:r>
      <w:proofErr w:type="spellStart"/>
      <w:r>
        <w:t>Egham</w:t>
      </w:r>
      <w:proofErr w:type="spellEnd"/>
      <w:r>
        <w:t>, TW20 0EX, UK</w:t>
      </w:r>
    </w:p>
    <w:p w14:paraId="611F78FE" w14:textId="77777777" w:rsidR="000332D3" w:rsidRDefault="000332D3" w:rsidP="00530331">
      <w:pPr>
        <w:rPr>
          <w:lang w:val="it-IT"/>
        </w:rPr>
      </w:pPr>
      <w:r w:rsidRPr="00A878A5">
        <w:rPr>
          <w:vertAlign w:val="superscript"/>
          <w:lang w:val="it-IT"/>
        </w:rPr>
        <w:t>2</w:t>
      </w:r>
      <w:r w:rsidRPr="00A878A5">
        <w:rPr>
          <w:lang w:val="it-IT"/>
        </w:rPr>
        <w:t xml:space="preserve"> Dipartimento di Scienze della Terra, </w:t>
      </w:r>
      <w:r>
        <w:rPr>
          <w:lang w:val="it-IT"/>
        </w:rPr>
        <w:t>Universita’ degli Studi di Firenze, 50121 Firenze, Italy</w:t>
      </w:r>
    </w:p>
    <w:p w14:paraId="0F719FB6" w14:textId="77777777" w:rsidR="000332D3" w:rsidRDefault="000332D3" w:rsidP="00530331">
      <w:pPr>
        <w:rPr>
          <w:lang w:val="it-IT"/>
        </w:rPr>
      </w:pPr>
      <w:r w:rsidRPr="00DC6B6F">
        <w:rPr>
          <w:vertAlign w:val="superscript"/>
          <w:lang w:val="it-IT"/>
        </w:rPr>
        <w:t>3</w:t>
      </w:r>
      <w:r>
        <w:rPr>
          <w:lang w:val="it-IT"/>
        </w:rPr>
        <w:t xml:space="preserve"> Istituto di Geoscienze e Georisorse, CNR, 50121, Firenze, Italy</w:t>
      </w:r>
    </w:p>
    <w:p w14:paraId="1508D120" w14:textId="77777777" w:rsidR="000332D3" w:rsidRPr="00A878A5" w:rsidRDefault="000332D3" w:rsidP="00530331">
      <w:pPr>
        <w:rPr>
          <w:lang w:val="it-IT"/>
        </w:rPr>
      </w:pPr>
    </w:p>
    <w:p w14:paraId="0E4B8175" w14:textId="77777777" w:rsidR="000332D3" w:rsidRPr="00384D3F" w:rsidRDefault="000332D3" w:rsidP="00530331">
      <w:pPr>
        <w:pStyle w:val="Heading2"/>
      </w:pPr>
      <w:r w:rsidRPr="00384D3F">
        <w:t>Abstract</w:t>
      </w:r>
    </w:p>
    <w:p w14:paraId="01B22E43" w14:textId="0C9F7745" w:rsidR="000332D3" w:rsidRDefault="000332D3" w:rsidP="00530331">
      <w:r>
        <w:t xml:space="preserve">The relative rates of creation and destruction of continental crust at subduction zones is a key </w:t>
      </w:r>
      <w:r w:rsidR="00530331">
        <w:t xml:space="preserve">factor shaping </w:t>
      </w:r>
      <w:r>
        <w:t xml:space="preserve">the evolution of continental crust through time. Central America, arguably the best studied place where subduction erosion has been documented, is used here to assess past rates and modes of forearc recycling. Drilling from Guatemala to Costa Rica indicates that subduction erosion has been active since at least the early Miocene. Drilling also shows that the rates of subduction erosion have varied significantly both along strike and through time. </w:t>
      </w:r>
      <w:proofErr w:type="gramStart"/>
      <w:r w:rsidRPr="0075781A">
        <w:t>Integrated Ocean Drilling Progra</w:t>
      </w:r>
      <w:r>
        <w:t>m (IODP) Expedition 334 to southern Costa Rica</w:t>
      </w:r>
      <w:r w:rsidRPr="0075781A">
        <w:t xml:space="preserve"> </w:t>
      </w:r>
      <w:r>
        <w:t>documents</w:t>
      </w:r>
      <w:r w:rsidRPr="0075781A">
        <w:t xml:space="preserve"> un</w:t>
      </w:r>
      <w:r>
        <w:t>precedented subduction erosion there — at rates larger than the fastest known rates of forearc accretion</w:t>
      </w:r>
      <w:r w:rsidRPr="0075781A">
        <w:t>.</w:t>
      </w:r>
      <w:proofErr w:type="gramEnd"/>
      <w:r w:rsidRPr="0075781A">
        <w:t xml:space="preserve"> </w:t>
      </w:r>
      <w:r>
        <w:t>In Southern Costa Rica, accelerated</w:t>
      </w:r>
      <w:r w:rsidRPr="0075781A">
        <w:t xml:space="preserve"> subduction erosion of the upper plate </w:t>
      </w:r>
      <w:r>
        <w:t>initiated</w:t>
      </w:r>
      <w:r w:rsidRPr="0075781A">
        <w:t xml:space="preserve"> when the </w:t>
      </w:r>
      <w:r>
        <w:t xml:space="preserve">Panama Fracture </w:t>
      </w:r>
      <w:r w:rsidR="00530331">
        <w:t>Z</w:t>
      </w:r>
      <w:r>
        <w:t>one/</w:t>
      </w:r>
      <w:r w:rsidRPr="0075781A">
        <w:t xml:space="preserve">Cocos Ridge, </w:t>
      </w:r>
      <w:r>
        <w:t xml:space="preserve">the latter being </w:t>
      </w:r>
      <w:r w:rsidRPr="0075781A">
        <w:t>an over thickened aseismic ridge, arrived</w:t>
      </w:r>
      <w:r>
        <w:t xml:space="preserve"> at the Middle America Trench. The forearc records this event with an unconformity at 2.2</w:t>
      </w:r>
      <w:r>
        <w:sym w:font="Symbol" w:char="F0B1"/>
      </w:r>
      <w:r>
        <w:t xml:space="preserve">0.2 Ma. </w:t>
      </w:r>
      <w:r w:rsidRPr="0075781A">
        <w:t xml:space="preserve">The recovered shelf sequence </w:t>
      </w:r>
      <w:r>
        <w:t xml:space="preserve">overlying the unconformity </w:t>
      </w:r>
      <w:r w:rsidRPr="0075781A">
        <w:t xml:space="preserve">constrains a </w:t>
      </w:r>
      <w:r w:rsidRPr="0075781A">
        <w:lastRenderedPageBreak/>
        <w:t xml:space="preserve">short (&lt;2 </w:t>
      </w:r>
      <w:proofErr w:type="spellStart"/>
      <w:r w:rsidRPr="0075781A">
        <w:t>Myr</w:t>
      </w:r>
      <w:proofErr w:type="spellEnd"/>
      <w:r w:rsidRPr="0075781A">
        <w:t xml:space="preserve">) interval of extreme subsidence </w:t>
      </w:r>
      <w:r w:rsidRPr="00AE027F">
        <w:t>(</w:t>
      </w:r>
      <w:r w:rsidRPr="006737BA">
        <w:t>~12</w:t>
      </w:r>
      <w:r w:rsidRPr="00AE027F">
        <w:t xml:space="preserve">00 </w:t>
      </w:r>
      <w:r w:rsidRPr="0060116A">
        <w:t>m)</w:t>
      </w:r>
      <w:r w:rsidRPr="0075781A">
        <w:t xml:space="preserve"> with a rapid pulse occurring during the first ~0.3 </w:t>
      </w:r>
      <w:proofErr w:type="spellStart"/>
      <w:r w:rsidRPr="0075781A">
        <w:t>Myr</w:t>
      </w:r>
      <w:proofErr w:type="spellEnd"/>
      <w:r w:rsidRPr="0075781A">
        <w:t xml:space="preserve">. This event removed an estimated </w:t>
      </w:r>
      <w:r>
        <w:t>1.2x10</w:t>
      </w:r>
      <w:r w:rsidRPr="00DA5DE0">
        <w:rPr>
          <w:vertAlign w:val="superscript"/>
        </w:rPr>
        <w:t>6</w:t>
      </w:r>
      <w:r w:rsidRPr="0075781A">
        <w:t xml:space="preserve"> km</w:t>
      </w:r>
      <w:r w:rsidRPr="0075781A">
        <w:rPr>
          <w:vertAlign w:val="superscript"/>
        </w:rPr>
        <w:t>3</w:t>
      </w:r>
      <w:r w:rsidRPr="0075781A">
        <w:t xml:space="preserve"> of forearc material at a rate of </w:t>
      </w:r>
      <w:r>
        <w:rPr>
          <w:rFonts w:ascii="Constantia" w:hAnsi="Constantia"/>
        </w:rPr>
        <w:t>~</w:t>
      </w:r>
      <w:r w:rsidRPr="00473CDD">
        <w:rPr>
          <w:bCs/>
        </w:rPr>
        <w:t>1125</w:t>
      </w:r>
      <w:r w:rsidRPr="0075781A">
        <w:t xml:space="preserve"> km</w:t>
      </w:r>
      <w:r w:rsidRPr="0075781A">
        <w:rPr>
          <w:vertAlign w:val="superscript"/>
        </w:rPr>
        <w:t>3</w:t>
      </w:r>
      <w:r w:rsidRPr="0075781A">
        <w:t>/</w:t>
      </w:r>
      <w:proofErr w:type="spellStart"/>
      <w:r w:rsidRPr="0075781A">
        <w:t>M</w:t>
      </w:r>
      <w:r>
        <w:t>yr</w:t>
      </w:r>
      <w:proofErr w:type="spellEnd"/>
      <w:r w:rsidRPr="0075781A">
        <w:t>/km of trench during a time of rapid (</w:t>
      </w:r>
      <w:r>
        <w:rPr>
          <w:rFonts w:ascii="Constantia" w:hAnsi="Constantia"/>
        </w:rPr>
        <w:t>~</w:t>
      </w:r>
      <w:r w:rsidRPr="0075781A">
        <w:t>1035 m/</w:t>
      </w:r>
      <w:proofErr w:type="spellStart"/>
      <w:r w:rsidRPr="0075781A">
        <w:t>M</w:t>
      </w:r>
      <w:r>
        <w:t>yr</w:t>
      </w:r>
      <w:proofErr w:type="spellEnd"/>
      <w:r w:rsidRPr="0075781A">
        <w:t xml:space="preserve">) </w:t>
      </w:r>
      <w:r>
        <w:t xml:space="preserve">contemporaneous </w:t>
      </w:r>
      <w:r w:rsidRPr="0075781A">
        <w:t>shelf sediment accumulation</w:t>
      </w:r>
      <w:r w:rsidRPr="00D66644">
        <w:t xml:space="preserve">. Detrital apatite fission-track </w:t>
      </w:r>
      <w:proofErr w:type="spellStart"/>
      <w:r w:rsidRPr="00D66644">
        <w:t>thermochronology</w:t>
      </w:r>
      <w:proofErr w:type="spellEnd"/>
      <w:r w:rsidRPr="00D66644">
        <w:t xml:space="preserve"> on the sediments above the unconformity indicate the pattern of surficial sediment transport during this subduction erosion event. </w:t>
      </w:r>
      <w:r>
        <w:t>The fission track data</w:t>
      </w:r>
      <w:r w:rsidRPr="00D66644">
        <w:t xml:space="preserve"> </w:t>
      </w:r>
      <w:r>
        <w:t xml:space="preserve">show that sediments from the extinct and exhumed volcanic arc – the Cordillera de Talamanca </w:t>
      </w:r>
      <w:r w:rsidR="00530331">
        <w:t>–</w:t>
      </w:r>
      <w:r>
        <w:t xml:space="preserve"> were able to immediately access the growing forearc basin after the onset of the 2.2 Ma subduction erosion </w:t>
      </w:r>
      <w:proofErr w:type="gramStart"/>
      <w:r>
        <w:t>event</w:t>
      </w:r>
      <w:proofErr w:type="gramEnd"/>
      <w:r>
        <w:t xml:space="preserve">. </w:t>
      </w:r>
      <w:r w:rsidR="00530331">
        <w:t>T</w:t>
      </w:r>
      <w:r>
        <w:t>he onset of subduction of an aseismic ridge as occurred at 2.2 Ma in southern Costa Rica is a fairly common tectonic event along a subduction margin</w:t>
      </w:r>
      <w:r w:rsidR="00530331">
        <w:t>.</w:t>
      </w:r>
      <w:r>
        <w:t xml:space="preserve"> </w:t>
      </w:r>
      <w:r w:rsidR="00530331">
        <w:t>W</w:t>
      </w:r>
      <w:r>
        <w:t>e suggest that similar</w:t>
      </w:r>
      <w:r w:rsidRPr="0075781A">
        <w:t xml:space="preserve"> rapid pulses of subduction erosion may punctuate the evolution of many margins, contributing disproportionately to crustal recycling at subduction zones</w:t>
      </w:r>
      <w:r>
        <w:t xml:space="preserve">. The (poorly) preserved geologic record of </w:t>
      </w:r>
      <w:proofErr w:type="spellStart"/>
      <w:r>
        <w:t>paleoforearcs</w:t>
      </w:r>
      <w:proofErr w:type="spellEnd"/>
      <w:r>
        <w:t xml:space="preserve"> needs to be reassessed with this mechanism in mind. It also implies that continental forearc material may be significantly consumed during short local bursts along a subduction margin, and furthermore, that margins abutting regions of frequent subduction of aseismic ridges, like the regions in the Western Pacific where the Darwin Rise currently </w:t>
      </w:r>
      <w:proofErr w:type="spellStart"/>
      <w:r>
        <w:t>subducts</w:t>
      </w:r>
      <w:proofErr w:type="spellEnd"/>
      <w:r>
        <w:t>, should face disproportionate pulses of future subduction erosion and forearc recycling.</w:t>
      </w:r>
    </w:p>
    <w:p w14:paraId="2BA58221" w14:textId="77777777" w:rsidR="000332D3" w:rsidRPr="00405A3B" w:rsidRDefault="000332D3" w:rsidP="00530331"/>
    <w:p w14:paraId="077DF1E7" w14:textId="77777777" w:rsidR="000332D3" w:rsidRDefault="000332D3" w:rsidP="00530331">
      <w:pPr>
        <w:pStyle w:val="Heading2"/>
      </w:pPr>
      <w:r>
        <w:t>Introduction</w:t>
      </w:r>
    </w:p>
    <w:p w14:paraId="05B5E118" w14:textId="213F50CC" w:rsidR="000332D3" w:rsidRDefault="000332D3" w:rsidP="00530331">
      <w:r>
        <w:t xml:space="preserve">The quantification of the growth, destruction and recycling of continental crust across the geological eras is critical to understand not only the evolution of key tectonic processes, such as interactions between plates and other lithospheric </w:t>
      </w:r>
      <w:proofErr w:type="spellStart"/>
      <w:r>
        <w:t>geomechanics</w:t>
      </w:r>
      <w:proofErr w:type="spellEnd"/>
      <w:r>
        <w:t xml:space="preserve">, but also the geochemical evolution of the mantle </w:t>
      </w:r>
      <w:r>
        <w:rPr>
          <w:noProof/>
        </w:rPr>
        <w:t>(Tatsumi and Kogiso, 2003; Tatsumi, 2005)</w:t>
      </w:r>
      <w:r>
        <w:t xml:space="preserve">. Several authors have produced global models for crustal growth through time (cf. </w:t>
      </w:r>
      <w:r>
        <w:rPr>
          <w:noProof/>
        </w:rPr>
        <w:t>(Rino et al., 2004)</w:t>
      </w:r>
      <w:r>
        <w:t xml:space="preserve">). Most models imply net growth at differing rates through </w:t>
      </w:r>
      <w:r>
        <w:lastRenderedPageBreak/>
        <w:t xml:space="preserve">time. Their most significant contrasts lie in stressing the importance of continuous </w:t>
      </w:r>
      <w:r>
        <w:rPr>
          <w:noProof/>
        </w:rPr>
        <w:t>(Hurley and Rand, 1969; O’Nions et al., 1979; Veizer and Jansen, 1979; Allègre, 1982)</w:t>
      </w:r>
      <w:r>
        <w:t xml:space="preserve"> vs. episodic growth </w:t>
      </w:r>
      <w:r>
        <w:rPr>
          <w:noProof/>
        </w:rPr>
        <w:t>(McCulloch and Bennett, 1994; Condie, 1998)</w:t>
      </w:r>
      <w:r>
        <w:t xml:space="preserve">, or in arguing for rapid growth in the first 0.6-1 Ga after Earth’s origin, followed by a period with nearly constant crustal volume </w:t>
      </w:r>
      <w:r>
        <w:rPr>
          <w:noProof/>
        </w:rPr>
        <w:t>(Brown, 1979; Armstrong, 1981; Dewey and Windley, 1981; McLennan and Taylor, 1982; Reymer and Schubert, 1984)</w:t>
      </w:r>
      <w:r>
        <w:t xml:space="preserve"> vs. a major phase of early continental crustal growth before ~3.8 Ga followed by a slow, steady</w:t>
      </w:r>
      <w:r w:rsidRPr="00F656E3">
        <w:t xml:space="preserve"> </w:t>
      </w:r>
      <w:r>
        <w:t xml:space="preserve">reduction in the volume of continental crust since </w:t>
      </w:r>
      <w:r>
        <w:rPr>
          <w:noProof/>
        </w:rPr>
        <w:t>(Fyfe, 1978)</w:t>
      </w:r>
      <w:r>
        <w:t>. One of the most-used approaches to address the rate of growth of continental crust through time has been through the compilation of U-</w:t>
      </w:r>
      <w:proofErr w:type="spellStart"/>
      <w:r>
        <w:t>Pb</w:t>
      </w:r>
      <w:proofErr w:type="spellEnd"/>
      <w:r>
        <w:t xml:space="preserve"> zircon ages in detrital and </w:t>
      </w:r>
      <w:proofErr w:type="spellStart"/>
      <w:r>
        <w:t>granitoid</w:t>
      </w:r>
      <w:proofErr w:type="spellEnd"/>
      <w:r>
        <w:t xml:space="preserve"> rocks </w:t>
      </w:r>
      <w:r>
        <w:rPr>
          <w:noProof/>
        </w:rPr>
        <w:t>(Condie et al., 2011)</w:t>
      </w:r>
      <w:r>
        <w:t xml:space="preserve">. </w:t>
      </w:r>
      <w:r w:rsidR="00530331">
        <w:t>Z</w:t>
      </w:r>
      <w:r>
        <w:t xml:space="preserve">ircon ages show a relatively small number of high-density age peaks distributed over the ~4.5 Ga of Earth’s existence. </w:t>
      </w:r>
      <w:r w:rsidR="00530331">
        <w:t>While</w:t>
      </w:r>
      <w:r>
        <w:t xml:space="preserve"> these data have often been interpreted to imply phases of episodic crustal growth, they can also be interpreted to imply phases of preferential preservation of crust, orogeny and crustal metamorphism (for example zircon age-resets during Himalayan-style orogeny</w:t>
      </w:r>
      <w:r w:rsidRPr="00CB06FE">
        <w:t xml:space="preserve">) </w:t>
      </w:r>
      <w:r w:rsidRPr="00CB06FE">
        <w:rPr>
          <w:noProof/>
        </w:rPr>
        <w:t>(Condie, et al., 2011</w:t>
      </w:r>
      <w:r w:rsidR="00CB06FE" w:rsidRPr="00CB06FE">
        <w:rPr>
          <w:noProof/>
        </w:rPr>
        <w:t>,</w:t>
      </w:r>
      <w:r w:rsidRPr="00CB06FE">
        <w:rPr>
          <w:noProof/>
        </w:rPr>
        <w:t xml:space="preserve"> 2014</w:t>
      </w:r>
      <w:r w:rsidR="00CB06FE" w:rsidRPr="00CB06FE">
        <w:rPr>
          <w:noProof/>
        </w:rPr>
        <w:t xml:space="preserve">: </w:t>
      </w:r>
      <w:r w:rsidRPr="00CB06FE">
        <w:rPr>
          <w:noProof/>
        </w:rPr>
        <w:t>Cawood et al., 2012)</w:t>
      </w:r>
      <w:r>
        <w:t xml:space="preserve">. The global importance of the destruction and mantle recycling of continental crust at subduction zones has </w:t>
      </w:r>
      <w:r w:rsidR="00530331">
        <w:t>captured</w:t>
      </w:r>
      <w:r>
        <w:t xml:space="preserve"> the attention of geophysicists </w:t>
      </w:r>
      <w:r>
        <w:rPr>
          <w:noProof/>
        </w:rPr>
        <w:t>(Scholl and von Huene, 2007; Scholl and von Huene, 2009; Stern and Scholl, 2010)</w:t>
      </w:r>
      <w:r>
        <w:t xml:space="preserve"> and, </w:t>
      </w:r>
      <w:r w:rsidR="00530331">
        <w:t>during</w:t>
      </w:r>
      <w:r>
        <w:t xml:space="preserve"> the last few years, also isotope geochemists </w:t>
      </w:r>
      <w:r>
        <w:rPr>
          <w:noProof/>
        </w:rPr>
        <w:t>(Willbold and Stracke, 2006, 2010)</w:t>
      </w:r>
      <w:r>
        <w:t>. Here we focus on observational evidence for the selective destruction and preservation of continental crust. Is it plausible for there to be periods with net destruction of continental crust? If so, what are reasonable magnitudes and timescales of the processes of net crustal destruction? Providing answer</w:t>
      </w:r>
      <w:r w:rsidR="00904BC3">
        <w:t>s</w:t>
      </w:r>
      <w:r>
        <w:t xml:space="preserve"> to </w:t>
      </w:r>
      <w:r w:rsidR="00904BC3">
        <w:t xml:space="preserve">these </w:t>
      </w:r>
      <w:r>
        <w:t>question</w:t>
      </w:r>
      <w:r w:rsidR="00904BC3">
        <w:t>s</w:t>
      </w:r>
      <w:r>
        <w:t xml:space="preserve"> is the primary goal of this study, which is based on the approach of </w:t>
      </w:r>
      <w:r w:rsidR="00904BC3">
        <w:t xml:space="preserve">using </w:t>
      </w:r>
      <w:r>
        <w:t>constrain</w:t>
      </w:r>
      <w:r w:rsidR="00904BC3">
        <w:t>ed</w:t>
      </w:r>
      <w:r>
        <w:t xml:space="preserve"> present-day rates as a key to better understand plausible past rates.</w:t>
      </w:r>
    </w:p>
    <w:p w14:paraId="2D8915B5" w14:textId="77777777" w:rsidR="000332D3" w:rsidRPr="00E941C2" w:rsidRDefault="000332D3" w:rsidP="00530331">
      <w:pPr>
        <w:pStyle w:val="Heading2"/>
      </w:pPr>
      <w:r w:rsidRPr="00E941C2">
        <w:t>Subduction erosion and its controlling factors</w:t>
      </w:r>
    </w:p>
    <w:p w14:paraId="7F129F3C" w14:textId="1E623F41" w:rsidR="000332D3" w:rsidRDefault="000332D3" w:rsidP="00530331">
      <w:r>
        <w:lastRenderedPageBreak/>
        <w:t xml:space="preserve">Subduction erosion, i.e. the basal removal of upper plate material induced by subduction </w:t>
      </w:r>
      <w:r>
        <w:rPr>
          <w:noProof/>
        </w:rPr>
        <w:t>(von Huene and Scholl, 1991)</w:t>
      </w:r>
      <w:r>
        <w:t xml:space="preserve"> is at present the largest-scale geological process destroying continental crust</w:t>
      </w:r>
      <w:r w:rsidR="00904BC3">
        <w:t>,</w:t>
      </w:r>
      <w:r>
        <w:t xml:space="preserve"> with sediment subduction and continental delamination</w:t>
      </w:r>
      <w:r w:rsidR="00904BC3">
        <w:t xml:space="preserve"> playing a lesser role</w:t>
      </w:r>
      <w:r>
        <w:t xml:space="preserve"> (e.g. Clift et al., 2009). In this paper we assess the rates of subduction erosion and the net volume increase or decrease of continental crust where it is best measured offshore Central America, during the </w:t>
      </w:r>
      <w:proofErr w:type="gramStart"/>
      <w:r>
        <w:t>~25 Ma time frame</w:t>
      </w:r>
      <w:proofErr w:type="gramEnd"/>
      <w:r>
        <w:t xml:space="preserve"> within which we can confidently track subduction erosion. We focus on Central America because this is the region that provides the biggest regional constraints to calculate</w:t>
      </w:r>
      <w:r w:rsidDel="0066162A">
        <w:t xml:space="preserve"> </w:t>
      </w:r>
      <w:r>
        <w:t xml:space="preserve">a </w:t>
      </w:r>
      <w:r w:rsidR="00904BC3">
        <w:t>rate-</w:t>
      </w:r>
      <w:r>
        <w:t>time</w:t>
      </w:r>
      <w:r w:rsidR="00904BC3">
        <w:t xml:space="preserve"> </w:t>
      </w:r>
      <w:r>
        <w:t>budget for this process of crustal destruction.</w:t>
      </w:r>
    </w:p>
    <w:p w14:paraId="0873C2E0" w14:textId="29F1FBBD" w:rsidR="000332D3" w:rsidRDefault="000332D3" w:rsidP="00530331">
      <w:r>
        <w:t xml:space="preserve">Several factors appear to shape subduction erosion. The topographic relief of seamounts on the </w:t>
      </w:r>
      <w:proofErr w:type="spellStart"/>
      <w:r>
        <w:t>subducting</w:t>
      </w:r>
      <w:proofErr w:type="spellEnd"/>
      <w:r>
        <w:t xml:space="preserve"> plate is one. This leads to directly observable effects on the forearc slope of the overriding plate. In the southeast part of the Central America trench offshore Costa Rica, the slope is punctuated by elongate depressions of </w:t>
      </w:r>
      <w:r w:rsidR="00904BC3">
        <w:t xml:space="preserve">roughly </w:t>
      </w:r>
      <w:r>
        <w:t xml:space="preserve">the same width </w:t>
      </w:r>
      <w:r w:rsidR="00904BC3">
        <w:t>as</w:t>
      </w:r>
      <w:r>
        <w:t xml:space="preserve"> seamounts </w:t>
      </w:r>
      <w:r w:rsidR="00904BC3">
        <w:t xml:space="preserve">that are </w:t>
      </w:r>
      <w:r>
        <w:t xml:space="preserve">traceable up to 55 km inland, and parallel to the subduction vector </w:t>
      </w:r>
      <w:r>
        <w:rPr>
          <w:noProof/>
        </w:rPr>
        <w:t>(von Huene et al., 2000)</w:t>
      </w:r>
      <w:r>
        <w:t xml:space="preserve"> </w:t>
      </w:r>
      <w:r w:rsidRPr="00384D3F">
        <w:rPr>
          <w:color w:val="0070C0"/>
        </w:rPr>
        <w:t>(Fig. 1)</w:t>
      </w:r>
      <w:r>
        <w:t xml:space="preserve">. At a bigger scale, still in Central America, the trench strike changes abruptly between Nicaragua and Costa Rica, describing a retreat that culminates at the axis of the </w:t>
      </w:r>
      <w:proofErr w:type="spellStart"/>
      <w:r>
        <w:t>subducting</w:t>
      </w:r>
      <w:proofErr w:type="spellEnd"/>
      <w:r>
        <w:t xml:space="preserve"> Cocos Ridge </w:t>
      </w:r>
      <w:r>
        <w:rPr>
          <w:noProof/>
        </w:rPr>
        <w:t>(Ranero et al., 2008)</w:t>
      </w:r>
      <w:r w:rsidRPr="00E82B5F">
        <w:rPr>
          <w:color w:val="0070C0"/>
        </w:rPr>
        <w:t xml:space="preserve"> </w:t>
      </w:r>
      <w:r w:rsidRPr="00384D3F">
        <w:rPr>
          <w:color w:val="0070C0"/>
        </w:rPr>
        <w:t>(Fig. 1)</w:t>
      </w:r>
      <w:r>
        <w:t xml:space="preserve">. However, subduction erosion across Central America is not limited to areas where volcanic seafloor relief is </w:t>
      </w:r>
      <w:proofErr w:type="spellStart"/>
      <w:r>
        <w:t>subducting</w:t>
      </w:r>
      <w:proofErr w:type="spellEnd"/>
      <w:r>
        <w:t xml:space="preserve">. Erosion is also measured for Guatemala </w:t>
      </w:r>
      <w:r>
        <w:rPr>
          <w:noProof/>
        </w:rPr>
        <w:t>(Vannucchi et al., 2004)</w:t>
      </w:r>
      <w:r>
        <w:t xml:space="preserve"> and northern Costa Rica offshore Nicoya peninsula </w:t>
      </w:r>
      <w:r>
        <w:rPr>
          <w:noProof/>
        </w:rPr>
        <w:t>(Vannucchi et al., 2001; Vannucchi et al., 2003)</w:t>
      </w:r>
      <w:r>
        <w:t xml:space="preserve"> where the seafloor is relatively smooth and seamount-poor. More generally, the controlling factors on the occurrence of subduction erosion or accretion appear to be primarily linked with the thickness of trench sediments and the subduction rate </w:t>
      </w:r>
      <w:r>
        <w:rPr>
          <w:noProof/>
        </w:rPr>
        <w:t>(Clift and Vannucchi, 2004)</w:t>
      </w:r>
      <w:r>
        <w:t>. In particular, subduction erosion is favored by fast subduction - &gt;8 cm/</w:t>
      </w:r>
      <w:proofErr w:type="spellStart"/>
      <w:r>
        <w:t>yr</w:t>
      </w:r>
      <w:proofErr w:type="spellEnd"/>
      <w:r>
        <w:t xml:space="preserve"> – and thin - &lt;1 km – trench sediment fill.</w:t>
      </w:r>
    </w:p>
    <w:p w14:paraId="5C07CB70" w14:textId="6CE7B1D4" w:rsidR="000332D3" w:rsidRPr="00A12D38" w:rsidRDefault="000332D3" w:rsidP="00530331">
      <w:r>
        <w:lastRenderedPageBreak/>
        <w:t xml:space="preserve">In addition to the traces — ‘topographic shadows’ — that incoming plate relief can induce on the upper plate slope shortly after its subduction, in general subduction erosion can be directly detected by geologic observations in the forearc. Such observations include upper plate “basement” units – e.g. crystalline, ophiolitic, and fossil accretionary prisms – cropping out and forming the outer forearc </w:t>
      </w:r>
      <w:r>
        <w:rPr>
          <w:noProof/>
        </w:rPr>
        <w:t>(e.g. Straub et al., 2015)</w:t>
      </w:r>
      <w:r>
        <w:t xml:space="preserve">, or the presence of a plate boundary shear zone that cuts through upper plate material </w:t>
      </w:r>
      <w:r>
        <w:rPr>
          <w:noProof/>
        </w:rPr>
        <w:t>(Vannucchi et al., 2008)</w:t>
      </w:r>
      <w:r>
        <w:t xml:space="preserve">. Indirect evidence for subduction erosion involves a basal cut of imbricate thrusts and/or extensional faulting across the forearc that can be visible in reflection seismic </w:t>
      </w:r>
      <w:r w:rsidRPr="00CB06FE">
        <w:t xml:space="preserve">images </w:t>
      </w:r>
      <w:r w:rsidRPr="00CB06FE">
        <w:rPr>
          <w:noProof/>
        </w:rPr>
        <w:t>(</w:t>
      </w:r>
      <w:r w:rsidR="00F22CAC" w:rsidRPr="00CB06FE">
        <w:rPr>
          <w:noProof/>
        </w:rPr>
        <w:t xml:space="preserve">Ranero and von Huene, 2000; </w:t>
      </w:r>
      <w:r w:rsidRPr="00CB06FE">
        <w:rPr>
          <w:noProof/>
        </w:rPr>
        <w:t>Laursen et al., 2002)</w:t>
      </w:r>
      <w:r w:rsidRPr="00CB06FE">
        <w:t xml:space="preserve">, the progressive landward migration of the </w:t>
      </w:r>
      <w:r>
        <w:t>volcanic arc</w:t>
      </w:r>
      <w:r>
        <w:rPr>
          <w:noProof/>
        </w:rPr>
        <w:t>(Rutland, 1971; Bloomer et al., 1994</w:t>
      </w:r>
      <w:r w:rsidR="00F22CAC">
        <w:rPr>
          <w:noProof/>
        </w:rPr>
        <w:t xml:space="preserve">; </w:t>
      </w:r>
      <w:r>
        <w:rPr>
          <w:noProof/>
        </w:rPr>
        <w:t>Vannucchi et al., 2001; Kay et al., 2005)</w:t>
      </w:r>
      <w:r>
        <w:t xml:space="preserve">, and the </w:t>
      </w:r>
      <w:r w:rsidRPr="00CB06FE">
        <w:t xml:space="preserve">subsidence of the forearc </w:t>
      </w:r>
      <w:r w:rsidRPr="00CB06FE">
        <w:rPr>
          <w:noProof/>
        </w:rPr>
        <w:t>(von Huene et al., 1985; von Huene and Lallemand, 1990</w:t>
      </w:r>
      <w:r w:rsidR="00F22CAC" w:rsidRPr="00CB06FE">
        <w:rPr>
          <w:noProof/>
        </w:rPr>
        <w:t xml:space="preserve">; </w:t>
      </w:r>
      <w:r w:rsidRPr="00CB06FE">
        <w:rPr>
          <w:noProof/>
        </w:rPr>
        <w:t xml:space="preserve">Clift and MacLeod, </w:t>
      </w:r>
      <w:r>
        <w:rPr>
          <w:noProof/>
        </w:rPr>
        <w:t>1999; Vannucchi et al.</w:t>
      </w:r>
      <w:r w:rsidR="00F22CAC">
        <w:rPr>
          <w:noProof/>
        </w:rPr>
        <w:t xml:space="preserve">, 2001; </w:t>
      </w:r>
      <w:r>
        <w:rPr>
          <w:noProof/>
        </w:rPr>
        <w:t>2003)</w:t>
      </w:r>
      <w:r>
        <w:t xml:space="preserve">. The latter can be detected through forearc drilling of </w:t>
      </w:r>
      <w:r w:rsidRPr="00A12D38">
        <w:t xml:space="preserve">unconformities with deposition of progressively deeper marine sediments on top of </w:t>
      </w:r>
      <w:r>
        <w:t xml:space="preserve">continental to </w:t>
      </w:r>
      <w:r w:rsidRPr="00A12D38">
        <w:t>shallow marine coastal facies</w:t>
      </w:r>
      <w:r>
        <w:t>, and s</w:t>
      </w:r>
      <w:r w:rsidRPr="00A12D38">
        <w:t>edimentary and paleo-ecological proxies</w:t>
      </w:r>
      <w:r>
        <w:t xml:space="preserve">. It is important to notice that subsidence in the forearc </w:t>
      </w:r>
      <w:r>
        <w:noBreakHyphen/>
        <w:t xml:space="preserve"> in particular close to the trench </w:t>
      </w:r>
      <w:r>
        <w:noBreakHyphen/>
        <w:t xml:space="preserve"> implies upper plate thinning, i.e. local removal of forearc material.</w:t>
      </w:r>
    </w:p>
    <w:p w14:paraId="32146D24" w14:textId="77777777" w:rsidR="000332D3" w:rsidRDefault="000332D3" w:rsidP="00530331">
      <w:pPr>
        <w:pStyle w:val="Heading2"/>
      </w:pPr>
      <w:r>
        <w:t>Subduction erosion in Central America</w:t>
      </w:r>
    </w:p>
    <w:p w14:paraId="54ABD5AB" w14:textId="77777777" w:rsidR="000332D3" w:rsidRDefault="000332D3" w:rsidP="00530331">
      <w:r>
        <w:t xml:space="preserve">The Central America Trench was dredged offshore Nicaragua </w:t>
      </w:r>
      <w:r>
        <w:rPr>
          <w:noProof/>
        </w:rPr>
        <w:t>(Silver et al., 2000)</w:t>
      </w:r>
      <w:r>
        <w:t xml:space="preserve"> and Mexico </w:t>
      </w:r>
      <w:r>
        <w:rPr>
          <w:noProof/>
        </w:rPr>
        <w:t>(de Lepinay et al., 1997)</w:t>
      </w:r>
      <w:r>
        <w:t xml:space="preserve">. In both sites, upper plate basement was recovered from submarine outcrops located just a few km from the trench axis </w:t>
      </w:r>
      <w:r w:rsidRPr="00384D3F">
        <w:rPr>
          <w:color w:val="0070C0"/>
        </w:rPr>
        <w:t>(Fig. 1)</w:t>
      </w:r>
      <w:r>
        <w:t xml:space="preserve">. From Mexico to southern Costa Rica eight DSDP/ODP/IODP expeditions have recovered material from the forearc of the Central America trench </w:t>
      </w:r>
      <w:r w:rsidRPr="00384D3F">
        <w:rPr>
          <w:color w:val="0070C0"/>
        </w:rPr>
        <w:t>(Fig. 1)</w:t>
      </w:r>
      <w:r>
        <w:t xml:space="preserve">. Here we concentrate on the temporal variability of subduction erosion along the margin that is shown by DSDP Leg 84 offshore Guatemala, ODP Leg 170 offshore Northern Costa Rica, and IODP Exp. 334 offshore Southern Costa Rica </w:t>
      </w:r>
      <w:r>
        <w:rPr>
          <w:color w:val="0070C0"/>
        </w:rPr>
        <w:t>(Fig. 2</w:t>
      </w:r>
      <w:r w:rsidRPr="00384D3F">
        <w:rPr>
          <w:color w:val="0070C0"/>
        </w:rPr>
        <w:t>)</w:t>
      </w:r>
      <w:r>
        <w:t>. These three areas also correspond to different “</w:t>
      </w:r>
      <w:proofErr w:type="spellStart"/>
      <w:r>
        <w:t>smoothnesses</w:t>
      </w:r>
      <w:proofErr w:type="spellEnd"/>
      <w:r>
        <w:t xml:space="preserve">” of the </w:t>
      </w:r>
      <w:proofErr w:type="spellStart"/>
      <w:r>
        <w:lastRenderedPageBreak/>
        <w:t>subducting</w:t>
      </w:r>
      <w:proofErr w:type="spellEnd"/>
      <w:r>
        <w:t xml:space="preserve"> Cocos plate. Therefore, here they are considered type examples of what happens in smooth, seamount-dominated, and ridge-dominated subduction examples.</w:t>
      </w:r>
    </w:p>
    <w:p w14:paraId="5F30E7EC" w14:textId="77777777" w:rsidR="000332D3" w:rsidRPr="00B65B87" w:rsidRDefault="000332D3" w:rsidP="00530331">
      <w:pPr>
        <w:pStyle w:val="Heading3"/>
      </w:pPr>
      <w:r w:rsidRPr="00B65B87">
        <w:rPr>
          <w:rStyle w:val="Heading3Char"/>
          <w:i/>
        </w:rPr>
        <w:t>Guatemala –El Salvador – the “smooth” sector (Fig. 2).</w:t>
      </w:r>
    </w:p>
    <w:p w14:paraId="723E2AAA" w14:textId="2C621E8E" w:rsidR="000332D3" w:rsidRDefault="000332D3" w:rsidP="00530331">
      <w:r>
        <w:t xml:space="preserve">DSDP Leg 84 drilled </w:t>
      </w:r>
      <w:proofErr w:type="gramStart"/>
      <w:r>
        <w:t>a transect</w:t>
      </w:r>
      <w:proofErr w:type="gramEnd"/>
      <w:r>
        <w:t xml:space="preserve"> of five sites distributed from the margin toe to the upper slope. Four of the five sites (Site 566, 567, 568 and 570) recovered basic and ultrabasic upper plate basement, such as amphibolite and </w:t>
      </w:r>
      <w:proofErr w:type="spellStart"/>
      <w:r>
        <w:t>serpentinite</w:t>
      </w:r>
      <w:proofErr w:type="spellEnd"/>
      <w:r>
        <w:t xml:space="preserve"> </w:t>
      </w:r>
      <w:r>
        <w:rPr>
          <w:noProof/>
        </w:rPr>
        <w:t>(Aubouin and von Huene, 1985; von Huene et al., 1985)</w:t>
      </w:r>
      <w:r>
        <w:t xml:space="preserve">, underlying the slope sediments. In the middle to upper slope sites, Site 568, 569, and 570, the slope sediments on top of the basement showed limited reworking and provided good </w:t>
      </w:r>
      <w:proofErr w:type="spellStart"/>
      <w:r>
        <w:t>paleobathymetry</w:t>
      </w:r>
      <w:proofErr w:type="spellEnd"/>
      <w:r>
        <w:t xml:space="preserve"> data. In particular they revealed considerable subsidence that progressively migrated in time from the middle slope to the upper slope </w:t>
      </w:r>
      <w:r>
        <w:rPr>
          <w:noProof/>
        </w:rPr>
        <w:t>(Vannucchi et al., 2004)</w:t>
      </w:r>
      <w:r>
        <w:t xml:space="preserve">. The record from Site 569 shows that subsidence started abruptly in the early Miocene - </w:t>
      </w:r>
      <w:r>
        <w:sym w:font="Symbol" w:char="F0BB"/>
      </w:r>
      <w:r>
        <w:t xml:space="preserve">19 Ma – in the middle slope, involved the middle-upper slope Site 568 at the Miocene-Pliocene boundary - </w:t>
      </w:r>
      <w:r>
        <w:sym w:font="Symbol" w:char="F0BB"/>
      </w:r>
      <w:r>
        <w:t xml:space="preserve">5 Ma -, and finally reached the upper slope at Site 570 in the Pliocene-Pleistocene boundary - </w:t>
      </w:r>
      <w:r>
        <w:sym w:font="Symbol" w:char="F0BB"/>
      </w:r>
      <w:r>
        <w:t xml:space="preserve">2 Ma. It is important to note that the subsidence calculated </w:t>
      </w:r>
      <w:r w:rsidR="00904BC3">
        <w:t>from</w:t>
      </w:r>
      <w:r>
        <w:t xml:space="preserve"> seismic reflection images is much less than that resolved </w:t>
      </w:r>
      <w:r w:rsidR="00904BC3">
        <w:t xml:space="preserve">well </w:t>
      </w:r>
      <w:r>
        <w:t xml:space="preserve">by biostratigraphy </w:t>
      </w:r>
      <w:r>
        <w:rPr>
          <w:noProof/>
        </w:rPr>
        <w:t>(Vannucchi et al., 2004)</w:t>
      </w:r>
      <w:r>
        <w:t xml:space="preserve">. The progression </w:t>
      </w:r>
      <w:r w:rsidR="00904BC3">
        <w:t xml:space="preserve">of subsidence </w:t>
      </w:r>
      <w:r>
        <w:t xml:space="preserve">shows that subduction erosion seems to be most efficient at basal depths </w:t>
      </w:r>
      <w:r w:rsidR="00904BC3">
        <w:t xml:space="preserve">which </w:t>
      </w:r>
      <w:r>
        <w:t>correspond to the region below the upper slope and shelf. The subduction erosion rates calculated for each of the sites have values between 11.3 to 13.4 km</w:t>
      </w:r>
      <w:r w:rsidRPr="00D0662F">
        <w:rPr>
          <w:vertAlign w:val="superscript"/>
        </w:rPr>
        <w:t>3</w:t>
      </w:r>
      <w:r>
        <w:t>/</w:t>
      </w:r>
      <w:proofErr w:type="spellStart"/>
      <w:r>
        <w:t>myr</w:t>
      </w:r>
      <w:proofErr w:type="spellEnd"/>
      <w:r>
        <w:t>/km of trench, with an average of 12 km</w:t>
      </w:r>
      <w:r w:rsidRPr="00D0662F">
        <w:rPr>
          <w:vertAlign w:val="superscript"/>
        </w:rPr>
        <w:t>3</w:t>
      </w:r>
      <w:r>
        <w:t>/</w:t>
      </w:r>
      <w:proofErr w:type="spellStart"/>
      <w:r>
        <w:t>myr</w:t>
      </w:r>
      <w:proofErr w:type="spellEnd"/>
      <w:r>
        <w:t xml:space="preserve">/km of trench or 0.03 </w:t>
      </w:r>
      <w:proofErr w:type="spellStart"/>
      <w:r>
        <w:t>Tg</w:t>
      </w:r>
      <w:proofErr w:type="spellEnd"/>
      <w:r>
        <w:t>/</w:t>
      </w:r>
      <w:proofErr w:type="spellStart"/>
      <w:r>
        <w:t>yr</w:t>
      </w:r>
      <w:proofErr w:type="spellEnd"/>
      <w:r>
        <w:t xml:space="preserve"> </w:t>
      </w:r>
      <w:r>
        <w:rPr>
          <w:noProof/>
        </w:rPr>
        <w:t>(Vannucchi et al., 2004)</w:t>
      </w:r>
      <w:r>
        <w:t xml:space="preserve">. This long-term steady-state subduction erosion has taken place at least since the middle Miocene and sets a minimum background value for Central American subduction erosion </w:t>
      </w:r>
      <w:r>
        <w:rPr>
          <w:color w:val="0070C0"/>
        </w:rPr>
        <w:t>(Fig. 2</w:t>
      </w:r>
      <w:r w:rsidRPr="00384D3F">
        <w:rPr>
          <w:color w:val="0070C0"/>
        </w:rPr>
        <w:t>)</w:t>
      </w:r>
      <w:r>
        <w:t xml:space="preserve">. </w:t>
      </w:r>
    </w:p>
    <w:p w14:paraId="55F7A51B" w14:textId="77777777" w:rsidR="000332D3" w:rsidRPr="00B65B87" w:rsidRDefault="000332D3" w:rsidP="00530331">
      <w:pPr>
        <w:pStyle w:val="Heading3"/>
      </w:pPr>
      <w:proofErr w:type="gramStart"/>
      <w:r w:rsidRPr="00B65B87">
        <w:rPr>
          <w:rStyle w:val="Heading3Char"/>
          <w:i/>
        </w:rPr>
        <w:t>Nicaragua-Northern Costa Rica – the “seamount-dominated” sector (Fig. 2).</w:t>
      </w:r>
      <w:proofErr w:type="gramEnd"/>
    </w:p>
    <w:p w14:paraId="1885E5A3" w14:textId="3402519F" w:rsidR="000332D3" w:rsidRDefault="00904BC3" w:rsidP="00530331">
      <w:proofErr w:type="gramStart"/>
      <w:r>
        <w:t>About</w:t>
      </w:r>
      <w:r w:rsidR="000332D3">
        <w:t xml:space="preserve"> 600 km to the ESE offshore the Nicoya peninsula in Costa Rica, Leg 170 drilled two sites to understand the nature of the upper plate basement.</w:t>
      </w:r>
      <w:proofErr w:type="gramEnd"/>
      <w:r w:rsidR="000332D3">
        <w:t xml:space="preserve"> Here there </w:t>
      </w:r>
      <w:r>
        <w:t xml:space="preserve">was </w:t>
      </w:r>
      <w:r w:rsidR="000332D3">
        <w:t xml:space="preserve">also a previous </w:t>
      </w:r>
      <w:r>
        <w:t xml:space="preserve">drilling </w:t>
      </w:r>
      <w:r w:rsidR="000332D3">
        <w:t xml:space="preserve">attempt </w:t>
      </w:r>
      <w:r w:rsidR="000332D3">
        <w:lastRenderedPageBreak/>
        <w:t xml:space="preserve">done during Leg 84. The base of the slope sediment succession and its underlying rocks were reached at Site 1042. The base of the slope sediment succession is formed by a middle Miocene - </w:t>
      </w:r>
      <w:r w:rsidR="000332D3">
        <w:sym w:font="Symbol" w:char="F0BB"/>
      </w:r>
      <w:r w:rsidR="000332D3">
        <w:t xml:space="preserve">16.5 Ma - carbonate breccia </w:t>
      </w:r>
      <w:r w:rsidR="000332D3">
        <w:rPr>
          <w:noProof/>
        </w:rPr>
        <w:t xml:space="preserve">(Vannucchi </w:t>
      </w:r>
      <w:r w:rsidR="00F22CAC">
        <w:rPr>
          <w:noProof/>
        </w:rPr>
        <w:t xml:space="preserve">et al., 2001; </w:t>
      </w:r>
      <w:r w:rsidR="000332D3">
        <w:rPr>
          <w:noProof/>
        </w:rPr>
        <w:t>2003)</w:t>
      </w:r>
      <w:r w:rsidR="000332D3">
        <w:t xml:space="preserve">. The breccia consists of well cemented carbonate sandstone clasts in a well cemented sandstone matrix. The sands of both clasts and matrix have the same composition with abundant neritic fossils, </w:t>
      </w:r>
      <w:proofErr w:type="spellStart"/>
      <w:r w:rsidR="000332D3">
        <w:t>geopetal</w:t>
      </w:r>
      <w:proofErr w:type="spellEnd"/>
      <w:r w:rsidR="000332D3">
        <w:t xml:space="preserve"> fillings, and vadose cement. Its characteristics, therefore, imply deposition in a beach environment </w:t>
      </w:r>
      <w:r w:rsidR="000332D3">
        <w:rPr>
          <w:noProof/>
        </w:rPr>
        <w:t>(Vannucchi et al., 2001)</w:t>
      </w:r>
      <w:r w:rsidR="000332D3">
        <w:t xml:space="preserve">. This beach-rock is presently at about 4000 m depth - </w:t>
      </w:r>
      <w:r w:rsidR="000332D3">
        <w:sym w:font="Symbol" w:char="F0BB"/>
      </w:r>
      <w:r w:rsidR="000332D3">
        <w:t xml:space="preserve">3600 m of water + </w:t>
      </w:r>
      <w:r w:rsidR="000332D3">
        <w:sym w:font="Symbol" w:char="F0BB"/>
      </w:r>
      <w:r w:rsidR="000332D3">
        <w:t>400 m of sediments – and at about 4 km from the trench axis where the upper plate has an estimated thickness of about 2 km. Based on this data point the average subduction erosion rate offshore Nicoya peninsula has been about 35 km</w:t>
      </w:r>
      <w:r w:rsidR="000332D3" w:rsidRPr="00D0662F">
        <w:rPr>
          <w:vertAlign w:val="superscript"/>
        </w:rPr>
        <w:t>3</w:t>
      </w:r>
      <w:r w:rsidR="000332D3">
        <w:t>/</w:t>
      </w:r>
      <w:proofErr w:type="spellStart"/>
      <w:r w:rsidR="000332D3">
        <w:t>myr</w:t>
      </w:r>
      <w:proofErr w:type="spellEnd"/>
      <w:r w:rsidR="000332D3">
        <w:t xml:space="preserve">/km of trench or 0.10 </w:t>
      </w:r>
      <w:proofErr w:type="spellStart"/>
      <w:r w:rsidR="000332D3">
        <w:t>Tg</w:t>
      </w:r>
      <w:proofErr w:type="spellEnd"/>
      <w:r w:rsidR="000332D3">
        <w:t>/</w:t>
      </w:r>
      <w:proofErr w:type="spellStart"/>
      <w:r w:rsidR="000332D3">
        <w:t>yr</w:t>
      </w:r>
      <w:proofErr w:type="spellEnd"/>
      <w:r w:rsidR="000332D3">
        <w:t xml:space="preserve"> </w:t>
      </w:r>
      <w:r w:rsidR="000332D3">
        <w:rPr>
          <w:noProof/>
        </w:rPr>
        <w:t>(Vannucchi et al., 2001)</w:t>
      </w:r>
      <w:r w:rsidR="000332D3">
        <w:t xml:space="preserve">. Under this former beach-rock, drilling recovered basement material consisting of a basement ophiolitic breccia with clasts of cherts, basalt and ultramafic rocks </w:t>
      </w:r>
      <w:r w:rsidR="000332D3">
        <w:rPr>
          <w:noProof/>
        </w:rPr>
        <w:t>(Kimura et al., 1997)</w:t>
      </w:r>
      <w:r w:rsidR="000332D3">
        <w:t xml:space="preserve">. Paleontological and geochemical analyses on the breccia showed its source rock to be the Nicoya Complex, the ophiolitic unit that crops out on the Nicoya peninsula </w:t>
      </w:r>
      <w:r w:rsidR="000332D3">
        <w:rPr>
          <w:noProof/>
        </w:rPr>
        <w:t>(Steiger et al., 2005)</w:t>
      </w:r>
      <w:r w:rsidR="000332D3">
        <w:t xml:space="preserve">. On the basis of coastal exposures in Nicoya Peninsula, the basement ophiolitic breccia is temporally and </w:t>
      </w:r>
      <w:proofErr w:type="spellStart"/>
      <w:r w:rsidR="000332D3">
        <w:t>lithostratigraphically</w:t>
      </w:r>
      <w:proofErr w:type="spellEnd"/>
      <w:r w:rsidR="000332D3">
        <w:t xml:space="preserve"> correlated with the basal breccia marking the regional angular unconformity that separates the Neogene neritic to non-marine sequences from the underlying mafic units of the Mesozoic Nicoya Complex (Vannucchi et al., 2001).This interpretation is consistent with both the presence of ophiolite dredged from an outcrop offshore Nicaragua about 200 km to the NNW </w:t>
      </w:r>
      <w:r w:rsidR="000332D3">
        <w:rPr>
          <w:noProof/>
        </w:rPr>
        <w:t>(Silver et al., 2000)</w:t>
      </w:r>
      <w:r w:rsidR="00F22CAC">
        <w:rPr>
          <w:noProof/>
        </w:rPr>
        <w:t xml:space="preserve"> </w:t>
      </w:r>
      <w:r w:rsidR="000332D3">
        <w:t xml:space="preserve">(Fig. 1) and the acoustic properties of the forearc basement as measured by seismic reflection and refraction profiles </w:t>
      </w:r>
      <w:r w:rsidR="000332D3">
        <w:rPr>
          <w:noProof/>
        </w:rPr>
        <w:t>(Hinz et al., 1996; Ye et al., 1996; Stavenhagen et al., 1998; Ranero and von Huene, 2000; Walther et al., 2000)</w:t>
      </w:r>
      <w:r w:rsidR="000332D3">
        <w:t>.</w:t>
      </w:r>
      <w:r w:rsidR="000332D3" w:rsidRPr="001875F1">
        <w:t xml:space="preserve"> </w:t>
      </w:r>
    </w:p>
    <w:p w14:paraId="63C7561C" w14:textId="6302C048" w:rsidR="000332D3" w:rsidRDefault="000332D3" w:rsidP="00530331">
      <w:r>
        <w:t xml:space="preserve">Above the beach-rock unit, sediments record continuous deposition since the middle Miocene </w:t>
      </w:r>
      <w:r>
        <w:rPr>
          <w:noProof/>
        </w:rPr>
        <w:t>(Vannucchi et al., 2003)</w:t>
      </w:r>
      <w:r>
        <w:t>. The distribution of benthic foraminifera show taxa common in bathyal (&lt;2000 m water depth) setting</w:t>
      </w:r>
      <w:r w:rsidR="00416D2A">
        <w:t>s</w:t>
      </w:r>
      <w:r>
        <w:t xml:space="preserve"> at the base of the sequence, whereas taxa common in abyssal (&gt;2000 m) </w:t>
      </w:r>
      <w:r>
        <w:lastRenderedPageBreak/>
        <w:t>setting</w:t>
      </w:r>
      <w:r w:rsidR="00416D2A">
        <w:t>s</w:t>
      </w:r>
      <w:r>
        <w:t xml:space="preserve"> dominate the most recent sediments. The deepening-upward sequence confirms the trend indicated by the beach deposits found at its base. Careful analysis of the distribution of the benthic foraminifera show that subsidence did not occur at a constant rate, but, as already seen for Guatemala, it started quite abruptly at about the Miocene-Pliocene boundary (5.3 Ma) and continued to subside more rapidly until about 4 Ma when its rate slowed significantly, to increase again to an even higher rate at 2.5 Ma </w:t>
      </w:r>
      <w:r>
        <w:rPr>
          <w:noProof/>
        </w:rPr>
        <w:t>(Vannucchi et al., 2003)</w:t>
      </w:r>
      <w:r>
        <w:t>. In this dataset, the first event starting at 6 Ma was responsible for the removal of about 200 km</w:t>
      </w:r>
      <w:r w:rsidRPr="005E671D">
        <w:rPr>
          <w:vertAlign w:val="superscript"/>
        </w:rPr>
        <w:t>3</w:t>
      </w:r>
      <w:r>
        <w:t xml:space="preserve"> of forearc material corresponding to an erosion rate of 80 km</w:t>
      </w:r>
      <w:r w:rsidRPr="00D0662F">
        <w:rPr>
          <w:vertAlign w:val="superscript"/>
        </w:rPr>
        <w:t>3</w:t>
      </w:r>
      <w:r>
        <w:t>/</w:t>
      </w:r>
      <w:proofErr w:type="spellStart"/>
      <w:r>
        <w:t>myr</w:t>
      </w:r>
      <w:proofErr w:type="spellEnd"/>
      <w:r>
        <w:t xml:space="preserve">/km of trench or 0.23 </w:t>
      </w:r>
      <w:proofErr w:type="spellStart"/>
      <w:r>
        <w:t>Tg</w:t>
      </w:r>
      <w:proofErr w:type="spellEnd"/>
      <w:r>
        <w:t>/</w:t>
      </w:r>
      <w:proofErr w:type="spellStart"/>
      <w:r>
        <w:t>yr</w:t>
      </w:r>
      <w:proofErr w:type="spellEnd"/>
      <w:r>
        <w:t>, whereas the second event starting at 2.5 Ma was responsible for the removal of about 350 km</w:t>
      </w:r>
      <w:r w:rsidRPr="005E671D">
        <w:rPr>
          <w:vertAlign w:val="superscript"/>
        </w:rPr>
        <w:t>3</w:t>
      </w:r>
      <w:r>
        <w:t xml:space="preserve"> of forearc material corresponding to an erosion rate of 140 km</w:t>
      </w:r>
      <w:r w:rsidRPr="00D0662F">
        <w:rPr>
          <w:vertAlign w:val="superscript"/>
        </w:rPr>
        <w:t>3</w:t>
      </w:r>
      <w:r>
        <w:t>/</w:t>
      </w:r>
      <w:proofErr w:type="spellStart"/>
      <w:r>
        <w:t>myr</w:t>
      </w:r>
      <w:proofErr w:type="spellEnd"/>
      <w:r>
        <w:t xml:space="preserve">/km of trench or 0.41 </w:t>
      </w:r>
      <w:proofErr w:type="spellStart"/>
      <w:r>
        <w:t>Tg</w:t>
      </w:r>
      <w:proofErr w:type="spellEnd"/>
      <w:r>
        <w:t>/</w:t>
      </w:r>
      <w:proofErr w:type="spellStart"/>
      <w:r>
        <w:t>yr</w:t>
      </w:r>
      <w:proofErr w:type="spellEnd"/>
      <w:r>
        <w:t xml:space="preserve"> </w:t>
      </w:r>
      <w:r w:rsidRPr="00EA6A32">
        <w:rPr>
          <w:color w:val="0070C0"/>
        </w:rPr>
        <w:t>(Fig. 2)</w:t>
      </w:r>
      <w:r>
        <w:t xml:space="preserve">. </w:t>
      </w:r>
    </w:p>
    <w:p w14:paraId="713F5D57" w14:textId="77777777" w:rsidR="000332D3" w:rsidRDefault="000332D3" w:rsidP="00530331">
      <w:pPr>
        <w:pStyle w:val="Heading3"/>
      </w:pPr>
      <w:proofErr w:type="gramStart"/>
      <w:r w:rsidRPr="005E671D">
        <w:t>Southern Costa Rica</w:t>
      </w:r>
      <w:r>
        <w:t xml:space="preserve"> – the “ridge-</w:t>
      </w:r>
      <w:r w:rsidR="00416D2A">
        <w:t>subduction-</w:t>
      </w:r>
      <w:r>
        <w:t xml:space="preserve">dominated” sector </w:t>
      </w:r>
      <w:r w:rsidRPr="00104E38">
        <w:rPr>
          <w:color w:val="0070C0"/>
        </w:rPr>
        <w:t>(fig. 2)</w:t>
      </w:r>
      <w:r>
        <w:t>.</w:t>
      </w:r>
      <w:proofErr w:type="gramEnd"/>
    </w:p>
    <w:p w14:paraId="26ECC566" w14:textId="358F584C" w:rsidR="000332D3" w:rsidRDefault="000332D3" w:rsidP="00530331">
      <w:r>
        <w:t xml:space="preserve">The Cocos Ridge is a 20-22 Ma aseismic ridge </w:t>
      </w:r>
      <w:r>
        <w:rPr>
          <w:noProof/>
        </w:rPr>
        <w:t>(Lonsdale and Klitgord, 1978)</w:t>
      </w:r>
      <w:r>
        <w:t xml:space="preserve">. It is a 2000-m-high marine feature with a crustal thickness reaching &gt;20 km whereas the adjacent crust of the Cocos plate at the trench is ~10 km-thick </w:t>
      </w:r>
      <w:r>
        <w:rPr>
          <w:noProof/>
        </w:rPr>
        <w:t>(Sallares et al., 2001)</w:t>
      </w:r>
      <w:r>
        <w:t xml:space="preserve">. Three sites of IODP Exp. 334 and 344 focused on the upper slope and shelf inboard of the Cocos Ridge and offshore </w:t>
      </w:r>
      <w:proofErr w:type="spellStart"/>
      <w:proofErr w:type="gramStart"/>
      <w:r>
        <w:t>Osa</w:t>
      </w:r>
      <w:proofErr w:type="spellEnd"/>
      <w:proofErr w:type="gramEnd"/>
      <w:r>
        <w:t xml:space="preserve"> peninsula </w:t>
      </w:r>
      <w:r>
        <w:rPr>
          <w:noProof/>
        </w:rPr>
        <w:t>(Vannucchi et al., 2012; Harris et al., 2013)</w:t>
      </w:r>
      <w:r>
        <w:t xml:space="preserve">. </w:t>
      </w:r>
      <w:proofErr w:type="gramStart"/>
      <w:r>
        <w:t>Two of them, Sites U1379 and U1380 (Fig. 3), sampled and penetrated beneath the acoustic reflector marking the base of slope/shelf sediments.</w:t>
      </w:r>
      <w:proofErr w:type="gramEnd"/>
      <w:r>
        <w:t xml:space="preserve"> Site U1379 exhibited a sharp unconformity, whereas Site U1380, located about 10 km </w:t>
      </w:r>
      <w:proofErr w:type="spellStart"/>
      <w:r>
        <w:t>trenchward</w:t>
      </w:r>
      <w:proofErr w:type="spellEnd"/>
      <w:r>
        <w:t xml:space="preserve"> from the other site, had a less</w:t>
      </w:r>
      <w:r w:rsidRPr="00F56CDA">
        <w:t xml:space="preserve"> </w:t>
      </w:r>
      <w:r>
        <w:t xml:space="preserve">well-defined unconformity marking the base of slope sequence. The erosional unconformity at Site U1379 is marked by a white calcium carbonate deposit that separates a Pliocene/Pleistocene - </w:t>
      </w:r>
      <w:r>
        <w:sym w:font="Symbol" w:char="F0BB"/>
      </w:r>
      <w:r>
        <w:t xml:space="preserve">2.5 Ma - hemipelagic mudstone from an overlying Pleistocene, 1.85 m-thick conglomerate-sandstone unit </w:t>
      </w:r>
      <w:r>
        <w:rPr>
          <w:noProof/>
        </w:rPr>
        <w:t>(Vannucchi et al., 2013)</w:t>
      </w:r>
      <w:r>
        <w:t xml:space="preserve">. The age gap between the two sedimentary units is smaller than the age-uncertainties for </w:t>
      </w:r>
      <w:proofErr w:type="spellStart"/>
      <w:r>
        <w:t>biostratigraphic</w:t>
      </w:r>
      <w:proofErr w:type="spellEnd"/>
      <w:r>
        <w:t xml:space="preserve"> detection; this technique implies this unconformity formed between 2.5 Ma and 1.9 Ma </w:t>
      </w:r>
      <w:r>
        <w:rPr>
          <w:noProof/>
        </w:rPr>
        <w:t>(Vannucchi et al., 2013)</w:t>
      </w:r>
      <w:r>
        <w:t>. With somewhat higher-precision</w:t>
      </w:r>
      <w:r w:rsidRPr="00905D9B">
        <w:t xml:space="preserve"> tephr</w:t>
      </w:r>
      <w:r>
        <w:t>o</w:t>
      </w:r>
      <w:r w:rsidRPr="00905D9B">
        <w:t>chronology</w:t>
      </w:r>
      <w:r>
        <w:t>,</w:t>
      </w:r>
      <w:r w:rsidRPr="00905D9B">
        <w:t xml:space="preserve"> the unconformity </w:t>
      </w:r>
      <w:r>
        <w:t xml:space="preserve">is </w:t>
      </w:r>
      <w:r>
        <w:lastRenderedPageBreak/>
        <w:t>estimated to have</w:t>
      </w:r>
      <w:r w:rsidRPr="00905D9B">
        <w:t xml:space="preserve"> an age of 2.2</w:t>
      </w:r>
      <w:r w:rsidRPr="00905D9B">
        <w:sym w:font="Symbol" w:char="F0B1"/>
      </w:r>
      <w:r w:rsidRPr="00905D9B">
        <w:t xml:space="preserve">0.2 Ma </w:t>
      </w:r>
      <w:r w:rsidRPr="00905D9B">
        <w:rPr>
          <w:noProof/>
        </w:rPr>
        <w:t>(Schindlbeck et al., in press)</w:t>
      </w:r>
      <w:r w:rsidRPr="00905D9B">
        <w:t>.</w:t>
      </w:r>
      <w:r>
        <w:t xml:space="preserve"> The underlying mudstone presents some cracks a few mm thick that are filled with fine grained material coming from the overlying unit. The basal unit of the slope/shelf sequence is formed from a meter of pebble-conglomerate at its base transitioning upwards to carbonate-cemented sandstones with well-rounded lithic pebble-sized clasts and shells and shell fragments that often form cm-thick layers </w:t>
      </w:r>
      <w:r>
        <w:rPr>
          <w:noProof/>
        </w:rPr>
        <w:t>(Vannucchi et al., 2012; Vannucchi et al., 2013)</w:t>
      </w:r>
      <w:r>
        <w:t>. Most of the pebbles are basaltic, with minor cherts. Geochemical analyses of the basalts reveal their overall MORB affinity (</w:t>
      </w:r>
      <w:proofErr w:type="spellStart"/>
      <w:r>
        <w:t>Masaoki</w:t>
      </w:r>
      <w:proofErr w:type="spellEnd"/>
      <w:r>
        <w:t xml:space="preserve"> Uno, personal communication). The sedimentary structures of this basal unit suggest that its origin was a beach that evolved from pebbly to sandy to a nearshore environment </w:t>
      </w:r>
      <w:r>
        <w:rPr>
          <w:noProof/>
        </w:rPr>
        <w:t>(Vannucchi et al., 2013)</w:t>
      </w:r>
      <w:r>
        <w:t xml:space="preserve">. Downslope, at Site U1380, this unit transitions to an 11-m-thick deposit where medium- to coarse-grained sandstones layers rich in shell fragments alternate with minor clayey siltstone layers </w:t>
      </w:r>
      <w:r>
        <w:rPr>
          <w:noProof/>
        </w:rPr>
        <w:t>(Harris et al., 2013)</w:t>
      </w:r>
      <w:r>
        <w:t xml:space="preserve">. The Site U1380 deposit has been dated between 2.1 and 1.9 Ma and it is located at a depth coincident with the acoustic reflector marking the base of slope sediment, but no visible unconformity is present at this location </w:t>
      </w:r>
      <w:r>
        <w:rPr>
          <w:noProof/>
        </w:rPr>
        <w:t>(Harris et al., 2013)</w:t>
      </w:r>
      <w:r>
        <w:t xml:space="preserve">. At Site U1380 the underlying deposit is composed of siltstone, sandstone and minor conglomerate beds organized in two fining upward sequences </w:t>
      </w:r>
      <w:r>
        <w:rPr>
          <w:noProof/>
        </w:rPr>
        <w:t>(Harris et al., 2013)</w:t>
      </w:r>
      <w:r>
        <w:t>. These cores suggest that in the middle slope the sedimentary environment didn’t change quite so dramatically as</w:t>
      </w:r>
      <w:r w:rsidR="00416D2A">
        <w:t xml:space="preserve"> it did</w:t>
      </w:r>
      <w:r>
        <w:t xml:space="preserve"> in the shelf, but sedimentation was controlled by reworking of sediments deposited upslope where erosion was dominating a nearshore environment.</w:t>
      </w:r>
    </w:p>
    <w:p w14:paraId="645D9805" w14:textId="77777777" w:rsidR="000332D3" w:rsidRDefault="000332D3" w:rsidP="00530331"/>
    <w:p w14:paraId="759DD9F8" w14:textId="3EF418B0" w:rsidR="000332D3" w:rsidRDefault="000332D3" w:rsidP="00530331">
      <w:r>
        <w:t xml:space="preserve">Both Sites U1379 and U1380 penetrated below the acoustic reflector marking the base of the slope/shelf sediments. In both cases the sediments </w:t>
      </w:r>
      <w:r w:rsidR="00416D2A">
        <w:t xml:space="preserve">recovered </w:t>
      </w:r>
      <w:r>
        <w:t xml:space="preserve">below the acoustic reflector </w:t>
      </w:r>
      <w:r w:rsidR="00416D2A">
        <w:t xml:space="preserve">were </w:t>
      </w:r>
      <w:r>
        <w:t xml:space="preserve">relatively </w:t>
      </w:r>
      <w:proofErr w:type="spellStart"/>
      <w:r>
        <w:t>undeformed</w:t>
      </w:r>
      <w:proofErr w:type="spellEnd"/>
      <w:r>
        <w:t xml:space="preserve"> hemipelagic and terrigenous sediments related to a forearc environment </w:t>
      </w:r>
      <w:r>
        <w:rPr>
          <w:noProof/>
        </w:rPr>
        <w:lastRenderedPageBreak/>
        <w:t>(Vannucchi et al., 2012; Harris et al., 2013)</w:t>
      </w:r>
      <w:r w:rsidR="00416D2A">
        <w:rPr>
          <w:noProof/>
        </w:rPr>
        <w:t>.</w:t>
      </w:r>
      <w:r>
        <w:rPr>
          <w:noProof/>
        </w:rPr>
        <w:t xml:space="preserve"> </w:t>
      </w:r>
      <w:r w:rsidR="00416D2A">
        <w:rPr>
          <w:noProof/>
        </w:rPr>
        <w:t xml:space="preserve"> N</w:t>
      </w:r>
      <w:r>
        <w:rPr>
          <w:noProof/>
        </w:rPr>
        <w:t>o upper plate basement was reached</w:t>
      </w:r>
      <w:r>
        <w:t>. This occurrence suggests multiple cycles of forearc basin sedimentation (Vannucchi et al, 2016).</w:t>
      </w:r>
    </w:p>
    <w:p w14:paraId="43BFFD59" w14:textId="6A7EB78D" w:rsidR="000332D3" w:rsidRDefault="000332D3" w:rsidP="00530331">
      <w:pPr>
        <w:rPr>
          <w:rFonts w:eastAsia="TimesNewRomanPSMT" w:cs="TimesNewRomanPSMT"/>
        </w:rPr>
      </w:pPr>
      <w:r w:rsidRPr="00071E2F">
        <w:t xml:space="preserve">The sedimentological and paleontological analysis of the </w:t>
      </w:r>
      <w:r>
        <w:t xml:space="preserve">slope/shelf </w:t>
      </w:r>
      <w:r w:rsidRPr="00071E2F">
        <w:t xml:space="preserve">sediments above the </w:t>
      </w:r>
      <w:r>
        <w:t xml:space="preserve">acoustic reflector - and the </w:t>
      </w:r>
      <w:r w:rsidRPr="00071E2F">
        <w:t xml:space="preserve">basal </w:t>
      </w:r>
      <w:r>
        <w:t xml:space="preserve">beach/nearshore </w:t>
      </w:r>
      <w:r w:rsidRPr="00071E2F">
        <w:t xml:space="preserve">deposits </w:t>
      </w:r>
      <w:r>
        <w:t xml:space="preserve">for Site U1379 - </w:t>
      </w:r>
      <w:r w:rsidRPr="00071E2F">
        <w:t>show</w:t>
      </w:r>
      <w:r>
        <w:t>s</w:t>
      </w:r>
      <w:r w:rsidRPr="00071E2F">
        <w:t xml:space="preserve"> subsidence to abyssal depths followed by uplift to the modern water depth</w:t>
      </w:r>
      <w:r>
        <w:t>s</w:t>
      </w:r>
      <w:r w:rsidRPr="00071E2F">
        <w:t xml:space="preserve"> of 127 m for Site U1379 and 500</w:t>
      </w:r>
      <w:r>
        <w:t xml:space="preserve"> m</w:t>
      </w:r>
      <w:r w:rsidRPr="00071E2F">
        <w:t xml:space="preserve"> for Sites </w:t>
      </w:r>
      <w:r>
        <w:t>U1380</w:t>
      </w:r>
      <w:r w:rsidRPr="00071E2F">
        <w:t xml:space="preserve"> and </w:t>
      </w:r>
      <w:r>
        <w:t>U</w:t>
      </w:r>
      <w:r w:rsidRPr="00071E2F">
        <w:t>1381</w:t>
      </w:r>
      <w:r>
        <w:t xml:space="preserve"> </w:t>
      </w:r>
      <w:r>
        <w:rPr>
          <w:noProof/>
        </w:rPr>
        <w:t>(Vannucchi et al., 2013)</w:t>
      </w:r>
      <w:r w:rsidRPr="00071E2F">
        <w:t xml:space="preserve">. This somewhat more complex trend offshore </w:t>
      </w:r>
      <w:proofErr w:type="spellStart"/>
      <w:proofErr w:type="gramStart"/>
      <w:r w:rsidRPr="00071E2F">
        <w:t>Osa</w:t>
      </w:r>
      <w:proofErr w:type="spellEnd"/>
      <w:proofErr w:type="gramEnd"/>
      <w:r w:rsidRPr="00071E2F">
        <w:t xml:space="preserve"> peninsula </w:t>
      </w:r>
      <w:r>
        <w:t xml:space="preserve">is anticipated to be a byproduct of </w:t>
      </w:r>
      <w:r w:rsidRPr="00071E2F">
        <w:t xml:space="preserve">the subduction of the Cocos Ridge. The </w:t>
      </w:r>
      <w:r>
        <w:t>onset time for</w:t>
      </w:r>
      <w:r w:rsidRPr="00071E2F">
        <w:t xml:space="preserve"> </w:t>
      </w:r>
      <w:r>
        <w:t xml:space="preserve">Cocos Ridge </w:t>
      </w:r>
      <w:r w:rsidRPr="00071E2F">
        <w:t>subduction at Central America has been debated for decades</w:t>
      </w:r>
      <w:r>
        <w:t xml:space="preserve"> (see next paragraph)</w:t>
      </w:r>
      <w:r w:rsidRPr="00071E2F">
        <w:t xml:space="preserve">. Drilling data point </w:t>
      </w:r>
      <w:r>
        <w:t>that a major</w:t>
      </w:r>
      <w:r w:rsidRPr="00071E2F">
        <w:t xml:space="preserve"> event occurr</w:t>
      </w:r>
      <w:r>
        <w:t>ed</w:t>
      </w:r>
      <w:r w:rsidRPr="00071E2F">
        <w:t xml:space="preserve"> at 2.2</w:t>
      </w:r>
      <w:r w:rsidRPr="00071E2F">
        <w:sym w:font="Symbol" w:char="F0B1"/>
      </w:r>
      <w:r w:rsidRPr="00071E2F">
        <w:t xml:space="preserve">0.2 Ma </w:t>
      </w:r>
      <w:r>
        <w:t xml:space="preserve">and was </w:t>
      </w:r>
      <w:r w:rsidRPr="00071E2F">
        <w:t xml:space="preserve">responsible for the sudden uplift of </w:t>
      </w:r>
      <w:r>
        <w:t>this</w:t>
      </w:r>
      <w:r w:rsidRPr="00071E2F">
        <w:t xml:space="preserve"> forearc with erosion of forearc sediments </w:t>
      </w:r>
      <w:r>
        <w:rPr>
          <w:noProof/>
        </w:rPr>
        <w:t>(Vannucchi et al., 2013)</w:t>
      </w:r>
      <w:r w:rsidRPr="00071E2F">
        <w:t xml:space="preserve">. This </w:t>
      </w:r>
      <w:r>
        <w:t xml:space="preserve">sudden phase of forearc </w:t>
      </w:r>
      <w:r w:rsidRPr="00071E2F">
        <w:t xml:space="preserve">uplift </w:t>
      </w:r>
      <w:r>
        <w:t>was</w:t>
      </w:r>
      <w:r w:rsidRPr="00071E2F">
        <w:t xml:space="preserve"> followed by</w:t>
      </w:r>
      <w:r>
        <w:t xml:space="preserve"> a pulse of</w:t>
      </w:r>
      <w:r w:rsidRPr="00071E2F">
        <w:t xml:space="preserve"> fast </w:t>
      </w:r>
      <w:r>
        <w:t xml:space="preserve">forearc </w:t>
      </w:r>
      <w:r w:rsidRPr="00071E2F">
        <w:t>subsidence</w:t>
      </w:r>
      <w:r>
        <w:t>, in turn followed by further</w:t>
      </w:r>
      <w:r w:rsidRPr="00071E2F">
        <w:t xml:space="preserve"> uplift. The </w:t>
      </w:r>
      <w:r>
        <w:t xml:space="preserve">uplift/subsidence </w:t>
      </w:r>
      <w:r w:rsidRPr="00071E2F">
        <w:t xml:space="preserve">effects of the </w:t>
      </w:r>
      <w:r>
        <w:t>initial</w:t>
      </w:r>
      <w:r w:rsidRPr="00071E2F">
        <w:t xml:space="preserve"> phases of ridge subduction on the forearc have </w:t>
      </w:r>
      <w:r>
        <w:t xml:space="preserve">never </w:t>
      </w:r>
      <w:r w:rsidRPr="00071E2F">
        <w:t xml:space="preserve">been observed with the detail </w:t>
      </w:r>
      <w:r>
        <w:t xml:space="preserve">revealed by </w:t>
      </w:r>
      <w:r w:rsidRPr="00071E2F">
        <w:t xml:space="preserve">drilling offshore </w:t>
      </w:r>
      <w:proofErr w:type="spellStart"/>
      <w:proofErr w:type="gramStart"/>
      <w:r w:rsidRPr="00071E2F">
        <w:t>Osa</w:t>
      </w:r>
      <w:proofErr w:type="spellEnd"/>
      <w:proofErr w:type="gramEnd"/>
      <w:r w:rsidRPr="00071E2F">
        <w:t xml:space="preserve"> peninsula. The trend showed by </w:t>
      </w:r>
      <w:r>
        <w:t>these</w:t>
      </w:r>
      <w:r w:rsidRPr="00071E2F">
        <w:t xml:space="preserve"> data agree</w:t>
      </w:r>
      <w:r>
        <w:t>s</w:t>
      </w:r>
      <w:r w:rsidRPr="00071E2F">
        <w:t xml:space="preserve"> with </w:t>
      </w:r>
      <w:r>
        <w:t xml:space="preserve">patterns suggested by recent </w:t>
      </w:r>
      <w:r w:rsidRPr="00071E2F">
        <w:t xml:space="preserve">3D finite-element modeling </w:t>
      </w:r>
      <w:r>
        <w:t>(</w:t>
      </w:r>
      <w:proofErr w:type="spellStart"/>
      <w:r w:rsidRPr="00071E2F">
        <w:t>Zeumann</w:t>
      </w:r>
      <w:proofErr w:type="spellEnd"/>
      <w:r w:rsidRPr="00071E2F">
        <w:t xml:space="preserve"> and </w:t>
      </w:r>
      <w:proofErr w:type="spellStart"/>
      <w:r w:rsidRPr="00071E2F">
        <w:t>Hampel</w:t>
      </w:r>
      <w:proofErr w:type="spellEnd"/>
      <w:r>
        <w:t>,</w:t>
      </w:r>
      <w:r w:rsidRPr="00071E2F">
        <w:t xml:space="preserve"> </w:t>
      </w:r>
      <w:r>
        <w:rPr>
          <w:noProof/>
        </w:rPr>
        <w:t>2015)</w:t>
      </w:r>
      <w:r>
        <w:t>. This study</w:t>
      </w:r>
      <w:r w:rsidRPr="00071E2F">
        <w:t xml:space="preserve"> show</w:t>
      </w:r>
      <w:r>
        <w:t>ed</w:t>
      </w:r>
      <w:r w:rsidRPr="00071E2F">
        <w:t xml:space="preserve"> that subduction of aseismic ridges </w:t>
      </w:r>
      <w:r>
        <w:t>could lead to</w:t>
      </w:r>
      <w:r w:rsidRPr="00071E2F">
        <w:t xml:space="preserve"> considerable uplift and indentation of the forearc, </w:t>
      </w:r>
      <w:r>
        <w:t>and</w:t>
      </w:r>
      <w:r w:rsidRPr="00071E2F">
        <w:t xml:space="preserve"> also show</w:t>
      </w:r>
      <w:r>
        <w:t>ed</w:t>
      </w:r>
      <w:r w:rsidRPr="00071E2F">
        <w:t xml:space="preserve"> that </w:t>
      </w:r>
      <w:r>
        <w:t>in spite of</w:t>
      </w:r>
      <w:r w:rsidRPr="00071E2F">
        <w:rPr>
          <w:rFonts w:eastAsia="TimesNewRomanPSMT" w:cs="TimesNewRomanPSMT"/>
        </w:rPr>
        <w:t xml:space="preserve"> the </w:t>
      </w:r>
      <w:r>
        <w:rPr>
          <w:rFonts w:eastAsia="TimesNewRomanPSMT" w:cs="TimesNewRomanPSMT"/>
        </w:rPr>
        <w:t>uniform</w:t>
      </w:r>
      <w:r w:rsidRPr="00071E2F">
        <w:rPr>
          <w:rFonts w:eastAsia="TimesNewRomanPSMT" w:cs="TimesNewRomanPSMT"/>
        </w:rPr>
        <w:t xml:space="preserve"> ridge height, the </w:t>
      </w:r>
      <w:r>
        <w:rPr>
          <w:rFonts w:eastAsia="TimesNewRomanPSMT" w:cs="TimesNewRomanPSMT"/>
        </w:rPr>
        <w:t xml:space="preserve">predicted </w:t>
      </w:r>
      <w:r w:rsidRPr="00071E2F">
        <w:rPr>
          <w:rFonts w:eastAsia="TimesNewRomanPSMT" w:cs="TimesNewRomanPSMT"/>
        </w:rPr>
        <w:t xml:space="preserve">distribution of uplift along the ridge-axis </w:t>
      </w:r>
      <w:r>
        <w:rPr>
          <w:rFonts w:eastAsia="TimesNewRomanPSMT" w:cs="TimesNewRomanPSMT"/>
        </w:rPr>
        <w:t>was</w:t>
      </w:r>
      <w:r w:rsidRPr="00071E2F">
        <w:rPr>
          <w:rFonts w:eastAsia="TimesNewRomanPSMT" w:cs="TimesNewRomanPSMT"/>
        </w:rPr>
        <w:t xml:space="preserve"> not uniform</w:t>
      </w:r>
      <w:r>
        <w:rPr>
          <w:rFonts w:eastAsia="TimesNewRomanPSMT" w:cs="TimesNewRomanPSMT"/>
        </w:rPr>
        <w:t>,</w:t>
      </w:r>
      <w:r w:rsidRPr="00071E2F">
        <w:rPr>
          <w:rFonts w:eastAsia="TimesNewRomanPSMT" w:cs="TimesNewRomanPSMT"/>
        </w:rPr>
        <w:t xml:space="preserve"> but i</w:t>
      </w:r>
      <w:r>
        <w:rPr>
          <w:rFonts w:eastAsia="TimesNewRomanPSMT" w:cs="TimesNewRomanPSMT"/>
        </w:rPr>
        <w:t>nstead</w:t>
      </w:r>
      <w:r w:rsidRPr="00071E2F">
        <w:rPr>
          <w:rFonts w:eastAsia="TimesNewRomanPSMT" w:cs="TimesNewRomanPSMT"/>
        </w:rPr>
        <w:t xml:space="preserve"> </w:t>
      </w:r>
      <w:r>
        <w:rPr>
          <w:rFonts w:eastAsia="TimesNewRomanPSMT" w:cs="TimesNewRomanPSMT"/>
        </w:rPr>
        <w:t>had</w:t>
      </w:r>
      <w:r w:rsidRPr="00071E2F">
        <w:rPr>
          <w:rFonts w:eastAsia="TimesNewRomanPSMT" w:cs="TimesNewRomanPSMT"/>
        </w:rPr>
        <w:t xml:space="preserve"> two maxima near the tip of the ridge and near the trench, respectively. </w:t>
      </w:r>
      <w:r>
        <w:rPr>
          <w:rFonts w:eastAsia="TimesNewRomanPSMT" w:cs="TimesNewRomanPSMT"/>
        </w:rPr>
        <w:t>These model experiments suggested there should be</w:t>
      </w:r>
      <w:r w:rsidRPr="00071E2F">
        <w:rPr>
          <w:rFonts w:eastAsia="TimesNewRomanPSMT" w:cs="TimesNewRomanPSMT"/>
        </w:rPr>
        <w:t xml:space="preserve"> </w:t>
      </w:r>
      <w:r>
        <w:rPr>
          <w:rFonts w:eastAsia="TimesNewRomanPSMT" w:cs="TimesNewRomanPSMT"/>
        </w:rPr>
        <w:t xml:space="preserve">a wave of subsidence followed by uplift </w:t>
      </w:r>
      <w:proofErr w:type="spellStart"/>
      <w:r>
        <w:rPr>
          <w:rFonts w:eastAsia="TimesNewRomanPSMT" w:cs="TimesNewRomanPSMT"/>
        </w:rPr>
        <w:t>trenchward</w:t>
      </w:r>
      <w:proofErr w:type="spellEnd"/>
      <w:r>
        <w:rPr>
          <w:rFonts w:eastAsia="TimesNewRomanPSMT" w:cs="TimesNewRomanPSMT"/>
        </w:rPr>
        <w:t xml:space="preserve"> of the trailing edge of the entering ridge, consistent with the geological record at this site. </w:t>
      </w:r>
    </w:p>
    <w:p w14:paraId="37671BB8" w14:textId="7FC18BB5" w:rsidR="000332D3" w:rsidRDefault="000332D3" w:rsidP="00530331">
      <w:pPr>
        <w:rPr>
          <w:bCs/>
        </w:rPr>
      </w:pPr>
      <w:r>
        <w:t xml:space="preserve">The volume removed from the </w:t>
      </w:r>
      <w:proofErr w:type="spellStart"/>
      <w:proofErr w:type="gramStart"/>
      <w:r>
        <w:t>Osa</w:t>
      </w:r>
      <w:proofErr w:type="spellEnd"/>
      <w:proofErr w:type="gramEnd"/>
      <w:r>
        <w:t xml:space="preserve"> forearc as a byproduct of Cocos Ridge subduction is more difficult to quantify than it is offshore Guatemala and Nicoya peninsula, because the forearc profile is likely to have been completely modified by the ridge subduction, </w:t>
      </w:r>
      <w:r w:rsidR="00416D2A">
        <w:t>and</w:t>
      </w:r>
      <w:r>
        <w:t xml:space="preserve"> the thickness of the upper plate offshore </w:t>
      </w:r>
      <w:proofErr w:type="spellStart"/>
      <w:r>
        <w:t>Osa</w:t>
      </w:r>
      <w:proofErr w:type="spellEnd"/>
      <w:r>
        <w:t xml:space="preserve"> remains somewhat controversial. As mentioned, the strike of the Central America trench changes </w:t>
      </w:r>
      <w:r>
        <w:lastRenderedPageBreak/>
        <w:t xml:space="preserve">abruptly offshore Nicoya Peninsula </w:t>
      </w:r>
      <w:r w:rsidRPr="00D65DE3">
        <w:rPr>
          <w:color w:val="0070C0"/>
        </w:rPr>
        <w:t>(Fig. 1)</w:t>
      </w:r>
      <w:r>
        <w:t xml:space="preserve">. The N140 E strike offshore Nicaragua changes to a N114 E strike offshore southern Costa Rica. The indentation culminates and ends inboard of the axis of the </w:t>
      </w:r>
      <w:proofErr w:type="spellStart"/>
      <w:r>
        <w:t>subducting</w:t>
      </w:r>
      <w:proofErr w:type="spellEnd"/>
      <w:r>
        <w:t xml:space="preserve"> Cocos Ridge. The indentation is asymmetric </w:t>
      </w:r>
      <w:r w:rsidRPr="00D65DE3">
        <w:rPr>
          <w:color w:val="0070C0"/>
        </w:rPr>
        <w:t>(Fig. 1)</w:t>
      </w:r>
      <w:r>
        <w:t xml:space="preserve">, we suggest because the Cocos Ridge is cut on its SE flank by the NS oriented systems of fracture zones separating the Cocos plate from the Nazca plate. The pre-Cocos Ridge subduction geometry of the forearc can be reconstructed assuming no indentation </w:t>
      </w:r>
      <w:r>
        <w:rPr>
          <w:noProof/>
        </w:rPr>
        <w:t>(Vannucchi et al., 2013)</w:t>
      </w:r>
      <w:r>
        <w:t xml:space="preserve">. The estimate leads to an inferred </w:t>
      </w:r>
      <w:r w:rsidRPr="00473CDD">
        <w:t xml:space="preserve">volume of missing material </w:t>
      </w:r>
      <w:r>
        <w:t>of</w:t>
      </w:r>
      <w:r w:rsidRPr="00473CDD">
        <w:t xml:space="preserve"> 118</w:t>
      </w:r>
      <w:r w:rsidR="00416D2A">
        <w:t>,</w:t>
      </w:r>
      <w:r w:rsidRPr="00473CDD">
        <w:t>125 km</w:t>
      </w:r>
      <w:r w:rsidRPr="00473CDD">
        <w:rPr>
          <w:vertAlign w:val="superscript"/>
        </w:rPr>
        <w:t>3</w:t>
      </w:r>
      <w:r w:rsidRPr="00473CDD">
        <w:t xml:space="preserve"> removed in </w:t>
      </w:r>
      <w:r w:rsidRPr="00473CDD">
        <w:sym w:font="Symbol" w:char="F0BB"/>
      </w:r>
      <w:r w:rsidRPr="00473CDD">
        <w:t>2.5 Ma</w:t>
      </w:r>
      <w:r>
        <w:t xml:space="preserve">, which </w:t>
      </w:r>
      <w:r w:rsidRPr="00473CDD">
        <w:t>gives a loss rate over 350 km of trench of 153 km</w:t>
      </w:r>
      <w:r w:rsidRPr="00473CDD">
        <w:rPr>
          <w:vertAlign w:val="superscript"/>
        </w:rPr>
        <w:t>3</w:t>
      </w:r>
      <w:r w:rsidRPr="00473CDD">
        <w:t>/</w:t>
      </w:r>
      <w:proofErr w:type="spellStart"/>
      <w:r w:rsidRPr="00473CDD">
        <w:t>Myr</w:t>
      </w:r>
      <w:proofErr w:type="spellEnd"/>
      <w:r w:rsidRPr="00473CDD">
        <w:t xml:space="preserve">/km or 0.44 </w:t>
      </w:r>
      <w:proofErr w:type="spellStart"/>
      <w:r w:rsidRPr="00473CDD">
        <w:t>Tg</w:t>
      </w:r>
      <w:proofErr w:type="spellEnd"/>
      <w:r w:rsidRPr="00473CDD">
        <w:t>/</w:t>
      </w:r>
      <w:proofErr w:type="spellStart"/>
      <w:r w:rsidRPr="00473CDD">
        <w:t>yr</w:t>
      </w:r>
      <w:proofErr w:type="spellEnd"/>
      <w:r w:rsidRPr="00473CDD">
        <w:t xml:space="preserve"> </w:t>
      </w:r>
      <w:r>
        <w:t>offshore</w:t>
      </w:r>
      <w:r w:rsidRPr="00473CDD">
        <w:t xml:space="preserve"> </w:t>
      </w:r>
      <w:proofErr w:type="spellStart"/>
      <w:proofErr w:type="gramStart"/>
      <w:r w:rsidRPr="00473CDD">
        <w:t>Osa</w:t>
      </w:r>
      <w:proofErr w:type="spellEnd"/>
      <w:r w:rsidRPr="00473CDD">
        <w:t xml:space="preserve"> .</w:t>
      </w:r>
      <w:proofErr w:type="gramEnd"/>
      <w:r w:rsidRPr="00473CDD">
        <w:t xml:space="preserve"> </w:t>
      </w:r>
      <w:r>
        <w:t>Based on</w:t>
      </w:r>
      <w:r w:rsidRPr="00473CDD">
        <w:t xml:space="preserve"> the </w:t>
      </w:r>
      <w:r>
        <w:t xml:space="preserve">time-evolution of </w:t>
      </w:r>
      <w:r w:rsidRPr="00473CDD">
        <w:t>vertical tectonic</w:t>
      </w:r>
      <w:r>
        <w:t>s</w:t>
      </w:r>
      <w:r w:rsidRPr="00473CDD">
        <w:t>, most removal occurred in</w:t>
      </w:r>
      <w:r>
        <w:t xml:space="preserve"> a time-window</w:t>
      </w:r>
      <w:r w:rsidRPr="00473CDD">
        <w:t xml:space="preserve"> &lt;0.5 Ma </w:t>
      </w:r>
      <w:r>
        <w:t>during which erosion rates were</w:t>
      </w:r>
      <w:r w:rsidRPr="00473CDD">
        <w:t xml:space="preserve"> </w:t>
      </w:r>
      <w:r w:rsidRPr="00473CDD">
        <w:rPr>
          <w:bCs/>
        </w:rPr>
        <w:t>1125 km</w:t>
      </w:r>
      <w:r w:rsidRPr="00473CDD">
        <w:rPr>
          <w:bCs/>
          <w:vertAlign w:val="superscript"/>
        </w:rPr>
        <w:t>3</w:t>
      </w:r>
      <w:r w:rsidRPr="00473CDD">
        <w:rPr>
          <w:bCs/>
        </w:rPr>
        <w:t>/</w:t>
      </w:r>
      <w:proofErr w:type="spellStart"/>
      <w:r w:rsidRPr="00473CDD">
        <w:rPr>
          <w:bCs/>
        </w:rPr>
        <w:t>Myr</w:t>
      </w:r>
      <w:proofErr w:type="spellEnd"/>
      <w:r w:rsidRPr="00473CDD">
        <w:rPr>
          <w:bCs/>
        </w:rPr>
        <w:t xml:space="preserve">/km or 3.26 </w:t>
      </w:r>
      <w:proofErr w:type="spellStart"/>
      <w:r w:rsidRPr="00473CDD">
        <w:rPr>
          <w:bCs/>
        </w:rPr>
        <w:t>Tg</w:t>
      </w:r>
      <w:proofErr w:type="spellEnd"/>
      <w:r w:rsidRPr="00473CDD">
        <w:rPr>
          <w:bCs/>
        </w:rPr>
        <w:t>/</w:t>
      </w:r>
      <w:proofErr w:type="spellStart"/>
      <w:r w:rsidRPr="00473CDD">
        <w:rPr>
          <w:bCs/>
        </w:rPr>
        <w:t>yr</w:t>
      </w:r>
      <w:proofErr w:type="spellEnd"/>
      <w:r>
        <w:rPr>
          <w:bCs/>
        </w:rPr>
        <w:t xml:space="preserve"> </w:t>
      </w:r>
      <w:r>
        <w:rPr>
          <w:bCs/>
          <w:noProof/>
        </w:rPr>
        <w:t>(Vannucchi et al., 2013)</w:t>
      </w:r>
      <w:r w:rsidR="00F22CAC">
        <w:rPr>
          <w:bCs/>
          <w:noProof/>
        </w:rPr>
        <w:t xml:space="preserve"> </w:t>
      </w:r>
      <w:r w:rsidRPr="00D65DE3">
        <w:rPr>
          <w:color w:val="0070C0"/>
        </w:rPr>
        <w:t xml:space="preserve">(Fig. </w:t>
      </w:r>
      <w:r>
        <w:rPr>
          <w:color w:val="0070C0"/>
        </w:rPr>
        <w:t>2</w:t>
      </w:r>
      <w:r w:rsidRPr="00D65DE3">
        <w:rPr>
          <w:color w:val="0070C0"/>
        </w:rPr>
        <w:t>)</w:t>
      </w:r>
      <w:r w:rsidRPr="00473CDD">
        <w:rPr>
          <w:bCs/>
        </w:rPr>
        <w:t>.</w:t>
      </w:r>
      <w:r w:rsidRPr="000C3933">
        <w:t xml:space="preserve"> </w:t>
      </w:r>
      <w:r>
        <w:t xml:space="preserve">These rates </w:t>
      </w:r>
      <w:r w:rsidR="00416D2A">
        <w:t>carry</w:t>
      </w:r>
      <w:r>
        <w:t xml:space="preserve"> uncertainties linked to the original thickness of the upper plate, </w:t>
      </w:r>
      <w:r w:rsidR="00416D2A">
        <w:t>which</w:t>
      </w:r>
      <w:r>
        <w:t xml:space="preserve"> </w:t>
      </w:r>
      <w:r w:rsidR="00416D2A">
        <w:t>would modify this rate</w:t>
      </w:r>
      <w:r>
        <w:t xml:space="preserve"> </w:t>
      </w:r>
      <w:r w:rsidR="00416D2A">
        <w:t>by</w:t>
      </w:r>
      <w:r>
        <w:t xml:space="preserve"> </w:t>
      </w:r>
      <w:r w:rsidR="00BC65CC">
        <w:t>+</w:t>
      </w:r>
      <w:r>
        <w:t>9%</w:t>
      </w:r>
      <w:r w:rsidR="00BC65CC">
        <w:t>/-9%</w:t>
      </w:r>
      <w:r>
        <w:t xml:space="preserve"> for each km </w:t>
      </w:r>
      <w:r w:rsidR="00BC65CC">
        <w:t xml:space="preserve">the actual thickness was more/less than </w:t>
      </w:r>
      <w:r>
        <w:t xml:space="preserve">our 15 km estimate, and the original length of the forearc, </w:t>
      </w:r>
      <w:r w:rsidR="00416D2A">
        <w:t xml:space="preserve">which would modify the estimate by </w:t>
      </w:r>
      <w:r w:rsidR="00BC65CC">
        <w:t>+</w:t>
      </w:r>
      <w:r>
        <w:t>2%</w:t>
      </w:r>
      <w:r w:rsidR="00BC65CC">
        <w:t>/-2%</w:t>
      </w:r>
      <w:r>
        <w:t xml:space="preserve"> for each km </w:t>
      </w:r>
      <w:r w:rsidR="00BC65CC">
        <w:t>the original length was more/less than the assumed</w:t>
      </w:r>
      <w:r>
        <w:t xml:space="preserve"> 60 km </w:t>
      </w:r>
      <w:r w:rsidR="00BC65CC">
        <w:t>length</w:t>
      </w:r>
      <w:r>
        <w:t>.</w:t>
      </w:r>
    </w:p>
    <w:p w14:paraId="099F3A43" w14:textId="77777777" w:rsidR="000332D3" w:rsidRPr="00473CDD" w:rsidRDefault="000332D3" w:rsidP="00530331">
      <w:pPr>
        <w:pStyle w:val="Heading2"/>
      </w:pPr>
      <w:r>
        <w:t>Controversies: the impact of the Cocos Ridge on the forearc</w:t>
      </w:r>
    </w:p>
    <w:p w14:paraId="3C8ADCB4" w14:textId="145C4A62" w:rsidR="000332D3" w:rsidRDefault="000332D3" w:rsidP="00530331">
      <w:r>
        <w:t xml:space="preserve">The Cocos Ridge </w:t>
      </w:r>
      <w:r w:rsidR="00E85017">
        <w:t>example</w:t>
      </w:r>
      <w:r>
        <w:t xml:space="preserve"> is </w:t>
      </w:r>
      <w:r w:rsidR="00E85017">
        <w:t>a good case study with which to</w:t>
      </w:r>
      <w:r>
        <w:t xml:space="preserve"> debate the nature of damage caused to </w:t>
      </w:r>
      <w:r w:rsidR="00E85017">
        <w:t>a</w:t>
      </w:r>
      <w:r>
        <w:t xml:space="preserve"> forearc by subduction of high bathymetric relief.  Two of the major controversies regarding the results of IODP Exp. 334 and 344 involve: 1) subduction erosion rates offshore </w:t>
      </w:r>
      <w:proofErr w:type="spellStart"/>
      <w:proofErr w:type="gramStart"/>
      <w:r>
        <w:t>Osa</w:t>
      </w:r>
      <w:proofErr w:type="spellEnd"/>
      <w:proofErr w:type="gramEnd"/>
      <w:r>
        <w:t xml:space="preserve"> peninsula, and 2) the timing of subduction of the Cocos Ridge.</w:t>
      </w:r>
    </w:p>
    <w:p w14:paraId="43C7758F" w14:textId="23EE8009" w:rsidR="000332D3" w:rsidRDefault="000332D3" w:rsidP="00530331">
      <w:r>
        <w:t xml:space="preserve">The issue of the subduction erosion rates offshore </w:t>
      </w:r>
      <w:proofErr w:type="spellStart"/>
      <w:proofErr w:type="gramStart"/>
      <w:r>
        <w:t>Osa</w:t>
      </w:r>
      <w:proofErr w:type="spellEnd"/>
      <w:proofErr w:type="gramEnd"/>
      <w:r>
        <w:t xml:space="preserve"> peninsula </w:t>
      </w:r>
      <w:r w:rsidR="00E85017">
        <w:t>is linked to</w:t>
      </w:r>
      <w:r>
        <w:t xml:space="preserve"> the origin of the trench</w:t>
      </w:r>
      <w:r w:rsidR="00E85017">
        <w:t>’s</w:t>
      </w:r>
      <w:r>
        <w:t xml:space="preserve"> indentation: forearc shortening vs. forearc erosion. According to </w:t>
      </w:r>
      <w:proofErr w:type="spellStart"/>
      <w:r>
        <w:t>Sitchler</w:t>
      </w:r>
      <w:proofErr w:type="spellEnd"/>
      <w:r>
        <w:t xml:space="preserve"> et al., (2007), subduction of the Cocos Ridge induced a flat-slab that promoted the </w:t>
      </w:r>
      <w:proofErr w:type="spellStart"/>
      <w:r w:rsidRPr="00082511">
        <w:t>underthrusting</w:t>
      </w:r>
      <w:proofErr w:type="spellEnd"/>
      <w:r w:rsidRPr="00082511">
        <w:t xml:space="preserve"> of the outer forearc (</w:t>
      </w:r>
      <w:proofErr w:type="spellStart"/>
      <w:proofErr w:type="gramStart"/>
      <w:r w:rsidRPr="00082511">
        <w:t>Osa</w:t>
      </w:r>
      <w:proofErr w:type="spellEnd"/>
      <w:proofErr w:type="gramEnd"/>
      <w:r w:rsidRPr="00082511">
        <w:t xml:space="preserve"> Peninsula) under the inner forearc </w:t>
      </w:r>
      <w:r>
        <w:t xml:space="preserve">resulting in major forearc shortening, </w:t>
      </w:r>
      <w:r w:rsidRPr="00082511">
        <w:t>≥36 km</w:t>
      </w:r>
      <w:r>
        <w:t>, and thickening rather than net removal of upper plate material. This shortening resulted in the development of the Fila Costeña fold-</w:t>
      </w:r>
      <w:r>
        <w:lastRenderedPageBreak/>
        <w:t>and-thrust belt – a 1700-km-high mountain chain interposed between the offshore forearc/</w:t>
      </w:r>
      <w:proofErr w:type="spellStart"/>
      <w:r>
        <w:t>Osa</w:t>
      </w:r>
      <w:proofErr w:type="spellEnd"/>
      <w:r>
        <w:t xml:space="preserve"> Peninsula and the uplifted extinct volcanic arc of the Cordillera de Talamanca </w:t>
      </w:r>
      <w:r w:rsidRPr="00FE6A05">
        <w:rPr>
          <w:color w:val="0070C0"/>
        </w:rPr>
        <w:t>(Fig. 3)</w:t>
      </w:r>
      <w:r>
        <w:t xml:space="preserve">. </w:t>
      </w:r>
      <w:r w:rsidRPr="00082511">
        <w:t xml:space="preserve">The </w:t>
      </w:r>
      <w:r w:rsidR="00E85017">
        <w:t xml:space="preserve">postulated </w:t>
      </w:r>
      <w:r w:rsidRPr="00082511">
        <w:t xml:space="preserve">shortening rate distribution </w:t>
      </w:r>
      <w:r w:rsidR="00E85017">
        <w:t>has</w:t>
      </w:r>
      <w:r w:rsidRPr="00082511">
        <w:t xml:space="preserve"> the greatest shortening directly inboard of the Cocos Ridge axis</w:t>
      </w:r>
      <w:r>
        <w:t xml:space="preserve"> </w:t>
      </w:r>
      <w:r w:rsidRPr="00FE6A05">
        <w:rPr>
          <w:color w:val="0070C0"/>
        </w:rPr>
        <w:t>(Fig. 3)</w:t>
      </w:r>
      <w:r w:rsidRPr="00082511">
        <w:t xml:space="preserve">. </w:t>
      </w:r>
      <w:r>
        <w:t>However</w:t>
      </w:r>
      <w:r w:rsidRPr="00082511">
        <w:t xml:space="preserve"> the Fila Costeña is a thin-skinned thrust-belt</w:t>
      </w:r>
      <w:r>
        <w:t xml:space="preserve">, i.e. </w:t>
      </w:r>
      <w:r w:rsidR="00E85017">
        <w:t xml:space="preserve">its </w:t>
      </w:r>
      <w:r>
        <w:t xml:space="preserve">basement is not involved in the deformation, </w:t>
      </w:r>
      <w:r w:rsidRPr="00082511">
        <w:t xml:space="preserve">with a 4-km-deep decollement </w:t>
      </w:r>
      <w:r>
        <w:t xml:space="preserve">located at the base of </w:t>
      </w:r>
      <w:r w:rsidRPr="00082511">
        <w:t>Eocene-Miocene forearc basin</w:t>
      </w:r>
      <w:r>
        <w:t xml:space="preserve"> units</w:t>
      </w:r>
      <w:r w:rsidRPr="00082511">
        <w:t xml:space="preserve"> </w:t>
      </w:r>
      <w:r w:rsidRPr="00082511">
        <w:rPr>
          <w:noProof/>
        </w:rPr>
        <w:t>(Fisher et al., 2004; Sitchler et al., 2007)</w:t>
      </w:r>
      <w:r w:rsidRPr="00082511">
        <w:t xml:space="preserve">. </w:t>
      </w:r>
      <w:r>
        <w:t xml:space="preserve">It is therefore evident that the development of the </w:t>
      </w:r>
      <w:r w:rsidRPr="00082511">
        <w:t>Fila Costeña</w:t>
      </w:r>
      <w:r>
        <w:t>, although strongly influenced by the Cocos Ridge subduction, does not seem to be able to account for the trench retreat inboard of the ridge itself. Moreover</w:t>
      </w:r>
      <w:r w:rsidR="00E85017">
        <w:t>,</w:t>
      </w:r>
      <w:r w:rsidRPr="00082511">
        <w:t xml:space="preserve"> </w:t>
      </w:r>
      <w:r>
        <w:t>the Quaternary deformation of the</w:t>
      </w:r>
      <w:r w:rsidRPr="00082511">
        <w:t xml:space="preserve"> </w:t>
      </w:r>
      <w:proofErr w:type="spellStart"/>
      <w:r>
        <w:t>Plio</w:t>
      </w:r>
      <w:proofErr w:type="spellEnd"/>
      <w:r>
        <w:t xml:space="preserve">-Pleistocene sediments of the </w:t>
      </w:r>
      <w:proofErr w:type="spellStart"/>
      <w:proofErr w:type="gramStart"/>
      <w:r>
        <w:t>Osa</w:t>
      </w:r>
      <w:proofErr w:type="spellEnd"/>
      <w:proofErr w:type="gramEnd"/>
      <w:r>
        <w:t xml:space="preserve"> Peninsula</w:t>
      </w:r>
      <w:r w:rsidRPr="00082511">
        <w:t xml:space="preserve"> does not involve significant sub-horizontal shortening </w:t>
      </w:r>
      <w:r w:rsidRPr="00082511">
        <w:rPr>
          <w:noProof/>
        </w:rPr>
        <w:t>(Sak et al., 2009)</w:t>
      </w:r>
      <w:r>
        <w:t xml:space="preserve"> in spite of</w:t>
      </w:r>
      <w:r w:rsidRPr="00082511">
        <w:t xml:space="preserve"> the numerous faults and fractures that cut the peninsula</w:t>
      </w:r>
      <w:r>
        <w:t xml:space="preserve"> </w:t>
      </w:r>
      <w:r w:rsidRPr="00FE6A05">
        <w:rPr>
          <w:color w:val="0070C0"/>
        </w:rPr>
        <w:t>(Fig. 3)</w:t>
      </w:r>
      <w:r>
        <w:t>. Instead, these faults and fractures</w:t>
      </w:r>
      <w:r w:rsidRPr="00082511">
        <w:t xml:space="preserve"> accommodate vertical movements similar to the trend</w:t>
      </w:r>
      <w:r w:rsidR="00E85017">
        <w:t>s</w:t>
      </w:r>
      <w:r w:rsidRPr="00082511">
        <w:t xml:space="preserve"> described </w:t>
      </w:r>
      <w:r>
        <w:t>at</w:t>
      </w:r>
      <w:r w:rsidRPr="00082511">
        <w:t xml:space="preserve"> Site U1379.</w:t>
      </w:r>
      <w:r>
        <w:t xml:space="preserve"> These observations imply the trench indentation </w:t>
      </w:r>
      <w:r w:rsidR="00E85017">
        <w:t>was</w:t>
      </w:r>
      <w:r>
        <w:t xml:space="preserve"> mostly associated </w:t>
      </w:r>
      <w:r w:rsidR="00E85017">
        <w:t>with</w:t>
      </w:r>
      <w:r>
        <w:t xml:space="preserve"> basement removal </w:t>
      </w:r>
      <w:r w:rsidR="00E85017">
        <w:t>instead of</w:t>
      </w:r>
      <w:r>
        <w:t xml:space="preserve"> shortening. </w:t>
      </w:r>
    </w:p>
    <w:p w14:paraId="55F5C2CB" w14:textId="45FD8880" w:rsidR="000332D3" w:rsidRDefault="000332D3" w:rsidP="00530331">
      <w:r>
        <w:t xml:space="preserve">In the literature the timing of the beginning of subduction of the Cocos Ridge </w:t>
      </w:r>
      <w:r w:rsidR="00E85017">
        <w:t xml:space="preserve">has been postulated to range </w:t>
      </w:r>
      <w:r>
        <w:t>from: a) 8-6.5 Ma based on the e</w:t>
      </w:r>
      <w:r w:rsidR="001B49D2">
        <w:t>xtinction</w:t>
      </w:r>
      <w:r>
        <w:t xml:space="preserve"> of arc volcanism inboard of the ridge </w:t>
      </w:r>
      <w:r>
        <w:rPr>
          <w:noProof/>
        </w:rPr>
        <w:t>(De Boer et al., 1995)</w:t>
      </w:r>
      <w:r>
        <w:t xml:space="preserve">, uplift of the Cordillera de Talamanca </w:t>
      </w:r>
      <w:r>
        <w:rPr>
          <w:noProof/>
        </w:rPr>
        <w:t>(Grafe et al., 2002)</w:t>
      </w:r>
      <w:r>
        <w:t xml:space="preserve">, </w:t>
      </w:r>
      <w:r w:rsidR="00E85017">
        <w:t xml:space="preserve">and the </w:t>
      </w:r>
      <w:r>
        <w:t xml:space="preserve">eruption of </w:t>
      </w:r>
      <w:proofErr w:type="spellStart"/>
      <w:r>
        <w:t>adakites</w:t>
      </w:r>
      <w:proofErr w:type="spellEnd"/>
      <w:r>
        <w:t xml:space="preserve"> within the Cordillera de Talamanca and at its southern end </w:t>
      </w:r>
      <w:r>
        <w:rPr>
          <w:noProof/>
        </w:rPr>
        <w:t>(Abratis and Worner, 2001)</w:t>
      </w:r>
      <w:r w:rsidRPr="00FE6A05">
        <w:rPr>
          <w:color w:val="0070C0"/>
        </w:rPr>
        <w:t xml:space="preserve"> (Fig. 3)</w:t>
      </w:r>
      <w:r>
        <w:t>; b) 4-2.5</w:t>
      </w:r>
      <w:r w:rsidR="00E85017">
        <w:t xml:space="preserve"> Ma</w:t>
      </w:r>
      <w:r>
        <w:t xml:space="preserve"> </w:t>
      </w:r>
      <w:r w:rsidR="00E85017">
        <w:t>inferred from</w:t>
      </w:r>
      <w:r>
        <w:t xml:space="preserve"> </w:t>
      </w:r>
      <w:proofErr w:type="spellStart"/>
      <w:r>
        <w:t>adakitic</w:t>
      </w:r>
      <w:proofErr w:type="spellEnd"/>
      <w:r>
        <w:t xml:space="preserve"> REE enrichment and </w:t>
      </w:r>
      <w:proofErr w:type="spellStart"/>
      <w:r>
        <w:t>Pd</w:t>
      </w:r>
      <w:proofErr w:type="spellEnd"/>
      <w:r>
        <w:t xml:space="preserve"> isotopic composition</w:t>
      </w:r>
      <w:r w:rsidR="00E85017">
        <w:t>s</w:t>
      </w:r>
      <w:r>
        <w:t xml:space="preserve"> </w:t>
      </w:r>
      <w:r>
        <w:rPr>
          <w:noProof/>
        </w:rPr>
        <w:t>(Goss and Kay, 2006)</w:t>
      </w:r>
      <w:r>
        <w:t xml:space="preserve">; c) 3-2 Ma based on tectonic reconstructions </w:t>
      </w:r>
      <w:r>
        <w:rPr>
          <w:noProof/>
        </w:rPr>
        <w:t>(Lonsdale and Klitgord, 1978; MacMillian et al., 2004)</w:t>
      </w:r>
      <w:r>
        <w:t xml:space="preserve">; and d) 1 Ma based on </w:t>
      </w:r>
      <w:r w:rsidR="00E85017">
        <w:t xml:space="preserve">the </w:t>
      </w:r>
      <w:r>
        <w:t xml:space="preserve">emergence of the </w:t>
      </w:r>
      <w:proofErr w:type="spellStart"/>
      <w:r>
        <w:t>Osa</w:t>
      </w:r>
      <w:proofErr w:type="spellEnd"/>
      <w:r>
        <w:t xml:space="preserve"> peninsula and deformation </w:t>
      </w:r>
      <w:r w:rsidR="00E85017">
        <w:t>within</w:t>
      </w:r>
      <w:r>
        <w:t xml:space="preserve"> the Fila </w:t>
      </w:r>
      <w:r w:rsidRPr="00082511">
        <w:t>Costeña</w:t>
      </w:r>
      <w:r>
        <w:t xml:space="preserve"> </w:t>
      </w:r>
      <w:r>
        <w:rPr>
          <w:noProof/>
        </w:rPr>
        <w:t>(Gardner et al., 1992; Fisher et al., 2004)</w:t>
      </w:r>
      <w:r>
        <w:t>.</w:t>
      </w:r>
    </w:p>
    <w:p w14:paraId="503EC966" w14:textId="2E92686A" w:rsidR="000332D3" w:rsidRDefault="000332D3" w:rsidP="00530331">
      <w:r>
        <w:t xml:space="preserve">The 8-6.5 Ma </w:t>
      </w:r>
      <w:r w:rsidR="00536C6B">
        <w:t xml:space="preserve">Cocos Ridge subduction </w:t>
      </w:r>
      <w:r>
        <w:t xml:space="preserve">hypotheses are </w:t>
      </w:r>
      <w:r w:rsidR="007B6B1C">
        <w:t>based on ages for</w:t>
      </w:r>
      <w:r>
        <w:t xml:space="preserve"> the shutoff of the volcanic arc and uplift of the Cordillera de Talamanca, a 3800 m- high mountain range of inactive volcanoes </w:t>
      </w:r>
      <w:r w:rsidRPr="00FE6A05">
        <w:rPr>
          <w:color w:val="0070C0"/>
        </w:rPr>
        <w:t>(Fig. 3)</w:t>
      </w:r>
      <w:r>
        <w:t xml:space="preserve">. </w:t>
      </w:r>
      <w:r>
        <w:lastRenderedPageBreak/>
        <w:t xml:space="preserve">This uplift has commonly been ascribed to subduction of the buoyant Cocos Ridge. However, recent geophysical studies show that the Cordillera de Talamanca does not appear to lie on top of a buoyant, flat slab. Instead, earthquake locations, receiver functions and tomographic analyses suggest that the slab inboard of the NW flank of Cocos Ridge dips gently - </w:t>
      </w:r>
      <w:r>
        <w:sym w:font="Symbol" w:char="F0BB"/>
      </w:r>
      <w:r>
        <w:t xml:space="preserve">20° - for approximately 100 km from the trench and then abruptly steepens – up to 80° - further </w:t>
      </w:r>
      <w:proofErr w:type="spellStart"/>
      <w:r>
        <w:t>downdip</w:t>
      </w:r>
      <w:proofErr w:type="spellEnd"/>
      <w:r>
        <w:t xml:space="preserve"> </w:t>
      </w:r>
      <w:r>
        <w:rPr>
          <w:noProof/>
        </w:rPr>
        <w:t>(Dinc et al., 2010; Dzierma et al., 2011; Arroyo et al., 2014)</w:t>
      </w:r>
      <w:r>
        <w:t xml:space="preserve">. Recent gravity modelling and earthquake data extend this slab profile to the Panama Fracture Zone where the slab is </w:t>
      </w:r>
      <w:r w:rsidR="007B6B1C">
        <w:t>thought to have</w:t>
      </w:r>
      <w:r>
        <w:t xml:space="preserve"> a maximum dip of 65° </w:t>
      </w:r>
      <w:r>
        <w:rPr>
          <w:noProof/>
        </w:rPr>
        <w:t>(Lücke and Arroyo, 2015)</w:t>
      </w:r>
      <w:r>
        <w:t xml:space="preserve">. Moreover, the youngest lavas in the Cordillera de Talamanca are </w:t>
      </w:r>
      <w:r>
        <w:sym w:font="Symbol" w:char="F0BB"/>
      </w:r>
      <w:r>
        <w:t>2.5 Ma</w:t>
      </w:r>
      <w:r w:rsidR="007B6B1C">
        <w:t xml:space="preserve"> — not </w:t>
      </w:r>
      <w:r w:rsidR="007B6B1C">
        <w:sym w:font="Symbol" w:char="F0BB"/>
      </w:r>
      <w:r w:rsidR="007B6B1C">
        <w:t>8Ma</w:t>
      </w:r>
      <w:r>
        <w:t xml:space="preserve"> </w:t>
      </w:r>
      <w:r>
        <w:rPr>
          <w:noProof/>
        </w:rPr>
        <w:t>(de Boer et al., 1991)</w:t>
      </w:r>
      <w:r>
        <w:t>.</w:t>
      </w:r>
    </w:p>
    <w:p w14:paraId="13C13E3A" w14:textId="1512E804" w:rsidR="000332D3" w:rsidRPr="00C803C7" w:rsidRDefault="000332D3" w:rsidP="00530331">
      <w:pPr>
        <w:rPr>
          <w:rFonts w:eastAsia="TimesNewRomanPSMT" w:cs="TimesNewRomanPSMT"/>
        </w:rPr>
      </w:pPr>
      <w:r>
        <w:t>In the next paragraph we discuss new data that link the offshore and onshore forearc. This data further clarifies the relative timing between Cocos Ridge subduction, the development of the Cordillera de Talamanca</w:t>
      </w:r>
      <w:r w:rsidR="007B6B1C">
        <w:t>,</w:t>
      </w:r>
      <w:r>
        <w:t xml:space="preserve"> and </w:t>
      </w:r>
      <w:r w:rsidR="007B6B1C">
        <w:t xml:space="preserve">deformation </w:t>
      </w:r>
      <w:r>
        <w:t xml:space="preserve">of the </w:t>
      </w:r>
      <w:r w:rsidRPr="00082511">
        <w:t>Fila Costeña</w:t>
      </w:r>
      <w:r>
        <w:t xml:space="preserve"> </w:t>
      </w:r>
      <w:r>
        <w:rPr>
          <w:rFonts w:eastAsia="TimesNewRomanPSMT" w:cs="TimesNewRomanPSMT"/>
        </w:rPr>
        <w:t>fold-and-thrust belt</w:t>
      </w:r>
      <w:r>
        <w:t>.</w:t>
      </w:r>
    </w:p>
    <w:p w14:paraId="777CE752" w14:textId="115B9CCD" w:rsidR="000332D3" w:rsidRPr="002943E6" w:rsidRDefault="000332D3" w:rsidP="00530331">
      <w:pPr>
        <w:pStyle w:val="Heading3"/>
      </w:pPr>
      <w:r w:rsidRPr="002943E6">
        <w:t xml:space="preserve">New data on the onshore-offshore deformation associated </w:t>
      </w:r>
      <w:r w:rsidR="007B6B1C">
        <w:t>with</w:t>
      </w:r>
      <w:r w:rsidRPr="002943E6">
        <w:t xml:space="preserve"> Cocos Ridge subduction</w:t>
      </w:r>
    </w:p>
    <w:p w14:paraId="0DC33418" w14:textId="23D950BA" w:rsidR="000332D3" w:rsidRDefault="000332D3" w:rsidP="00530331">
      <w:r>
        <w:t xml:space="preserve">During IODP Exp. 334, Sites U1378 and U1379 </w:t>
      </w:r>
      <w:r w:rsidRPr="00B446DA">
        <w:rPr>
          <w:color w:val="0070C0"/>
        </w:rPr>
        <w:t xml:space="preserve">(Fig. 3 and 4) </w:t>
      </w:r>
      <w:r>
        <w:t xml:space="preserve">were sampled for detrital apatite fission-track analysis. Detrital </w:t>
      </w:r>
      <w:proofErr w:type="spellStart"/>
      <w:r>
        <w:t>thermochronology</w:t>
      </w:r>
      <w:proofErr w:type="spellEnd"/>
      <w:r>
        <w:t xml:space="preserve"> is based on the comparison between cooling age patterns of detrital sediments with those of potential source areas</w:t>
      </w:r>
      <w:r w:rsidRPr="006A31C1">
        <w:t xml:space="preserve"> </w:t>
      </w:r>
      <w:r>
        <w:rPr>
          <w:noProof/>
        </w:rPr>
        <w:t>(Garver et al., 1999; Bernet and Spiegel, 2004)</w:t>
      </w:r>
      <w:r>
        <w:t>.</w:t>
      </w:r>
      <w:r w:rsidRPr="00414936">
        <w:t xml:space="preserve"> </w:t>
      </w:r>
      <w:r w:rsidRPr="00FF5B99">
        <w:t xml:space="preserve">The rationale behind the idea of applying detrital apatite fission-track </w:t>
      </w:r>
      <w:proofErr w:type="spellStart"/>
      <w:r w:rsidRPr="00FF5B99">
        <w:t>thermochronology</w:t>
      </w:r>
      <w:proofErr w:type="spellEnd"/>
      <w:r w:rsidRPr="00FF5B99">
        <w:t xml:space="preserve"> in this context lies in the different age signature</w:t>
      </w:r>
      <w:r>
        <w:t>s</w:t>
      </w:r>
      <w:r w:rsidRPr="00FF5B99">
        <w:t xml:space="preserve"> and thermal histories of the </w:t>
      </w:r>
      <w:r>
        <w:t xml:space="preserve">potential source </w:t>
      </w:r>
      <w:r w:rsidRPr="00FF5B99">
        <w:t xml:space="preserve">units exposed in </w:t>
      </w:r>
      <w:r>
        <w:t xml:space="preserve">southern Costa Rica: the </w:t>
      </w:r>
      <w:proofErr w:type="spellStart"/>
      <w:proofErr w:type="gramStart"/>
      <w:r w:rsidRPr="00FF5B99">
        <w:t>Osa</w:t>
      </w:r>
      <w:proofErr w:type="spellEnd"/>
      <w:proofErr w:type="gramEnd"/>
      <w:r w:rsidRPr="00FF5B99">
        <w:t xml:space="preserve"> Peninsula, Fila Costeña and Cordillera del Talamanca</w:t>
      </w:r>
      <w:r>
        <w:t xml:space="preserve"> </w:t>
      </w:r>
      <w:r w:rsidRPr="00AE2967">
        <w:rPr>
          <w:color w:val="0070C0"/>
        </w:rPr>
        <w:t>(Fig. 3)</w:t>
      </w:r>
      <w:r w:rsidRPr="00FF5B99">
        <w:t xml:space="preserve">. </w:t>
      </w:r>
      <w:proofErr w:type="spellStart"/>
      <w:r w:rsidRPr="00FF5B99">
        <w:t>Apatites</w:t>
      </w:r>
      <w:proofErr w:type="spellEnd"/>
      <w:r w:rsidRPr="00FF5B99">
        <w:t xml:space="preserve"> from the Cordillera de Talamanca</w:t>
      </w:r>
      <w:r>
        <w:t xml:space="preserve">, a mountain range that consists mainly of </w:t>
      </w:r>
      <w:proofErr w:type="spellStart"/>
      <w:r>
        <w:t>granitoid</w:t>
      </w:r>
      <w:proofErr w:type="spellEnd"/>
      <w:r>
        <w:t xml:space="preserve"> (i.e. rock fertile in apatite) which formed in a volcanic arc setting,</w:t>
      </w:r>
      <w:r w:rsidRPr="00FF5B99">
        <w:t xml:space="preserve"> are the only one</w:t>
      </w:r>
      <w:r>
        <w:t>s</w:t>
      </w:r>
      <w:r w:rsidRPr="00FF5B99">
        <w:t xml:space="preserve"> that may release a distinctive young age signature in</w:t>
      </w:r>
      <w:r>
        <w:t>to</w:t>
      </w:r>
      <w:r w:rsidRPr="00FF5B99">
        <w:t xml:space="preserve"> adjacent sediments. </w:t>
      </w:r>
      <w:r>
        <w:t xml:space="preserve">There </w:t>
      </w:r>
      <w:proofErr w:type="spellStart"/>
      <w:r>
        <w:t>granitoid</w:t>
      </w:r>
      <w:proofErr w:type="spellEnd"/>
      <w:r>
        <w:t xml:space="preserve"> melts were emplaced at shallow levels between 12.8 and 7.8 Ma (K/</w:t>
      </w:r>
      <w:proofErr w:type="spellStart"/>
      <w:r>
        <w:t>Ar</w:t>
      </w:r>
      <w:proofErr w:type="spellEnd"/>
      <w:r>
        <w:t xml:space="preserve">, </w:t>
      </w:r>
      <w:r w:rsidRPr="00CF42E6">
        <w:rPr>
          <w:vertAlign w:val="superscript"/>
        </w:rPr>
        <w:t>40</w:t>
      </w:r>
      <w:r>
        <w:t>Ar/</w:t>
      </w:r>
      <w:r w:rsidRPr="00CF42E6">
        <w:rPr>
          <w:vertAlign w:val="superscript"/>
        </w:rPr>
        <w:t>39</w:t>
      </w:r>
      <w:r>
        <w:t xml:space="preserve">Ar, </w:t>
      </w:r>
      <w:proofErr w:type="spellStart"/>
      <w:r>
        <w:t>Rb</w:t>
      </w:r>
      <w:proofErr w:type="spellEnd"/>
      <w:r>
        <w:t>/</w:t>
      </w:r>
      <w:proofErr w:type="spellStart"/>
      <w:r>
        <w:t>Sr</w:t>
      </w:r>
      <w:proofErr w:type="spellEnd"/>
      <w:r>
        <w:t xml:space="preserve"> and </w:t>
      </w:r>
      <w:proofErr w:type="spellStart"/>
      <w:r>
        <w:t>Zr</w:t>
      </w:r>
      <w:proofErr w:type="spellEnd"/>
      <w:r>
        <w:t xml:space="preserve"> fission tracks)</w:t>
      </w:r>
      <w:r w:rsidR="007B6B1C">
        <w:t>,</w:t>
      </w:r>
      <w:r>
        <w:t xml:space="preserve"> with </w:t>
      </w:r>
      <w:r w:rsidR="007B6B1C">
        <w:t>their</w:t>
      </w:r>
      <w:r>
        <w:t xml:space="preserve"> final cooling </w:t>
      </w:r>
      <w:r w:rsidR="007B6B1C">
        <w:t>around</w:t>
      </w:r>
      <w:r>
        <w:t xml:space="preserve"> 3 Ma </w:t>
      </w:r>
      <w:r>
        <w:rPr>
          <w:noProof/>
        </w:rPr>
        <w:lastRenderedPageBreak/>
        <w:t>(Drummond et al., 1995; Alvarado and Gans, 2012)</w:t>
      </w:r>
      <w:r>
        <w:t>.</w:t>
      </w:r>
      <w:r w:rsidRPr="00C8322A">
        <w:t xml:space="preserve"> </w:t>
      </w:r>
      <w:r>
        <w:t xml:space="preserve">Apatite fission-track ages </w:t>
      </w:r>
      <w:r w:rsidR="007B6B1C">
        <w:t>for</w:t>
      </w:r>
      <w:r>
        <w:t xml:space="preserve"> the </w:t>
      </w:r>
      <w:proofErr w:type="spellStart"/>
      <w:r>
        <w:t>granitoids</w:t>
      </w:r>
      <w:proofErr w:type="spellEnd"/>
      <w:r>
        <w:t xml:space="preserve"> range between 4.8</w:t>
      </w:r>
      <w:r w:rsidR="007B6B1C">
        <w:t>-</w:t>
      </w:r>
      <w:r>
        <w:t xml:space="preserve">1.7 Ma with a mean weighted age of 3.0±0.4 Ma </w:t>
      </w:r>
      <w:r>
        <w:rPr>
          <w:noProof/>
        </w:rPr>
        <w:t>(Grafe et al., 2002)</w:t>
      </w:r>
      <w:r>
        <w:t>.</w:t>
      </w:r>
      <w:r w:rsidRPr="00C8322A">
        <w:t xml:space="preserve"> </w:t>
      </w:r>
      <w:r>
        <w:t xml:space="preserve">Based on terrestrial alluvial deposits (i.e., lahars), </w:t>
      </w:r>
      <w:proofErr w:type="spellStart"/>
      <w:r>
        <w:t>pyroclastics</w:t>
      </w:r>
      <w:proofErr w:type="spellEnd"/>
      <w:r>
        <w:t xml:space="preserve">, and lava flows of the </w:t>
      </w:r>
      <w:proofErr w:type="spellStart"/>
      <w:r>
        <w:t>Plio</w:t>
      </w:r>
      <w:proofErr w:type="spellEnd"/>
      <w:r>
        <w:t xml:space="preserve">-Pleistocene – 4.3-1.2 Ma - Paso Real Formation in the Fila Costeña, the </w:t>
      </w:r>
      <w:proofErr w:type="spellStart"/>
      <w:r>
        <w:t>unroofing</w:t>
      </w:r>
      <w:proofErr w:type="spellEnd"/>
      <w:r>
        <w:t xml:space="preserve"> and initial exposure of the intrusive suite of the Cordillera de Talamanca is inferred to have occurred during the Quaternary </w:t>
      </w:r>
      <w:r>
        <w:rPr>
          <w:noProof/>
        </w:rPr>
        <w:t>(Marshall, 2007)</w:t>
      </w:r>
      <w:r>
        <w:t>.</w:t>
      </w:r>
      <w:r w:rsidRPr="00BC3359">
        <w:t xml:space="preserve"> </w:t>
      </w:r>
      <w:r>
        <w:t>T</w:t>
      </w:r>
      <w:r w:rsidRPr="00FF5B99">
        <w:t xml:space="preserve">he host rock of the volcanic arc and framework of the Caribbean plate in this region is the Caribbean Large Igneous Province – CLIP – formed at the Galapagos hotspot with ages ranging from 139 to 69 Ma – </w:t>
      </w:r>
      <w:r w:rsidRPr="00FF5B99">
        <w:rPr>
          <w:vertAlign w:val="superscript"/>
        </w:rPr>
        <w:t>40</w:t>
      </w:r>
      <w:r w:rsidRPr="00FF5B99">
        <w:t>Ar/</w:t>
      </w:r>
      <w:r w:rsidRPr="00FF5B99">
        <w:rPr>
          <w:vertAlign w:val="superscript"/>
        </w:rPr>
        <w:t>39</w:t>
      </w:r>
      <w:r w:rsidRPr="00FF5B99">
        <w:t xml:space="preserve">Ar </w:t>
      </w:r>
      <w:r w:rsidRPr="00FF5B99">
        <w:rPr>
          <w:noProof/>
        </w:rPr>
        <w:t>(Sinton et al., 1997; Hauff et al., 2000; Hoernle et al., 2004)</w:t>
      </w:r>
      <w:r>
        <w:rPr>
          <w:noProof/>
        </w:rPr>
        <w:t>(Fig. 3)</w:t>
      </w:r>
      <w:r w:rsidRPr="00FF5B99">
        <w:t xml:space="preserve">. CLIP </w:t>
      </w:r>
      <w:proofErr w:type="spellStart"/>
      <w:r w:rsidRPr="00FF5B99">
        <w:t>lithologies</w:t>
      </w:r>
      <w:proofErr w:type="spellEnd"/>
      <w:r w:rsidRPr="00FF5B99">
        <w:t xml:space="preserve"> </w:t>
      </w:r>
      <w:r w:rsidR="007B6B1C">
        <w:t>–</w:t>
      </w:r>
      <w:r w:rsidRPr="00FF5B99">
        <w:t xml:space="preserve"> tholeiitic basalts, </w:t>
      </w:r>
      <w:proofErr w:type="spellStart"/>
      <w:r w:rsidRPr="00FF5B99">
        <w:t>gabbros</w:t>
      </w:r>
      <w:proofErr w:type="spellEnd"/>
      <w:r w:rsidRPr="00FF5B99">
        <w:t xml:space="preserve"> and subordinate </w:t>
      </w:r>
      <w:proofErr w:type="spellStart"/>
      <w:r w:rsidRPr="00FF5B99">
        <w:t>plagiogranites</w:t>
      </w:r>
      <w:proofErr w:type="spellEnd"/>
      <w:r w:rsidRPr="00FF5B99">
        <w:t xml:space="preserve"> </w:t>
      </w:r>
      <w:r w:rsidR="007B6B1C">
        <w:t>–</w:t>
      </w:r>
      <w:r w:rsidRPr="00FF5B99">
        <w:t xml:space="preserve"> rarely contain apatite</w:t>
      </w:r>
      <w:r>
        <w:t>.</w:t>
      </w:r>
      <w:r w:rsidRPr="00FF5B99">
        <w:t xml:space="preserve"> </w:t>
      </w:r>
      <w:r>
        <w:t>More</w:t>
      </w:r>
      <w:r w:rsidRPr="00FF5B99">
        <w:t xml:space="preserve"> important</w:t>
      </w:r>
      <w:r>
        <w:t>ly</w:t>
      </w:r>
      <w:r w:rsidRPr="00FF5B99">
        <w:t xml:space="preserve">, CLIP </w:t>
      </w:r>
      <w:r>
        <w:t xml:space="preserve">material </w:t>
      </w:r>
      <w:r w:rsidRPr="00FF5B99">
        <w:t xml:space="preserve">was emplaced </w:t>
      </w:r>
      <w:r>
        <w:t>on</w:t>
      </w:r>
      <w:r w:rsidRPr="00FF5B99">
        <w:t xml:space="preserve"> the Caribbean plate during the Late Cretaceous-Paleocene</w:t>
      </w:r>
      <w:r>
        <w:t>.</w:t>
      </w:r>
      <w:r w:rsidRPr="00FF5B99">
        <w:t xml:space="preserve"> </w:t>
      </w:r>
      <w:r>
        <w:t xml:space="preserve"> S</w:t>
      </w:r>
      <w:r w:rsidRPr="00FF5B99">
        <w:t>ince then</w:t>
      </w:r>
      <w:r>
        <w:t>,</w:t>
      </w:r>
      <w:r w:rsidRPr="00FF5B99">
        <w:t xml:space="preserve"> deformation of CLIP</w:t>
      </w:r>
      <w:r w:rsidR="007B6B1C">
        <w:t xml:space="preserve"> material</w:t>
      </w:r>
      <w:r w:rsidRPr="00FF5B99">
        <w:t xml:space="preserve"> in the region around southern Costa Rica has not been associated </w:t>
      </w:r>
      <w:r>
        <w:t>with</w:t>
      </w:r>
      <w:r w:rsidRPr="00FF5B99">
        <w:t xml:space="preserve"> </w:t>
      </w:r>
      <w:r>
        <w:t>temperature</w:t>
      </w:r>
      <w:r w:rsidRPr="00FF5B99">
        <w:t xml:space="preserve"> conditions able to reset fission-tracks </w:t>
      </w:r>
      <w:r>
        <w:t xml:space="preserve">in </w:t>
      </w:r>
      <w:r w:rsidRPr="00FF5B99">
        <w:t xml:space="preserve">apatite </w:t>
      </w:r>
      <w:r w:rsidRPr="00FF5B99">
        <w:rPr>
          <w:noProof/>
        </w:rPr>
        <w:t>(Pindell et al., 2006; Geldmacher et al., 2008)</w:t>
      </w:r>
      <w:r w:rsidRPr="00FF5B99">
        <w:t>.</w:t>
      </w:r>
    </w:p>
    <w:p w14:paraId="1670977D" w14:textId="53CB0AA8" w:rsidR="000332D3" w:rsidRDefault="000332D3" w:rsidP="00530331">
      <w:r>
        <w:t>For t</w:t>
      </w:r>
      <w:r w:rsidRPr="00FF5B99">
        <w:t xml:space="preserve">he </w:t>
      </w:r>
      <w:proofErr w:type="spellStart"/>
      <w:proofErr w:type="gramStart"/>
      <w:r>
        <w:t>Osa</w:t>
      </w:r>
      <w:proofErr w:type="spellEnd"/>
      <w:proofErr w:type="gramEnd"/>
      <w:r>
        <w:t xml:space="preserve"> Peninsula and the</w:t>
      </w:r>
      <w:r w:rsidRPr="00FF5B99">
        <w:t xml:space="preserve"> Fila Costeña</w:t>
      </w:r>
      <w:r>
        <w:t>, the</w:t>
      </w:r>
      <w:r w:rsidRPr="00FF5B99">
        <w:t xml:space="preserve"> other </w:t>
      </w:r>
      <w:r>
        <w:t>sector</w:t>
      </w:r>
      <w:r w:rsidRPr="00FF5B99">
        <w:t xml:space="preserve">s </w:t>
      </w:r>
      <w:r>
        <w:t>of the onshore bedrock in southern Costa Rica, apatite fission-track data are lacking</w:t>
      </w:r>
      <w:r w:rsidR="007B6B1C">
        <w:t xml:space="preserve">. </w:t>
      </w:r>
      <w:r>
        <w:t xml:space="preserve"> </w:t>
      </w:r>
      <w:r w:rsidR="007B6B1C">
        <w:t>However both</w:t>
      </w:r>
      <w:r>
        <w:t xml:space="preserve"> </w:t>
      </w:r>
      <w:r w:rsidRPr="00FF5B99">
        <w:t xml:space="preserve">are </w:t>
      </w:r>
      <w:r>
        <w:t xml:space="preserve">composed by rocks </w:t>
      </w:r>
      <w:r w:rsidRPr="00FF5B99">
        <w:t xml:space="preserve">significantly older than those exposed in the Cordillera de Talamanca, and </w:t>
      </w:r>
      <w:r w:rsidR="007B6B1C">
        <w:t xml:space="preserve">these units </w:t>
      </w:r>
      <w:r>
        <w:t>also</w:t>
      </w:r>
      <w:r w:rsidRPr="00FF5B99">
        <w:t xml:space="preserve"> did not experience burial or deformation events since the Miocene </w:t>
      </w:r>
      <w:r>
        <w:t xml:space="preserve">that would </w:t>
      </w:r>
      <w:r w:rsidR="007B6B1C">
        <w:t xml:space="preserve">have </w:t>
      </w:r>
      <w:r>
        <w:t>be</w:t>
      </w:r>
      <w:r w:rsidR="007B6B1C">
        <w:t>en</w:t>
      </w:r>
      <w:r>
        <w:t xml:space="preserve"> </w:t>
      </w:r>
      <w:r w:rsidRPr="00FF5B99">
        <w:t xml:space="preserve">able to reset their apatite fission-track clocks </w:t>
      </w:r>
      <w:r w:rsidRPr="00FF5B99">
        <w:rPr>
          <w:noProof/>
        </w:rPr>
        <w:t>(Fisher et al., 2004; Sitchler et al., 2007)</w:t>
      </w:r>
      <w:r w:rsidRPr="00FF5B99">
        <w:t>.</w:t>
      </w:r>
      <w:r>
        <w:t xml:space="preserve"> </w:t>
      </w:r>
      <w:r w:rsidRPr="00FF5B99">
        <w:t>In particular, CLIP</w:t>
      </w:r>
      <w:r w:rsidR="004D1BAF">
        <w:t xml:space="preserve"> units</w:t>
      </w:r>
      <w:r w:rsidRPr="00FF5B99">
        <w:t xml:space="preserve"> </w:t>
      </w:r>
      <w:r w:rsidR="004D1BAF">
        <w:t>were</w:t>
      </w:r>
      <w:r w:rsidR="004D1BAF" w:rsidRPr="00FF5B99">
        <w:t xml:space="preserve"> </w:t>
      </w:r>
      <w:r w:rsidRPr="00FF5B99">
        <w:t xml:space="preserve">the source of sediments for the Oligo-Miocene </w:t>
      </w:r>
      <w:proofErr w:type="spellStart"/>
      <w:r w:rsidRPr="00FF5B99">
        <w:t>turbidites</w:t>
      </w:r>
      <w:proofErr w:type="spellEnd"/>
      <w:r w:rsidRPr="00FF5B99">
        <w:t xml:space="preserve"> and shallow marine formations that are folded and thrusted in the Fila Costeña </w:t>
      </w:r>
      <w:r w:rsidRPr="00FF5B99">
        <w:rPr>
          <w:noProof/>
        </w:rPr>
        <w:t>(Phillips, 1983)</w:t>
      </w:r>
      <w:r>
        <w:t>.</w:t>
      </w:r>
      <w:r w:rsidRPr="00FF5B99">
        <w:t xml:space="preserve"> The </w:t>
      </w:r>
      <w:proofErr w:type="spellStart"/>
      <w:proofErr w:type="gramStart"/>
      <w:r>
        <w:t>Osa</w:t>
      </w:r>
      <w:proofErr w:type="spellEnd"/>
      <w:proofErr w:type="gramEnd"/>
      <w:r>
        <w:t xml:space="preserve"> Peninsula and the </w:t>
      </w:r>
      <w:proofErr w:type="spellStart"/>
      <w:r>
        <w:t>Burica</w:t>
      </w:r>
      <w:proofErr w:type="spellEnd"/>
      <w:r>
        <w:t xml:space="preserve"> Peninsula, to the southeast expose an accreted seamount complex, the </w:t>
      </w:r>
      <w:proofErr w:type="spellStart"/>
      <w:r>
        <w:t>Osa</w:t>
      </w:r>
      <w:proofErr w:type="spellEnd"/>
      <w:r>
        <w:t xml:space="preserve"> </w:t>
      </w:r>
      <w:proofErr w:type="spellStart"/>
      <w:r>
        <w:t>Melange</w:t>
      </w:r>
      <w:proofErr w:type="spellEnd"/>
      <w:r>
        <w:t xml:space="preserve"> </w:t>
      </w:r>
      <w:r w:rsidRPr="00FF5B99">
        <w:rPr>
          <w:noProof/>
        </w:rPr>
        <w:t>(Vannucchi et al., 2006)</w:t>
      </w:r>
      <w:r>
        <w:rPr>
          <w:noProof/>
        </w:rPr>
        <w:t>(Fig.3)</w:t>
      </w:r>
      <w:r>
        <w:t>. This complex has</w:t>
      </w:r>
      <w:r w:rsidRPr="00FF5B99">
        <w:t xml:space="preserve"> ages ranging from Campanian to middle Eocene – 80 to 43.5 Ma – </w:t>
      </w:r>
      <w:r w:rsidR="004D1BAF">
        <w:t xml:space="preserve">inferred with </w:t>
      </w:r>
      <w:r w:rsidRPr="00FF5B99">
        <w:t>K/</w:t>
      </w:r>
      <w:proofErr w:type="spellStart"/>
      <w:r w:rsidRPr="00FF5B99">
        <w:t>Ar</w:t>
      </w:r>
      <w:proofErr w:type="spellEnd"/>
      <w:r w:rsidRPr="00FF5B99">
        <w:t xml:space="preserve">, </w:t>
      </w:r>
      <w:r w:rsidRPr="00FF5B99">
        <w:rPr>
          <w:vertAlign w:val="superscript"/>
        </w:rPr>
        <w:t>40</w:t>
      </w:r>
      <w:r w:rsidRPr="00FF5B99">
        <w:t>Ar/</w:t>
      </w:r>
      <w:r w:rsidRPr="00FF5B99">
        <w:rPr>
          <w:vertAlign w:val="superscript"/>
        </w:rPr>
        <w:t>39</w:t>
      </w:r>
      <w:r w:rsidRPr="00FF5B99">
        <w:t xml:space="preserve">Ar, </w:t>
      </w:r>
      <w:r w:rsidR="004D1BAF">
        <w:t xml:space="preserve">and </w:t>
      </w:r>
      <w:r w:rsidRPr="00FF5B99">
        <w:t xml:space="preserve">radiolarian biostratigraphy </w:t>
      </w:r>
      <w:r w:rsidRPr="00FF5B99">
        <w:rPr>
          <w:noProof/>
        </w:rPr>
        <w:t>(Di Marco, 1994; Di Marco et al., 1995; Hauff et al., 2000; Hoernle et al., 2002; Buchs et al., 2010)</w:t>
      </w:r>
      <w:r w:rsidRPr="00FF5B99">
        <w:t xml:space="preserve">. The </w:t>
      </w:r>
      <w:proofErr w:type="spellStart"/>
      <w:proofErr w:type="gramStart"/>
      <w:r w:rsidRPr="00FF5B99">
        <w:t>Osa</w:t>
      </w:r>
      <w:proofErr w:type="spellEnd"/>
      <w:proofErr w:type="gramEnd"/>
      <w:r w:rsidRPr="00FF5B99">
        <w:t xml:space="preserve"> mélange</w:t>
      </w:r>
      <w:r>
        <w:t xml:space="preserve"> is </w:t>
      </w:r>
      <w:r w:rsidRPr="00FF5B99">
        <w:t xml:space="preserve">mostly formed </w:t>
      </w:r>
      <w:r>
        <w:t>of</w:t>
      </w:r>
      <w:r w:rsidRPr="00FF5B99">
        <w:t xml:space="preserve"> basalts, </w:t>
      </w:r>
      <w:proofErr w:type="spellStart"/>
      <w:r w:rsidRPr="00FF5B99">
        <w:t>gabbros</w:t>
      </w:r>
      <w:proofErr w:type="spellEnd"/>
      <w:r w:rsidRPr="00FF5B99">
        <w:t xml:space="preserve"> and volcanoclastic sediments </w:t>
      </w:r>
      <w:r>
        <w:t>that have</w:t>
      </w:r>
      <w:r w:rsidRPr="00FF5B99">
        <w:t xml:space="preserve"> been accreted to the Caribbean plate and </w:t>
      </w:r>
      <w:r>
        <w:t xml:space="preserve">later </w:t>
      </w:r>
      <w:r w:rsidRPr="00FF5B99">
        <w:t xml:space="preserve">exhumed </w:t>
      </w:r>
      <w:r w:rsidRPr="00FF5B99">
        <w:rPr>
          <w:noProof/>
        </w:rPr>
        <w:t>(Vannucchi et al., 2006)</w:t>
      </w:r>
      <w:r w:rsidRPr="00FF5B99">
        <w:t xml:space="preserve">. </w:t>
      </w:r>
      <w:r w:rsidRPr="00FF5B99">
        <w:lastRenderedPageBreak/>
        <w:t xml:space="preserve">The sediments </w:t>
      </w:r>
      <w:r>
        <w:t xml:space="preserve">that </w:t>
      </w:r>
      <w:proofErr w:type="spellStart"/>
      <w:r w:rsidRPr="00FF5B99">
        <w:t>unconformably</w:t>
      </w:r>
      <w:proofErr w:type="spellEnd"/>
      <w:r w:rsidRPr="00FF5B99">
        <w:t xml:space="preserve"> sit on top of the </w:t>
      </w:r>
      <w:proofErr w:type="spellStart"/>
      <w:proofErr w:type="gramStart"/>
      <w:r w:rsidRPr="00FF5B99">
        <w:t>Osa</w:t>
      </w:r>
      <w:proofErr w:type="spellEnd"/>
      <w:proofErr w:type="gramEnd"/>
      <w:r w:rsidRPr="00FF5B99">
        <w:t xml:space="preserve"> mélange constrain its accretion/exhumation to</w:t>
      </w:r>
      <w:r>
        <w:t xml:space="preserve"> have occurred in</w:t>
      </w:r>
      <w:r w:rsidRPr="00FF5B99">
        <w:t xml:space="preserve"> the Eocene. </w:t>
      </w:r>
      <w:r>
        <w:t>These old sediments are irregularly distributed and</w:t>
      </w:r>
      <w:r w:rsidRPr="00FF5B99">
        <w:t xml:space="preserve"> nearly entirely composed of the underlying basaltic basement. </w:t>
      </w:r>
      <w:r>
        <w:t xml:space="preserve">Consistent deposition is recorded in the younger </w:t>
      </w:r>
      <w:proofErr w:type="spellStart"/>
      <w:r>
        <w:t>Plio</w:t>
      </w:r>
      <w:proofErr w:type="spellEnd"/>
      <w:r>
        <w:t xml:space="preserve">-Quaternary sediments, whose provenance is still from the mélange and CLIP </w:t>
      </w:r>
      <w:r w:rsidR="004D1BAF">
        <w:t xml:space="preserve">material </w:t>
      </w:r>
      <w:r>
        <w:rPr>
          <w:noProof/>
        </w:rPr>
        <w:t>(Coates et al., 1992)</w:t>
      </w:r>
      <w:r>
        <w:t>. These data constrain</w:t>
      </w:r>
      <w:r w:rsidRPr="00FF5B99">
        <w:t xml:space="preserve"> the </w:t>
      </w:r>
      <w:r w:rsidR="004D1BAF">
        <w:t xml:space="preserve">fission-track </w:t>
      </w:r>
      <w:r w:rsidRPr="00FF5B99">
        <w:t xml:space="preserve">age signature of </w:t>
      </w:r>
      <w:proofErr w:type="spellStart"/>
      <w:proofErr w:type="gramStart"/>
      <w:r w:rsidRPr="00FF5B99">
        <w:t>Osa</w:t>
      </w:r>
      <w:proofErr w:type="spellEnd"/>
      <w:proofErr w:type="gramEnd"/>
      <w:r w:rsidRPr="00FF5B99">
        <w:t xml:space="preserve"> mélange</w:t>
      </w:r>
      <w:r w:rsidR="004D1BAF">
        <w:t xml:space="preserve"> material</w:t>
      </w:r>
      <w:r>
        <w:t xml:space="preserve"> to be significantly</w:t>
      </w:r>
      <w:r w:rsidRPr="00FF5B99">
        <w:t xml:space="preserve"> older than the record left by the Cordillera de Talamanca</w:t>
      </w:r>
      <w:r>
        <w:t xml:space="preserve">.  These circumstances allow us to directly trace the inputs of erosional detritus (debris) </w:t>
      </w:r>
      <w:r w:rsidR="004D1BAF">
        <w:t xml:space="preserve">from </w:t>
      </w:r>
      <w:r>
        <w:t>the Cordillera the Talamanca into offshore sediments.</w:t>
      </w:r>
    </w:p>
    <w:p w14:paraId="78705C04" w14:textId="77777777" w:rsidR="000332D3" w:rsidRDefault="000332D3" w:rsidP="00530331">
      <w:r>
        <w:t xml:space="preserve">Due to of the relatively small volume fraction of useful sandstone in the IODP cores, it was necessary to combine vertically adjacent samples to recover a sufficient number of apatite grains for analysis. Samples were combined in accordance with the </w:t>
      </w:r>
      <w:proofErr w:type="spellStart"/>
      <w:r>
        <w:t>lithostratigraphic</w:t>
      </w:r>
      <w:proofErr w:type="spellEnd"/>
      <w:r>
        <w:t xml:space="preserve"> units described for each site. A total of 4 combined samples were </w:t>
      </w:r>
      <w:proofErr w:type="spellStart"/>
      <w:r>
        <w:t>analysed</w:t>
      </w:r>
      <w:proofErr w:type="spellEnd"/>
      <w:r>
        <w:t xml:space="preserve">: three for Site U1379 and one for Site U1380 </w:t>
      </w:r>
      <w:r w:rsidRPr="00FE6A05">
        <w:rPr>
          <w:rFonts w:eastAsia="TimesNewRomanPSMT" w:cs="TimesNewRomanPSMT"/>
          <w:color w:val="0070C0"/>
        </w:rPr>
        <w:t xml:space="preserve">(Fig. </w:t>
      </w:r>
      <w:r>
        <w:rPr>
          <w:rFonts w:eastAsia="TimesNewRomanPSMT" w:cs="TimesNewRomanPSMT"/>
          <w:color w:val="0070C0"/>
        </w:rPr>
        <w:t>4</w:t>
      </w:r>
      <w:r w:rsidRPr="00FE6A05">
        <w:rPr>
          <w:rFonts w:eastAsia="TimesNewRomanPSMT" w:cs="TimesNewRomanPSMT"/>
          <w:color w:val="0070C0"/>
        </w:rPr>
        <w:t>)</w:t>
      </w:r>
      <w:r>
        <w:rPr>
          <w:rFonts w:eastAsia="TimesNewRomanPSMT" w:cs="TimesNewRomanPSMT"/>
          <w:color w:val="0070C0"/>
        </w:rPr>
        <w:t>.</w:t>
      </w:r>
    </w:p>
    <w:p w14:paraId="1A7840A6" w14:textId="00C0D562" w:rsidR="000332D3" w:rsidRPr="00B30E24" w:rsidRDefault="000332D3" w:rsidP="00530331">
      <w:proofErr w:type="gramStart"/>
      <w:r w:rsidRPr="003C2E95">
        <w:rPr>
          <w:i/>
        </w:rPr>
        <w:t>Apatite Fission Tracks – Results</w:t>
      </w:r>
      <w:r w:rsidRPr="00843C63">
        <w:t>.</w:t>
      </w:r>
      <w:proofErr w:type="gramEnd"/>
      <w:r>
        <w:t xml:space="preserve"> Single-grain age distributions were decomposed into main grain components (</w:t>
      </w:r>
      <w:r>
        <w:rPr>
          <w:noProof/>
        </w:rPr>
        <w:t xml:space="preserve">Galbraith and Green, 1990; Brandon, 1992, 1996). </w:t>
      </w:r>
      <w:r>
        <w:t xml:space="preserve">Five age components were identified in the four samples </w:t>
      </w:r>
      <w:r w:rsidRPr="009D1504">
        <w:rPr>
          <w:color w:val="0070C0"/>
        </w:rPr>
        <w:t xml:space="preserve">(Table </w:t>
      </w:r>
      <w:r>
        <w:rPr>
          <w:color w:val="0070C0"/>
        </w:rPr>
        <w:t>1</w:t>
      </w:r>
      <w:proofErr w:type="gramStart"/>
      <w:r w:rsidRPr="009D1504">
        <w:rPr>
          <w:color w:val="0070C0"/>
        </w:rPr>
        <w:t>)</w:t>
      </w:r>
      <w:r w:rsidR="00A67E7D">
        <w:rPr>
          <w:color w:val="0070C0"/>
        </w:rPr>
        <w:t>(</w:t>
      </w:r>
      <w:proofErr w:type="gramEnd"/>
      <w:r w:rsidR="00A67E7D">
        <w:rPr>
          <w:color w:val="0070C0"/>
        </w:rPr>
        <w:t>for the method see Supplementary Material</w:t>
      </w:r>
      <w:r>
        <w:rPr>
          <w:color w:val="0070C0"/>
        </w:rPr>
        <w:t>)</w:t>
      </w:r>
      <w:r>
        <w:t xml:space="preserve">. The youngest peak P1 (2.3±0.4 Ma) is present only in sample CR1 that represents the oldest stratigraphic level - 1.9-2.5 Ma </w:t>
      </w:r>
      <w:r>
        <w:rPr>
          <w:noProof/>
        </w:rPr>
        <w:t>(Vannucchi et al., 2012)</w:t>
      </w:r>
      <w:r>
        <w:t xml:space="preserve">. This peak is composed of 96% of the single grain ages. The other three intermediate  peaks indicate source material ages of 10-15 Ma (P2), 20-30 Ma (P3), 50-70 Ma (P4) whereas P5 (ca. 100 Ma) is present only in the youngest sample UP1  where it is </w:t>
      </w:r>
      <w:r w:rsidR="004D1BAF">
        <w:t>found within</w:t>
      </w:r>
      <w:r>
        <w:t xml:space="preserve"> only 10% of the apatite grains. </w:t>
      </w:r>
      <w:r w:rsidRPr="00F90C60">
        <w:rPr>
          <w:color w:val="0070C0"/>
        </w:rPr>
        <w:t xml:space="preserve">Fig. </w:t>
      </w:r>
      <w:r>
        <w:rPr>
          <w:color w:val="0070C0"/>
        </w:rPr>
        <w:t xml:space="preserve">4 </w:t>
      </w:r>
      <w:r w:rsidR="004D1BAF">
        <w:rPr>
          <w:color w:val="0070C0"/>
        </w:rPr>
        <w:t xml:space="preserve">shows </w:t>
      </w:r>
      <w:r>
        <w:rPr>
          <w:color w:val="0070C0"/>
        </w:rPr>
        <w:t xml:space="preserve">results </w:t>
      </w:r>
      <w:r w:rsidR="004D1BAF">
        <w:rPr>
          <w:color w:val="0070C0"/>
        </w:rPr>
        <w:t>from</w:t>
      </w:r>
      <w:r>
        <w:rPr>
          <w:color w:val="0070C0"/>
        </w:rPr>
        <w:t xml:space="preserve"> the </w:t>
      </w:r>
      <w:r>
        <w:t>binomial decomposition of single grain age distributions.</w:t>
      </w:r>
    </w:p>
    <w:p w14:paraId="1254D61B" w14:textId="3B340723" w:rsidR="000332D3" w:rsidRDefault="000332D3" w:rsidP="00530331">
      <w:r>
        <w:t xml:space="preserve">In summary, the apatite fission-track single-grain age distributions for the younger offshore sediments – UP1, CR2 and CR3 &lt;1.9 Ma - in the forearc </w:t>
      </w:r>
      <w:r w:rsidR="004D1BAF">
        <w:t>indicate that</w:t>
      </w:r>
      <w:r>
        <w:t xml:space="preserve"> the Cordillera de </w:t>
      </w:r>
      <w:r w:rsidRPr="003C2E95">
        <w:t>Talamanca</w:t>
      </w:r>
      <w:r>
        <w:t xml:space="preserve"> </w:t>
      </w:r>
      <w:r w:rsidR="004D1BAF">
        <w:t xml:space="preserve">was not </w:t>
      </w:r>
      <w:r>
        <w:t xml:space="preserve">a </w:t>
      </w:r>
      <w:r w:rsidR="004D1BAF">
        <w:t xml:space="preserve">sediment </w:t>
      </w:r>
      <w:r>
        <w:t xml:space="preserve">source, although this source is present in oldest sediments recovered – CR1 </w:t>
      </w:r>
      <w:r w:rsidR="004D1BAF">
        <w:t>–</w:t>
      </w:r>
      <w:r>
        <w:t xml:space="preserve"> </w:t>
      </w:r>
      <w:r w:rsidR="004D1BAF">
        <w:t xml:space="preserve">in which </w:t>
      </w:r>
      <w:r>
        <w:t xml:space="preserve">it represents the dominant </w:t>
      </w:r>
      <w:r w:rsidR="004D1BAF">
        <w:t xml:space="preserve">sediment </w:t>
      </w:r>
      <w:r>
        <w:t>source (</w:t>
      </w:r>
      <w:proofErr w:type="spellStart"/>
      <w:r>
        <w:t>Frac</w:t>
      </w:r>
      <w:proofErr w:type="spellEnd"/>
      <w:r>
        <w:t xml:space="preserve"> 96%, </w:t>
      </w:r>
      <w:r w:rsidRPr="0080039B">
        <w:rPr>
          <w:color w:val="0070C0"/>
        </w:rPr>
        <w:t xml:space="preserve">Table </w:t>
      </w:r>
      <w:r>
        <w:rPr>
          <w:color w:val="0070C0"/>
        </w:rPr>
        <w:t>1</w:t>
      </w:r>
      <w:r>
        <w:t xml:space="preserve">). These data imply that areas of the Cordillera de </w:t>
      </w:r>
      <w:r>
        <w:lastRenderedPageBreak/>
        <w:t xml:space="preserve">Talamanca were already </w:t>
      </w:r>
      <w:proofErr w:type="spellStart"/>
      <w:r>
        <w:t>unroofing</w:t>
      </w:r>
      <w:proofErr w:type="spellEnd"/>
      <w:r>
        <w:t xml:space="preserve"> and exposing the intrusive </w:t>
      </w:r>
      <w:proofErr w:type="spellStart"/>
      <w:r>
        <w:t>granodioritic</w:t>
      </w:r>
      <w:proofErr w:type="spellEnd"/>
      <w:r>
        <w:t xml:space="preserve"> batholiths &gt;1.9 </w:t>
      </w:r>
      <w:proofErr w:type="spellStart"/>
      <w:r>
        <w:t>Myr</w:t>
      </w:r>
      <w:proofErr w:type="spellEnd"/>
      <w:r>
        <w:t xml:space="preserve"> ago. The strong predominance of peak P1 in CR1 is likely due to the much higher fertility in apatite of Cordillera de Talamanca with respect to the rocks composing the CLIP and seamount complex. </w:t>
      </w:r>
      <w:r w:rsidR="004D1BAF">
        <w:t>S</w:t>
      </w:r>
      <w:r>
        <w:t xml:space="preserve">ediments derived </w:t>
      </w:r>
      <w:r w:rsidR="004D1BAF">
        <w:t xml:space="preserve">from </w:t>
      </w:r>
      <w:r>
        <w:t>the erosion of the exposed Cordillera de Talamanca were able to reach the adjacent forearc before ~1.9 Ma. This became no longer possible after 1.9 Ma, when, in spite of the ongoing uplift/</w:t>
      </w:r>
      <w:proofErr w:type="spellStart"/>
      <w:r>
        <w:t>unroofing</w:t>
      </w:r>
      <w:proofErr w:type="spellEnd"/>
      <w:r>
        <w:t xml:space="preserve"> of the Cordillera de Talamanca – which at present is about 4000 m high - the source region for CR2 deposits switched to nearer-to-coast CLIP and seamount complexes. This switch is evidence that by </w:t>
      </w:r>
      <w:r>
        <w:sym w:font="Symbol" w:char="F0BB"/>
      </w:r>
      <w:r>
        <w:t xml:space="preserve"> 1.9 Ma the Fila Costeña had become high enough to block direct transport of sediments from the Cordillera de Talamanca to the offshore </w:t>
      </w:r>
      <w:proofErr w:type="spellStart"/>
      <w:proofErr w:type="gramStart"/>
      <w:r>
        <w:t>Osa</w:t>
      </w:r>
      <w:proofErr w:type="spellEnd"/>
      <w:proofErr w:type="gramEnd"/>
      <w:r>
        <w:t xml:space="preserve"> forearc.</w:t>
      </w:r>
    </w:p>
    <w:p w14:paraId="5BA68D51" w14:textId="64727974" w:rsidR="000332D3" w:rsidRDefault="000332D3" w:rsidP="00530331">
      <w:r>
        <w:t>These analyses show that there is not a direct correlation between the timing of subsidence</w:t>
      </w:r>
      <w:r w:rsidR="004D1BAF">
        <w:t xml:space="preserve"> and </w:t>
      </w:r>
      <w:r>
        <w:t xml:space="preserve">uplift </w:t>
      </w:r>
      <w:r w:rsidR="004D1BAF">
        <w:t xml:space="preserve">in </w:t>
      </w:r>
      <w:r>
        <w:t>the forearc and the development of the two major physiographic provinces (</w:t>
      </w:r>
      <w:r w:rsidRPr="00FF5B99">
        <w:t>Fila Costeña</w:t>
      </w:r>
      <w:r>
        <w:t xml:space="preserve"> and Cordillera de Talamanca) inboard the Cocos Ridge. In particular, </w:t>
      </w:r>
      <w:proofErr w:type="spellStart"/>
      <w:r>
        <w:t>apatites</w:t>
      </w:r>
      <w:proofErr w:type="spellEnd"/>
      <w:r>
        <w:t xml:space="preserve"> sourced by the Cordillera de Talamanca (peak P1, age of 2.3 ±0.4 Ma) </w:t>
      </w:r>
      <w:r w:rsidR="004D1BAF">
        <w:t>indicate</w:t>
      </w:r>
      <w:r>
        <w:t xml:space="preserve"> a rapid </w:t>
      </w:r>
      <w:r w:rsidR="004D1BAF">
        <w:t xml:space="preserve">Talamanca </w:t>
      </w:r>
      <w:r>
        <w:t xml:space="preserve">exhumation event at 3 Ma </w:t>
      </w:r>
      <w:r>
        <w:rPr>
          <w:noProof/>
        </w:rPr>
        <w:t>(Grafe et al., 2002)</w:t>
      </w:r>
      <w:r>
        <w:t xml:space="preserve"> </w:t>
      </w:r>
      <w:r w:rsidR="004D1BAF">
        <w:t xml:space="preserve">that is recorded </w:t>
      </w:r>
      <w:r>
        <w:t xml:space="preserve">in sediments with stratigraphic age of </w:t>
      </w:r>
      <w:r>
        <w:sym w:font="Symbol" w:char="F0BB"/>
      </w:r>
      <w:r>
        <w:t>2 Ma</w:t>
      </w:r>
      <w:r w:rsidR="004D1BAF">
        <w:t>.</w:t>
      </w:r>
      <w:r>
        <w:t xml:space="preserve"> </w:t>
      </w:r>
      <w:r w:rsidR="004D1BAF">
        <w:t>T</w:t>
      </w:r>
      <w:r>
        <w:t xml:space="preserve">his </w:t>
      </w:r>
      <w:r w:rsidR="004D1BAF">
        <w:t xml:space="preserve">finding </w:t>
      </w:r>
      <w:r>
        <w:t xml:space="preserve">reinforces reconstructions in which the Cordillera experiences a rapid </w:t>
      </w:r>
      <w:proofErr w:type="spellStart"/>
      <w:r>
        <w:t>unroofing</w:t>
      </w:r>
      <w:proofErr w:type="spellEnd"/>
      <w:r>
        <w:t xml:space="preserve"> event before the </w:t>
      </w:r>
      <w:r w:rsidRPr="00071E2F">
        <w:t>2.2</w:t>
      </w:r>
      <w:r w:rsidRPr="00071E2F">
        <w:sym w:font="Symbol" w:char="F0B1"/>
      </w:r>
      <w:r w:rsidRPr="00071E2F">
        <w:t xml:space="preserve">0.2 Ma </w:t>
      </w:r>
      <w:r>
        <w:t xml:space="preserve">unconformity that marks the onset of subduction of the Cocos Ridge. Therefore the extinction of the volcanic arc and the uplift of the Cordillera de Talamanca appear to be unrelated to the more recent subduction of the Cocos Ridge. Our preferred hypothesis is that the cessation of arc magmatism at the Cordillera de Talamanca was induced by the subduction </w:t>
      </w:r>
      <w:r w:rsidR="0093117A">
        <w:t xml:space="preserve">beneath this region </w:t>
      </w:r>
      <w:r>
        <w:t xml:space="preserve">of an extinct section of the Cocos-Nazca spreading center </w:t>
      </w:r>
      <w:r>
        <w:rPr>
          <w:noProof/>
        </w:rPr>
        <w:t>(Johnston and Thorkelson, 1997)</w:t>
      </w:r>
      <w:r>
        <w:t>.</w:t>
      </w:r>
    </w:p>
    <w:p w14:paraId="1F884F85" w14:textId="47E09A97" w:rsidR="000332D3" w:rsidRDefault="000332D3" w:rsidP="00530331">
      <w:r>
        <w:t xml:space="preserve">The disappearance of the younger peak representing the Talamanca recorded in the younger sediments, &lt;1.9 Ma </w:t>
      </w:r>
      <w:r w:rsidR="00423B44">
        <w:t>–</w:t>
      </w:r>
      <w:r>
        <w:t xml:space="preserve"> samples CR2, CR3 and UP1 </w:t>
      </w:r>
      <w:r w:rsidR="00423B44">
        <w:t>–</w:t>
      </w:r>
      <w:r>
        <w:t xml:space="preserve"> is evidence that by this time the Fila Costeña began to represent an important barrier to material transport between the Talamanca and this offshore site. The uplift of </w:t>
      </w:r>
      <w:r>
        <w:lastRenderedPageBreak/>
        <w:t xml:space="preserve">the Fila Costeña, therefore, is </w:t>
      </w:r>
      <w:r w:rsidR="0093117A">
        <w:t xml:space="preserve">mostly </w:t>
      </w:r>
      <w:r>
        <w:t xml:space="preserve">younger than </w:t>
      </w:r>
      <w:r w:rsidR="0093117A">
        <w:t>~</w:t>
      </w:r>
      <w:r>
        <w:t>1.9 Ma. This records a detectable delay with respect to the main pulse of subduction erosion as recorded offshore, i.e. the</w:t>
      </w:r>
      <w:r w:rsidRPr="00071E2F">
        <w:t xml:space="preserve"> 2.2</w:t>
      </w:r>
      <w:r w:rsidRPr="00071E2F">
        <w:sym w:font="Symbol" w:char="F0B1"/>
      </w:r>
      <w:r w:rsidRPr="00071E2F">
        <w:t>0.2 Ma</w:t>
      </w:r>
      <w:r>
        <w:t xml:space="preserve"> unconformity and its subsequent subsidence event. The development of a</w:t>
      </w:r>
      <w:r w:rsidR="0093117A">
        <w:t>n inland</w:t>
      </w:r>
      <w:r>
        <w:t xml:space="preserve"> topographic barrier, the Fila Costeña, could be related to the progressive subduction of the Cocos Ridge. If this is the case, the inner and outer forearc reacted and are still behaving differently in response to subduction</w:t>
      </w:r>
      <w:r w:rsidRPr="00F42B95">
        <w:t xml:space="preserve"> </w:t>
      </w:r>
      <w:r>
        <w:t xml:space="preserve">of the ridge. The inner forearc does not record shortening along either the U1379-U1378 transect or in the </w:t>
      </w:r>
      <w:proofErr w:type="spellStart"/>
      <w:proofErr w:type="gramStart"/>
      <w:r>
        <w:t>Osa</w:t>
      </w:r>
      <w:proofErr w:type="spellEnd"/>
      <w:proofErr w:type="gramEnd"/>
      <w:r>
        <w:t xml:space="preserve"> peninsula </w:t>
      </w:r>
      <w:r w:rsidRPr="00D20077">
        <w:rPr>
          <w:color w:val="0070C0"/>
        </w:rPr>
        <w:t>(Fig. 3)</w:t>
      </w:r>
      <w:r>
        <w:t xml:space="preserve">. Shortening is observed in the sediments along a 3D seismic reflection box across the forearc about 12 km to the NW from the U1379-U1378 drilling transect </w:t>
      </w:r>
      <w:r>
        <w:rPr>
          <w:noProof/>
        </w:rPr>
        <w:t>(Bangs et al., 2015)</w:t>
      </w:r>
      <w:r>
        <w:t xml:space="preserve">, where it has been associated with local seamount subduction </w:t>
      </w:r>
      <w:r>
        <w:rPr>
          <w:noProof/>
        </w:rPr>
        <w:t>(Kluesner et al., 2013)</w:t>
      </w:r>
      <w:r>
        <w:t>.</w:t>
      </w:r>
    </w:p>
    <w:p w14:paraId="4B5F54CB" w14:textId="77777777" w:rsidR="000332D3" w:rsidRDefault="000332D3" w:rsidP="00530331">
      <w:r>
        <w:t xml:space="preserve">These data support the hypothesis that the onset of Cocos Ridge subduction is represented by the </w:t>
      </w:r>
      <w:r w:rsidRPr="00071E2F">
        <w:t>2.2</w:t>
      </w:r>
      <w:r w:rsidRPr="00071E2F">
        <w:sym w:font="Symbol" w:char="F0B1"/>
      </w:r>
      <w:r w:rsidRPr="00071E2F">
        <w:t>0.2 Ma</w:t>
      </w:r>
      <w:r>
        <w:t xml:space="preserve"> unconformity and that the inner forearc reacted to the Cocos Ridge subduction by mass removal, rather than the shortening and thickening that is observed in the outer forearc.</w:t>
      </w:r>
    </w:p>
    <w:p w14:paraId="1FBCFF43" w14:textId="77777777" w:rsidR="000332D3" w:rsidRDefault="000332D3" w:rsidP="00530331">
      <w:pPr>
        <w:pStyle w:val="Heading2"/>
      </w:pPr>
      <w:r>
        <w:t>Material fluxes along the Central America Subduction System</w:t>
      </w:r>
    </w:p>
    <w:p w14:paraId="30997B91" w14:textId="05A982B2" w:rsidR="000332D3" w:rsidRDefault="000332D3" w:rsidP="00530331">
      <w:r>
        <w:t xml:space="preserve">Here we </w:t>
      </w:r>
      <w:r w:rsidR="00423B44">
        <w:t>analyze the</w:t>
      </w:r>
      <w:r>
        <w:t xml:space="preserve"> local continental </w:t>
      </w:r>
      <w:proofErr w:type="gramStart"/>
      <w:r>
        <w:t>crust</w:t>
      </w:r>
      <w:r w:rsidR="00423B44">
        <w:t xml:space="preserve">al </w:t>
      </w:r>
      <w:r>
        <w:t xml:space="preserve"> addition</w:t>
      </w:r>
      <w:proofErr w:type="gramEnd"/>
      <w:r w:rsidR="00423B44">
        <w:t xml:space="preserve"> and </w:t>
      </w:r>
      <w:r>
        <w:t>removal during the recent evolution of the Central American subduction system.</w:t>
      </w:r>
    </w:p>
    <w:p w14:paraId="0B26356F" w14:textId="6948C04D" w:rsidR="000332D3" w:rsidRDefault="000332D3" w:rsidP="00530331">
      <w:r>
        <w:t xml:space="preserve">Sediment subduction rates and, in particular, the terrigenous component of these sediments in the Middle America Trench </w:t>
      </w:r>
      <w:r w:rsidR="00423B44">
        <w:t>contribute to the net removal of upper continental crust by</w:t>
      </w:r>
      <w:r>
        <w:t xml:space="preserve"> subduction. </w:t>
      </w:r>
      <w:r w:rsidR="00423B44">
        <w:t>E</w:t>
      </w:r>
      <w:r>
        <w:t xml:space="preserve">stimates need to account for the incoming plate trench fill sediments, but also for the possible amount of material not </w:t>
      </w:r>
      <w:proofErr w:type="spellStart"/>
      <w:r>
        <w:t>subducting</w:t>
      </w:r>
      <w:proofErr w:type="spellEnd"/>
      <w:r>
        <w:t xml:space="preserve"> because of accretion. Deep sea drilling and reflection </w:t>
      </w:r>
      <w:proofErr w:type="spellStart"/>
      <w:r>
        <w:t>seismics</w:t>
      </w:r>
      <w:proofErr w:type="spellEnd"/>
      <w:r>
        <w:t xml:space="preserve"> help </w:t>
      </w:r>
      <w:r w:rsidR="00423B44">
        <w:t>to</w:t>
      </w:r>
      <w:r>
        <w:t xml:space="preserve"> evaluat</w:t>
      </w:r>
      <w:r w:rsidR="00423B44">
        <w:t>e</w:t>
      </w:r>
      <w:r>
        <w:t xml:space="preserve"> these rates. The Guatemala-El Salvador sector of the margin has a coastal plain about 30 km wide extending from the shoreline to the volcanic arc. High rainfall and high elevation of the volcanic arc contributes to a high sedimentation rate in the coastal area with volcanogenic deposits </w:t>
      </w:r>
      <w:r>
        <w:rPr>
          <w:noProof/>
        </w:rPr>
        <w:t>(Davies et al., 1979)</w:t>
      </w:r>
      <w:r>
        <w:t xml:space="preserve">. The alluvium is discharged by rivers into the alluvial plain and from there to the forearc </w:t>
      </w:r>
      <w:r>
        <w:lastRenderedPageBreak/>
        <w:t>basin/slope and, finally, to the trench</w:t>
      </w:r>
      <w:r w:rsidR="00423B44">
        <w:t>,</w:t>
      </w:r>
      <w:r>
        <w:t xml:space="preserve"> where a</w:t>
      </w:r>
      <w:r w:rsidR="00423B44">
        <w:t xml:space="preserve"> </w:t>
      </w:r>
      <w:r>
        <w:t>variable</w:t>
      </w:r>
      <w:r w:rsidR="00423B44">
        <w:t xml:space="preserve"> thickness</w:t>
      </w:r>
      <w:r>
        <w:t xml:space="preserve"> from 82 to 117 m of </w:t>
      </w:r>
      <w:proofErr w:type="spellStart"/>
      <w:r>
        <w:t>turbiditic</w:t>
      </w:r>
      <w:proofErr w:type="spellEnd"/>
      <w:r>
        <w:t xml:space="preserve"> deposit</w:t>
      </w:r>
      <w:r w:rsidR="00423B44">
        <w:t>s</w:t>
      </w:r>
      <w:r>
        <w:t xml:space="preserve"> </w:t>
      </w:r>
      <w:r w:rsidR="00423B44">
        <w:t>were</w:t>
      </w:r>
      <w:r>
        <w:t xml:space="preserve"> drilled by DSDP Leg 67. It is interesting to note that the DSDP Leg 67 and 84 drill transects were located along a submarine canyon - the San Jose’ Canyon </w:t>
      </w:r>
      <w:r>
        <w:rPr>
          <w:noProof/>
        </w:rPr>
        <w:t>(Aubouin et al., 1982; von Huene et al., 1985)</w:t>
      </w:r>
      <w:r>
        <w:t xml:space="preserve"> – which </w:t>
      </w:r>
      <w:r w:rsidR="00423B44">
        <w:t>c</w:t>
      </w:r>
      <w:r>
        <w:t xml:space="preserve">ould be able to bypass the forearc, and directly deliver sediment into the trench. The hemipelagic/pelagic section varies from 74.5 to 428 m </w:t>
      </w:r>
      <w:r>
        <w:rPr>
          <w:noProof/>
        </w:rPr>
        <w:t>(Aubouin et al., 1982)</w:t>
      </w:r>
      <w:r>
        <w:t xml:space="preserve">. Drilling in the lower slope at about 3 km from the trench axis showed no occurrences of thrusts, and no accreted trench </w:t>
      </w:r>
      <w:proofErr w:type="spellStart"/>
      <w:r>
        <w:t>turbidites</w:t>
      </w:r>
      <w:proofErr w:type="spellEnd"/>
      <w:r>
        <w:t xml:space="preserve">, and the sediments have been interpreted as transported from upslope </w:t>
      </w:r>
      <w:r>
        <w:rPr>
          <w:noProof/>
        </w:rPr>
        <w:t>(Aubouin et al., 1982; von Huene et al., 1985)</w:t>
      </w:r>
      <w:r>
        <w:t>. Considering a convergence rate of 73 mm/</w:t>
      </w:r>
      <w:proofErr w:type="spellStart"/>
      <w:r>
        <w:t>yr</w:t>
      </w:r>
      <w:proofErr w:type="spellEnd"/>
      <w:r>
        <w:t xml:space="preserve"> </w:t>
      </w:r>
      <w:r>
        <w:rPr>
          <w:noProof/>
        </w:rPr>
        <w:t>(DeMets, 2001)</w:t>
      </w:r>
      <w:r>
        <w:t xml:space="preserve">, and calculating for the maximum thickness of </w:t>
      </w:r>
      <w:proofErr w:type="spellStart"/>
      <w:r>
        <w:t>turbidites</w:t>
      </w:r>
      <w:proofErr w:type="spellEnd"/>
      <w:r>
        <w:t xml:space="preserve"> (117 m at Site 67-499), hemipelagic</w:t>
      </w:r>
      <w:r w:rsidR="00423B44">
        <w:t xml:space="preserve"> sediments</w:t>
      </w:r>
      <w:r>
        <w:t xml:space="preserve"> (171 m at Site 67-495), and pelagic </w:t>
      </w:r>
      <w:r w:rsidR="00423B44">
        <w:t xml:space="preserve">sediments </w:t>
      </w:r>
      <w:r>
        <w:t>(257 m at Site 67-495)</w:t>
      </w:r>
      <w:r w:rsidR="00423B44">
        <w:t>,</w:t>
      </w:r>
      <w:r>
        <w:t xml:space="preserve"> the total sedimentary input in the Guatemala-El Salvador sector is of </w:t>
      </w:r>
      <w:r w:rsidR="00423B44">
        <w:t xml:space="preserve">order </w:t>
      </w:r>
      <w:r>
        <w:t>40 km</w:t>
      </w:r>
      <w:r w:rsidRPr="00EB4198">
        <w:rPr>
          <w:vertAlign w:val="superscript"/>
        </w:rPr>
        <w:t>3</w:t>
      </w:r>
      <w:r>
        <w:t>/</w:t>
      </w:r>
      <w:proofErr w:type="spellStart"/>
      <w:r>
        <w:t>Myr</w:t>
      </w:r>
      <w:proofErr w:type="spellEnd"/>
      <w:r>
        <w:t xml:space="preserve">/km – 0.11 </w:t>
      </w:r>
      <w:proofErr w:type="spellStart"/>
      <w:r>
        <w:t>Tg</w:t>
      </w:r>
      <w:proofErr w:type="spellEnd"/>
      <w:r>
        <w:t>/</w:t>
      </w:r>
      <w:proofErr w:type="spellStart"/>
      <w:r>
        <w:t>yr</w:t>
      </w:r>
      <w:proofErr w:type="spellEnd"/>
      <w:r>
        <w:t xml:space="preserve"> -, with 8.5 km</w:t>
      </w:r>
      <w:r w:rsidRPr="00EB4198">
        <w:rPr>
          <w:vertAlign w:val="superscript"/>
        </w:rPr>
        <w:t>3</w:t>
      </w:r>
      <w:r>
        <w:t>/</w:t>
      </w:r>
      <w:proofErr w:type="spellStart"/>
      <w:r>
        <w:t>Myr</w:t>
      </w:r>
      <w:proofErr w:type="spellEnd"/>
      <w:r>
        <w:t xml:space="preserve">/km – 0.02 </w:t>
      </w:r>
      <w:proofErr w:type="spellStart"/>
      <w:r>
        <w:t>Tg</w:t>
      </w:r>
      <w:proofErr w:type="spellEnd"/>
      <w:r>
        <w:t>/</w:t>
      </w:r>
      <w:proofErr w:type="spellStart"/>
      <w:r>
        <w:t>yr</w:t>
      </w:r>
      <w:proofErr w:type="spellEnd"/>
      <w:r>
        <w:t xml:space="preserve"> - being the contribution of the terrigenous sediments (Fig. 5). In the Nicaragua-Northern Costa Rica sector, ODP Site 170-1039 recovered 400 m of sediments – 83 m hemipelagic and 317 m pelagic - from the trench</w:t>
      </w:r>
      <w:r w:rsidR="00423B44">
        <w:t>.</w:t>
      </w:r>
      <w:r>
        <w:t xml:space="preserve"> </w:t>
      </w:r>
      <w:r w:rsidR="00423B44">
        <w:t>R</w:t>
      </w:r>
      <w:r>
        <w:t xml:space="preserve">emarkably, the </w:t>
      </w:r>
      <w:proofErr w:type="spellStart"/>
      <w:r>
        <w:t>turbiditic</w:t>
      </w:r>
      <w:proofErr w:type="spellEnd"/>
      <w:r>
        <w:t xml:space="preserve"> section was missing </w:t>
      </w:r>
      <w:r>
        <w:rPr>
          <w:noProof/>
        </w:rPr>
        <w:t>(Kimura et al., 1997)</w:t>
      </w:r>
      <w:r>
        <w:t xml:space="preserve">. </w:t>
      </w:r>
      <w:proofErr w:type="gramStart"/>
      <w:r>
        <w:t>Sites 170-1040 and 1043 in the lower slope at 0.4-</w:t>
      </w:r>
      <w:r w:rsidRPr="00A504B3">
        <w:t>1.6</w:t>
      </w:r>
      <w:r>
        <w:t xml:space="preserve"> km from the trench showed no evidence for frontal accretion.</w:t>
      </w:r>
      <w:proofErr w:type="gramEnd"/>
      <w:r>
        <w:t xml:space="preserve"> </w:t>
      </w:r>
      <w:r w:rsidR="00423B44">
        <w:t>For</w:t>
      </w:r>
      <w:r>
        <w:t xml:space="preserve"> a convergence rate of 85 mm/</w:t>
      </w:r>
      <w:proofErr w:type="spellStart"/>
      <w:r>
        <w:t>yr</w:t>
      </w:r>
      <w:proofErr w:type="spellEnd"/>
      <w:r>
        <w:t xml:space="preserve"> (</w:t>
      </w:r>
      <w:proofErr w:type="spellStart"/>
      <w:r>
        <w:rPr>
          <w:noProof/>
        </w:rPr>
        <w:fldChar w:fldCharType="begin"/>
      </w:r>
      <w:r>
        <w:rPr>
          <w:noProof/>
        </w:rPr>
        <w:instrText xml:space="preserve"> HYPERLINK \l "_ENREF_6" \o "DeMets, 2001 #127" </w:instrText>
      </w:r>
      <w:r>
        <w:rPr>
          <w:noProof/>
        </w:rPr>
        <w:fldChar w:fldCharType="separate"/>
      </w:r>
      <w:r>
        <w:rPr>
          <w:noProof/>
        </w:rPr>
        <w:t>DeMets</w:t>
      </w:r>
      <w:proofErr w:type="spellEnd"/>
      <w:r>
        <w:rPr>
          <w:noProof/>
        </w:rPr>
        <w:t>, 2001</w:t>
      </w:r>
      <w:r>
        <w:rPr>
          <w:noProof/>
        </w:rPr>
        <w:fldChar w:fldCharType="end"/>
      </w:r>
      <w:r>
        <w:rPr>
          <w:noProof/>
        </w:rPr>
        <w:t xml:space="preserve">), the total sedimentary input is of </w:t>
      </w:r>
      <w:r w:rsidR="00423B44">
        <w:rPr>
          <w:noProof/>
        </w:rPr>
        <w:t xml:space="preserve">order </w:t>
      </w:r>
      <w:r>
        <w:rPr>
          <w:noProof/>
        </w:rPr>
        <w:t xml:space="preserve">34 </w:t>
      </w:r>
      <w:r>
        <w:t>km</w:t>
      </w:r>
      <w:r w:rsidRPr="00EB4198">
        <w:rPr>
          <w:vertAlign w:val="superscript"/>
        </w:rPr>
        <w:t>3</w:t>
      </w:r>
      <w:r>
        <w:t>/</w:t>
      </w:r>
      <w:proofErr w:type="spellStart"/>
      <w:r>
        <w:t>Myr</w:t>
      </w:r>
      <w:proofErr w:type="spellEnd"/>
      <w:r>
        <w:t xml:space="preserve">/km – 0.10 </w:t>
      </w:r>
      <w:proofErr w:type="spellStart"/>
      <w:r>
        <w:t>Tg</w:t>
      </w:r>
      <w:proofErr w:type="spellEnd"/>
      <w:r>
        <w:t>/</w:t>
      </w:r>
      <w:proofErr w:type="spellStart"/>
      <w:r>
        <w:t>yr</w:t>
      </w:r>
      <w:proofErr w:type="spellEnd"/>
      <w:r>
        <w:t xml:space="preserve"> - without a terrigenous component (Fig. 5). Also the Southern Costa Rica sector drilled during IODP </w:t>
      </w:r>
      <w:proofErr w:type="spellStart"/>
      <w:r>
        <w:t>Exp</w:t>
      </w:r>
      <w:proofErr w:type="spellEnd"/>
      <w:r>
        <w:t xml:space="preserve"> 334 and 344 did not recover any terrigenous sediment in the trench. The hemipelagic section here var</w:t>
      </w:r>
      <w:r w:rsidR="00423B44">
        <w:t>ies</w:t>
      </w:r>
      <w:r>
        <w:t xml:space="preserve"> from 56 to 145 m while the pelagic section goes from 47 to 230 m </w:t>
      </w:r>
      <w:r>
        <w:rPr>
          <w:noProof/>
        </w:rPr>
        <w:t>(Vannucchi et al., 2012; Harris et al., 2013)</w:t>
      </w:r>
      <w:r>
        <w:t xml:space="preserve"> accounting</w:t>
      </w:r>
      <w:r w:rsidR="009846FE">
        <w:t>, with plate convergence at 91 mm/</w:t>
      </w:r>
      <w:proofErr w:type="spellStart"/>
      <w:r w:rsidR="009846FE">
        <w:t>yr</w:t>
      </w:r>
      <w:proofErr w:type="spellEnd"/>
      <w:r w:rsidR="009846FE">
        <w:t xml:space="preserve"> </w:t>
      </w:r>
      <w:r w:rsidR="009846FE">
        <w:rPr>
          <w:noProof/>
        </w:rPr>
        <w:t>(DeMets, 2001),</w:t>
      </w:r>
      <w:r>
        <w:t xml:space="preserve"> for a maximum sedimentary input of </w:t>
      </w:r>
      <w:r>
        <w:rPr>
          <w:noProof/>
        </w:rPr>
        <w:t xml:space="preserve">34 </w:t>
      </w:r>
      <w:r>
        <w:t>km</w:t>
      </w:r>
      <w:r w:rsidRPr="00EB4198">
        <w:rPr>
          <w:vertAlign w:val="superscript"/>
        </w:rPr>
        <w:t>3</w:t>
      </w:r>
      <w:r>
        <w:t>/</w:t>
      </w:r>
      <w:proofErr w:type="spellStart"/>
      <w:r>
        <w:t>Myr</w:t>
      </w:r>
      <w:proofErr w:type="spellEnd"/>
      <w:r>
        <w:t xml:space="preserve">/km – 0.10 </w:t>
      </w:r>
      <w:proofErr w:type="spellStart"/>
      <w:r>
        <w:t>Tg</w:t>
      </w:r>
      <w:proofErr w:type="spellEnd"/>
      <w:r>
        <w:t>/yr</w:t>
      </w:r>
      <w:r w:rsidR="009846FE">
        <w:t>.</w:t>
      </w:r>
      <w:r>
        <w:t xml:space="preserve"> </w:t>
      </w:r>
      <w:r w:rsidR="009846FE">
        <w:t xml:space="preserve"> </w:t>
      </w:r>
      <w:r>
        <w:t xml:space="preserve">Site U1412 on the lower slope, though, revealed the presence of a frontal accretionary prism able to capture about half of the input </w:t>
      </w:r>
      <w:r>
        <w:rPr>
          <w:noProof/>
        </w:rPr>
        <w:t>(Harris et al., 2013)</w:t>
      </w:r>
      <w:r>
        <w:t xml:space="preserve"> (Fig. 5).</w:t>
      </w:r>
    </w:p>
    <w:p w14:paraId="4E7E4012" w14:textId="171ACB02" w:rsidR="000332D3" w:rsidRDefault="000332D3" w:rsidP="00530331">
      <w:r>
        <w:t xml:space="preserve">The overall arc productivity in Central America </w:t>
      </w:r>
      <w:r w:rsidR="009846FE">
        <w:t xml:space="preserve">has been </w:t>
      </w:r>
      <w:r>
        <w:t xml:space="preserve">estimated to vary between 86 to 108 </w:t>
      </w:r>
      <w:r w:rsidRPr="00473CDD">
        <w:t>km</w:t>
      </w:r>
      <w:r w:rsidRPr="00473CDD">
        <w:rPr>
          <w:vertAlign w:val="superscript"/>
        </w:rPr>
        <w:t>3</w:t>
      </w:r>
      <w:r w:rsidRPr="00473CDD">
        <w:t>/</w:t>
      </w:r>
      <w:proofErr w:type="spellStart"/>
      <w:r w:rsidRPr="00473CDD">
        <w:t>Myr</w:t>
      </w:r>
      <w:proofErr w:type="spellEnd"/>
      <w:r w:rsidRPr="00473CDD">
        <w:t>/km</w:t>
      </w:r>
      <w:r>
        <w:t xml:space="preserve">, slightly higher than the global arc average </w:t>
      </w:r>
      <w:proofErr w:type="gramStart"/>
      <w:r>
        <w:t xml:space="preserve">of 91 </w:t>
      </w:r>
      <w:r w:rsidRPr="00473CDD">
        <w:t>km</w:t>
      </w:r>
      <w:r w:rsidRPr="00473CDD">
        <w:rPr>
          <w:vertAlign w:val="superscript"/>
        </w:rPr>
        <w:t>3</w:t>
      </w:r>
      <w:r w:rsidRPr="00473CDD">
        <w:t>/</w:t>
      </w:r>
      <w:proofErr w:type="spellStart"/>
      <w:r w:rsidRPr="00473CDD">
        <w:t>Myr</w:t>
      </w:r>
      <w:proofErr w:type="spellEnd"/>
      <w:r w:rsidRPr="00473CDD">
        <w:t>/km</w:t>
      </w:r>
      <w:r>
        <w:t xml:space="preserve"> </w:t>
      </w:r>
      <w:r>
        <w:rPr>
          <w:noProof/>
        </w:rPr>
        <w:t>(Clift and Vannucchi, 2004)</w:t>
      </w:r>
      <w:proofErr w:type="gramEnd"/>
      <w:r>
        <w:t xml:space="preserve">. </w:t>
      </w:r>
      <w:r>
        <w:lastRenderedPageBreak/>
        <w:t>In Middle America, the recent productivity - &lt;0.5 Ma - of its three sub-arc segments – Guatemala-El Salvador, Nicaragua-Northern Costa Rica (Nicoya), and Southern Costa Rica (</w:t>
      </w:r>
      <w:proofErr w:type="spellStart"/>
      <w:r>
        <w:t>Osa</w:t>
      </w:r>
      <w:proofErr w:type="spellEnd"/>
      <w:r>
        <w:t xml:space="preserve">) – has been recently </w:t>
      </w:r>
      <w:proofErr w:type="spellStart"/>
      <w:r>
        <w:t>reestimated</w:t>
      </w:r>
      <w:proofErr w:type="spellEnd"/>
      <w:r>
        <w:t xml:space="preserve"> by </w:t>
      </w:r>
      <w:proofErr w:type="spellStart"/>
      <w:r>
        <w:t>Kutterolf</w:t>
      </w:r>
      <w:proofErr w:type="spellEnd"/>
      <w:r>
        <w:t xml:space="preserve"> et al. </w:t>
      </w:r>
      <w:r>
        <w:rPr>
          <w:noProof/>
        </w:rPr>
        <w:t>(2008)</w:t>
      </w:r>
      <w:r>
        <w:t xml:space="preserve"> for the last 0.5 Ma considering not only the erupted volumes – e.g. </w:t>
      </w:r>
      <w:proofErr w:type="spellStart"/>
      <w:r>
        <w:t>Carr</w:t>
      </w:r>
      <w:proofErr w:type="spellEnd"/>
      <w:r>
        <w:t xml:space="preserve"> et al. </w:t>
      </w:r>
      <w:r>
        <w:rPr>
          <w:noProof/>
        </w:rPr>
        <w:t>(2003)</w:t>
      </w:r>
      <w:r>
        <w:t xml:space="preserve"> -, but also</w:t>
      </w:r>
      <w:r w:rsidR="009846FE">
        <w:t xml:space="preserve"> reassessing</w:t>
      </w:r>
      <w:r>
        <w:t xml:space="preserve"> the plutonic component. These estimates are based on </w:t>
      </w:r>
      <w:proofErr w:type="spellStart"/>
      <w:r>
        <w:t>onland</w:t>
      </w:r>
      <w:proofErr w:type="spellEnd"/>
      <w:r>
        <w:t xml:space="preserve"> and offshore calculations of tephra volumes recalculated to erupted and fractionated cumulates in order to estimate the total magma mass. </w:t>
      </w:r>
      <w:proofErr w:type="spellStart"/>
      <w:r>
        <w:t>Kutterolf</w:t>
      </w:r>
      <w:proofErr w:type="spellEnd"/>
      <w:r>
        <w:t xml:space="preserve"> et al. </w:t>
      </w:r>
      <w:r>
        <w:rPr>
          <w:noProof/>
        </w:rPr>
        <w:t>(2008)</w:t>
      </w:r>
      <w:r>
        <w:t xml:space="preserve"> note that magma production rates increase from Southern Costa Rica, where the rate is 0 </w:t>
      </w:r>
      <w:r w:rsidRPr="00473CDD">
        <w:t>km</w:t>
      </w:r>
      <w:r w:rsidRPr="00473CDD">
        <w:rPr>
          <w:vertAlign w:val="superscript"/>
        </w:rPr>
        <w:t>3</w:t>
      </w:r>
      <w:r w:rsidRPr="00473CDD">
        <w:t>/</w:t>
      </w:r>
      <w:proofErr w:type="spellStart"/>
      <w:r w:rsidRPr="00473CDD">
        <w:t>Myr</w:t>
      </w:r>
      <w:proofErr w:type="spellEnd"/>
      <w:r w:rsidRPr="00473CDD">
        <w:t>/km</w:t>
      </w:r>
      <w:r>
        <w:t xml:space="preserve"> (0 </w:t>
      </w:r>
      <w:proofErr w:type="spellStart"/>
      <w:r>
        <w:t>Tg</w:t>
      </w:r>
      <w:proofErr w:type="spellEnd"/>
      <w:r>
        <w:t>/</w:t>
      </w:r>
      <w:proofErr w:type="spellStart"/>
      <w:r>
        <w:t>yr</w:t>
      </w:r>
      <w:proofErr w:type="spellEnd"/>
      <w:r>
        <w:t xml:space="preserve">) as the arc is extinct, to Guatemala, where the recent rate is 52 </w:t>
      </w:r>
      <w:r w:rsidRPr="00473CDD">
        <w:t>km</w:t>
      </w:r>
      <w:r w:rsidRPr="00473CDD">
        <w:rPr>
          <w:vertAlign w:val="superscript"/>
        </w:rPr>
        <w:t>3</w:t>
      </w:r>
      <w:r w:rsidRPr="00473CDD">
        <w:t>/</w:t>
      </w:r>
      <w:proofErr w:type="spellStart"/>
      <w:r w:rsidRPr="00473CDD">
        <w:t>Myr</w:t>
      </w:r>
      <w:proofErr w:type="spellEnd"/>
      <w:r w:rsidRPr="00473CDD">
        <w:t>/km</w:t>
      </w:r>
      <w:r>
        <w:t xml:space="preserve"> (</w:t>
      </w:r>
      <w:r>
        <w:sym w:font="Symbol" w:char="F0BB"/>
      </w:r>
      <w:r>
        <w:t xml:space="preserve">0.15 </w:t>
      </w:r>
      <w:proofErr w:type="spellStart"/>
      <w:r>
        <w:t>Tg</w:t>
      </w:r>
      <w:proofErr w:type="spellEnd"/>
      <w:r>
        <w:t>/</w:t>
      </w:r>
      <w:proofErr w:type="spellStart"/>
      <w:r>
        <w:t>yr</w:t>
      </w:r>
      <w:proofErr w:type="spellEnd"/>
      <w:r>
        <w:t xml:space="preserve">) </w:t>
      </w:r>
      <w:r>
        <w:rPr>
          <w:color w:val="0070C0"/>
        </w:rPr>
        <w:t>(Fig. 5</w:t>
      </w:r>
      <w:r w:rsidRPr="007F18EE">
        <w:rPr>
          <w:color w:val="0070C0"/>
        </w:rPr>
        <w:t>)</w:t>
      </w:r>
      <w:r>
        <w:t>.</w:t>
      </w:r>
    </w:p>
    <w:p w14:paraId="5C6CC70F" w14:textId="2E6BA542" w:rsidR="000332D3" w:rsidRDefault="000332D3" w:rsidP="00530331">
      <w:r>
        <w:t xml:space="preserve">Simply comparing subduction erosion </w:t>
      </w:r>
      <w:proofErr w:type="spellStart"/>
      <w:r>
        <w:t>rates+terrigenous</w:t>
      </w:r>
      <w:proofErr w:type="spellEnd"/>
      <w:r>
        <w:t xml:space="preserve"> sediment flux vs. arc magma production rates </w:t>
      </w:r>
      <w:r w:rsidR="009846FE">
        <w:t xml:space="preserve">may </w:t>
      </w:r>
      <w:r>
        <w:t xml:space="preserve">not fully address the </w:t>
      </w:r>
      <w:r w:rsidR="009846FE">
        <w:t xml:space="preserve">current </w:t>
      </w:r>
      <w:r>
        <w:t xml:space="preserve">continental crustal mass </w:t>
      </w:r>
      <w:r w:rsidR="009846FE">
        <w:t xml:space="preserve">balance </w:t>
      </w:r>
      <w:r>
        <w:t xml:space="preserve">at </w:t>
      </w:r>
      <w:r w:rsidR="009846FE">
        <w:t xml:space="preserve">a </w:t>
      </w:r>
      <w:r>
        <w:t xml:space="preserve">subduction zone </w:t>
      </w:r>
      <w:r>
        <w:rPr>
          <w:color w:val="0070C0"/>
        </w:rPr>
        <w:t>(Fig. 5</w:t>
      </w:r>
      <w:r w:rsidRPr="007F18EE">
        <w:rPr>
          <w:color w:val="0070C0"/>
        </w:rPr>
        <w:t>)</w:t>
      </w:r>
      <w:r>
        <w:t xml:space="preserve">. In particular there is a further question that needs to be addressed (e.g. Stern, 2011): where does the material eroded by subduction erosion actually go? </w:t>
      </w:r>
    </w:p>
    <w:p w14:paraId="541D6017" w14:textId="7916B80B" w:rsidR="000332D3" w:rsidRDefault="000332D3" w:rsidP="00F22CAC">
      <w:pPr>
        <w:rPr>
          <w:rFonts w:cs="AdvEPSTIM"/>
        </w:rPr>
      </w:pPr>
      <w:r w:rsidRPr="003C73EC">
        <w:t xml:space="preserve">The subduction factory initiative in Central America has </w:t>
      </w:r>
      <w:r>
        <w:t xml:space="preserve">mostly </w:t>
      </w:r>
      <w:r w:rsidRPr="003C73EC">
        <w:t>focus</w:t>
      </w:r>
      <w:r>
        <w:t>ed</w:t>
      </w:r>
      <w:r w:rsidRPr="003C73EC">
        <w:t xml:space="preserve"> on the contribution to arc magmatism of sediments deposited on the incoming plate</w:t>
      </w:r>
      <w:r>
        <w:t xml:space="preserve"> </w:t>
      </w:r>
      <w:r>
        <w:rPr>
          <w:noProof/>
        </w:rPr>
        <w:t>(Plank and Langmuir, 1998)</w:t>
      </w:r>
      <w:r w:rsidRPr="003C73EC">
        <w:t xml:space="preserve">. </w:t>
      </w:r>
      <w:r>
        <w:t>In spite of</w:t>
      </w:r>
      <w:r w:rsidRPr="003C73EC">
        <w:t xml:space="preserve"> </w:t>
      </w:r>
      <w:r>
        <w:t>a controversy between</w:t>
      </w:r>
      <w:r w:rsidRPr="003C73EC">
        <w:t xml:space="preserve"> results on</w:t>
      </w:r>
      <w:r>
        <w:t xml:space="preserve"> subduction</w:t>
      </w:r>
      <w:r w:rsidRPr="003C73EC">
        <w:t xml:space="preserve"> input</w:t>
      </w:r>
      <w:r>
        <w:t>s</w:t>
      </w:r>
      <w:r w:rsidRPr="003C73EC">
        <w:t xml:space="preserve"> as revealed by drilling </w:t>
      </w:r>
      <w:r>
        <w:t xml:space="preserve">– subduction of the entire sedimentary section with no removal due to accretion </w:t>
      </w:r>
      <w:r>
        <w:rPr>
          <w:noProof/>
        </w:rPr>
        <w:t>(Kimura et al., 1997)</w:t>
      </w:r>
      <w:r>
        <w:t xml:space="preserve"> - </w:t>
      </w:r>
      <w:r w:rsidRPr="003C73EC">
        <w:t xml:space="preserve">and </w:t>
      </w:r>
      <w:r>
        <w:t xml:space="preserve">magmatic </w:t>
      </w:r>
      <w:r w:rsidRPr="003C73EC">
        <w:t>output</w:t>
      </w:r>
      <w:r>
        <w:t>s</w:t>
      </w:r>
      <w:r w:rsidRPr="003C73EC">
        <w:t xml:space="preserve"> at the volcanic arc</w:t>
      </w:r>
      <w:r>
        <w:t xml:space="preserve"> – </w:t>
      </w:r>
      <w:r w:rsidR="009846FE">
        <w:t xml:space="preserve">showing the </w:t>
      </w:r>
      <w:r>
        <w:t>lowest contribution from the sediment to arc magmatism across the entire Central America Volcanic Arc, for example lowest content</w:t>
      </w:r>
      <w:r w:rsidR="009846FE">
        <w:t>s</w:t>
      </w:r>
      <w:r>
        <w:t xml:space="preserve"> of cosmogenic </w:t>
      </w:r>
      <w:r w:rsidRPr="00F22CAC">
        <w:rPr>
          <w:vertAlign w:val="superscript"/>
        </w:rPr>
        <w:t>10</w:t>
      </w:r>
      <w:r>
        <w:t xml:space="preserve">Be </w:t>
      </w:r>
      <w:r>
        <w:rPr>
          <w:noProof/>
        </w:rPr>
        <w:t>(Carr et al., 2003) -</w:t>
      </w:r>
      <w:r w:rsidRPr="003C73EC">
        <w:t xml:space="preserve">, subduction erosion has </w:t>
      </w:r>
      <w:r w:rsidRPr="001B49D2">
        <w:t>been rarely</w:t>
      </w:r>
      <w:r w:rsidRPr="003C73EC">
        <w:t xml:space="preserve"> considered </w:t>
      </w:r>
      <w:r>
        <w:t>in Central America to be</w:t>
      </w:r>
      <w:r w:rsidRPr="003C73EC">
        <w:t xml:space="preserve"> a </w:t>
      </w:r>
      <w:r>
        <w:t>process that could be responsible for significant geochemical variations in the material that reaches the arc</w:t>
      </w:r>
      <w:r w:rsidRPr="003C73EC">
        <w:t xml:space="preserve">. </w:t>
      </w:r>
      <w:r>
        <w:t>Often, a</w:t>
      </w:r>
      <w:r w:rsidRPr="003C73EC">
        <w:t xml:space="preserve"> major </w:t>
      </w:r>
      <w:r w:rsidR="009846FE">
        <w:t xml:space="preserve">hindrance </w:t>
      </w:r>
      <w:r>
        <w:t>to making clear distinctions with geochemical tracers</w:t>
      </w:r>
      <w:r w:rsidRPr="003C73EC">
        <w:t xml:space="preserve"> is that </w:t>
      </w:r>
      <w:r w:rsidRPr="003C73EC">
        <w:rPr>
          <w:rFonts w:cs="AdvEPSTIM"/>
        </w:rPr>
        <w:t>eroded crust, trench sediment</w:t>
      </w:r>
      <w:r>
        <w:rPr>
          <w:rFonts w:cs="AdvEPSTIM"/>
        </w:rPr>
        <w:t>s,</w:t>
      </w:r>
      <w:r w:rsidRPr="003C73EC">
        <w:rPr>
          <w:rFonts w:cs="AdvEPSTIM"/>
        </w:rPr>
        <w:t xml:space="preserve"> and arc crustal basement </w:t>
      </w:r>
      <w:r>
        <w:rPr>
          <w:rFonts w:cs="AdvEPSTIM"/>
        </w:rPr>
        <w:t>can be</w:t>
      </w:r>
      <w:r w:rsidRPr="003C73EC">
        <w:rPr>
          <w:rFonts w:cs="AdvEPSTIM"/>
        </w:rPr>
        <w:t xml:space="preserve"> all compositionally very similar</w:t>
      </w:r>
      <w:r>
        <w:rPr>
          <w:rFonts w:cs="AdvEPSTIM"/>
        </w:rPr>
        <w:t>,</w:t>
      </w:r>
      <w:r w:rsidRPr="003C73EC">
        <w:rPr>
          <w:rFonts w:cs="AdvEPSTIM"/>
        </w:rPr>
        <w:t xml:space="preserve"> </w:t>
      </w:r>
      <w:r>
        <w:rPr>
          <w:rFonts w:cs="AdvEPSTIM"/>
        </w:rPr>
        <w:t>in which case</w:t>
      </w:r>
      <w:r w:rsidRPr="003C73EC">
        <w:rPr>
          <w:rFonts w:cs="AdvEPSTIM"/>
        </w:rPr>
        <w:t xml:space="preserve"> the </w:t>
      </w:r>
      <w:r>
        <w:rPr>
          <w:rFonts w:cs="AdvEPSTIM"/>
        </w:rPr>
        <w:t xml:space="preserve">geochemical </w:t>
      </w:r>
      <w:r w:rsidRPr="003C73EC">
        <w:rPr>
          <w:rFonts w:cs="AdvEPSTIM"/>
        </w:rPr>
        <w:t xml:space="preserve">signal of eroded </w:t>
      </w:r>
      <w:r>
        <w:rPr>
          <w:rFonts w:cs="AdvEPSTIM"/>
        </w:rPr>
        <w:t xml:space="preserve">forearc basement </w:t>
      </w:r>
      <w:r w:rsidRPr="003C73EC">
        <w:rPr>
          <w:rFonts w:cs="AdvEPSTIM"/>
        </w:rPr>
        <w:t xml:space="preserve">material </w:t>
      </w:r>
      <w:r w:rsidR="009846FE">
        <w:rPr>
          <w:rFonts w:cs="AdvEPSTIM"/>
        </w:rPr>
        <w:t>c</w:t>
      </w:r>
      <w:r>
        <w:rPr>
          <w:rFonts w:cs="AdvEPSTIM"/>
        </w:rPr>
        <w:t>ould be</w:t>
      </w:r>
      <w:r w:rsidRPr="003C73EC">
        <w:rPr>
          <w:rFonts w:cs="AdvEPSTIM"/>
        </w:rPr>
        <w:t xml:space="preserve"> </w:t>
      </w:r>
      <w:r>
        <w:rPr>
          <w:rFonts w:cs="AdvEPSTIM"/>
        </w:rPr>
        <w:t>ambiguous</w:t>
      </w:r>
      <w:r w:rsidRPr="003C73EC">
        <w:rPr>
          <w:rFonts w:cs="AdvEPSTIM"/>
        </w:rPr>
        <w:t>.</w:t>
      </w:r>
      <w:r>
        <w:rPr>
          <w:rFonts w:cs="AdvEPSTIM"/>
        </w:rPr>
        <w:t xml:space="preserve"> In the absence of a clear</w:t>
      </w:r>
      <w:r w:rsidR="009846FE">
        <w:rPr>
          <w:rFonts w:cs="AdvEPSTIM"/>
        </w:rPr>
        <w:t>ly visible</w:t>
      </w:r>
      <w:r>
        <w:rPr>
          <w:rFonts w:cs="AdvEPSTIM"/>
        </w:rPr>
        <w:t xml:space="preserve"> chemical </w:t>
      </w:r>
      <w:r>
        <w:rPr>
          <w:rFonts w:cs="AdvEPSTIM"/>
        </w:rPr>
        <w:lastRenderedPageBreak/>
        <w:t xml:space="preserve">signal, geochemists have, therefore, advocated for </w:t>
      </w:r>
      <w:proofErr w:type="spellStart"/>
      <w:r>
        <w:rPr>
          <w:rFonts w:cs="AdvEPSTIM"/>
        </w:rPr>
        <w:t>underplating</w:t>
      </w:r>
      <w:proofErr w:type="spellEnd"/>
      <w:r>
        <w:rPr>
          <w:rFonts w:cs="AdvEPSTIM"/>
        </w:rPr>
        <w:t xml:space="preserve"> as </w:t>
      </w:r>
      <w:r w:rsidR="009846FE">
        <w:rPr>
          <w:rFonts w:cs="AdvEPSTIM"/>
        </w:rPr>
        <w:t>the</w:t>
      </w:r>
      <w:r>
        <w:rPr>
          <w:rFonts w:cs="AdvEPSTIM"/>
        </w:rPr>
        <w:t xml:space="preserve"> mechanism to </w:t>
      </w:r>
      <w:r w:rsidR="009846FE">
        <w:rPr>
          <w:rFonts w:cs="AdvEPSTIM"/>
        </w:rPr>
        <w:t>‘remove’</w:t>
      </w:r>
      <w:r>
        <w:rPr>
          <w:rFonts w:cs="AdvEPSTIM"/>
        </w:rPr>
        <w:t xml:space="preserve"> eroded material before it reaches the depth of magma generation. The uplift of the coastal area in Peru and Northern Chile (14°-18°S) inboard of a section of an eroding subduction system </w:t>
      </w:r>
      <w:r>
        <w:rPr>
          <w:rFonts w:cs="AdvEPSTIM"/>
          <w:noProof/>
        </w:rPr>
        <w:t>(Clift et al., 2003)</w:t>
      </w:r>
      <w:r>
        <w:rPr>
          <w:rFonts w:cs="AdvEPSTIM"/>
        </w:rPr>
        <w:t xml:space="preserve">, has been interpreted to be due to </w:t>
      </w:r>
      <w:proofErr w:type="spellStart"/>
      <w:r>
        <w:rPr>
          <w:rFonts w:cs="AdvEPSTIM"/>
        </w:rPr>
        <w:t>underplating</w:t>
      </w:r>
      <w:proofErr w:type="spellEnd"/>
      <w:r>
        <w:rPr>
          <w:rFonts w:cs="AdvEPSTIM"/>
        </w:rPr>
        <w:t xml:space="preserve"> of material eroded from the outer forearc </w:t>
      </w:r>
      <w:r>
        <w:rPr>
          <w:rFonts w:cs="AdvEPSTIM"/>
          <w:noProof/>
        </w:rPr>
        <w:t>(Clift and Hartley, 2007)</w:t>
      </w:r>
      <w:r>
        <w:rPr>
          <w:rFonts w:cs="AdvEPSTIM"/>
        </w:rPr>
        <w:t xml:space="preserve">. </w:t>
      </w:r>
    </w:p>
    <w:p w14:paraId="05FC43CD" w14:textId="77777777" w:rsidR="000332D3" w:rsidRDefault="000332D3" w:rsidP="00F22CAC">
      <w:r>
        <w:t xml:space="preserve">In Costa Rica, </w:t>
      </w:r>
      <w:proofErr w:type="spellStart"/>
      <w:r>
        <w:t>underplating</w:t>
      </w:r>
      <w:proofErr w:type="spellEnd"/>
      <w:r>
        <w:t xml:space="preserve"> of seamounts was suggested to explain regionally focused coastal uplift in Nicoya and </w:t>
      </w:r>
      <w:proofErr w:type="spellStart"/>
      <w:proofErr w:type="gramStart"/>
      <w:r>
        <w:t>Osa</w:t>
      </w:r>
      <w:proofErr w:type="spellEnd"/>
      <w:proofErr w:type="gramEnd"/>
      <w:r>
        <w:t xml:space="preserve"> Peninsula </w:t>
      </w:r>
      <w:r>
        <w:rPr>
          <w:noProof/>
        </w:rPr>
        <w:t>(Gardner et al., 2001; Sak et al., 2009)</w:t>
      </w:r>
      <w:r>
        <w:t xml:space="preserve">. Although this mechanism can contribute to the increase of the upper plate’s overall volume, the actual estimate of how much material can be transferred from the incoming plate to the upper plate through seamount </w:t>
      </w:r>
      <w:proofErr w:type="spellStart"/>
      <w:r>
        <w:t>underplating</w:t>
      </w:r>
      <w:proofErr w:type="spellEnd"/>
      <w:r>
        <w:t xml:space="preserve"> is negligible. </w:t>
      </w:r>
      <w:proofErr w:type="spellStart"/>
      <w:r>
        <w:t>Underplating</w:t>
      </w:r>
      <w:proofErr w:type="spellEnd"/>
      <w:r>
        <w:t xml:space="preserve"> of eroded material at greater depths seems difficult as the slab is too steep to account for a simple mechanical transfer.</w:t>
      </w:r>
    </w:p>
    <w:p w14:paraId="39C1C319" w14:textId="435984FA" w:rsidR="000332D3" w:rsidRDefault="000332D3" w:rsidP="00F22CAC">
      <w:r w:rsidRPr="003C73EC">
        <w:t xml:space="preserve">Vannucchi et al. (2001) proposed that “dilution” of incoming sediments with eroded upper plate material could </w:t>
      </w:r>
      <w:r>
        <w:t>resolve</w:t>
      </w:r>
      <w:r w:rsidRPr="003C73EC">
        <w:t xml:space="preserve"> some of the</w:t>
      </w:r>
      <w:r>
        <w:t>se</w:t>
      </w:r>
      <w:r w:rsidRPr="003C73EC">
        <w:t xml:space="preserve"> </w:t>
      </w:r>
      <w:r>
        <w:t xml:space="preserve">apparent </w:t>
      </w:r>
      <w:r w:rsidRPr="003C73EC">
        <w:t>controversies –</w:t>
      </w:r>
      <w:r>
        <w:t xml:space="preserve"> they estimated</w:t>
      </w:r>
      <w:r w:rsidRPr="003C73EC">
        <w:t xml:space="preserve"> the mass flux </w:t>
      </w:r>
      <w:r>
        <w:t xml:space="preserve">due to subduction erosion </w:t>
      </w:r>
      <w:r w:rsidRPr="003C73EC">
        <w:t xml:space="preserve">offshore </w:t>
      </w:r>
      <w:r>
        <w:t>was</w:t>
      </w:r>
      <w:r w:rsidRPr="003C73EC">
        <w:t xml:space="preserve"> 95% of the total input into the subduction factory</w:t>
      </w:r>
      <w:r>
        <w:t xml:space="preserve"> there</w:t>
      </w:r>
      <w:r w:rsidRPr="003C73EC">
        <w:t xml:space="preserve"> since the Pliocene</w:t>
      </w:r>
      <w:r>
        <w:t>.</w:t>
      </w:r>
      <w:r w:rsidRPr="003C73EC">
        <w:t xml:space="preserve"> </w:t>
      </w:r>
      <w:r w:rsidRPr="008B6363">
        <w:t xml:space="preserve">Contamination of arc magmas with Cretaceous to Paleogene forearc material driven by subduction erosion </w:t>
      </w:r>
      <w:r w:rsidR="00746C02">
        <w:t>was</w:t>
      </w:r>
      <w:r w:rsidRPr="008B6363">
        <w:t xml:space="preserve"> proposed by Goss and Kay (2006) to </w:t>
      </w:r>
      <w:r>
        <w:t>be critically involved in</w:t>
      </w:r>
      <w:r w:rsidRPr="008B6363">
        <w:t xml:space="preserve"> the appearance of </w:t>
      </w:r>
      <w:proofErr w:type="spellStart"/>
      <w:r w:rsidRPr="008B6363">
        <w:t>adakitic</w:t>
      </w:r>
      <w:proofErr w:type="spellEnd"/>
      <w:r w:rsidRPr="008B6363">
        <w:t xml:space="preserve"> magma</w:t>
      </w:r>
      <w:r w:rsidR="00746C02">
        <w:t>s</w:t>
      </w:r>
      <w:r w:rsidRPr="008B6363">
        <w:t xml:space="preserve"> </w:t>
      </w:r>
      <w:r>
        <w:t>in Costa Rica and Panama. Subduction erosion crustal components can explain the</w:t>
      </w:r>
      <w:r w:rsidRPr="008B6363">
        <w:t xml:space="preserve"> steep REE pattern and enrichment in radiogenic </w:t>
      </w:r>
      <w:proofErr w:type="spellStart"/>
      <w:r w:rsidRPr="008B6363">
        <w:t>Pb</w:t>
      </w:r>
      <w:proofErr w:type="spellEnd"/>
      <w:r>
        <w:t xml:space="preserve"> in the </w:t>
      </w:r>
      <w:proofErr w:type="spellStart"/>
      <w:r>
        <w:t>adakites</w:t>
      </w:r>
      <w:proofErr w:type="spellEnd"/>
      <w:r>
        <w:t xml:space="preserve"> in Central America </w:t>
      </w:r>
      <w:r>
        <w:rPr>
          <w:noProof/>
        </w:rPr>
        <w:t>(Goss and Kay, 2006)</w:t>
      </w:r>
      <w:r>
        <w:t xml:space="preserve">, as well as in the central Andes </w:t>
      </w:r>
      <w:r>
        <w:rPr>
          <w:noProof/>
        </w:rPr>
        <w:t>(Kay et al., 2005; Goss et al., 2013; Risse et al., 2013)</w:t>
      </w:r>
      <w:r w:rsidRPr="008B6363">
        <w:t xml:space="preserve">. </w:t>
      </w:r>
      <w:r>
        <w:rPr>
          <w:rFonts w:cs="AdvEPSTIM"/>
        </w:rPr>
        <w:t>Also</w:t>
      </w:r>
      <w:r w:rsidRPr="008B6363">
        <w:rPr>
          <w:rFonts w:cs="AdvEPSTIM"/>
        </w:rPr>
        <w:t xml:space="preserve"> </w:t>
      </w:r>
      <w:r w:rsidR="00746C02">
        <w:rPr>
          <w:rFonts w:cs="AdvEPSTIM"/>
        </w:rPr>
        <w:t>‘</w:t>
      </w:r>
      <w:r w:rsidRPr="008B6363">
        <w:rPr>
          <w:rFonts w:cs="AdvEPSTIM"/>
        </w:rPr>
        <w:t>enriched mantle</w:t>
      </w:r>
      <w:r w:rsidR="00746C02">
        <w:rPr>
          <w:rFonts w:cs="AdvEPSTIM"/>
        </w:rPr>
        <w:t>’</w:t>
      </w:r>
      <w:r w:rsidRPr="008B6363">
        <w:rPr>
          <w:rFonts w:cs="AdvEPSTIM"/>
        </w:rPr>
        <w:t xml:space="preserve"> components</w:t>
      </w:r>
      <w:r w:rsidR="00746C02">
        <w:rPr>
          <w:rFonts w:cs="AdvEPSTIM"/>
        </w:rPr>
        <w:t xml:space="preserve"> in magmas</w:t>
      </w:r>
      <w:r w:rsidRPr="008B6363">
        <w:rPr>
          <w:rFonts w:cs="AdvEPSTIM"/>
        </w:rPr>
        <w:t xml:space="preserve"> have been associated with recycling of continental crust </w:t>
      </w:r>
      <w:r w:rsidRPr="008B6363">
        <w:rPr>
          <w:rFonts w:cs="AdvEPSTIM"/>
          <w:noProof/>
        </w:rPr>
        <w:t>(Willbold and Stracke, 2006, 2010)</w:t>
      </w:r>
      <w:r w:rsidRPr="008B6363">
        <w:rPr>
          <w:rFonts w:cs="AdvEPSTIM"/>
        </w:rPr>
        <w:t>.</w:t>
      </w:r>
      <w:r>
        <w:rPr>
          <w:rFonts w:cs="AdvEPSTIM"/>
        </w:rPr>
        <w:t xml:space="preserve"> </w:t>
      </w:r>
      <w:r>
        <w:t>R</w:t>
      </w:r>
      <w:r w:rsidRPr="003C73EC">
        <w:t>ecently Straub et al. (2015) performed a thorough analysis on the central Mexican Volcanic Belt</w:t>
      </w:r>
      <w:r>
        <w:t>, a site</w:t>
      </w:r>
      <w:r w:rsidRPr="003C73EC">
        <w:t xml:space="preserve"> where </w:t>
      </w:r>
      <w:r>
        <w:t xml:space="preserve">the eroded upper plate material is a geochemically distinctive Paleogene granodiorite. There, </w:t>
      </w:r>
      <w:proofErr w:type="spellStart"/>
      <w:r w:rsidRPr="003C73EC">
        <w:t>Sr</w:t>
      </w:r>
      <w:proofErr w:type="spellEnd"/>
      <w:r w:rsidRPr="003C73EC">
        <w:t>–</w:t>
      </w:r>
      <w:proofErr w:type="spellStart"/>
      <w:r w:rsidRPr="003C73EC">
        <w:t>Nd</w:t>
      </w:r>
      <w:proofErr w:type="spellEnd"/>
      <w:r w:rsidRPr="003C73EC">
        <w:t>–</w:t>
      </w:r>
      <w:proofErr w:type="spellStart"/>
      <w:r w:rsidRPr="003C73EC">
        <w:t>Pb</w:t>
      </w:r>
      <w:proofErr w:type="spellEnd"/>
      <w:r w:rsidRPr="003C73EC">
        <w:t>–</w:t>
      </w:r>
      <w:proofErr w:type="spellStart"/>
      <w:r w:rsidRPr="003C73EC">
        <w:t>Hf</w:t>
      </w:r>
      <w:proofErr w:type="spellEnd"/>
      <w:r w:rsidRPr="003C73EC">
        <w:t xml:space="preserve"> and trace element data of </w:t>
      </w:r>
      <w:r>
        <w:t xml:space="preserve">this </w:t>
      </w:r>
      <w:r w:rsidRPr="003C73EC">
        <w:t xml:space="preserve">crustal input </w:t>
      </w:r>
      <w:r w:rsidRPr="003C73EC">
        <w:lastRenderedPageBreak/>
        <w:t xml:space="preserve">material were compared to </w:t>
      </w:r>
      <w:proofErr w:type="spellStart"/>
      <w:r w:rsidRPr="003C73EC">
        <w:t>Sr</w:t>
      </w:r>
      <w:proofErr w:type="spellEnd"/>
      <w:r w:rsidRPr="003C73EC">
        <w:t>–</w:t>
      </w:r>
      <w:proofErr w:type="spellStart"/>
      <w:r w:rsidRPr="003C73EC">
        <w:t>Nd</w:t>
      </w:r>
      <w:proofErr w:type="spellEnd"/>
      <w:r w:rsidRPr="003C73EC">
        <w:t>–</w:t>
      </w:r>
      <w:proofErr w:type="spellStart"/>
      <w:r w:rsidRPr="003C73EC">
        <w:t>Pb</w:t>
      </w:r>
      <w:proofErr w:type="spellEnd"/>
      <w:r w:rsidRPr="003C73EC">
        <w:t>–</w:t>
      </w:r>
      <w:proofErr w:type="spellStart"/>
      <w:r w:rsidRPr="003C73EC">
        <w:t>Hf</w:t>
      </w:r>
      <w:proofErr w:type="spellEnd"/>
      <w:r w:rsidRPr="003C73EC">
        <w:t xml:space="preserve">–He–O isotope chemistry of a well-characterized </w:t>
      </w:r>
      <w:r>
        <w:t xml:space="preserve">arc </w:t>
      </w:r>
      <w:r w:rsidRPr="003C73EC">
        <w:t>series of olivine-</w:t>
      </w:r>
      <w:proofErr w:type="spellStart"/>
      <w:r w:rsidRPr="003C73EC">
        <w:t>phyric</w:t>
      </w:r>
      <w:proofErr w:type="spellEnd"/>
      <w:r w:rsidRPr="003C73EC">
        <w:t xml:space="preserve">, high-Mg# basalts to </w:t>
      </w:r>
      <w:proofErr w:type="spellStart"/>
      <w:r w:rsidRPr="003C73EC">
        <w:t>dacites</w:t>
      </w:r>
      <w:proofErr w:type="spellEnd"/>
      <w:r w:rsidRPr="003C73EC">
        <w:t xml:space="preserve">. </w:t>
      </w:r>
      <w:r w:rsidRPr="00616496">
        <w:t xml:space="preserve">This work by Straub et al. (2015) was able to quantify the amount of upper plate material that needed to be recycled in the arc – 79-88 </w:t>
      </w:r>
      <w:r w:rsidRPr="00616496">
        <w:rPr>
          <w:rFonts w:eastAsia="TimesNewRomanPSMT" w:cs="TimesNewRomanPSMT"/>
          <w:bCs/>
        </w:rPr>
        <w:t>km</w:t>
      </w:r>
      <w:r w:rsidRPr="00616496">
        <w:rPr>
          <w:rFonts w:eastAsia="TimesNewRomanPSMT" w:cs="TimesNewRomanPSMT"/>
          <w:bCs/>
          <w:vertAlign w:val="superscript"/>
        </w:rPr>
        <w:t>3</w:t>
      </w:r>
      <w:r w:rsidRPr="00616496">
        <w:rPr>
          <w:rFonts w:eastAsia="TimesNewRomanPSMT" w:cs="TimesNewRomanPSMT"/>
          <w:bCs/>
        </w:rPr>
        <w:t>/</w:t>
      </w:r>
      <w:proofErr w:type="spellStart"/>
      <w:r w:rsidRPr="00616496">
        <w:rPr>
          <w:rFonts w:eastAsia="TimesNewRomanPSMT" w:cs="TimesNewRomanPSMT"/>
          <w:bCs/>
        </w:rPr>
        <w:t>Myr</w:t>
      </w:r>
      <w:proofErr w:type="spellEnd"/>
      <w:r w:rsidRPr="00616496">
        <w:rPr>
          <w:rFonts w:eastAsia="TimesNewRomanPSMT" w:cs="TimesNewRomanPSMT"/>
          <w:bCs/>
        </w:rPr>
        <w:t>/km</w:t>
      </w:r>
      <w:r>
        <w:rPr>
          <w:rFonts w:eastAsia="TimesNewRomanPSMT" w:cs="TimesNewRomanPSMT"/>
          <w:bCs/>
        </w:rPr>
        <w:t xml:space="preserve">, 0.23-0.25 </w:t>
      </w:r>
      <w:proofErr w:type="spellStart"/>
      <w:r>
        <w:rPr>
          <w:rFonts w:eastAsia="TimesNewRomanPSMT" w:cs="TimesNewRomanPSMT"/>
          <w:bCs/>
        </w:rPr>
        <w:t>Tg</w:t>
      </w:r>
      <w:proofErr w:type="spellEnd"/>
      <w:r>
        <w:rPr>
          <w:rFonts w:eastAsia="TimesNewRomanPSMT" w:cs="TimesNewRomanPSMT"/>
          <w:bCs/>
        </w:rPr>
        <w:t>/y</w:t>
      </w:r>
      <w:r w:rsidRPr="00616496">
        <w:rPr>
          <w:rFonts w:eastAsia="TimesNewRomanPSMT" w:cs="TimesNewRomanPSMT"/>
          <w:bCs/>
        </w:rPr>
        <w:t xml:space="preserve"> -</w:t>
      </w:r>
      <w:r w:rsidRPr="00616496">
        <w:t xml:space="preserve"> and the results were strikingly similar to those estimated from the tectonic setting alone – 60-80 </w:t>
      </w:r>
      <w:r w:rsidRPr="00616496">
        <w:rPr>
          <w:rFonts w:eastAsia="TimesNewRomanPSMT" w:cs="TimesNewRomanPSMT"/>
          <w:bCs/>
        </w:rPr>
        <w:t>km</w:t>
      </w:r>
      <w:r w:rsidRPr="00616496">
        <w:rPr>
          <w:rFonts w:eastAsia="TimesNewRomanPSMT" w:cs="TimesNewRomanPSMT"/>
          <w:bCs/>
          <w:vertAlign w:val="superscript"/>
        </w:rPr>
        <w:t>3</w:t>
      </w:r>
      <w:r w:rsidRPr="00616496">
        <w:rPr>
          <w:rFonts w:eastAsia="TimesNewRomanPSMT" w:cs="TimesNewRomanPSMT"/>
          <w:bCs/>
        </w:rPr>
        <w:t>/</w:t>
      </w:r>
      <w:proofErr w:type="spellStart"/>
      <w:r w:rsidRPr="00616496">
        <w:rPr>
          <w:rFonts w:eastAsia="TimesNewRomanPSMT" w:cs="TimesNewRomanPSMT"/>
          <w:bCs/>
        </w:rPr>
        <w:t>Myr</w:t>
      </w:r>
      <w:proofErr w:type="spellEnd"/>
      <w:r w:rsidRPr="00616496">
        <w:rPr>
          <w:rFonts w:eastAsia="TimesNewRomanPSMT" w:cs="TimesNewRomanPSMT"/>
          <w:bCs/>
        </w:rPr>
        <w:t>/km</w:t>
      </w:r>
      <w:r>
        <w:rPr>
          <w:rFonts w:eastAsia="TimesNewRomanPSMT" w:cs="TimesNewRomanPSMT"/>
          <w:bCs/>
        </w:rPr>
        <w:t>, 0.17-0.23 TG/y</w:t>
      </w:r>
      <w:r w:rsidRPr="00616496">
        <w:t>.</w:t>
      </w:r>
      <w:r>
        <w:t xml:space="preserve"> In Mexico, therefore, it seems </w:t>
      </w:r>
      <w:r w:rsidR="00746C02">
        <w:t xml:space="preserve">that most or all of the </w:t>
      </w:r>
      <w:r>
        <w:t xml:space="preserve">material removed by forearc subduction erosion reaches the depth of arc magma generation, where almost all of its incompatible elements </w:t>
      </w:r>
      <w:r w:rsidR="00746C02">
        <w:t>are</w:t>
      </w:r>
      <w:r>
        <w:t xml:space="preserve"> recycled back into arc magmas.</w:t>
      </w:r>
    </w:p>
    <w:p w14:paraId="596675B0" w14:textId="4FDB05E3" w:rsidR="000332D3" w:rsidRDefault="000332D3" w:rsidP="00F22CAC">
      <w:r>
        <w:t xml:space="preserve">The conclusion that a significant proportion of the eroded forearc margin must be recycled in the mantle is </w:t>
      </w:r>
      <w:r w:rsidR="00746C02">
        <w:t>reinforced by analyses of</w:t>
      </w:r>
      <w:r>
        <w:t xml:space="preserve"> the southernmost central Andean volcanic zone as well as the </w:t>
      </w:r>
      <w:proofErr w:type="spellStart"/>
      <w:r>
        <w:t>backarc</w:t>
      </w:r>
      <w:proofErr w:type="spellEnd"/>
      <w:r>
        <w:t xml:space="preserve"> </w:t>
      </w:r>
      <w:proofErr w:type="spellStart"/>
      <w:r>
        <w:t>Puna</w:t>
      </w:r>
      <w:proofErr w:type="spellEnd"/>
      <w:r>
        <w:t xml:space="preserve"> plateau. Both volumetric considerations </w:t>
      </w:r>
      <w:r>
        <w:rPr>
          <w:noProof/>
        </w:rPr>
        <w:t>(Kay et al., 2005)</w:t>
      </w:r>
      <w:r>
        <w:t xml:space="preserve"> and volcanic chemistry </w:t>
      </w:r>
      <w:r>
        <w:rPr>
          <w:noProof/>
        </w:rPr>
        <w:t>(Goss et al., 2013; Risse et al., 2013)</w:t>
      </w:r>
      <w:r>
        <w:t xml:space="preserve"> suggest that most of the eroded material is recycled in the mantle. Goss et al. (2013) calculated a rate of recycling upper plate material in the mantle </w:t>
      </w:r>
      <w:proofErr w:type="gramStart"/>
      <w:r>
        <w:t>of 200 km</w:t>
      </w:r>
      <w:r w:rsidRPr="00734526">
        <w:rPr>
          <w:vertAlign w:val="superscript"/>
        </w:rPr>
        <w:t>3</w:t>
      </w:r>
      <w:r>
        <w:t>/</w:t>
      </w:r>
      <w:proofErr w:type="spellStart"/>
      <w:r>
        <w:t>Myr</w:t>
      </w:r>
      <w:proofErr w:type="spellEnd"/>
      <w:r>
        <w:t xml:space="preserve">/km – 0.58 </w:t>
      </w:r>
      <w:proofErr w:type="spellStart"/>
      <w:r>
        <w:t>Tg</w:t>
      </w:r>
      <w:proofErr w:type="spellEnd"/>
      <w:r>
        <w:t>/y -in the interval between 3</w:t>
      </w:r>
      <w:proofErr w:type="gramEnd"/>
      <w:r>
        <w:t xml:space="preserve"> and 8 Ma.</w:t>
      </w:r>
    </w:p>
    <w:p w14:paraId="4ABDD873" w14:textId="77777777" w:rsidR="000332D3" w:rsidRDefault="000332D3" w:rsidP="00530331"/>
    <w:p w14:paraId="702582C0" w14:textId="669C6A77" w:rsidR="000332D3" w:rsidRDefault="000332D3" w:rsidP="00530331">
      <w:r w:rsidRPr="00810480">
        <w:t>Finally</w:t>
      </w:r>
      <w:r>
        <w:t xml:space="preserve">, if the forearc material removed by subduction erosion could remain relatively buoyant (e.g. does not transform to a denser </w:t>
      </w:r>
      <w:proofErr w:type="spellStart"/>
      <w:r>
        <w:t>eclogitic</w:t>
      </w:r>
      <w:proofErr w:type="spellEnd"/>
      <w:r>
        <w:t xml:space="preserve"> phase),</w:t>
      </w:r>
      <w:r w:rsidRPr="00810480">
        <w:t xml:space="preserve"> </w:t>
      </w:r>
      <w:r>
        <w:t xml:space="preserve">then </w:t>
      </w:r>
      <w:r w:rsidRPr="00810480">
        <w:t xml:space="preserve">the more felsic part of the eroded material </w:t>
      </w:r>
      <w:r>
        <w:t>has been proposed to</w:t>
      </w:r>
      <w:r w:rsidRPr="00810480">
        <w:t xml:space="preserve"> be </w:t>
      </w:r>
      <w:r>
        <w:t>‘</w:t>
      </w:r>
      <w:proofErr w:type="spellStart"/>
      <w:r w:rsidRPr="00810480">
        <w:t>relaminated</w:t>
      </w:r>
      <w:proofErr w:type="spellEnd"/>
      <w:r>
        <w:t>’ back to the base of continental crust</w:t>
      </w:r>
      <w:r w:rsidRPr="00810480">
        <w:t xml:space="preserve"> </w:t>
      </w:r>
      <w:r w:rsidRPr="00810480">
        <w:rPr>
          <w:noProof/>
        </w:rPr>
        <w:t>(Hacker et al., 2011)</w:t>
      </w:r>
      <w:r w:rsidRPr="00810480">
        <w:t xml:space="preserve">. </w:t>
      </w:r>
      <w:proofErr w:type="spellStart"/>
      <w:r w:rsidRPr="002F3C52">
        <w:rPr>
          <w:rStyle w:val="Emphasis"/>
          <w:i w:val="0"/>
        </w:rPr>
        <w:t>Sallarès</w:t>
      </w:r>
      <w:proofErr w:type="spellEnd"/>
      <w:r w:rsidRPr="002F3C52">
        <w:rPr>
          <w:rStyle w:val="Emphasis"/>
          <w:i w:val="0"/>
        </w:rPr>
        <w:t xml:space="preserve"> et al</w:t>
      </w:r>
      <w:r w:rsidRPr="002F3C52">
        <w:rPr>
          <w:i/>
        </w:rPr>
        <w:t xml:space="preserve">. </w:t>
      </w:r>
      <w:r w:rsidRPr="00810480">
        <w:rPr>
          <w:noProof/>
        </w:rPr>
        <w:t>(2001)</w:t>
      </w:r>
      <w:r w:rsidRPr="00810480">
        <w:t xml:space="preserve"> and Hayes et al. </w:t>
      </w:r>
      <w:r w:rsidRPr="00810480">
        <w:rPr>
          <w:noProof/>
        </w:rPr>
        <w:t>(2013)</w:t>
      </w:r>
      <w:r>
        <w:t xml:space="preserve"> observed relatively low average velocities in the lower crust of the volcanic arc in central Costa Rica and highly reflective crust-mantle transition zone. They interpreted these images as complex interactions of crust and mantle during crustal growth that can be interpreted to imply the occurrence of </w:t>
      </w:r>
      <w:proofErr w:type="spellStart"/>
      <w:r>
        <w:t>relamination</w:t>
      </w:r>
      <w:proofErr w:type="spellEnd"/>
      <w:r>
        <w:t xml:space="preserve">. </w:t>
      </w:r>
      <w:r w:rsidR="00746C02">
        <w:t>In the following estimates</w:t>
      </w:r>
      <w:r>
        <w:t xml:space="preserve"> we </w:t>
      </w:r>
      <w:r w:rsidR="00746C02">
        <w:t>do</w:t>
      </w:r>
      <w:r>
        <w:t xml:space="preserve"> not consider the </w:t>
      </w:r>
      <w:r w:rsidR="00746C02">
        <w:t xml:space="preserve">possible </w:t>
      </w:r>
      <w:r>
        <w:t xml:space="preserve">contribution of crustal shortening to volume and thickness estimates of the crust, which </w:t>
      </w:r>
      <w:r w:rsidR="00746C02">
        <w:t>would further</w:t>
      </w:r>
      <w:r>
        <w:t xml:space="preserve"> limit the </w:t>
      </w:r>
      <w:r w:rsidR="00746C02">
        <w:t xml:space="preserve">possible </w:t>
      </w:r>
      <w:r>
        <w:t xml:space="preserve">amount of </w:t>
      </w:r>
      <w:proofErr w:type="spellStart"/>
      <w:r>
        <w:t>relamination</w:t>
      </w:r>
      <w:proofErr w:type="spellEnd"/>
      <w:r w:rsidR="00D46413">
        <w:t xml:space="preserve"> (DeCelles et al., 2009)</w:t>
      </w:r>
      <w:r w:rsidR="008B714C">
        <w:t>.</w:t>
      </w:r>
      <w:r w:rsidR="008A3AA1">
        <w:t xml:space="preserve"> </w:t>
      </w:r>
      <w:r w:rsidR="008B714C">
        <w:t xml:space="preserve">Indeed arc-normal extension in Central </w:t>
      </w:r>
      <w:r w:rsidR="008B714C">
        <w:lastRenderedPageBreak/>
        <w:t>America, south of the North America-Caribbean plate boundary</w:t>
      </w:r>
      <w:r w:rsidR="00D46413">
        <w:t xml:space="preserve"> (Morgan et al., 2008)</w:t>
      </w:r>
      <w:r w:rsidR="008B714C">
        <w:t>, advocate against the occurrence of delamination</w:t>
      </w:r>
      <w:r>
        <w:t xml:space="preserve">. </w:t>
      </w:r>
      <w:r w:rsidR="008B714C">
        <w:t>To be conservative in our calculations of continental crust loss, t</w:t>
      </w:r>
      <w:r>
        <w:t xml:space="preserve">he following calculations </w:t>
      </w:r>
      <w:r w:rsidR="00746C02">
        <w:t>define</w:t>
      </w:r>
      <w:r>
        <w:t xml:space="preserve"> the maximum possible rate of eroded material that </w:t>
      </w:r>
      <w:r w:rsidR="00746C02">
        <w:t>could be ‘</w:t>
      </w:r>
      <w:proofErr w:type="spellStart"/>
      <w:r w:rsidR="00746C02">
        <w:t>relaminated</w:t>
      </w:r>
      <w:proofErr w:type="spellEnd"/>
      <w:r w:rsidR="00746C02">
        <w:t>’</w:t>
      </w:r>
      <w:r>
        <w:t xml:space="preserve"> </w:t>
      </w:r>
      <w:r>
        <w:rPr>
          <w:noProof/>
        </w:rPr>
        <w:t>(Hacker et al., 2011)</w:t>
      </w:r>
      <w:r>
        <w:t xml:space="preserve">. Based on the eroded upper plate </w:t>
      </w:r>
      <w:proofErr w:type="spellStart"/>
      <w:r>
        <w:t>lithologies</w:t>
      </w:r>
      <w:proofErr w:type="spellEnd"/>
      <w:r>
        <w:t xml:space="preserve">, one can estimate the volumes of felsic material that could possibly be </w:t>
      </w:r>
      <w:proofErr w:type="spellStart"/>
      <w:r>
        <w:t>relaminated</w:t>
      </w:r>
      <w:proofErr w:type="spellEnd"/>
      <w:r>
        <w:t xml:space="preserve"> </w:t>
      </w:r>
      <w:r>
        <w:sym w:font="Symbol" w:char="F0BB"/>
      </w:r>
      <w:r>
        <w:t xml:space="preserve">0.01 </w:t>
      </w:r>
      <w:proofErr w:type="spellStart"/>
      <w:r>
        <w:t>Tg</w:t>
      </w:r>
      <w:proofErr w:type="spellEnd"/>
      <w:r>
        <w:t>/</w:t>
      </w:r>
      <w:proofErr w:type="spellStart"/>
      <w:r>
        <w:t>yr</w:t>
      </w:r>
      <w:proofErr w:type="spellEnd"/>
      <w:r>
        <w:t xml:space="preserve"> (3.45 km</w:t>
      </w:r>
      <w:r w:rsidRPr="00734526">
        <w:rPr>
          <w:vertAlign w:val="superscript"/>
        </w:rPr>
        <w:t>3</w:t>
      </w:r>
      <w:r>
        <w:t>/</w:t>
      </w:r>
      <w:proofErr w:type="spellStart"/>
      <w:r>
        <w:t>Myr</w:t>
      </w:r>
      <w:proofErr w:type="spellEnd"/>
      <w:r>
        <w:t xml:space="preserve">/km) in Guatemala, </w:t>
      </w:r>
      <w:r>
        <w:sym w:font="Symbol" w:char="F0BB"/>
      </w:r>
      <w:r>
        <w:t xml:space="preserve">0.2 </w:t>
      </w:r>
      <w:proofErr w:type="spellStart"/>
      <w:r>
        <w:t>Tg</w:t>
      </w:r>
      <w:proofErr w:type="spellEnd"/>
      <w:r>
        <w:t>/</w:t>
      </w:r>
      <w:proofErr w:type="spellStart"/>
      <w:r>
        <w:t>yr</w:t>
      </w:r>
      <w:proofErr w:type="spellEnd"/>
      <w:r>
        <w:t xml:space="preserve"> (69 km</w:t>
      </w:r>
      <w:r w:rsidRPr="00734526">
        <w:rPr>
          <w:vertAlign w:val="superscript"/>
        </w:rPr>
        <w:t>3</w:t>
      </w:r>
      <w:r>
        <w:t>/</w:t>
      </w:r>
      <w:proofErr w:type="spellStart"/>
      <w:r>
        <w:t>Myr</w:t>
      </w:r>
      <w:proofErr w:type="spellEnd"/>
      <w:r>
        <w:t>/</w:t>
      </w:r>
      <w:proofErr w:type="gramStart"/>
      <w:r>
        <w:t>km )</w:t>
      </w:r>
      <w:proofErr w:type="gramEnd"/>
      <w:r>
        <w:t xml:space="preserve"> in northern Costa Rica, to </w:t>
      </w:r>
      <w:r>
        <w:sym w:font="Symbol" w:char="F0BB"/>
      </w:r>
      <w:r>
        <w:t xml:space="preserve">1.6 </w:t>
      </w:r>
      <w:proofErr w:type="spellStart"/>
      <w:r>
        <w:t>Tg</w:t>
      </w:r>
      <w:proofErr w:type="spellEnd"/>
      <w:r>
        <w:t>/</w:t>
      </w:r>
      <w:proofErr w:type="spellStart"/>
      <w:r>
        <w:t>yr</w:t>
      </w:r>
      <w:proofErr w:type="spellEnd"/>
      <w:r>
        <w:t xml:space="preserve"> (207 km</w:t>
      </w:r>
      <w:r w:rsidRPr="00734526">
        <w:rPr>
          <w:vertAlign w:val="superscript"/>
        </w:rPr>
        <w:t>3</w:t>
      </w:r>
      <w:r>
        <w:t>/</w:t>
      </w:r>
      <w:proofErr w:type="spellStart"/>
      <w:r>
        <w:t>Myr</w:t>
      </w:r>
      <w:proofErr w:type="spellEnd"/>
      <w:r>
        <w:t>/km ) in southern Costa Rica</w:t>
      </w:r>
      <w:r>
        <w:rPr>
          <w:color w:val="0070C0"/>
        </w:rPr>
        <w:t xml:space="preserve"> (Fig. 5</w:t>
      </w:r>
      <w:r w:rsidRPr="002F3C52">
        <w:rPr>
          <w:color w:val="0070C0"/>
        </w:rPr>
        <w:t>)</w:t>
      </w:r>
      <w:r>
        <w:t>.</w:t>
      </w:r>
    </w:p>
    <w:p w14:paraId="6A15EAD2" w14:textId="19AD536D" w:rsidR="000332D3" w:rsidRDefault="000332D3" w:rsidP="00530331">
      <w:r>
        <w:t xml:space="preserve">Figure 5 shows estimates of these potential fluxes in the three sectors of the Central America trench based on the subduction erosion rates presented here, magma fluxes in the last 0.5 Ma following </w:t>
      </w:r>
      <w:proofErr w:type="spellStart"/>
      <w:r>
        <w:t>Kutterolf</w:t>
      </w:r>
      <w:proofErr w:type="spellEnd"/>
      <w:r>
        <w:t xml:space="preserve"> et al. (2008), and </w:t>
      </w:r>
      <w:proofErr w:type="spellStart"/>
      <w:r>
        <w:t>relamination</w:t>
      </w:r>
      <w:proofErr w:type="spellEnd"/>
      <w:r>
        <w:t xml:space="preserve"> following the approach by Hacker et al., (2011). </w:t>
      </w:r>
      <w:r>
        <w:rPr>
          <w:color w:val="0070C0"/>
        </w:rPr>
        <w:t>Figure 5</w:t>
      </w:r>
      <w:r w:rsidRPr="00FD1B51">
        <w:rPr>
          <w:color w:val="0070C0"/>
        </w:rPr>
        <w:t xml:space="preserve"> </w:t>
      </w:r>
      <w:r>
        <w:t xml:space="preserve">shows that the arc crust in the Guatemala-El Salvador segment is in net </w:t>
      </w:r>
      <w:proofErr w:type="gramStart"/>
      <w:r>
        <w:t>growth,</w:t>
      </w:r>
      <w:proofErr w:type="gramEnd"/>
      <w:r>
        <w:t xml:space="preserve"> in the Nicaragua-Northern Costa Rica (Nicoya) segment arc crust is in equilibrium or slightly decreasing in volume, whereas in the Southern Costa Rica (</w:t>
      </w:r>
      <w:proofErr w:type="spellStart"/>
      <w:r>
        <w:t>Osa</w:t>
      </w:r>
      <w:proofErr w:type="spellEnd"/>
      <w:r>
        <w:t>) arc crust is being destroyed.</w:t>
      </w:r>
    </w:p>
    <w:p w14:paraId="65DE69DB" w14:textId="77777777" w:rsidR="000332D3" w:rsidRDefault="000332D3" w:rsidP="00530331"/>
    <w:p w14:paraId="208FE228" w14:textId="296645F4" w:rsidR="000332D3" w:rsidRDefault="000332D3" w:rsidP="00530331">
      <w:pPr>
        <w:pStyle w:val="Heading2"/>
      </w:pPr>
      <w:r>
        <w:t>Broader Implications</w:t>
      </w:r>
    </w:p>
    <w:p w14:paraId="4AE3EC13" w14:textId="4E0C1ADD" w:rsidR="000332D3" w:rsidRDefault="000332D3" w:rsidP="00530331">
      <w:r>
        <w:t xml:space="preserve">Arc production in Central America is </w:t>
      </w:r>
      <w:r>
        <w:sym w:font="Symbol" w:char="F0BB"/>
      </w:r>
      <w:r>
        <w:t xml:space="preserve">109 </w:t>
      </w:r>
      <w:r w:rsidRPr="00473CDD">
        <w:rPr>
          <w:rFonts w:eastAsia="TimesNewRomanPSMT" w:cs="TimesNewRomanPSMT"/>
          <w:bCs/>
        </w:rPr>
        <w:t>km</w:t>
      </w:r>
      <w:r w:rsidRPr="00473CDD">
        <w:rPr>
          <w:rFonts w:eastAsia="TimesNewRomanPSMT" w:cs="TimesNewRomanPSMT"/>
          <w:bCs/>
          <w:vertAlign w:val="superscript"/>
        </w:rPr>
        <w:t>3</w:t>
      </w:r>
      <w:r w:rsidRPr="00473CDD">
        <w:rPr>
          <w:rFonts w:eastAsia="TimesNewRomanPSMT" w:cs="TimesNewRomanPSMT"/>
          <w:bCs/>
        </w:rPr>
        <w:t>/</w:t>
      </w:r>
      <w:proofErr w:type="spellStart"/>
      <w:r w:rsidRPr="00473CDD">
        <w:rPr>
          <w:rFonts w:eastAsia="TimesNewRomanPSMT" w:cs="TimesNewRomanPSMT"/>
          <w:bCs/>
        </w:rPr>
        <w:t>Myr</w:t>
      </w:r>
      <w:proofErr w:type="spellEnd"/>
      <w:r w:rsidRPr="00473CDD">
        <w:rPr>
          <w:rFonts w:eastAsia="TimesNewRomanPSMT" w:cs="TimesNewRomanPSMT"/>
          <w:bCs/>
        </w:rPr>
        <w:t>/km</w:t>
      </w:r>
      <w:r>
        <w:rPr>
          <w:rFonts w:eastAsia="TimesNewRomanPSMT" w:cs="TimesNewRomanPSMT"/>
          <w:bCs/>
        </w:rPr>
        <w:t xml:space="preserve"> (0.31 </w:t>
      </w:r>
      <w:proofErr w:type="spellStart"/>
      <w:r>
        <w:rPr>
          <w:rFonts w:eastAsia="TimesNewRomanPSMT" w:cs="TimesNewRomanPSMT"/>
          <w:bCs/>
        </w:rPr>
        <w:t>Tg</w:t>
      </w:r>
      <w:proofErr w:type="spellEnd"/>
      <w:r>
        <w:rPr>
          <w:rFonts w:eastAsia="TimesNewRomanPSMT" w:cs="TimesNewRomanPSMT"/>
          <w:bCs/>
        </w:rPr>
        <w:t>/y)</w:t>
      </w:r>
      <w:r>
        <w:t xml:space="preserve">, which is a typical value of magmatic productivity for an erosive subduction margin </w:t>
      </w:r>
      <w:r>
        <w:rPr>
          <w:noProof/>
        </w:rPr>
        <w:t>(Clift and Vannucchi, 2004)</w:t>
      </w:r>
      <w:r>
        <w:t xml:space="preserve">. It is noteworthy that the average magmatic arc production at accretionary margins is only about half this value - </w:t>
      </w:r>
      <w:r>
        <w:sym w:font="Symbol" w:char="F0BB"/>
      </w:r>
      <w:r>
        <w:t xml:space="preserve">55 </w:t>
      </w:r>
      <w:r w:rsidRPr="00473CDD">
        <w:rPr>
          <w:rFonts w:eastAsia="TimesNewRomanPSMT" w:cs="TimesNewRomanPSMT"/>
          <w:bCs/>
        </w:rPr>
        <w:t>km</w:t>
      </w:r>
      <w:r w:rsidRPr="00473CDD">
        <w:rPr>
          <w:rFonts w:eastAsia="TimesNewRomanPSMT" w:cs="TimesNewRomanPSMT"/>
          <w:bCs/>
          <w:vertAlign w:val="superscript"/>
        </w:rPr>
        <w:t>3</w:t>
      </w:r>
      <w:r w:rsidRPr="00473CDD">
        <w:rPr>
          <w:rFonts w:eastAsia="TimesNewRomanPSMT" w:cs="TimesNewRomanPSMT"/>
          <w:bCs/>
        </w:rPr>
        <w:t>/</w:t>
      </w:r>
      <w:proofErr w:type="spellStart"/>
      <w:r w:rsidRPr="00473CDD">
        <w:rPr>
          <w:rFonts w:eastAsia="TimesNewRomanPSMT" w:cs="TimesNewRomanPSMT"/>
          <w:bCs/>
        </w:rPr>
        <w:t>Myr</w:t>
      </w:r>
      <w:proofErr w:type="spellEnd"/>
      <w:r w:rsidRPr="00473CDD">
        <w:rPr>
          <w:rFonts w:eastAsia="TimesNewRomanPSMT" w:cs="TimesNewRomanPSMT"/>
          <w:bCs/>
        </w:rPr>
        <w:t>/km</w:t>
      </w:r>
      <w:r>
        <w:t xml:space="preserve"> (0.16 </w:t>
      </w:r>
      <w:proofErr w:type="spellStart"/>
      <w:r>
        <w:t>Tg.y</w:t>
      </w:r>
      <w:proofErr w:type="spellEnd"/>
      <w:proofErr w:type="gramStart"/>
      <w:r>
        <w:t>)</w:t>
      </w:r>
      <w:r>
        <w:rPr>
          <w:noProof/>
        </w:rPr>
        <w:t>(</w:t>
      </w:r>
      <w:proofErr w:type="gramEnd"/>
      <w:r>
        <w:rPr>
          <w:noProof/>
        </w:rPr>
        <w:t>Clift and Vannucchi, 2004)</w:t>
      </w:r>
      <w:r>
        <w:t>. This relatively high magmatic productivity at erosive subduction margins helps to prevent the overall destruction of continental crust at these margins. In the Guatemala-El Salvador</w:t>
      </w:r>
      <w:r w:rsidRPr="00C23B91">
        <w:t xml:space="preserve"> </w:t>
      </w:r>
      <w:r>
        <w:t xml:space="preserve">sector, in fact, continental crust must grow as subduction erosion and terrigenous sediment subduction is removing less material than the arc produces </w:t>
      </w:r>
      <w:r w:rsidRPr="00C23B91">
        <w:rPr>
          <w:color w:val="0070C0"/>
        </w:rPr>
        <w:t>(Fig. 5)</w:t>
      </w:r>
      <w:r>
        <w:t xml:space="preserve">. Moving toward the southeast, the balance becomes negative and subduction erosion is much faster than </w:t>
      </w:r>
      <w:r>
        <w:lastRenderedPageBreak/>
        <w:t>magmatic arc growth. Trading space for time, we envision the Guatemala-El Salvador</w:t>
      </w:r>
      <w:r w:rsidRPr="00C23B91">
        <w:t xml:space="preserve"> </w:t>
      </w:r>
      <w:r>
        <w:t>sector as being representative of this margin for the situation before Cocos Ridge subduction.</w:t>
      </w:r>
    </w:p>
    <w:p w14:paraId="24E4830D" w14:textId="3E4B505F" w:rsidR="000332D3" w:rsidRDefault="000332D3" w:rsidP="00530331">
      <w:r>
        <w:t>The Central America trench reveal</w:t>
      </w:r>
      <w:r w:rsidR="00746C02">
        <w:t>s</w:t>
      </w:r>
      <w:r>
        <w:t xml:space="preserve"> </w:t>
      </w:r>
      <w:r w:rsidR="00746C02">
        <w:t xml:space="preserve">clear </w:t>
      </w:r>
      <w:r>
        <w:t xml:space="preserve">along-strike tectonic and magmatic differences and characteristics, </w:t>
      </w:r>
      <w:r w:rsidR="00746C02">
        <w:t xml:space="preserve">in large part </w:t>
      </w:r>
      <w:r>
        <w:t xml:space="preserve">because it </w:t>
      </w:r>
      <w:r w:rsidR="00746C02">
        <w:t xml:space="preserve">has been </w:t>
      </w:r>
      <w:r>
        <w:t>studied in great detail</w:t>
      </w:r>
      <w:r w:rsidR="00746C02">
        <w:t xml:space="preserve"> in</w:t>
      </w:r>
      <w:r>
        <w:t xml:space="preserve"> compar</w:t>
      </w:r>
      <w:r w:rsidR="00746C02">
        <w:t>ison</w:t>
      </w:r>
      <w:r>
        <w:t xml:space="preserve"> to other subduction systems. The effects of the Cocos Ridge subduction in the southern Costa Rica sector can be inferred from two IODP expeditions and almost 40 years of offshore geophysical exploration. This level of detail </w:t>
      </w:r>
      <w:r w:rsidR="00746C02">
        <w:t xml:space="preserve">simply </w:t>
      </w:r>
      <w:r>
        <w:t xml:space="preserve">does not exist at other subduction systems. Apart from the Cocos Ridge, at present high bathymetric relief subduction is occurring in </w:t>
      </w:r>
      <w:proofErr w:type="spellStart"/>
      <w:r>
        <w:t>Kamchakta</w:t>
      </w:r>
      <w:proofErr w:type="spellEnd"/>
      <w:r>
        <w:t xml:space="preserve"> - the Hawaii-Emperor seamount chain, in Tonga – the Louisville ridge, in </w:t>
      </w:r>
      <w:proofErr w:type="spellStart"/>
      <w:r>
        <w:t>Hikurangi</w:t>
      </w:r>
      <w:proofErr w:type="spellEnd"/>
      <w:r>
        <w:t xml:space="preserve"> – the </w:t>
      </w:r>
      <w:proofErr w:type="spellStart"/>
      <w:r>
        <w:t>Hikurangi</w:t>
      </w:r>
      <w:proofErr w:type="spellEnd"/>
      <w:r>
        <w:t xml:space="preserve"> Plateau, in South America – the Carnegie, Nazca, and Juan Fernandez Ridges, in </w:t>
      </w:r>
      <w:r w:rsidR="00746C02">
        <w:t xml:space="preserve">the </w:t>
      </w:r>
      <w:r>
        <w:t xml:space="preserve">Solomon Islands – the </w:t>
      </w:r>
      <w:proofErr w:type="spellStart"/>
      <w:r>
        <w:t>Ontong</w:t>
      </w:r>
      <w:proofErr w:type="spellEnd"/>
      <w:r>
        <w:t xml:space="preserve">-Java Plateau – and SW Japan - the </w:t>
      </w:r>
      <w:proofErr w:type="spellStart"/>
      <w:r>
        <w:t>Izu</w:t>
      </w:r>
      <w:proofErr w:type="spellEnd"/>
      <w:r>
        <w:t xml:space="preserve">-Bonin volcanic arc, totaling </w:t>
      </w:r>
      <w:r>
        <w:sym w:font="Symbol" w:char="F0BB"/>
      </w:r>
      <w:r>
        <w:t xml:space="preserve">2400 km </w:t>
      </w:r>
      <w:r w:rsidRPr="00AF5440">
        <w:rPr>
          <w:color w:val="0070C0"/>
        </w:rPr>
        <w:t xml:space="preserve">(table </w:t>
      </w:r>
      <w:r>
        <w:rPr>
          <w:color w:val="0070C0"/>
        </w:rPr>
        <w:t>2</w:t>
      </w:r>
      <w:r w:rsidRPr="00AF5440">
        <w:rPr>
          <w:color w:val="0070C0"/>
        </w:rPr>
        <w:t xml:space="preserve">) </w:t>
      </w:r>
      <w:r w:rsidR="00746C02">
        <w:t xml:space="preserve">of subduction zones with high bathymetric relief subduction along </w:t>
      </w:r>
      <w:r>
        <w:t xml:space="preserve">the </w:t>
      </w:r>
      <w:r>
        <w:sym w:font="Symbol" w:char="F0BB"/>
      </w:r>
      <w:r>
        <w:t xml:space="preserve"> 40,000 km-long global subduction system </w:t>
      </w:r>
      <w:r>
        <w:rPr>
          <w:noProof/>
        </w:rPr>
        <w:t>(Clift and Vannucchi, 2004)</w:t>
      </w:r>
      <w:r>
        <w:t>, or 17% of the system. This estimat</w:t>
      </w:r>
      <w:r w:rsidR="00746C02">
        <w:t>e</w:t>
      </w:r>
      <w:r>
        <w:t xml:space="preserve"> only consider</w:t>
      </w:r>
      <w:r w:rsidR="00746C02">
        <w:t>s</w:t>
      </w:r>
      <w:r>
        <w:t xml:space="preserve"> </w:t>
      </w:r>
      <w:r w:rsidR="00746C02">
        <w:t xml:space="preserve">the ongoing subduction of </w:t>
      </w:r>
      <w:r>
        <w:t xml:space="preserve">major bathymetric features - aseismic ridges, island arc massifs, oceanic plateaus, seamount clusters, spreading centers, and blocks of continental crust. A good aseismic ridge candidate for future subduction is the </w:t>
      </w:r>
      <w:proofErr w:type="spellStart"/>
      <w:r>
        <w:t>Nintyeast</w:t>
      </w:r>
      <w:proofErr w:type="spellEnd"/>
      <w:r>
        <w:t xml:space="preserve"> Ridge in the Sumatra Trench. Note that all places where aseismic ridge subduction is occurring are erosive margins. Considering that the latter </w:t>
      </w:r>
      <w:r w:rsidR="00B63503">
        <w:t xml:space="preserve">form </w:t>
      </w:r>
      <w:r>
        <w:t xml:space="preserve">60% of the total trench length, </w:t>
      </w:r>
      <w:r w:rsidR="00B63503">
        <w:t>~</w:t>
      </w:r>
      <w:r>
        <w:t>10% of today’s erosive margins are associated with aseismic ridge subduction. Note that the estimate for erosive margin length used here differs</w:t>
      </w:r>
      <w:r w:rsidR="00B63503">
        <w:t xml:space="preserve"> slightly</w:t>
      </w:r>
      <w:r>
        <w:t xml:space="preserve"> from Clift and Vannucchi (2004) in that the Java Trench is now known to be an erosive margin </w:t>
      </w:r>
      <w:r>
        <w:rPr>
          <w:noProof/>
        </w:rPr>
        <w:t>(Kopp et al., 2006)</w:t>
      </w:r>
      <w:r>
        <w:t xml:space="preserve">. If, as at present, ¾ of aseismic ridge subduction is oblique, </w:t>
      </w:r>
      <w:r w:rsidR="00B63503">
        <w:t>(</w:t>
      </w:r>
      <w:r>
        <w:t xml:space="preserve">unlike </w:t>
      </w:r>
      <w:r w:rsidR="00B63503">
        <w:t xml:space="preserve">the </w:t>
      </w:r>
      <w:proofErr w:type="spellStart"/>
      <w:r w:rsidR="00B63503">
        <w:t>subducting</w:t>
      </w:r>
      <w:proofErr w:type="spellEnd"/>
      <w:r w:rsidR="00B63503">
        <w:t xml:space="preserve"> </w:t>
      </w:r>
      <w:r>
        <w:t>Cocos or Carnegie Ridges</w:t>
      </w:r>
      <w:r w:rsidR="00B63503">
        <w:t>)</w:t>
      </w:r>
      <w:r>
        <w:t xml:space="preserve">, this would imply that this event occurs 7% of the time at a typical erosive margin. With these values and using </w:t>
      </w:r>
      <w:r w:rsidR="00B63503">
        <w:t xml:space="preserve">current </w:t>
      </w:r>
      <w:r>
        <w:t xml:space="preserve">subduction erosion rates we found for the different sectors of the Central America Trench, this would imply that an estimate of the ‘net’ erosive margin rate is 7% times the 1125 </w:t>
      </w:r>
      <w:r w:rsidRPr="00473CDD">
        <w:rPr>
          <w:rFonts w:eastAsia="TimesNewRomanPSMT" w:cs="TimesNewRomanPSMT"/>
          <w:bCs/>
        </w:rPr>
        <w:t>km</w:t>
      </w:r>
      <w:r w:rsidRPr="00473CDD">
        <w:rPr>
          <w:rFonts w:eastAsia="TimesNewRomanPSMT" w:cs="TimesNewRomanPSMT"/>
          <w:bCs/>
          <w:vertAlign w:val="superscript"/>
        </w:rPr>
        <w:t>3</w:t>
      </w:r>
      <w:r w:rsidRPr="00473CDD">
        <w:rPr>
          <w:rFonts w:eastAsia="TimesNewRomanPSMT" w:cs="TimesNewRomanPSMT"/>
          <w:bCs/>
        </w:rPr>
        <w:t>/</w:t>
      </w:r>
      <w:proofErr w:type="spellStart"/>
      <w:r w:rsidRPr="00473CDD">
        <w:rPr>
          <w:rFonts w:eastAsia="TimesNewRomanPSMT" w:cs="TimesNewRomanPSMT"/>
          <w:bCs/>
        </w:rPr>
        <w:t>Myr</w:t>
      </w:r>
      <w:proofErr w:type="spellEnd"/>
      <w:r w:rsidRPr="00473CDD">
        <w:rPr>
          <w:rFonts w:eastAsia="TimesNewRomanPSMT" w:cs="TimesNewRomanPSMT"/>
          <w:bCs/>
        </w:rPr>
        <w:t>/km</w:t>
      </w:r>
      <w:r>
        <w:t xml:space="preserve"> southern Costa Rica (</w:t>
      </w:r>
      <w:proofErr w:type="spellStart"/>
      <w:r>
        <w:t>Osa</w:t>
      </w:r>
      <w:proofErr w:type="spellEnd"/>
      <w:r>
        <w:t xml:space="preserve">) sector rate plus 93% times the average of </w:t>
      </w:r>
      <w:r>
        <w:lastRenderedPageBreak/>
        <w:t xml:space="preserve">Guatemala-El Salvador, which has a net rate of 12 </w:t>
      </w:r>
      <w:r w:rsidRPr="00473CDD">
        <w:rPr>
          <w:rFonts w:eastAsia="TimesNewRomanPSMT" w:cs="TimesNewRomanPSMT"/>
          <w:bCs/>
        </w:rPr>
        <w:t>km</w:t>
      </w:r>
      <w:r w:rsidRPr="00473CDD">
        <w:rPr>
          <w:rFonts w:eastAsia="TimesNewRomanPSMT" w:cs="TimesNewRomanPSMT"/>
          <w:bCs/>
          <w:vertAlign w:val="superscript"/>
        </w:rPr>
        <w:t>3</w:t>
      </w:r>
      <w:r w:rsidRPr="00473CDD">
        <w:rPr>
          <w:rFonts w:eastAsia="TimesNewRomanPSMT" w:cs="TimesNewRomanPSMT"/>
          <w:bCs/>
        </w:rPr>
        <w:t>/</w:t>
      </w:r>
      <w:proofErr w:type="spellStart"/>
      <w:r w:rsidRPr="00473CDD">
        <w:rPr>
          <w:rFonts w:eastAsia="TimesNewRomanPSMT" w:cs="TimesNewRomanPSMT"/>
          <w:bCs/>
        </w:rPr>
        <w:t>Myr</w:t>
      </w:r>
      <w:proofErr w:type="spellEnd"/>
      <w:r w:rsidRPr="00473CDD">
        <w:rPr>
          <w:rFonts w:eastAsia="TimesNewRomanPSMT" w:cs="TimesNewRomanPSMT"/>
          <w:bCs/>
        </w:rPr>
        <w:t>/km</w:t>
      </w:r>
      <w:r>
        <w:t>. This estimates the overall net rate to be 90</w:t>
      </w:r>
      <w:r w:rsidRPr="002422F2">
        <w:rPr>
          <w:rFonts w:eastAsia="TimesNewRomanPSMT" w:cs="TimesNewRomanPSMT"/>
          <w:bCs/>
        </w:rPr>
        <w:t xml:space="preserve"> </w:t>
      </w:r>
      <w:r w:rsidRPr="00473CDD">
        <w:rPr>
          <w:rFonts w:eastAsia="TimesNewRomanPSMT" w:cs="TimesNewRomanPSMT"/>
          <w:bCs/>
        </w:rPr>
        <w:t>km</w:t>
      </w:r>
      <w:r w:rsidRPr="00473CDD">
        <w:rPr>
          <w:rFonts w:eastAsia="TimesNewRomanPSMT" w:cs="TimesNewRomanPSMT"/>
          <w:bCs/>
          <w:vertAlign w:val="superscript"/>
        </w:rPr>
        <w:t>3</w:t>
      </w:r>
      <w:r w:rsidRPr="00473CDD">
        <w:rPr>
          <w:rFonts w:eastAsia="TimesNewRomanPSMT" w:cs="TimesNewRomanPSMT"/>
          <w:bCs/>
        </w:rPr>
        <w:t>/</w:t>
      </w:r>
      <w:proofErr w:type="spellStart"/>
      <w:r w:rsidRPr="00473CDD">
        <w:rPr>
          <w:rFonts w:eastAsia="TimesNewRomanPSMT" w:cs="TimesNewRomanPSMT"/>
          <w:bCs/>
        </w:rPr>
        <w:t>Myr</w:t>
      </w:r>
      <w:proofErr w:type="spellEnd"/>
      <w:r w:rsidRPr="00473CDD">
        <w:rPr>
          <w:rFonts w:eastAsia="TimesNewRomanPSMT" w:cs="TimesNewRomanPSMT"/>
          <w:bCs/>
        </w:rPr>
        <w:t>/km</w:t>
      </w:r>
      <w:r>
        <w:rPr>
          <w:rFonts w:eastAsia="TimesNewRomanPSMT" w:cs="TimesNewRomanPSMT"/>
          <w:bCs/>
        </w:rPr>
        <w:t xml:space="preserve">, which is very similar to the average rate inferred by Clift et al. </w:t>
      </w:r>
      <w:r>
        <w:rPr>
          <w:rFonts w:eastAsia="TimesNewRomanPSMT" w:cs="TimesNewRomanPSMT"/>
          <w:bCs/>
          <w:noProof/>
        </w:rPr>
        <w:t>(2009a; 2009b)</w:t>
      </w:r>
      <w:r>
        <w:t xml:space="preserve">, but our new estimate for this average is dominated by the effects of the strong subduction erosion associated with the onset of aseismic ridge subduction at a forearc. </w:t>
      </w:r>
      <w:r w:rsidR="00B63503">
        <w:t>The implication is</w:t>
      </w:r>
      <w:r>
        <w:t xml:space="preserve"> that aseismic ridge subduction is likely to be a globally significant destruction process </w:t>
      </w:r>
      <w:r w:rsidR="00B63503">
        <w:t xml:space="preserve">for </w:t>
      </w:r>
      <w:r>
        <w:t>subduction forearcs.</w:t>
      </w:r>
    </w:p>
    <w:p w14:paraId="6D843DA5" w14:textId="119A0810" w:rsidR="000332D3" w:rsidRDefault="000332D3" w:rsidP="00530331">
      <w:r>
        <w:t>It is also worth examining how the southern Costa Rica (</w:t>
      </w:r>
      <w:proofErr w:type="spellStart"/>
      <w:proofErr w:type="gramStart"/>
      <w:r>
        <w:t>Osa</w:t>
      </w:r>
      <w:proofErr w:type="spellEnd"/>
      <w:proofErr w:type="gramEnd"/>
      <w:r>
        <w:t xml:space="preserve">) sector is healing after the impact of the subduction of the Cocos Ridge. Recent work </w:t>
      </w:r>
      <w:r w:rsidR="00B63503">
        <w:t xml:space="preserve">has </w:t>
      </w:r>
      <w:r>
        <w:t>compar</w:t>
      </w:r>
      <w:r w:rsidR="00B63503">
        <w:t>ed</w:t>
      </w:r>
      <w:r>
        <w:t xml:space="preserve"> the results of the IODP drilling Exp. 334 and 344 with 3D seismic reflection data from the same area</w:t>
      </w:r>
      <w:r w:rsidR="00B63503">
        <w:t>.</w:t>
      </w:r>
      <w:r>
        <w:t xml:space="preserve"> </w:t>
      </w:r>
      <w:r w:rsidR="00B63503">
        <w:t xml:space="preserve">This </w:t>
      </w:r>
      <w:r>
        <w:t>reveal</w:t>
      </w:r>
      <w:r w:rsidR="00B63503">
        <w:t>s</w:t>
      </w:r>
      <w:r>
        <w:t xml:space="preserve"> that there was a </w:t>
      </w:r>
      <w:proofErr w:type="spellStart"/>
      <w:r>
        <w:t>depositionary</w:t>
      </w:r>
      <w:proofErr w:type="spellEnd"/>
      <w:r>
        <w:t xml:space="preserve"> mode of forearc evolution, with terrigenous sediments deposited directly on the forearc as it was being removed from below by subduction erosion </w:t>
      </w:r>
      <w:r>
        <w:rPr>
          <w:noProof/>
        </w:rPr>
        <w:t>(Vannucchi et al., 2016)</w:t>
      </w:r>
      <w:r>
        <w:t xml:space="preserve">. A </w:t>
      </w:r>
      <w:proofErr w:type="spellStart"/>
      <w:r>
        <w:t>depositionary</w:t>
      </w:r>
      <w:proofErr w:type="spellEnd"/>
      <w:r>
        <w:t xml:space="preserve"> margin takes full advantage of the terrigenous sedimentary flux and grows without the occurrence of </w:t>
      </w:r>
      <w:proofErr w:type="spellStart"/>
      <w:r>
        <w:t>offscaping</w:t>
      </w:r>
      <w:proofErr w:type="spellEnd"/>
      <w:r>
        <w:t xml:space="preserve"> from the incoming plate </w:t>
      </w:r>
      <w:r>
        <w:rPr>
          <w:noProof/>
        </w:rPr>
        <w:t>(Vannucchi et al., 2016)</w:t>
      </w:r>
      <w:r>
        <w:t>.</w:t>
      </w:r>
    </w:p>
    <w:p w14:paraId="053DDE6D" w14:textId="5EBEFFF5" w:rsidR="000332D3" w:rsidRDefault="000332D3" w:rsidP="00530331">
      <w:r>
        <w:t xml:space="preserve">The material removed from the forearc by subduction erosion </w:t>
      </w:r>
      <w:r w:rsidR="00B63503">
        <w:t>has the potential to</w:t>
      </w:r>
      <w:r>
        <w:t xml:space="preserve"> follow a number of paths: it can be </w:t>
      </w:r>
      <w:proofErr w:type="spellStart"/>
      <w:r>
        <w:t>underplated</w:t>
      </w:r>
      <w:proofErr w:type="spellEnd"/>
      <w:r>
        <w:t xml:space="preserve"> back to the upper plate before reaching the depth of magma generation </w:t>
      </w:r>
      <w:r>
        <w:rPr>
          <w:rFonts w:cs="AdvEPSTIM"/>
          <w:noProof/>
        </w:rPr>
        <w:t>(Clift and Hartley, 2007)</w:t>
      </w:r>
      <w:r>
        <w:t xml:space="preserve">, it can contribute to the arc magmatism </w:t>
      </w:r>
      <w:r>
        <w:rPr>
          <w:noProof/>
        </w:rPr>
        <w:t>(Straub et al., 2015)</w:t>
      </w:r>
      <w:r>
        <w:t xml:space="preserve"> or it can be </w:t>
      </w:r>
      <w:proofErr w:type="spellStart"/>
      <w:r>
        <w:t>relaminated</w:t>
      </w:r>
      <w:proofErr w:type="spellEnd"/>
      <w:r>
        <w:t xml:space="preserve"> at depth </w:t>
      </w:r>
      <w:r>
        <w:rPr>
          <w:noProof/>
        </w:rPr>
        <w:t>(Hacker et al., 2011)</w:t>
      </w:r>
      <w:r>
        <w:t xml:space="preserve">. The Central America example </w:t>
      </w:r>
      <w:r w:rsidR="00B63503">
        <w:t>indicates</w:t>
      </w:r>
      <w:r>
        <w:t xml:space="preserve"> that </w:t>
      </w:r>
      <w:r w:rsidR="00B63503">
        <w:t xml:space="preserve">here </w:t>
      </w:r>
      <w:r>
        <w:t xml:space="preserve">eroded material has been subtracted from the crustal budget and is following the fate of the </w:t>
      </w:r>
      <w:proofErr w:type="spellStart"/>
      <w:r>
        <w:t>subducting</w:t>
      </w:r>
      <w:proofErr w:type="spellEnd"/>
      <w:r>
        <w:t xml:space="preserve"> slab.</w:t>
      </w:r>
    </w:p>
    <w:p w14:paraId="318ABC43" w14:textId="77777777" w:rsidR="000332D3" w:rsidRDefault="000332D3" w:rsidP="00530331"/>
    <w:p w14:paraId="326526D0" w14:textId="77777777" w:rsidR="000332D3" w:rsidRDefault="000332D3" w:rsidP="00530331">
      <w:pPr>
        <w:pStyle w:val="Heading2"/>
      </w:pPr>
      <w:r>
        <w:t>Conclusions</w:t>
      </w:r>
    </w:p>
    <w:p w14:paraId="6D8ED68C" w14:textId="433F6F9C" w:rsidR="000332D3" w:rsidRDefault="000332D3" w:rsidP="00530331">
      <w:r>
        <w:t>Central America has a very useful role to play in our current understanding of the evolution of continental crust</w:t>
      </w:r>
      <w:r w:rsidR="00B63503">
        <w:t>,</w:t>
      </w:r>
      <w:r>
        <w:t xml:space="preserve"> because this arc is where arc material fluxes are best constrained at present. Here, </w:t>
      </w:r>
      <w:r>
        <w:lastRenderedPageBreak/>
        <w:t xml:space="preserve">subduction erosion has been documented to play a key role in the long-term evolution of continental crust, and </w:t>
      </w:r>
      <w:r w:rsidR="00B63503">
        <w:t xml:space="preserve">the </w:t>
      </w:r>
      <w:r>
        <w:t xml:space="preserve">recycling of crust into the mantle. </w:t>
      </w:r>
    </w:p>
    <w:p w14:paraId="1BC9A2A9" w14:textId="7EB0B82C" w:rsidR="000332D3" w:rsidRDefault="000332D3" w:rsidP="00530331">
      <w:r>
        <w:t xml:space="preserve">Forearc evolution also appears to be more complex that </w:t>
      </w:r>
      <w:r w:rsidR="00B63503">
        <w:t xml:space="preserve">a </w:t>
      </w:r>
      <w:r>
        <w:t xml:space="preserve">simple dichotomy </w:t>
      </w:r>
      <w:r w:rsidR="00B63503">
        <w:t xml:space="preserve">between </w:t>
      </w:r>
      <w:r>
        <w:t>accretionary wedge addition of sediments vs. subduction erosion removal of forearc material.  During subduction erosion, a ‘</w:t>
      </w:r>
      <w:proofErr w:type="spellStart"/>
      <w:r>
        <w:t>replacive</w:t>
      </w:r>
      <w:proofErr w:type="spellEnd"/>
      <w:r>
        <w:t xml:space="preserve">’ </w:t>
      </w:r>
      <w:proofErr w:type="spellStart"/>
      <w:r>
        <w:t>depositionary</w:t>
      </w:r>
      <w:proofErr w:type="spellEnd"/>
      <w:r>
        <w:t xml:space="preserve"> margin mode may operate, involving the rapid infill of forearc basins that overly the region of basal subduction </w:t>
      </w:r>
      <w:proofErr w:type="gramStart"/>
      <w:r>
        <w:t>erosion,</w:t>
      </w:r>
      <w:proofErr w:type="gramEnd"/>
      <w:r>
        <w:t xml:space="preserve"> and the development of a </w:t>
      </w:r>
      <w:proofErr w:type="spellStart"/>
      <w:r>
        <w:t>depositionary</w:t>
      </w:r>
      <w:proofErr w:type="spellEnd"/>
      <w:r>
        <w:t xml:space="preserve"> margin segment within the eroding forearc.  This mode can lead to the preservation of heterogeneous variable-age forearcs within the geologic record.</w:t>
      </w:r>
    </w:p>
    <w:p w14:paraId="2171F328" w14:textId="77777777" w:rsidR="000332D3" w:rsidRPr="00AE72DD" w:rsidRDefault="000332D3" w:rsidP="00530331">
      <w:r>
        <w:t xml:space="preserve">Finally, the Central American record shows that along strike variations in the growth/disruption of continental crust can be substantial. The net consumption of continental crust inboard of the Cocos Ridge subduction suggests that punctuated events of intense tectonic erosion lasting less than 1 Ma </w:t>
      </w:r>
      <w:r w:rsidRPr="00A5441A">
        <w:t>have a great effect over the continental crust budget through forearc removal and recycling of continental crust</w:t>
      </w:r>
      <w:r>
        <w:t xml:space="preserve">. In general, rates of subduction erosion appear to be quite variable in space and time, with sudden large-scale events having a significant influence on the long-term erosion rates through time. It will be important to keep in mind the importance of sudden, short-lived, extreme erosional and </w:t>
      </w:r>
      <w:proofErr w:type="spellStart"/>
      <w:r>
        <w:t>depositionary</w:t>
      </w:r>
      <w:proofErr w:type="spellEnd"/>
      <w:r>
        <w:t xml:space="preserve"> margin events when assessing global rates of removal of continental crust at subduction zones, and surface-transport-linked lateral redistribution of mass during these rare intense events of subduction erosion.</w:t>
      </w:r>
    </w:p>
    <w:p w14:paraId="2B89FD21" w14:textId="77777777" w:rsidR="000332D3" w:rsidRDefault="000332D3" w:rsidP="00530331"/>
    <w:p w14:paraId="67C0AC49" w14:textId="77777777" w:rsidR="000332D3" w:rsidRPr="00037A76" w:rsidRDefault="000332D3" w:rsidP="00530331">
      <w:r w:rsidRPr="00037A76">
        <w:t>Acknowledgements</w:t>
      </w:r>
    </w:p>
    <w:p w14:paraId="659E496E" w14:textId="2531058B" w:rsidR="000332D3" w:rsidRPr="005B69D9" w:rsidRDefault="00D56D63" w:rsidP="00530331">
      <w:r>
        <w:t>T</w:t>
      </w:r>
      <w:r w:rsidR="00B63ECD">
        <w:t xml:space="preserve">he authors wish to thank </w:t>
      </w:r>
      <w:proofErr w:type="spellStart"/>
      <w:r w:rsidR="00B63ECD">
        <w:t>D.Scholl</w:t>
      </w:r>
      <w:proofErr w:type="spellEnd"/>
      <w:r w:rsidR="00B63ECD">
        <w:t xml:space="preserve">, two anonymous reviewers, and </w:t>
      </w:r>
      <w:proofErr w:type="gramStart"/>
      <w:r w:rsidR="00B63ECD">
        <w:t>editor-in-chief</w:t>
      </w:r>
      <w:proofErr w:type="gramEnd"/>
      <w:r w:rsidR="00B63ECD">
        <w:t xml:space="preserve"> M. Santosh for providing insightful comments to the </w:t>
      </w:r>
      <w:proofErr w:type="spellStart"/>
      <w:r w:rsidR="00B63ECD">
        <w:t>ms.</w:t>
      </w:r>
      <w:proofErr w:type="spellEnd"/>
      <w:r w:rsidR="00B63ECD">
        <w:t xml:space="preserve"> </w:t>
      </w:r>
      <w:r w:rsidR="00392DB1" w:rsidRPr="00392DB1">
        <w:t>Th</w:t>
      </w:r>
      <w:r w:rsidR="00392DB1">
        <w:t xml:space="preserve">is research used samples and </w:t>
      </w:r>
      <w:bookmarkStart w:id="0" w:name="_GoBack"/>
      <w:bookmarkEnd w:id="0"/>
      <w:r w:rsidR="00392DB1" w:rsidRPr="00392DB1">
        <w:t xml:space="preserve">data provided by the </w:t>
      </w:r>
      <w:r w:rsidR="00392DB1" w:rsidRPr="00392DB1">
        <w:lastRenderedPageBreak/>
        <w:t xml:space="preserve">International Ocean Discovery Program (IODP). Funding for this research was provided by </w:t>
      </w:r>
      <w:r w:rsidR="000332D3">
        <w:t>NERC Rapid Response Grant</w:t>
      </w:r>
      <w:r w:rsidR="00392DB1">
        <w:t xml:space="preserve"> to PV</w:t>
      </w:r>
      <w:r w:rsidR="000332D3">
        <w:t>, and J.M. was funded by a Wolfson Research Award.</w:t>
      </w:r>
    </w:p>
    <w:p w14:paraId="0473E3CC" w14:textId="77777777" w:rsidR="000332D3" w:rsidRDefault="000332D3" w:rsidP="00530331">
      <w:pPr>
        <w:pStyle w:val="Heading2"/>
      </w:pPr>
      <w:r>
        <w:t>References</w:t>
      </w:r>
    </w:p>
    <w:p w14:paraId="6CF6AC9F" w14:textId="77777777" w:rsidR="000332D3" w:rsidRPr="00410F85" w:rsidRDefault="000332D3" w:rsidP="00942A79">
      <w:pPr>
        <w:spacing w:after="40" w:line="360" w:lineRule="auto"/>
        <w:ind w:left="426" w:hanging="426"/>
        <w:rPr>
          <w:noProof/>
        </w:rPr>
      </w:pPr>
      <w:r w:rsidRPr="00410F85">
        <w:rPr>
          <w:noProof/>
        </w:rPr>
        <w:t>Abratis, M., and Worner, G., 2001, Ridge collision, slab-window formation, and the flux of Pacific asthenosphere into the Caribbean realm: Geology, v. 29, no. 2, p. 127-130.</w:t>
      </w:r>
    </w:p>
    <w:p w14:paraId="4E4953B6" w14:textId="77777777" w:rsidR="000332D3" w:rsidRPr="00410F85" w:rsidRDefault="000332D3" w:rsidP="00942A79">
      <w:pPr>
        <w:spacing w:after="40" w:line="360" w:lineRule="auto"/>
        <w:ind w:left="426" w:hanging="426"/>
        <w:rPr>
          <w:noProof/>
        </w:rPr>
      </w:pPr>
      <w:r w:rsidRPr="00410F85">
        <w:rPr>
          <w:noProof/>
        </w:rPr>
        <w:t>Allègre, C. J., 1982, Chemical geodynamics: Tectonophysics, v. 81, p. 109-132.</w:t>
      </w:r>
    </w:p>
    <w:p w14:paraId="6E1D4202" w14:textId="77777777" w:rsidR="000332D3" w:rsidRPr="00410F85" w:rsidRDefault="000332D3" w:rsidP="00942A79">
      <w:pPr>
        <w:spacing w:after="40" w:line="360" w:lineRule="auto"/>
        <w:ind w:left="426" w:hanging="426"/>
        <w:rPr>
          <w:noProof/>
          <w:lang w:val="it-IT"/>
        </w:rPr>
      </w:pPr>
      <w:r w:rsidRPr="00410F85">
        <w:rPr>
          <w:noProof/>
          <w:lang w:val="it-IT"/>
        </w:rPr>
        <w:t>Alvarado, G. I., and Gans, P. B., 2012, Sintesis geochronologica del magmatismo, metamorfismo y metalogenia de Costa Rica, America Central  2012, 46, 7–122: Revista Geologica de America Central, v. 46, p. 7-122.</w:t>
      </w:r>
    </w:p>
    <w:p w14:paraId="737A3F35" w14:textId="77777777" w:rsidR="000332D3" w:rsidRPr="00410F85" w:rsidRDefault="000332D3" w:rsidP="00942A79">
      <w:pPr>
        <w:spacing w:after="40" w:line="360" w:lineRule="auto"/>
        <w:ind w:left="426" w:hanging="426"/>
        <w:rPr>
          <w:noProof/>
        </w:rPr>
      </w:pPr>
      <w:r w:rsidRPr="00410F85">
        <w:rPr>
          <w:noProof/>
        </w:rPr>
        <w:t>Armstrong, R. L., 1981, Radiogenic isotopes: the case for crustal recycling on a near-steady state no-continental-growth: Philosophical Transaction of the Royal Society, v. A301, p. 443-472.</w:t>
      </w:r>
    </w:p>
    <w:p w14:paraId="33D7D774" w14:textId="77777777" w:rsidR="000332D3" w:rsidRPr="00410F85" w:rsidRDefault="000332D3" w:rsidP="00942A79">
      <w:pPr>
        <w:spacing w:after="40" w:line="360" w:lineRule="auto"/>
        <w:ind w:left="426" w:hanging="426"/>
        <w:rPr>
          <w:noProof/>
        </w:rPr>
      </w:pPr>
      <w:r w:rsidRPr="00410F85">
        <w:rPr>
          <w:noProof/>
        </w:rPr>
        <w:t>Arroyo, I. G., Grevemeyer, I., Ranero, C. R., and von Huene, R., 2014, Interplate seismicity at the CRISP drilling site: The 2002 Mw 6.4 Osa Earthquake at the southeastern end of the Middle America Trench: Geochemistry Geophysics Geosystems, v. 15, no. 7, p. 3035-3050.</w:t>
      </w:r>
    </w:p>
    <w:p w14:paraId="7A715913" w14:textId="77777777" w:rsidR="008F1E67" w:rsidRPr="001028EF" w:rsidRDefault="008F1E67" w:rsidP="00942A79">
      <w:pPr>
        <w:spacing w:after="40" w:line="360" w:lineRule="auto"/>
        <w:ind w:left="426" w:hanging="426"/>
        <w:rPr>
          <w:noProof/>
        </w:rPr>
      </w:pPr>
      <w:r w:rsidRPr="001028EF">
        <w:rPr>
          <w:noProof/>
        </w:rPr>
        <w:t>Aubouin, J., von Huene, R., Azema', J., Coulbourn, W. T., Cowan, D. S., Curiale, J. E., Dengo, C. A., Faas, R. W., Harrison, W., Hesse, R., Ladd, J. W., Mudylov, N., Shiri, M., Thompson, P. R., and Westberg, M. J., 1982, Proceedings of the Deep Sea Drilling Program, Initial Report, 67, Washington D.C., U.S. Government Printing Office, 967 p.</w:t>
      </w:r>
    </w:p>
    <w:p w14:paraId="6973293B" w14:textId="77777777" w:rsidR="000332D3" w:rsidRDefault="000332D3" w:rsidP="00942A79">
      <w:pPr>
        <w:spacing w:after="40" w:line="360" w:lineRule="auto"/>
        <w:ind w:left="426" w:hanging="426"/>
        <w:rPr>
          <w:noProof/>
        </w:rPr>
      </w:pPr>
      <w:r w:rsidRPr="00410F85">
        <w:rPr>
          <w:noProof/>
        </w:rPr>
        <w:t xml:space="preserve">Aubouin, J., and von Huene, R., 1985, Summary: Leg 84, Middle America Trench transect off Guatemala and Costa Rica, </w:t>
      </w:r>
      <w:r w:rsidRPr="00410F85">
        <w:rPr>
          <w:i/>
          <w:noProof/>
        </w:rPr>
        <w:t>in</w:t>
      </w:r>
      <w:r w:rsidRPr="00410F85">
        <w:rPr>
          <w:noProof/>
        </w:rPr>
        <w:t xml:space="preserve"> R., V. H., and Aubouin, J., eds., Initial Reports, DSDP, 84: Washington, D.C., U.S. Government Printing Office, p. 939-956.</w:t>
      </w:r>
    </w:p>
    <w:p w14:paraId="0201BC0A" w14:textId="77777777" w:rsidR="000332D3" w:rsidRPr="00410F85" w:rsidRDefault="000332D3" w:rsidP="00942A79">
      <w:pPr>
        <w:spacing w:after="40" w:line="360" w:lineRule="auto"/>
        <w:ind w:left="426" w:hanging="426"/>
        <w:rPr>
          <w:noProof/>
        </w:rPr>
      </w:pPr>
      <w:r w:rsidRPr="00410F85">
        <w:rPr>
          <w:noProof/>
        </w:rPr>
        <w:t>Bangs, N. L., McIntosh, K. D., Silver, E. A., Kluesner, J. W., and Ranero, C. R., 2015, Fluid accumulation along the Costa Rica subduction thrust and development of the seismogenic zone: Journal of Geophysical Research: Solid Earth, v. 120, no. 1.</w:t>
      </w:r>
    </w:p>
    <w:p w14:paraId="17978BED" w14:textId="77777777" w:rsidR="000332D3" w:rsidRDefault="000332D3" w:rsidP="00942A79">
      <w:pPr>
        <w:spacing w:after="40" w:line="360" w:lineRule="auto"/>
        <w:ind w:left="426" w:hanging="426"/>
        <w:rPr>
          <w:noProof/>
        </w:rPr>
      </w:pPr>
      <w:r w:rsidRPr="00410F85">
        <w:rPr>
          <w:noProof/>
        </w:rPr>
        <w:t>Bernet, M., and Spiegel, C., 2004, Detrital thermochronology: Provenance analysis, exhumation, and landscape evolution of mountain belts., Boulder, Colorado, Geological Society of America, Special Papers.</w:t>
      </w:r>
    </w:p>
    <w:p w14:paraId="2BDFB0BC" w14:textId="77777777" w:rsidR="008F1E67" w:rsidRPr="001028EF" w:rsidRDefault="008F1E67" w:rsidP="00942A79">
      <w:pPr>
        <w:spacing w:after="40" w:line="360" w:lineRule="auto"/>
        <w:ind w:left="426" w:hanging="426"/>
        <w:rPr>
          <w:noProof/>
        </w:rPr>
      </w:pPr>
      <w:r w:rsidRPr="001028EF">
        <w:rPr>
          <w:noProof/>
        </w:rPr>
        <w:t xml:space="preserve">Bloomer, S. H., Ewart, A., Hergt, J. M., and Bryan, W. B., 1994, Geochemistry and origin of igneous rocks from the outer Tonga forearc (Site 841), in Hawkins, J., Parson, L., and Allan, J., eds., Proceedings of </w:t>
      </w:r>
      <w:r w:rsidRPr="001028EF">
        <w:rPr>
          <w:noProof/>
        </w:rPr>
        <w:lastRenderedPageBreak/>
        <w:t>the Ocean Drilling Program, Scientific Results, Volume 135: College Station, TX, Ocean Drilling Program, p. 625-646.</w:t>
      </w:r>
    </w:p>
    <w:p w14:paraId="3F8BD82A" w14:textId="77777777" w:rsidR="000332D3" w:rsidRPr="00410F85" w:rsidRDefault="000332D3" w:rsidP="00942A79">
      <w:pPr>
        <w:spacing w:after="40" w:line="360" w:lineRule="auto"/>
        <w:ind w:left="426" w:hanging="426"/>
        <w:rPr>
          <w:noProof/>
        </w:rPr>
      </w:pPr>
      <w:r w:rsidRPr="00410F85">
        <w:rPr>
          <w:noProof/>
        </w:rPr>
        <w:t>Brandon, M. T., 1992, Decomposition of fission-track grain-age distributions: American Journal of Science, v. 292, p. 535-564.</w:t>
      </w:r>
    </w:p>
    <w:p w14:paraId="72F0A21D" w14:textId="77777777" w:rsidR="000332D3" w:rsidRPr="00410F85" w:rsidRDefault="000332D3" w:rsidP="00942A79">
      <w:pPr>
        <w:spacing w:after="40" w:line="360" w:lineRule="auto"/>
        <w:ind w:left="426" w:hanging="426"/>
        <w:rPr>
          <w:noProof/>
        </w:rPr>
      </w:pPr>
      <w:r w:rsidRPr="00410F85">
        <w:rPr>
          <w:noProof/>
        </w:rPr>
        <w:t>-, 1996, Probability density plot for fission-track grain-age samples: Nuclear Tracks and Radiation Measurements, v. 26, p. 663-676.</w:t>
      </w:r>
    </w:p>
    <w:p w14:paraId="14883118" w14:textId="77777777" w:rsidR="000332D3" w:rsidRPr="00410F85" w:rsidRDefault="000332D3" w:rsidP="00942A79">
      <w:pPr>
        <w:spacing w:after="40" w:line="360" w:lineRule="auto"/>
        <w:ind w:left="426" w:hanging="426"/>
        <w:rPr>
          <w:noProof/>
        </w:rPr>
      </w:pPr>
      <w:r w:rsidRPr="00410F85">
        <w:rPr>
          <w:noProof/>
        </w:rPr>
        <w:t xml:space="preserve">Brown, G. C., 1979, The changing pattern of batholith emplacement during earth history, </w:t>
      </w:r>
      <w:r w:rsidRPr="00410F85">
        <w:rPr>
          <w:i/>
          <w:noProof/>
        </w:rPr>
        <w:t>in</w:t>
      </w:r>
      <w:r w:rsidRPr="00410F85">
        <w:rPr>
          <w:noProof/>
        </w:rPr>
        <w:t xml:space="preserve"> Atherton, M. P., and Tarney, J., eds., Origin of Granite Batholiths: Nantwich, UK, Shiva, p. 106-115.</w:t>
      </w:r>
    </w:p>
    <w:p w14:paraId="47D01140" w14:textId="77777777" w:rsidR="000332D3" w:rsidRPr="00410F85" w:rsidRDefault="000332D3" w:rsidP="00942A79">
      <w:pPr>
        <w:spacing w:after="40" w:line="360" w:lineRule="auto"/>
        <w:ind w:left="426" w:hanging="426"/>
        <w:rPr>
          <w:noProof/>
        </w:rPr>
      </w:pPr>
      <w:r w:rsidRPr="00410F85">
        <w:rPr>
          <w:noProof/>
        </w:rPr>
        <w:t>Buchs, D. M., Arculus, R. J., Baumgartner, P. O., Baumgartner-Mora, C., and Ulianov, A., 2010, Late Cretaceous arc development on the SW margin of the Caribbean Plate: Insights from the Golfito, Costa Rica, and Azuero, Panama, complexes: Geochemistry Geophysics Geosystems, v. 11.</w:t>
      </w:r>
    </w:p>
    <w:p w14:paraId="1432B28C" w14:textId="77777777" w:rsidR="000332D3" w:rsidRDefault="000332D3" w:rsidP="00942A79">
      <w:pPr>
        <w:spacing w:after="40" w:line="360" w:lineRule="auto"/>
        <w:ind w:left="426" w:hanging="426"/>
        <w:rPr>
          <w:noProof/>
        </w:rPr>
      </w:pPr>
      <w:r w:rsidRPr="00410F85">
        <w:rPr>
          <w:noProof/>
        </w:rPr>
        <w:t>Carr, M. J., Feigenson, M. D., Patino, L. C., and Walker, J. A., 2003, Volcanism and Geochemistry in Central America: Progress and Problems, Inside the Subduction Factory, Volume 138, p. 153-179.</w:t>
      </w:r>
    </w:p>
    <w:p w14:paraId="77F866B8" w14:textId="77777777" w:rsidR="008F1E67" w:rsidRPr="008F1E67" w:rsidRDefault="008F1E67" w:rsidP="00942A79">
      <w:pPr>
        <w:spacing w:after="40" w:line="360" w:lineRule="auto"/>
        <w:ind w:left="426" w:hanging="426"/>
        <w:rPr>
          <w:noProof/>
        </w:rPr>
      </w:pPr>
      <w:r w:rsidRPr="001028EF">
        <w:rPr>
          <w:noProof/>
        </w:rPr>
        <w:t>Cawood, P. A., Hawkesworth, C. J., and Dhuime, B., 2012, The continental record and the generation of continental crust: Geological Society of America Bulletin, v. 125, p. 14-32.</w:t>
      </w:r>
    </w:p>
    <w:p w14:paraId="0F899416" w14:textId="77777777" w:rsidR="000332D3" w:rsidRPr="00410F85" w:rsidRDefault="000332D3" w:rsidP="00942A79">
      <w:pPr>
        <w:spacing w:after="40" w:line="360" w:lineRule="auto"/>
        <w:ind w:left="426" w:hanging="426"/>
        <w:rPr>
          <w:noProof/>
        </w:rPr>
      </w:pPr>
      <w:r w:rsidRPr="00410F85">
        <w:rPr>
          <w:noProof/>
        </w:rPr>
        <w:t xml:space="preserve">Clift, P., Schouten, H., and Vannucchi, P., 2009a, Arc-continent collisions, sediment recycling and the maintenance of the continental crust, </w:t>
      </w:r>
      <w:r w:rsidRPr="00410F85">
        <w:rPr>
          <w:i/>
          <w:noProof/>
        </w:rPr>
        <w:t>in</w:t>
      </w:r>
      <w:r w:rsidRPr="00410F85">
        <w:rPr>
          <w:noProof/>
        </w:rPr>
        <w:t xml:space="preserve"> Cawood, P., Kroener, A., ed., Accretionary Orogens in Space and Time, Volume 318: London, Geological Society p. 75-103.</w:t>
      </w:r>
    </w:p>
    <w:p w14:paraId="2C02D18E" w14:textId="77777777" w:rsidR="000332D3" w:rsidRPr="00410F85" w:rsidRDefault="000332D3" w:rsidP="00942A79">
      <w:pPr>
        <w:spacing w:after="40" w:line="360" w:lineRule="auto"/>
        <w:ind w:left="426" w:hanging="426"/>
        <w:rPr>
          <w:noProof/>
        </w:rPr>
      </w:pPr>
      <w:r w:rsidRPr="00410F85">
        <w:rPr>
          <w:noProof/>
        </w:rPr>
        <w:t>Clift, P., and Vannucchi, P., 2004, Controls on tectonic accretion versus erosion in subduction zones: Implications for the origin and recycling of the continental crust: Reviews of Geophysics, v. 42, no. 2, p. RG2001, doi:2010.1029/2003RG000127.</w:t>
      </w:r>
    </w:p>
    <w:p w14:paraId="032E0BF5" w14:textId="77777777" w:rsidR="000332D3" w:rsidRPr="00410F85" w:rsidRDefault="000332D3" w:rsidP="00942A79">
      <w:pPr>
        <w:spacing w:after="40" w:line="360" w:lineRule="auto"/>
        <w:ind w:left="426" w:hanging="426"/>
        <w:rPr>
          <w:noProof/>
        </w:rPr>
      </w:pPr>
      <w:r w:rsidRPr="00410F85">
        <w:rPr>
          <w:noProof/>
        </w:rPr>
        <w:t>Clift, P. D., and Hartley, A., 2007, Slow rates of subduction erosion along the Andean margin and reduced global crustal recycling: Geology, v. 35, p. 503-506.</w:t>
      </w:r>
    </w:p>
    <w:p w14:paraId="188D618A" w14:textId="77777777" w:rsidR="000332D3" w:rsidRPr="00410F85" w:rsidRDefault="000332D3" w:rsidP="00942A79">
      <w:pPr>
        <w:spacing w:after="40" w:line="360" w:lineRule="auto"/>
        <w:ind w:left="426" w:hanging="426"/>
        <w:rPr>
          <w:noProof/>
        </w:rPr>
      </w:pPr>
      <w:r w:rsidRPr="00410F85">
        <w:rPr>
          <w:noProof/>
        </w:rPr>
        <w:t>Clift, P. D., and MacLeod, C. J., 1999, Slow rates of subduction erosion estimated from subsidence and tilting of the Tonga forearc: Geology, v. 27, no. 5, p. 411-414.</w:t>
      </w:r>
    </w:p>
    <w:p w14:paraId="02E3B312" w14:textId="77777777" w:rsidR="000332D3" w:rsidRPr="00410F85" w:rsidRDefault="000332D3" w:rsidP="00942A79">
      <w:pPr>
        <w:spacing w:after="40" w:line="360" w:lineRule="auto"/>
        <w:ind w:left="426" w:hanging="426"/>
        <w:rPr>
          <w:noProof/>
        </w:rPr>
      </w:pPr>
      <w:r w:rsidRPr="00410F85">
        <w:rPr>
          <w:noProof/>
        </w:rPr>
        <w:t>Clift, P. D., Pecher, I., Kukowski, N., and Hampel, A., 2003, Tectonic erosion of the Peruvian forearc, Lima Basin, by subduction and Nazca Ridge collision: Tectonics, v. 22, no. 3, p. art. no.-1023.</w:t>
      </w:r>
    </w:p>
    <w:p w14:paraId="74596C0A" w14:textId="77777777" w:rsidR="000332D3" w:rsidRPr="00410F85" w:rsidRDefault="000332D3" w:rsidP="00942A79">
      <w:pPr>
        <w:spacing w:after="40" w:line="360" w:lineRule="auto"/>
        <w:ind w:left="426" w:hanging="426"/>
        <w:rPr>
          <w:noProof/>
        </w:rPr>
      </w:pPr>
      <w:r w:rsidRPr="00410F85">
        <w:rPr>
          <w:noProof/>
        </w:rPr>
        <w:t>Clift, P. D., Vannucchi, P., and Morgan, J. P., 2009b, Crustal redistribution, crust-mantle recycling and Phanerozoic evolution of the continental crust: Earth-Science Reviews, v. 97, p. 80-104.</w:t>
      </w:r>
    </w:p>
    <w:p w14:paraId="2592A5CF" w14:textId="77777777" w:rsidR="000332D3" w:rsidRPr="00410F85" w:rsidRDefault="000332D3" w:rsidP="00942A79">
      <w:pPr>
        <w:spacing w:after="40" w:line="360" w:lineRule="auto"/>
        <w:ind w:left="426" w:hanging="426"/>
        <w:rPr>
          <w:noProof/>
        </w:rPr>
      </w:pPr>
      <w:r w:rsidRPr="00410F85">
        <w:rPr>
          <w:noProof/>
        </w:rPr>
        <w:lastRenderedPageBreak/>
        <w:t>Coates, A. G., Jackson, J. B. C., Collins, L. S., Cronin, T. M., Dowsett, H. J., Bybell, L. M., Jung, P., and Obando, J. A., 1992, Closure of the Isthmus of Panama - the near-Shore Marine Record of Costa-Rica and Western Panama: Geological Society of America Bulletin, v. 104, no. 7, p. 814-828.</w:t>
      </w:r>
    </w:p>
    <w:p w14:paraId="05EFCF71" w14:textId="77777777" w:rsidR="000332D3" w:rsidRPr="00410F85" w:rsidRDefault="000332D3" w:rsidP="00942A79">
      <w:pPr>
        <w:spacing w:after="40" w:line="360" w:lineRule="auto"/>
        <w:ind w:left="426" w:hanging="426"/>
        <w:rPr>
          <w:noProof/>
        </w:rPr>
      </w:pPr>
      <w:r w:rsidRPr="00410F85">
        <w:rPr>
          <w:noProof/>
        </w:rPr>
        <w:t>Condie, K. C., 1998, Episodic continental growth and supercontinents: a mantle avalanche connection? : Earth and Planetary Science Letters, v. 163, p. 97-108.</w:t>
      </w:r>
    </w:p>
    <w:p w14:paraId="5BF5E256" w14:textId="77777777" w:rsidR="00942A79" w:rsidRPr="000430C9" w:rsidRDefault="00942A79" w:rsidP="00942A79">
      <w:pPr>
        <w:spacing w:after="40" w:line="360" w:lineRule="auto"/>
        <w:ind w:left="426" w:hanging="426"/>
        <w:rPr>
          <w:noProof/>
        </w:rPr>
      </w:pPr>
      <w:r w:rsidRPr="000430C9">
        <w:rPr>
          <w:noProof/>
        </w:rPr>
        <w:t>Condie, K. C., 2014, Growth of continental crust: a balance between preservation and recycling: Mineralogical Magazine, v. 78, no. 3.</w:t>
      </w:r>
    </w:p>
    <w:p w14:paraId="02F8F79B" w14:textId="77777777" w:rsidR="000332D3" w:rsidRDefault="000332D3" w:rsidP="00942A79">
      <w:pPr>
        <w:spacing w:after="40" w:line="360" w:lineRule="auto"/>
        <w:ind w:left="426" w:hanging="426"/>
        <w:rPr>
          <w:noProof/>
        </w:rPr>
      </w:pPr>
      <w:r w:rsidRPr="00410F85">
        <w:rPr>
          <w:noProof/>
        </w:rPr>
        <w:t>Condie, K. C., Bickford, M. E., Aster, R. C., Belousova, E., and Scholl, D. W., 2011, Episodic zircon ages, Hf isotopic composition, and the preservation rate of continental crust: Geological Society of America Bulletin, v. 123, no. 5-6, p. 951-957.</w:t>
      </w:r>
    </w:p>
    <w:p w14:paraId="243F9A2D" w14:textId="77777777" w:rsidR="008F1E67" w:rsidRPr="001028EF" w:rsidRDefault="008F1E67" w:rsidP="00942A79">
      <w:pPr>
        <w:spacing w:after="40" w:line="360" w:lineRule="auto"/>
        <w:ind w:left="426" w:hanging="426"/>
        <w:rPr>
          <w:noProof/>
        </w:rPr>
      </w:pPr>
      <w:r w:rsidRPr="001028EF">
        <w:rPr>
          <w:noProof/>
        </w:rPr>
        <w:t>Davies, D. K., Almon, W. R., Bonis, S. B., and Hunter, B. E., 1979, Deposition and diagenesis of Tertiary-Holocene volcanoclastics, Guatemala, in Scholl, P. A., and Schuger, P. R., eds., Aspects of Diagenesis: Soc. Econ. Paleontol. Mineral. Spec. Publ., Volume 26, p. 281-306.</w:t>
      </w:r>
    </w:p>
    <w:p w14:paraId="26C0E604" w14:textId="2324AEF6" w:rsidR="000332D3" w:rsidRPr="00410F85" w:rsidRDefault="00D46413" w:rsidP="00942A79">
      <w:pPr>
        <w:spacing w:after="40" w:line="360" w:lineRule="auto"/>
        <w:ind w:left="426" w:hanging="426"/>
        <w:rPr>
          <w:noProof/>
        </w:rPr>
      </w:pPr>
      <w:r>
        <w:rPr>
          <w:noProof/>
        </w:rPr>
        <w:t>D</w:t>
      </w:r>
      <w:r w:rsidR="000332D3" w:rsidRPr="00410F85">
        <w:rPr>
          <w:noProof/>
        </w:rPr>
        <w:t>e Boer, J. Z., Defant, M. J., Stewart, R. H., and Bellon, H., 1991, Evidence for active subduction below western Panama: Geology, v. 19, p. 649-652.</w:t>
      </w:r>
    </w:p>
    <w:p w14:paraId="5144F048" w14:textId="77777777" w:rsidR="000332D3" w:rsidRPr="00410F85" w:rsidRDefault="000332D3" w:rsidP="00942A79">
      <w:pPr>
        <w:spacing w:after="40" w:line="360" w:lineRule="auto"/>
        <w:ind w:left="426" w:hanging="426"/>
        <w:rPr>
          <w:noProof/>
        </w:rPr>
      </w:pPr>
      <w:r w:rsidRPr="00410F85">
        <w:rPr>
          <w:noProof/>
        </w:rPr>
        <w:t xml:space="preserve">De Boer, J. Z., Drummond, M. S., Bordelon, M. J., Defant, M. J., Bellon, H., and Mauri, R. C., 1995, Cenozoic magmatic phases of the Costa Rican island arc (Cordillera de Talamanca), </w:t>
      </w:r>
      <w:r w:rsidRPr="00410F85">
        <w:rPr>
          <w:i/>
          <w:noProof/>
        </w:rPr>
        <w:t>in</w:t>
      </w:r>
      <w:r w:rsidRPr="00410F85">
        <w:rPr>
          <w:noProof/>
        </w:rPr>
        <w:t xml:space="preserve"> Mann, P., ed., Geologic and Tectonic Development of the Caribbean Plate Boundary in Southern Central America, Volume 295, p. 35-55.</w:t>
      </w:r>
    </w:p>
    <w:p w14:paraId="5CC2E946" w14:textId="77777777" w:rsidR="000332D3" w:rsidRDefault="000332D3" w:rsidP="00942A79">
      <w:pPr>
        <w:spacing w:after="40" w:line="360" w:lineRule="auto"/>
        <w:ind w:left="426" w:hanging="426"/>
        <w:rPr>
          <w:noProof/>
        </w:rPr>
      </w:pPr>
      <w:r w:rsidRPr="00410F85">
        <w:rPr>
          <w:noProof/>
        </w:rPr>
        <w:t>de Lepinay, B. M., Michaud, F., Calmus, T., Bourgois, J., Poupeau, G., and SaintMarc, P., 1997, Large neogene subsidence event along the Middle America Trench off Mexico (18 degrees-19 degrees N): Evidence from submersible observation: Geology, v. 25, no. 5, p. 387-390.</w:t>
      </w:r>
    </w:p>
    <w:p w14:paraId="2F9FEA79" w14:textId="3221B4F0" w:rsidR="00D46413" w:rsidRPr="00410F85" w:rsidRDefault="00D46413" w:rsidP="00942A79">
      <w:pPr>
        <w:spacing w:after="40" w:line="360" w:lineRule="auto"/>
        <w:ind w:left="426" w:hanging="426"/>
        <w:rPr>
          <w:noProof/>
        </w:rPr>
      </w:pPr>
      <w:r>
        <w:rPr>
          <w:noProof/>
        </w:rPr>
        <w:t>DeCelles, P.G., Ducea, M.N., Kapp, P., and Zandt, G., 2009, Cyclicity in Cordilleran orogenic systems: Nature Geoscience, v. 2, p. 251-257, doi: 10.1038/ngeo469.</w:t>
      </w:r>
    </w:p>
    <w:p w14:paraId="3C7C0A95" w14:textId="77777777" w:rsidR="000332D3" w:rsidRPr="00410F85" w:rsidRDefault="000332D3" w:rsidP="00942A79">
      <w:pPr>
        <w:spacing w:after="40" w:line="360" w:lineRule="auto"/>
        <w:ind w:left="426" w:hanging="426"/>
        <w:rPr>
          <w:noProof/>
        </w:rPr>
      </w:pPr>
      <w:r w:rsidRPr="00410F85">
        <w:rPr>
          <w:noProof/>
        </w:rPr>
        <w:t>DeMets, C., 2001, A new estimate for present-day Cocos-Caribbean plate motion: Implications for slip along the Central American volcanic arc: Geophysical Research Letters, v. 28, no. 21, p. 4043-4046.</w:t>
      </w:r>
    </w:p>
    <w:p w14:paraId="7DAEBC09" w14:textId="77777777" w:rsidR="000332D3" w:rsidRPr="00410F85" w:rsidRDefault="000332D3" w:rsidP="00942A79">
      <w:pPr>
        <w:spacing w:after="40" w:line="360" w:lineRule="auto"/>
        <w:ind w:left="426" w:hanging="426"/>
        <w:rPr>
          <w:noProof/>
        </w:rPr>
      </w:pPr>
      <w:bookmarkStart w:id="1" w:name="_ENREF_27"/>
      <w:r w:rsidRPr="00410F85">
        <w:rPr>
          <w:noProof/>
        </w:rPr>
        <w:t>Dewey, J. F., and Windley, B. F., 1981, Growth and differentiation of continental  crust: Philosophical Transaction of the Royal Society, v. A 301, p. 189-206.</w:t>
      </w:r>
      <w:bookmarkEnd w:id="1"/>
    </w:p>
    <w:p w14:paraId="3370912B" w14:textId="77777777" w:rsidR="000332D3" w:rsidRPr="00410F85" w:rsidRDefault="000332D3" w:rsidP="00942A79">
      <w:pPr>
        <w:spacing w:after="40" w:line="360" w:lineRule="auto"/>
        <w:ind w:left="426" w:hanging="426"/>
        <w:rPr>
          <w:noProof/>
          <w:lang w:val="it-IT"/>
        </w:rPr>
      </w:pPr>
      <w:bookmarkStart w:id="2" w:name="_ENREF_28"/>
      <w:r w:rsidRPr="00410F85">
        <w:rPr>
          <w:noProof/>
          <w:lang w:val="it-IT"/>
        </w:rPr>
        <w:t>Di Marco, G., 1994, Les terrains accrétés du sud du Costa Rica: Evolution tectonostratigraphique de la marge occidentale de la plaque Caraïbe Mémoires de Géologie (Lausanne), vol. 20, pp. 184, Université de Lausanne, Switzerland.</w:t>
      </w:r>
      <w:bookmarkEnd w:id="2"/>
    </w:p>
    <w:p w14:paraId="007DE7AE" w14:textId="77777777" w:rsidR="000332D3" w:rsidRPr="00410F85" w:rsidRDefault="000332D3" w:rsidP="00942A79">
      <w:pPr>
        <w:spacing w:after="40" w:line="360" w:lineRule="auto"/>
        <w:ind w:left="426" w:hanging="426"/>
        <w:rPr>
          <w:noProof/>
        </w:rPr>
      </w:pPr>
      <w:bookmarkStart w:id="3" w:name="_ENREF_29"/>
      <w:r w:rsidRPr="00410F85">
        <w:rPr>
          <w:noProof/>
        </w:rPr>
        <w:lastRenderedPageBreak/>
        <w:t xml:space="preserve">Di Marco, G., Baumgartner, P. O., and Channell, J. E. T., 1995, Late Cretaceous-early Tertiary paleomagnetic data and revised tectonostratigraphic subdivision of Costa Rica and western Panama, </w:t>
      </w:r>
      <w:r w:rsidRPr="00410F85">
        <w:rPr>
          <w:i/>
          <w:noProof/>
        </w:rPr>
        <w:t>in</w:t>
      </w:r>
      <w:r w:rsidRPr="00410F85">
        <w:rPr>
          <w:noProof/>
        </w:rPr>
        <w:t xml:space="preserve"> Mann, P., ed., Geologic and Tectonic Development of the Caribbean Plate Boundary in Southern Central America, Volume 295: Boulder, Colorado, Geological Society of America Special Paper, p. 1-27.</w:t>
      </w:r>
      <w:bookmarkEnd w:id="3"/>
    </w:p>
    <w:p w14:paraId="792DB581" w14:textId="77777777" w:rsidR="000332D3" w:rsidRPr="00410F85" w:rsidRDefault="000332D3" w:rsidP="00942A79">
      <w:pPr>
        <w:spacing w:after="40" w:line="360" w:lineRule="auto"/>
        <w:ind w:left="426" w:hanging="426"/>
        <w:rPr>
          <w:noProof/>
        </w:rPr>
      </w:pPr>
      <w:bookmarkStart w:id="4" w:name="_ENREF_30"/>
      <w:r w:rsidRPr="00410F85">
        <w:rPr>
          <w:noProof/>
        </w:rPr>
        <w:t>Dinc, A. N., Koulakov, I., Thorwart, M. M., Rabbel, W., Flueh, E. R., Arroyo, I. G., Taylor, W., and Alvarado, G., 2010, Local earthquake tomography of central Costa Rica: transition from seamount to ridge subduction: Geophysical Journal International, v. 183, no. 1, p. 286-302.</w:t>
      </w:r>
      <w:bookmarkEnd w:id="4"/>
    </w:p>
    <w:p w14:paraId="69991803" w14:textId="77777777" w:rsidR="000332D3" w:rsidRPr="00410F85" w:rsidRDefault="000332D3" w:rsidP="00942A79">
      <w:pPr>
        <w:spacing w:after="40" w:line="360" w:lineRule="auto"/>
        <w:ind w:left="426" w:hanging="426"/>
        <w:rPr>
          <w:noProof/>
        </w:rPr>
      </w:pPr>
      <w:bookmarkStart w:id="5" w:name="_ENREF_31"/>
      <w:r w:rsidRPr="00410F85">
        <w:rPr>
          <w:noProof/>
        </w:rPr>
        <w:t>Drummond, M. S., Bordelon, M., de Boer, J. Z., Defant, M. J., Bellon, H., and Feigenson, M. D., 1995, Igneous petrogenesis and tectonic setting of plutonic and volcanic rocks of the Cordillera de Talamanca, Costa Rica-Panama, Central American Arc: American Journal of Science., v. 295, p. 875-919.</w:t>
      </w:r>
      <w:bookmarkEnd w:id="5"/>
    </w:p>
    <w:p w14:paraId="313B241A" w14:textId="77777777" w:rsidR="000332D3" w:rsidRPr="00410F85" w:rsidRDefault="000332D3" w:rsidP="00942A79">
      <w:pPr>
        <w:spacing w:after="40" w:line="360" w:lineRule="auto"/>
        <w:ind w:left="426" w:hanging="426"/>
        <w:rPr>
          <w:noProof/>
        </w:rPr>
      </w:pPr>
      <w:bookmarkStart w:id="6" w:name="_ENREF_32"/>
      <w:r w:rsidRPr="00410F85">
        <w:rPr>
          <w:noProof/>
        </w:rPr>
        <w:t>Dzierma, Y., Rabbel, W., Thorwart, M. M., Flueh, E. R., Mora, M. M., and Alvarado, G. E., 2011, The steeply subducting edge of the Cocos Ridge: Evidence from receiver functions beneath the northern Talamanca Range, south-central Costa Rica: Geochemistry Geophysics Geosystems, v. 12.</w:t>
      </w:r>
      <w:bookmarkEnd w:id="6"/>
    </w:p>
    <w:p w14:paraId="44E4BA55" w14:textId="77777777" w:rsidR="000332D3" w:rsidRPr="00410F85" w:rsidRDefault="000332D3" w:rsidP="00942A79">
      <w:pPr>
        <w:spacing w:after="40" w:line="360" w:lineRule="auto"/>
        <w:ind w:left="426" w:hanging="426"/>
        <w:rPr>
          <w:noProof/>
        </w:rPr>
      </w:pPr>
      <w:bookmarkStart w:id="7" w:name="_ENREF_33"/>
      <w:r w:rsidRPr="00410F85">
        <w:rPr>
          <w:noProof/>
        </w:rPr>
        <w:t>Fisher, D. M., Gardner, T. W., Sak, P. B., Sanchez, J. D., Murphy, K., and Vannucchi, P., 2004, Active thrusting in the inner forearc of an erosive convergent margin, Pacific coast, Costa Rica: Tectonics, v. 23, no. 2, p. art. no.-TC2007.</w:t>
      </w:r>
      <w:bookmarkEnd w:id="7"/>
    </w:p>
    <w:p w14:paraId="15CD3443" w14:textId="77777777" w:rsidR="000332D3" w:rsidRPr="00410F85" w:rsidRDefault="000332D3" w:rsidP="00942A79">
      <w:pPr>
        <w:spacing w:after="40" w:line="360" w:lineRule="auto"/>
        <w:ind w:left="426" w:hanging="426"/>
        <w:rPr>
          <w:noProof/>
        </w:rPr>
      </w:pPr>
      <w:bookmarkStart w:id="8" w:name="_ENREF_34"/>
      <w:r w:rsidRPr="00410F85">
        <w:rPr>
          <w:noProof/>
        </w:rPr>
        <w:t>Fyfe, W. S., 1978, The evolution of the Earth’s crust: modern plate tectonics to ancient hot spot tectonics: Chemical Geology, v. 23, p. 89-114.</w:t>
      </w:r>
      <w:bookmarkEnd w:id="8"/>
    </w:p>
    <w:p w14:paraId="7C5A9899" w14:textId="77777777" w:rsidR="000332D3" w:rsidRPr="00410F85" w:rsidRDefault="000332D3" w:rsidP="00942A79">
      <w:pPr>
        <w:spacing w:after="40" w:line="360" w:lineRule="auto"/>
        <w:ind w:left="426" w:hanging="426"/>
        <w:rPr>
          <w:noProof/>
        </w:rPr>
      </w:pPr>
      <w:bookmarkStart w:id="9" w:name="_ENREF_35"/>
      <w:r w:rsidRPr="00410F85">
        <w:rPr>
          <w:noProof/>
        </w:rPr>
        <w:t>Galbraith, R., 1981, On statistical models for fission track counts: Mathematical Geology, v. 13, p. 471-488.</w:t>
      </w:r>
      <w:bookmarkEnd w:id="9"/>
    </w:p>
    <w:p w14:paraId="3A9D1081" w14:textId="77777777" w:rsidR="000332D3" w:rsidRPr="00410F85" w:rsidRDefault="000332D3" w:rsidP="00942A79">
      <w:pPr>
        <w:spacing w:after="40" w:line="360" w:lineRule="auto"/>
        <w:ind w:left="426" w:hanging="426"/>
        <w:rPr>
          <w:noProof/>
        </w:rPr>
      </w:pPr>
      <w:bookmarkStart w:id="10" w:name="_ENREF_36"/>
      <w:r w:rsidRPr="00410F85">
        <w:rPr>
          <w:noProof/>
        </w:rPr>
        <w:t>Galbraith, R. F., and Green, P. F., 1990, Estimating the component ages in a finite mixture: Nuclear Tracks and Radiation Measurements, v. 17, p. 197-206.</w:t>
      </w:r>
      <w:bookmarkEnd w:id="10"/>
    </w:p>
    <w:p w14:paraId="368F067F" w14:textId="77777777" w:rsidR="000332D3" w:rsidRPr="00410F85" w:rsidRDefault="000332D3" w:rsidP="00942A79">
      <w:pPr>
        <w:spacing w:after="40" w:line="360" w:lineRule="auto"/>
        <w:ind w:left="426" w:hanging="426"/>
        <w:rPr>
          <w:noProof/>
        </w:rPr>
      </w:pPr>
      <w:bookmarkStart w:id="11" w:name="_ENREF_37"/>
      <w:r w:rsidRPr="00410F85">
        <w:rPr>
          <w:noProof/>
        </w:rPr>
        <w:t>Gardner, T., Fisher, D., Morell, K., and Cupper, M., 2013, Upper plate deformation in response to flat slab subduction inboard of the aseismic Cocos Ridge, Osa Peninsula, Costa Rica: Lithosphere, v. 5, p. 247-264.</w:t>
      </w:r>
      <w:bookmarkEnd w:id="11"/>
    </w:p>
    <w:p w14:paraId="27F9039D" w14:textId="77777777" w:rsidR="000332D3" w:rsidRPr="00410F85" w:rsidRDefault="000332D3" w:rsidP="00942A79">
      <w:pPr>
        <w:spacing w:after="40" w:line="360" w:lineRule="auto"/>
        <w:ind w:left="426" w:hanging="426"/>
        <w:rPr>
          <w:noProof/>
        </w:rPr>
      </w:pPr>
      <w:bookmarkStart w:id="12" w:name="_ENREF_38"/>
      <w:r w:rsidRPr="00410F85">
        <w:rPr>
          <w:noProof/>
        </w:rPr>
        <w:t>Gardner, T., Marshall, J., Merritts, D., Bee, B., Burgette, R., Burton, E., Cooke, J., Kehrwald, N., Protti, M., Fisher, D., and Sak, P., 2001, Holocene forearc block rotation in response to seamount subduction, southeastern Peninsula de Nicoya, Costa Rica: Geology, v. 29, no. 2, p. 151-154.</w:t>
      </w:r>
      <w:bookmarkEnd w:id="12"/>
    </w:p>
    <w:p w14:paraId="170C70D5" w14:textId="77777777" w:rsidR="000332D3" w:rsidRPr="00410F85" w:rsidRDefault="000332D3" w:rsidP="00942A79">
      <w:pPr>
        <w:spacing w:after="40" w:line="360" w:lineRule="auto"/>
        <w:ind w:left="426" w:hanging="426"/>
        <w:rPr>
          <w:noProof/>
        </w:rPr>
      </w:pPr>
      <w:bookmarkStart w:id="13" w:name="_ENREF_39"/>
      <w:r w:rsidRPr="00410F85">
        <w:rPr>
          <w:noProof/>
        </w:rPr>
        <w:lastRenderedPageBreak/>
        <w:t>Gardner, T. W., Verdonck, D., Pinter, N. M., Slingerland, R., Furlong, K. P., Bullard, T. F., and Wells, S. G., 1992, Quaternary Uplift Astride the Aseismic Cocos Ridge, Pacific Coast, Costa-Rica: Geological Society of America Bulletin, v. 104, no. 2, p. 219-232.</w:t>
      </w:r>
      <w:bookmarkEnd w:id="13"/>
    </w:p>
    <w:p w14:paraId="53516A34" w14:textId="77777777" w:rsidR="000332D3" w:rsidRPr="00410F85" w:rsidRDefault="000332D3" w:rsidP="00942A79">
      <w:pPr>
        <w:spacing w:after="40" w:line="360" w:lineRule="auto"/>
        <w:ind w:left="426" w:hanging="426"/>
        <w:rPr>
          <w:noProof/>
        </w:rPr>
      </w:pPr>
      <w:bookmarkStart w:id="14" w:name="_ENREF_40"/>
      <w:r w:rsidRPr="00410F85">
        <w:rPr>
          <w:noProof/>
        </w:rPr>
        <w:t xml:space="preserve">Garver, J. I., Brandon, M. T., Roden-Tice, M., and Kamp, P. J. J., 1999, Erosional denudation determined by ﬁssion-track ages of detrital apatite and zircon, </w:t>
      </w:r>
      <w:r w:rsidRPr="00410F85">
        <w:rPr>
          <w:i/>
          <w:noProof/>
        </w:rPr>
        <w:t>in</w:t>
      </w:r>
      <w:r w:rsidRPr="00410F85">
        <w:rPr>
          <w:noProof/>
        </w:rPr>
        <w:t xml:space="preserve"> Ring, U., Brandon, M. T., Willett, S., and Lister, G., eds., Exhumation Processes: Normal Faulting, Ductile Flow, and Erosion, Volume 154: London, Geological Society of London Special Publication, p. 283-304.</w:t>
      </w:r>
      <w:bookmarkEnd w:id="14"/>
    </w:p>
    <w:p w14:paraId="75642A06" w14:textId="77777777" w:rsidR="000332D3" w:rsidRPr="00410F85" w:rsidRDefault="000332D3" w:rsidP="00942A79">
      <w:pPr>
        <w:spacing w:after="40" w:line="360" w:lineRule="auto"/>
        <w:ind w:left="426" w:hanging="426"/>
        <w:rPr>
          <w:noProof/>
        </w:rPr>
      </w:pPr>
      <w:bookmarkStart w:id="15" w:name="_ENREF_41"/>
      <w:r w:rsidRPr="00410F85">
        <w:rPr>
          <w:noProof/>
        </w:rPr>
        <w:t>Geldmacher, J., Hoernle, K., Van den Bogaard, P., Hauff, F., and Kluegel, A., 2008, Age and Geochemistry of the Central American Forearc Basement (DSDP Leg 67 and 84): Insights into Mesozoic Arc Volcanism and Seamount Accretion on the Fringe of the Caribbean LIP: Journal of Petrology, v. 49, no. 10, p. 1781-1815.</w:t>
      </w:r>
      <w:bookmarkEnd w:id="15"/>
    </w:p>
    <w:p w14:paraId="1EAD1FEB" w14:textId="77777777" w:rsidR="000332D3" w:rsidRDefault="000332D3" w:rsidP="00942A79">
      <w:pPr>
        <w:spacing w:after="40" w:line="360" w:lineRule="auto"/>
        <w:ind w:left="426" w:hanging="426"/>
        <w:rPr>
          <w:noProof/>
        </w:rPr>
      </w:pPr>
      <w:bookmarkStart w:id="16" w:name="_ENREF_42"/>
      <w:r w:rsidRPr="00410F85">
        <w:rPr>
          <w:noProof/>
        </w:rPr>
        <w:t>Gleadow, A. J. W., 1981, Fission track dating methods: what are the real alternatives?: Nuclear tracks, v. 5, p. 3-14.</w:t>
      </w:r>
      <w:bookmarkEnd w:id="16"/>
    </w:p>
    <w:p w14:paraId="72AE3809" w14:textId="77777777" w:rsidR="008F1E67" w:rsidRPr="001028EF" w:rsidRDefault="008F1E67" w:rsidP="00942A79">
      <w:pPr>
        <w:spacing w:after="40" w:line="360" w:lineRule="auto"/>
        <w:ind w:left="426" w:hanging="426"/>
        <w:rPr>
          <w:noProof/>
        </w:rPr>
      </w:pPr>
      <w:r w:rsidRPr="001028EF">
        <w:rPr>
          <w:noProof/>
        </w:rPr>
        <w:t>Goss, A. R., and Kay, S. M., 2006, Steep REE patterns and enriched Pb isotopes in southern Central American arc magmas: Evidence for fore-arc subduction erosion?: Geochemistry, Geophysics, Geosystems, v. 7.</w:t>
      </w:r>
    </w:p>
    <w:p w14:paraId="20A89DEB" w14:textId="77777777" w:rsidR="008F1E67" w:rsidRPr="001028EF" w:rsidRDefault="008F1E67" w:rsidP="00942A79">
      <w:pPr>
        <w:spacing w:after="40" w:line="360" w:lineRule="auto"/>
        <w:ind w:left="426" w:hanging="426"/>
        <w:rPr>
          <w:noProof/>
        </w:rPr>
      </w:pPr>
      <w:r w:rsidRPr="001028EF">
        <w:rPr>
          <w:noProof/>
        </w:rPr>
        <w:t>Goss, A. R., Kay, S. M., and Mpodozis, C., 2013, Andean adakite-like high-Mg andesites on the northern margin of the Chilean-Pampean flat-slab (27-28.5°S) associated with frontal arc migration and fore-arc subduction erosion: Journal of Petrology, v. 54, p. 2193-2234.</w:t>
      </w:r>
    </w:p>
    <w:p w14:paraId="7FBF0287" w14:textId="77777777" w:rsidR="000332D3" w:rsidRPr="00410F85" w:rsidRDefault="000332D3" w:rsidP="00942A79">
      <w:pPr>
        <w:spacing w:after="40" w:line="360" w:lineRule="auto"/>
        <w:ind w:left="426" w:hanging="426"/>
        <w:rPr>
          <w:noProof/>
        </w:rPr>
      </w:pPr>
      <w:bookmarkStart w:id="17" w:name="_ENREF_43"/>
      <w:r w:rsidRPr="00410F85">
        <w:rPr>
          <w:noProof/>
        </w:rPr>
        <w:t>Grafe, K., Frisch, W., Villa, I. M., and Meschede, M., 2002, Geodynamic evolution of southern Costa Rica related to low- angle subduction of the Cocos Ridge: constraints from thermochronology: Tectonophysics, v. 348, no. 4, p. 187-204.</w:t>
      </w:r>
      <w:bookmarkEnd w:id="17"/>
    </w:p>
    <w:p w14:paraId="5DD10428" w14:textId="77777777" w:rsidR="000332D3" w:rsidRPr="00410F85" w:rsidRDefault="000332D3" w:rsidP="00942A79">
      <w:pPr>
        <w:spacing w:after="40" w:line="360" w:lineRule="auto"/>
        <w:ind w:left="426" w:hanging="426"/>
        <w:rPr>
          <w:noProof/>
        </w:rPr>
      </w:pPr>
      <w:bookmarkStart w:id="18" w:name="_ENREF_44"/>
      <w:r w:rsidRPr="00410F85">
        <w:rPr>
          <w:noProof/>
        </w:rPr>
        <w:t>Hacker, B. R., Kelemen, P. B., and Behn, M. D., 2011, Differentiation of continental crust by relamination: Earth and Planetary Science Letters, v. 307, p. 501-516.</w:t>
      </w:r>
      <w:bookmarkEnd w:id="18"/>
    </w:p>
    <w:p w14:paraId="369949F9" w14:textId="77777777" w:rsidR="000332D3" w:rsidRPr="00410F85" w:rsidRDefault="000332D3" w:rsidP="00942A79">
      <w:pPr>
        <w:spacing w:after="40" w:line="360" w:lineRule="auto"/>
        <w:ind w:left="426" w:hanging="426"/>
        <w:rPr>
          <w:noProof/>
        </w:rPr>
      </w:pPr>
      <w:bookmarkStart w:id="19" w:name="_ENREF_45"/>
      <w:r w:rsidRPr="00410F85">
        <w:rPr>
          <w:noProof/>
        </w:rPr>
        <w:t>Harris, R. N., Sakaguchi, A., Petronotis, K., and the Expedition 344 Scientists, 2013, Proceeding IODP, Volume 344: College Station, TX, Integrated Ocean Drilling Program.</w:t>
      </w:r>
      <w:bookmarkEnd w:id="19"/>
    </w:p>
    <w:p w14:paraId="31B7AE53" w14:textId="77777777" w:rsidR="000332D3" w:rsidRPr="00410F85" w:rsidRDefault="000332D3" w:rsidP="00942A79">
      <w:pPr>
        <w:spacing w:after="40" w:line="360" w:lineRule="auto"/>
        <w:ind w:left="426" w:hanging="426"/>
        <w:rPr>
          <w:noProof/>
        </w:rPr>
      </w:pPr>
      <w:bookmarkStart w:id="20" w:name="_ENREF_46"/>
      <w:r w:rsidRPr="00410F85">
        <w:rPr>
          <w:noProof/>
        </w:rPr>
        <w:t>Hauff, F., Hoernle, K., Bogaard, P. V. D., Alvarado, G. E., and Garbe-Schönberg, D., 2000, Age and geochemistry of basaltic complexes in western Costa Rica: Contributions to the geotectonic evolution of Central America: Geochemistry, Geophysics, Geosystems, v. 1, no. 5.</w:t>
      </w:r>
      <w:bookmarkEnd w:id="20"/>
    </w:p>
    <w:p w14:paraId="6EA769F6" w14:textId="77777777" w:rsidR="000332D3" w:rsidRPr="00410F85" w:rsidRDefault="000332D3" w:rsidP="00942A79">
      <w:pPr>
        <w:spacing w:after="40" w:line="360" w:lineRule="auto"/>
        <w:ind w:left="426" w:hanging="426"/>
        <w:rPr>
          <w:noProof/>
        </w:rPr>
      </w:pPr>
      <w:bookmarkStart w:id="21" w:name="_ENREF_47"/>
      <w:r w:rsidRPr="00410F85">
        <w:rPr>
          <w:noProof/>
        </w:rPr>
        <w:lastRenderedPageBreak/>
        <w:t>Hayes, J. L., Holbrook, W. S., Lizarralde, D., van Avendonk, H. J. A., Bullock, A. D., Mora, M., Ramirez, C., Harder, S., and Alvarado, G. E., 2013, Crustal structure across the Costa Rican Volcanic Arc: Geochemistry Geophysics Geosystems, v. 14, no. 4, p. 1087-1103.</w:t>
      </w:r>
      <w:bookmarkEnd w:id="21"/>
    </w:p>
    <w:p w14:paraId="2798EAF8" w14:textId="77777777" w:rsidR="000332D3" w:rsidRPr="00410F85" w:rsidRDefault="000332D3" w:rsidP="00942A79">
      <w:pPr>
        <w:spacing w:after="40" w:line="360" w:lineRule="auto"/>
        <w:ind w:left="426" w:hanging="426"/>
        <w:rPr>
          <w:noProof/>
        </w:rPr>
      </w:pPr>
      <w:bookmarkStart w:id="22" w:name="_ENREF_48"/>
      <w:r w:rsidRPr="00410F85">
        <w:rPr>
          <w:noProof/>
        </w:rPr>
        <w:t>Hinz, K., VonHuene, R., Ranero, C. R., Flueh, E., Klaeschen, D., Leinbach, J., Ruoff, O., Bargeloh, H. O., Block, M., Fritsch, J., Kewitsch, P., Meyer, H., Schreckenberger, B., and Mrazek, I., 1996, Tectonic structure of the convergent Pacific margin offshore Costa Rica from multichannel seismic reflection data: Tectonics, v. 15, no. 1, p. 54-&amp;.</w:t>
      </w:r>
      <w:bookmarkEnd w:id="22"/>
    </w:p>
    <w:p w14:paraId="307AF573" w14:textId="77777777" w:rsidR="000332D3" w:rsidRPr="00410F85" w:rsidRDefault="000332D3" w:rsidP="00942A79">
      <w:pPr>
        <w:spacing w:after="40" w:line="360" w:lineRule="auto"/>
        <w:ind w:left="426" w:hanging="426"/>
        <w:rPr>
          <w:noProof/>
        </w:rPr>
      </w:pPr>
      <w:bookmarkStart w:id="23" w:name="_ENREF_49"/>
      <w:r w:rsidRPr="00410F85">
        <w:rPr>
          <w:noProof/>
        </w:rPr>
        <w:t>Hoernle, K., Hauff, F., and van den Bogaard, P., 2004, 70 m.y. history (139-69 Ma) for the Caribbean large igneous province: Geology, v. 32, no. 8, p. 697-700.</w:t>
      </w:r>
      <w:bookmarkEnd w:id="23"/>
    </w:p>
    <w:p w14:paraId="78270FF2" w14:textId="77777777" w:rsidR="000332D3" w:rsidRPr="00410F85" w:rsidRDefault="000332D3" w:rsidP="00942A79">
      <w:pPr>
        <w:spacing w:after="40" w:line="360" w:lineRule="auto"/>
        <w:ind w:left="426" w:hanging="426"/>
        <w:rPr>
          <w:noProof/>
        </w:rPr>
      </w:pPr>
      <w:bookmarkStart w:id="24" w:name="_ENREF_50"/>
      <w:r w:rsidRPr="00410F85">
        <w:rPr>
          <w:noProof/>
        </w:rPr>
        <w:t>Hoernle, K., van den Bogaard, P., Werner, R., Lissinna, B., Hauff, F., Alvarado, G., and Garbe-Schonberg, D., 2002, Missing history (16-71 Ma) of the Galapagos hotspot: Implications for the tectonic and biological evolution of the Americas: Geology, v. 30, no. 9, p. 795-798.</w:t>
      </w:r>
      <w:bookmarkEnd w:id="24"/>
    </w:p>
    <w:p w14:paraId="0D9BA895" w14:textId="77777777" w:rsidR="000332D3" w:rsidRPr="00410F85" w:rsidRDefault="000332D3" w:rsidP="00942A79">
      <w:pPr>
        <w:spacing w:after="40" w:line="360" w:lineRule="auto"/>
        <w:ind w:left="426" w:hanging="426"/>
        <w:rPr>
          <w:noProof/>
        </w:rPr>
      </w:pPr>
      <w:bookmarkStart w:id="25" w:name="_ENREF_51"/>
      <w:r w:rsidRPr="00410F85">
        <w:rPr>
          <w:noProof/>
        </w:rPr>
        <w:t>Hurford, A. J., 1990, Standardization of fission track dating calibration: recommendation by the Fission Track Working Group of the I.U.G.S. Subcommission on Geochronology: Chemical Geology, v. 80, p. 171-178.</w:t>
      </w:r>
      <w:bookmarkEnd w:id="25"/>
    </w:p>
    <w:p w14:paraId="279F24BC" w14:textId="77777777" w:rsidR="000332D3" w:rsidRPr="00410F85" w:rsidRDefault="000332D3" w:rsidP="00942A79">
      <w:pPr>
        <w:spacing w:after="40" w:line="360" w:lineRule="auto"/>
        <w:ind w:left="426" w:hanging="426"/>
        <w:rPr>
          <w:noProof/>
        </w:rPr>
      </w:pPr>
      <w:bookmarkStart w:id="26" w:name="_ENREF_52"/>
      <w:r w:rsidRPr="00410F85">
        <w:rPr>
          <w:noProof/>
        </w:rPr>
        <w:t>Hurford, A. J., and Green, P. F., 1983, The zeta age calibration of fission-track dating: Chemical Geology, v. 41, p. 285-317.</w:t>
      </w:r>
      <w:bookmarkEnd w:id="26"/>
    </w:p>
    <w:p w14:paraId="1F511A83" w14:textId="77777777" w:rsidR="000332D3" w:rsidRPr="00410F85" w:rsidRDefault="000332D3" w:rsidP="00942A79">
      <w:pPr>
        <w:spacing w:after="40" w:line="360" w:lineRule="auto"/>
        <w:ind w:left="426" w:hanging="426"/>
        <w:rPr>
          <w:noProof/>
        </w:rPr>
      </w:pPr>
      <w:bookmarkStart w:id="27" w:name="_ENREF_53"/>
      <w:r w:rsidRPr="00410F85">
        <w:rPr>
          <w:noProof/>
        </w:rPr>
        <w:t>Hurley, P. M., and Rand, J. R., 1969, Pre-drift continental nuclei: Science, v. 164, p. 1229-1242.</w:t>
      </w:r>
      <w:bookmarkEnd w:id="27"/>
    </w:p>
    <w:p w14:paraId="0572E1BE" w14:textId="77777777" w:rsidR="000332D3" w:rsidRPr="00410F85" w:rsidRDefault="000332D3" w:rsidP="00942A79">
      <w:pPr>
        <w:spacing w:after="40" w:line="360" w:lineRule="auto"/>
        <w:ind w:left="426" w:hanging="426"/>
        <w:rPr>
          <w:noProof/>
        </w:rPr>
      </w:pPr>
      <w:bookmarkStart w:id="28" w:name="_ENREF_54"/>
      <w:r w:rsidRPr="00410F85">
        <w:rPr>
          <w:noProof/>
        </w:rPr>
        <w:t>Johnston, S. T., and Thorkelson, D. J., 1997, Cocos-Nazca slab window beneath Central America: Earth And Planetary Science Letters, v. 146, no. 3-4, p. 465-474.</w:t>
      </w:r>
      <w:bookmarkEnd w:id="28"/>
    </w:p>
    <w:p w14:paraId="234AFACF" w14:textId="77777777" w:rsidR="000332D3" w:rsidRPr="00410F85" w:rsidRDefault="000332D3" w:rsidP="00942A79">
      <w:pPr>
        <w:spacing w:after="40" w:line="360" w:lineRule="auto"/>
        <w:ind w:left="426" w:hanging="426"/>
        <w:rPr>
          <w:noProof/>
        </w:rPr>
      </w:pPr>
      <w:bookmarkStart w:id="29" w:name="_ENREF_55"/>
      <w:r w:rsidRPr="00410F85">
        <w:rPr>
          <w:noProof/>
        </w:rPr>
        <w:t>Kay, S. M., Godoy, E., and Kurtz, A., 2005, Episodic arc migration, crustal thickening, subduction erosion, and magmatism in the south-central Andes: Geological Society of America Bulletin, v. 117, no. 1-2, p. 67-88.</w:t>
      </w:r>
      <w:bookmarkEnd w:id="29"/>
    </w:p>
    <w:p w14:paraId="0E84A74D" w14:textId="77777777" w:rsidR="000332D3" w:rsidRDefault="000332D3" w:rsidP="00942A79">
      <w:pPr>
        <w:spacing w:after="40" w:line="360" w:lineRule="auto"/>
        <w:ind w:left="426" w:hanging="426"/>
        <w:rPr>
          <w:noProof/>
        </w:rPr>
      </w:pPr>
      <w:bookmarkStart w:id="30" w:name="_ENREF_56"/>
      <w:r w:rsidRPr="00410F85">
        <w:rPr>
          <w:noProof/>
        </w:rPr>
        <w:t>Kimura, G., Silver, E. A., Blum, P., and al., e., 1997, Proceedings of the Ocean Drilling Program, Initial Report, 170, College Station (TX), Ocean Drilling Program, 458 p.</w:t>
      </w:r>
      <w:bookmarkEnd w:id="30"/>
    </w:p>
    <w:p w14:paraId="1212EF1F" w14:textId="77777777" w:rsidR="000332D3" w:rsidRPr="00410F85" w:rsidRDefault="000332D3" w:rsidP="00942A79">
      <w:pPr>
        <w:spacing w:after="40" w:line="360" w:lineRule="auto"/>
        <w:ind w:left="426" w:hanging="426"/>
        <w:rPr>
          <w:noProof/>
        </w:rPr>
      </w:pPr>
      <w:bookmarkStart w:id="31" w:name="_ENREF_57"/>
      <w:r w:rsidRPr="00410F85">
        <w:rPr>
          <w:noProof/>
        </w:rPr>
        <w:t>Kluesner, J. W., Silver, E. A., Gibson, J., Bangs, N. L., McIntosh, K. D., Orange, D., Ranero, C. R., and von Huene, R., 2013, High density of structurally controlled, shallow to deep water fluid seep indicators imaged offshore Costa Rica: Geochemistry Geophysics Geosystems, v. 14, no. 3.</w:t>
      </w:r>
      <w:bookmarkEnd w:id="31"/>
    </w:p>
    <w:p w14:paraId="7B6C29F0" w14:textId="77777777" w:rsidR="000332D3" w:rsidRPr="00410F85" w:rsidRDefault="000332D3" w:rsidP="00942A79">
      <w:pPr>
        <w:spacing w:after="40" w:line="360" w:lineRule="auto"/>
        <w:ind w:left="426" w:hanging="426"/>
        <w:rPr>
          <w:noProof/>
        </w:rPr>
      </w:pPr>
      <w:bookmarkStart w:id="32" w:name="_ENREF_58"/>
      <w:r w:rsidRPr="00410F85">
        <w:rPr>
          <w:noProof/>
        </w:rPr>
        <w:t>Kopp, H., Flueh, E. R., Petersen, C. J., Weinrebe, R. W., Wittwer, A., and Scientists, M., 2006, The Java margin revisited: Evidence for subduction erosion off Java: Earth and Planetary Science Letters, v. 242, p. 130-142.</w:t>
      </w:r>
      <w:bookmarkEnd w:id="32"/>
    </w:p>
    <w:p w14:paraId="7F91C66F" w14:textId="77777777" w:rsidR="000332D3" w:rsidRPr="00410F85" w:rsidRDefault="000332D3" w:rsidP="00942A79">
      <w:pPr>
        <w:spacing w:after="40" w:line="360" w:lineRule="auto"/>
        <w:ind w:left="426" w:hanging="426"/>
        <w:rPr>
          <w:noProof/>
        </w:rPr>
      </w:pPr>
      <w:bookmarkStart w:id="33" w:name="_ENREF_59"/>
      <w:r w:rsidRPr="00410F85">
        <w:rPr>
          <w:noProof/>
        </w:rPr>
        <w:lastRenderedPageBreak/>
        <w:t>Kutterolf, S., Freundt, A., and W., P., 2008, Pacific offshore record of plinian arc volcanism in Central America: 2. Tephra volumes and erupted masses: Geochemistry Geophysics Geosystems, v. 9, p. Q02S02.</w:t>
      </w:r>
      <w:bookmarkEnd w:id="33"/>
    </w:p>
    <w:p w14:paraId="1676800C" w14:textId="77777777" w:rsidR="000332D3" w:rsidRPr="00410F85" w:rsidRDefault="000332D3" w:rsidP="00942A79">
      <w:pPr>
        <w:spacing w:after="40" w:line="360" w:lineRule="auto"/>
        <w:ind w:left="426" w:hanging="426"/>
        <w:rPr>
          <w:noProof/>
        </w:rPr>
      </w:pPr>
      <w:bookmarkStart w:id="34" w:name="_ENREF_60"/>
      <w:r w:rsidRPr="00410F85">
        <w:rPr>
          <w:noProof/>
        </w:rPr>
        <w:t>Laursen, J., Scholl, D. W., and von Huene, R., 2002, Neotectonic deformation of the central Chile margin: Deepwater forearc basin formation in response to hot spot ridge and seamount subduction: Tectonics, v. 21, no. 5.</w:t>
      </w:r>
      <w:bookmarkEnd w:id="34"/>
    </w:p>
    <w:p w14:paraId="5B1AF93D" w14:textId="77777777" w:rsidR="000332D3" w:rsidRPr="00410F85" w:rsidRDefault="000332D3" w:rsidP="00942A79">
      <w:pPr>
        <w:spacing w:after="40" w:line="360" w:lineRule="auto"/>
        <w:ind w:left="426" w:hanging="426"/>
        <w:rPr>
          <w:noProof/>
        </w:rPr>
      </w:pPr>
      <w:bookmarkStart w:id="35" w:name="_ENREF_61"/>
      <w:r w:rsidRPr="00410F85">
        <w:rPr>
          <w:noProof/>
        </w:rPr>
        <w:t>Lonsdale, P., and Klitgord, K. D., 1978, Structure and tectonic history of the eastern Panama Basin: Geological Society of America Bulletin, v. 89, p. 981-999.</w:t>
      </w:r>
      <w:bookmarkEnd w:id="35"/>
    </w:p>
    <w:p w14:paraId="34D891CC" w14:textId="77777777" w:rsidR="000332D3" w:rsidRPr="00410F85" w:rsidRDefault="000332D3" w:rsidP="00942A79">
      <w:pPr>
        <w:spacing w:after="40" w:line="360" w:lineRule="auto"/>
        <w:ind w:left="426" w:hanging="426"/>
        <w:rPr>
          <w:noProof/>
        </w:rPr>
      </w:pPr>
      <w:bookmarkStart w:id="36" w:name="_ENREF_62"/>
      <w:r w:rsidRPr="00410F85">
        <w:rPr>
          <w:noProof/>
        </w:rPr>
        <w:t>Lücke, O. H., and Arroyo, I. G., 2015, Density structure and geometry of the Costa Rican subduction zone from 3-D gravity modeling and local earthquake data: Solid Earth, v. 6, p. 1169-1183.</w:t>
      </w:r>
      <w:bookmarkEnd w:id="36"/>
    </w:p>
    <w:p w14:paraId="735E0384" w14:textId="77777777" w:rsidR="000332D3" w:rsidRPr="00410F85" w:rsidRDefault="000332D3" w:rsidP="00942A79">
      <w:pPr>
        <w:spacing w:after="40" w:line="360" w:lineRule="auto"/>
        <w:ind w:left="426" w:hanging="426"/>
        <w:rPr>
          <w:noProof/>
        </w:rPr>
      </w:pPr>
      <w:bookmarkStart w:id="37" w:name="_ENREF_63"/>
      <w:r w:rsidRPr="00410F85">
        <w:rPr>
          <w:noProof/>
        </w:rPr>
        <w:t>MacMillian, I., Gans, P. B., and Alvarado, G., 2004, Middle Miocene to present plate tectonic history of the southern Central American Volcanic Arc: Tectonophysics, v. 392, no. 1-4, p. 325-348.</w:t>
      </w:r>
      <w:bookmarkEnd w:id="37"/>
    </w:p>
    <w:p w14:paraId="78B9D8EF" w14:textId="77777777" w:rsidR="000332D3" w:rsidRPr="00410F85" w:rsidRDefault="000332D3" w:rsidP="00942A79">
      <w:pPr>
        <w:spacing w:after="40" w:line="360" w:lineRule="auto"/>
        <w:ind w:left="426" w:hanging="426"/>
        <w:rPr>
          <w:noProof/>
        </w:rPr>
      </w:pPr>
      <w:bookmarkStart w:id="38" w:name="_ENREF_64"/>
      <w:r w:rsidRPr="00410F85">
        <w:rPr>
          <w:noProof/>
        </w:rPr>
        <w:t xml:space="preserve">Marshall, J. S., 2007, The geomorphology and physiographic provinces of central america, in Central America, </w:t>
      </w:r>
      <w:r w:rsidRPr="00410F85">
        <w:rPr>
          <w:i/>
          <w:noProof/>
        </w:rPr>
        <w:t>in</w:t>
      </w:r>
      <w:r w:rsidRPr="00410F85">
        <w:rPr>
          <w:noProof/>
        </w:rPr>
        <w:t xml:space="preserve"> J. Bundschuh, G. Alvarado, L. Alvarez, W. Alvarez, F. Asaro, and H. Michel, eds., Geology, Resources and Hazards: London, UK, Taylor &amp; Francis, p. 1-51.</w:t>
      </w:r>
      <w:bookmarkEnd w:id="38"/>
    </w:p>
    <w:p w14:paraId="0CC43DF1" w14:textId="77777777" w:rsidR="000332D3" w:rsidRPr="00410F85" w:rsidRDefault="000332D3" w:rsidP="00942A79">
      <w:pPr>
        <w:spacing w:after="40" w:line="360" w:lineRule="auto"/>
        <w:ind w:left="426" w:hanging="426"/>
        <w:rPr>
          <w:noProof/>
        </w:rPr>
      </w:pPr>
      <w:bookmarkStart w:id="39" w:name="_ENREF_65"/>
      <w:r w:rsidRPr="00410F85">
        <w:rPr>
          <w:noProof/>
        </w:rPr>
        <w:t>McCulloch, M. T., and Bennett, V. C., 1994, Progressive growth of the Earth’s continental-crust and depleted mantle - geochemical constraints: Geochimica et Cosmochimica Acta, v. 58, no. 21, p. 4717-4738.</w:t>
      </w:r>
      <w:bookmarkEnd w:id="39"/>
    </w:p>
    <w:p w14:paraId="5F88F66E" w14:textId="77777777" w:rsidR="000332D3" w:rsidRPr="00410F85" w:rsidRDefault="000332D3" w:rsidP="00942A79">
      <w:pPr>
        <w:spacing w:after="40" w:line="360" w:lineRule="auto"/>
        <w:ind w:left="426" w:hanging="426"/>
        <w:rPr>
          <w:noProof/>
        </w:rPr>
      </w:pPr>
      <w:bookmarkStart w:id="40" w:name="_ENREF_66"/>
      <w:r w:rsidRPr="00410F85">
        <w:rPr>
          <w:noProof/>
        </w:rPr>
        <w:t>McLennan, S. M., and Taylor, S. R., 1982, Geochemical constraints on the growth of the continental crust: Journal of Geology, v. 90, p. 342-361.</w:t>
      </w:r>
      <w:bookmarkEnd w:id="40"/>
    </w:p>
    <w:p w14:paraId="2462B66D" w14:textId="77777777" w:rsidR="000332D3" w:rsidRPr="00410F85" w:rsidRDefault="000332D3" w:rsidP="00942A79">
      <w:pPr>
        <w:spacing w:after="40" w:line="360" w:lineRule="auto"/>
        <w:ind w:left="426" w:hanging="426"/>
        <w:rPr>
          <w:noProof/>
        </w:rPr>
      </w:pPr>
      <w:bookmarkStart w:id="41" w:name="_ENREF_67"/>
      <w:r w:rsidRPr="00410F85">
        <w:rPr>
          <w:noProof/>
        </w:rPr>
        <w:t>Morell, K. D., 2016, Seamount, ridge, and transform subduction in southern Central America: Tectonics, v. 35, no. 2, p. 357-385.</w:t>
      </w:r>
      <w:bookmarkEnd w:id="41"/>
    </w:p>
    <w:p w14:paraId="79FD2C9D" w14:textId="77777777" w:rsidR="000332D3" w:rsidRDefault="000332D3" w:rsidP="00942A79">
      <w:pPr>
        <w:spacing w:after="40" w:line="360" w:lineRule="auto"/>
        <w:ind w:left="426" w:hanging="426"/>
        <w:rPr>
          <w:noProof/>
        </w:rPr>
      </w:pPr>
      <w:bookmarkStart w:id="42" w:name="_ENREF_68"/>
      <w:r w:rsidRPr="00410F85">
        <w:rPr>
          <w:noProof/>
        </w:rPr>
        <w:t>Morell, K. D., Fisher, D. M., Gardner, T. W., P., L. F., Davidson, D., and A., T., 2011, Quaternary outer fore-arc deformation and uplift inboard of the Panama Triple Junction, Burica Peninsula: Journal of Geophysical Research, v. 116, p. B05402.</w:t>
      </w:r>
      <w:bookmarkEnd w:id="42"/>
    </w:p>
    <w:p w14:paraId="45711B18" w14:textId="77777777" w:rsidR="00B40CEA" w:rsidRPr="00D46413" w:rsidRDefault="00B40CEA" w:rsidP="00B40CEA">
      <w:pPr>
        <w:spacing w:after="0" w:line="360" w:lineRule="auto"/>
        <w:ind w:left="426" w:hanging="426"/>
        <w:rPr>
          <w:rFonts w:ascii="Calibri" w:hAnsi="Calibri"/>
        </w:rPr>
      </w:pPr>
      <w:r>
        <w:fldChar w:fldCharType="begin"/>
      </w:r>
      <w:r>
        <w:instrText xml:space="preserve"> ADDIN EN.REFLIST </w:instrText>
      </w:r>
      <w:r>
        <w:fldChar w:fldCharType="end"/>
      </w:r>
      <w:r w:rsidRPr="00D46413">
        <w:rPr>
          <w:rFonts w:ascii="Calibri" w:hAnsi="Calibri"/>
        </w:rPr>
        <w:t xml:space="preserve">Morgan, J. P., </w:t>
      </w:r>
      <w:proofErr w:type="spellStart"/>
      <w:r w:rsidRPr="00D46413">
        <w:rPr>
          <w:rFonts w:ascii="Calibri" w:hAnsi="Calibri"/>
        </w:rPr>
        <w:t>Ranero</w:t>
      </w:r>
      <w:proofErr w:type="spellEnd"/>
      <w:r w:rsidRPr="00D46413">
        <w:rPr>
          <w:rFonts w:ascii="Calibri" w:hAnsi="Calibri"/>
        </w:rPr>
        <w:t>, C. R., and Vannucchi, P., 2008, Links between plate motions, arc-normal extension and the tectonics, volcanism, and geochemistry of the Middle American Arc: Earth and Planetary Science Letters, v. 272, p. 365-371.</w:t>
      </w:r>
    </w:p>
    <w:p w14:paraId="00A58C02" w14:textId="77777777" w:rsidR="000332D3" w:rsidRPr="00410F85" w:rsidRDefault="000332D3" w:rsidP="00942A79">
      <w:pPr>
        <w:spacing w:after="40" w:line="360" w:lineRule="auto"/>
        <w:ind w:left="426" w:hanging="426"/>
        <w:rPr>
          <w:noProof/>
        </w:rPr>
      </w:pPr>
      <w:bookmarkStart w:id="43" w:name="_ENREF_69"/>
      <w:r w:rsidRPr="00410F85">
        <w:rPr>
          <w:noProof/>
        </w:rPr>
        <w:t>O’Nions, R. K., Evensen, N. M., and Hamilton, P. J., 1979, Geochemical modeling   of   mantle   differentiation   and   crustal   growth: Journal of Geophysical Research, v. 84, p. 6091-6101.</w:t>
      </w:r>
      <w:bookmarkEnd w:id="43"/>
    </w:p>
    <w:p w14:paraId="69F8DDB3" w14:textId="77777777" w:rsidR="000332D3" w:rsidRPr="00410F85" w:rsidRDefault="000332D3" w:rsidP="00942A79">
      <w:pPr>
        <w:spacing w:after="40" w:line="360" w:lineRule="auto"/>
        <w:ind w:left="426" w:hanging="426"/>
        <w:rPr>
          <w:noProof/>
        </w:rPr>
      </w:pPr>
      <w:bookmarkStart w:id="44" w:name="_ENREF_70"/>
      <w:r w:rsidRPr="00410F85">
        <w:rPr>
          <w:noProof/>
        </w:rPr>
        <w:lastRenderedPageBreak/>
        <w:t>Phillips, J. S., 1983, Stratigraphy, sedimentology and petrologic evolution of Tertiary sediments in southern Costa Rica [ Master's thesis: Lousiana State University, 153 p.</w:t>
      </w:r>
      <w:bookmarkEnd w:id="44"/>
    </w:p>
    <w:p w14:paraId="0B5E05FB" w14:textId="77777777" w:rsidR="000332D3" w:rsidRPr="00410F85" w:rsidRDefault="000332D3" w:rsidP="00942A79">
      <w:pPr>
        <w:spacing w:after="40" w:line="360" w:lineRule="auto"/>
        <w:ind w:left="426" w:hanging="426"/>
        <w:rPr>
          <w:noProof/>
        </w:rPr>
      </w:pPr>
      <w:bookmarkStart w:id="45" w:name="_ENREF_71"/>
      <w:r w:rsidRPr="00410F85">
        <w:rPr>
          <w:noProof/>
        </w:rPr>
        <w:t>Pindell, J., Kennan, L., Stanek, K. P., Maresch, W. V., and Draper, G., 2006, Foundations of Gulf of Mexico and Caribbean evolution: eight controversies resolved: Geologica Acta, v. 4, no. 1-2, p. 303-341.</w:t>
      </w:r>
      <w:bookmarkEnd w:id="45"/>
    </w:p>
    <w:p w14:paraId="311826FB" w14:textId="77777777" w:rsidR="000332D3" w:rsidRPr="00410F85" w:rsidRDefault="000332D3" w:rsidP="00942A79">
      <w:pPr>
        <w:spacing w:after="40" w:line="360" w:lineRule="auto"/>
        <w:ind w:left="426" w:hanging="426"/>
        <w:rPr>
          <w:noProof/>
        </w:rPr>
      </w:pPr>
      <w:bookmarkStart w:id="46" w:name="_ENREF_72"/>
      <w:r w:rsidRPr="00410F85">
        <w:rPr>
          <w:noProof/>
        </w:rPr>
        <w:t>Plank, T., and Langmuir, C. H., 1998, The chemical composition of subducting sediment and its consequences for the crust and mantle: Chemical Geology, v. 145, no. 3-4, p. 325-394.</w:t>
      </w:r>
      <w:bookmarkEnd w:id="46"/>
    </w:p>
    <w:p w14:paraId="069C38E3" w14:textId="77777777" w:rsidR="000332D3" w:rsidRPr="00410F85" w:rsidRDefault="000332D3" w:rsidP="00942A79">
      <w:pPr>
        <w:spacing w:after="40" w:line="360" w:lineRule="auto"/>
        <w:ind w:left="426" w:hanging="426"/>
        <w:rPr>
          <w:noProof/>
        </w:rPr>
      </w:pPr>
      <w:bookmarkStart w:id="47" w:name="_ENREF_73"/>
      <w:r w:rsidRPr="00410F85">
        <w:rPr>
          <w:noProof/>
        </w:rPr>
        <w:t>Ranero, C. R., Grevemeyer, I., Sahling, U., Barckhausen, U., Hensen, C., Wallmann, K., Weinrebe, W., Vannucchi, P., Von Huene, R., and McIntosh, K., 2008, The hydrogeological system of erosional convergent margins and its influence on tectonics and interplate seismogenesis.: Geochemistry, Geophysics, Geosystems, v. 9, p. Q03, doi:10.1029/2007GC001679.</w:t>
      </w:r>
      <w:bookmarkEnd w:id="47"/>
    </w:p>
    <w:p w14:paraId="323F1DCE" w14:textId="77777777" w:rsidR="000332D3" w:rsidRPr="00410F85" w:rsidRDefault="000332D3" w:rsidP="00942A79">
      <w:pPr>
        <w:spacing w:after="40" w:line="360" w:lineRule="auto"/>
        <w:ind w:left="426" w:hanging="426"/>
        <w:rPr>
          <w:noProof/>
        </w:rPr>
      </w:pPr>
      <w:bookmarkStart w:id="48" w:name="_ENREF_74"/>
      <w:r w:rsidRPr="00410F85">
        <w:rPr>
          <w:noProof/>
        </w:rPr>
        <w:t>Ranero, C. R., and von Huene, R., 2000, Subduction erosion along the Middle America convergent margin: Nature, v. 404, no. 6779, p. 748-752.</w:t>
      </w:r>
      <w:bookmarkEnd w:id="48"/>
    </w:p>
    <w:p w14:paraId="3A672A4C" w14:textId="77777777" w:rsidR="000332D3" w:rsidRPr="00410F85" w:rsidRDefault="000332D3" w:rsidP="00942A79">
      <w:pPr>
        <w:spacing w:after="40" w:line="360" w:lineRule="auto"/>
        <w:ind w:left="426" w:hanging="426"/>
        <w:rPr>
          <w:noProof/>
        </w:rPr>
      </w:pPr>
      <w:bookmarkStart w:id="49" w:name="_ENREF_75"/>
      <w:r w:rsidRPr="00410F85">
        <w:rPr>
          <w:noProof/>
        </w:rPr>
        <w:t>Reymer, A., and Schubert, G., 1984, Phanerozoic addition rates to the continental crust and crustal growth: Tectonics, v. 3, p. 63-77.</w:t>
      </w:r>
      <w:bookmarkEnd w:id="49"/>
    </w:p>
    <w:p w14:paraId="22CE83DF" w14:textId="77777777" w:rsidR="000332D3" w:rsidRDefault="000332D3" w:rsidP="00942A79">
      <w:pPr>
        <w:spacing w:after="40" w:line="360" w:lineRule="auto"/>
        <w:ind w:left="426" w:hanging="426"/>
        <w:rPr>
          <w:noProof/>
        </w:rPr>
      </w:pPr>
      <w:bookmarkStart w:id="50" w:name="_ENREF_76"/>
      <w:r w:rsidRPr="00410F85">
        <w:rPr>
          <w:noProof/>
        </w:rPr>
        <w:t>Rino, S., Komiya, T., Windley, B. F., Katayama, I., Motoki, A., and Hirata, T., 2004, Major episodic increases of continental crustal growth determined from zircon ages of river sands; implications for mantle overturns in the Early Precambrian: Physics of the Earth and Planetary Interiors, v. 146, no. 1-2, p. 369-394.</w:t>
      </w:r>
      <w:bookmarkEnd w:id="50"/>
    </w:p>
    <w:p w14:paraId="67A5C8D1" w14:textId="77777777" w:rsidR="008F1E67" w:rsidRPr="001028EF" w:rsidRDefault="008F1E67" w:rsidP="00942A79">
      <w:pPr>
        <w:spacing w:after="40" w:line="360" w:lineRule="auto"/>
        <w:ind w:left="426" w:hanging="426"/>
        <w:rPr>
          <w:noProof/>
        </w:rPr>
      </w:pPr>
      <w:bookmarkStart w:id="51" w:name="_ENREF_14"/>
      <w:r w:rsidRPr="001028EF">
        <w:rPr>
          <w:noProof/>
        </w:rPr>
        <w:t>Risse, A., Trumbull, R. B., Kay, S. M., Coira, B., and Romer, R. L., 2013, Multi-stage evolution of Late Neogene mantle-derived magmas from the central Andes back-arc in the southern Puna Plateau of Argentina: Journal of Petrology, v. 54, p. 1963-1995.</w:t>
      </w:r>
      <w:bookmarkEnd w:id="51"/>
    </w:p>
    <w:p w14:paraId="5E15ECB7" w14:textId="77777777" w:rsidR="008F1E67" w:rsidRPr="008F1E67" w:rsidRDefault="008F1E67" w:rsidP="00942A79">
      <w:pPr>
        <w:spacing w:after="40" w:line="360" w:lineRule="auto"/>
        <w:ind w:left="426" w:hanging="426"/>
        <w:rPr>
          <w:noProof/>
        </w:rPr>
      </w:pPr>
      <w:bookmarkStart w:id="52" w:name="_ENREF_15"/>
      <w:r w:rsidRPr="001028EF">
        <w:rPr>
          <w:noProof/>
        </w:rPr>
        <w:t>Rutland, R. W. R., 1971, Andean orogeny and ocean floor spreading: Nature, v. 233, p. 252-255.</w:t>
      </w:r>
      <w:bookmarkEnd w:id="52"/>
    </w:p>
    <w:p w14:paraId="0A270CD0" w14:textId="77777777" w:rsidR="000332D3" w:rsidRPr="00410F85" w:rsidRDefault="000332D3" w:rsidP="00942A79">
      <w:pPr>
        <w:spacing w:after="40" w:line="360" w:lineRule="auto"/>
        <w:ind w:left="426" w:hanging="426"/>
        <w:rPr>
          <w:noProof/>
        </w:rPr>
      </w:pPr>
      <w:bookmarkStart w:id="53" w:name="_ENREF_77"/>
      <w:r w:rsidRPr="00410F85">
        <w:rPr>
          <w:noProof/>
        </w:rPr>
        <w:t>Sak, P. B., Fisher, D. M., Gardner, T. W., Marshall, J. S., and LaFemina, P. C., 2009, Rough crust subduction, forearc kinematics, and Quaternary uplift rates, Costa Rican segment of the Middle American Trench: Geological Society of America Bulletin, v. 121, no. 7-8, p. 992-1012.</w:t>
      </w:r>
      <w:bookmarkEnd w:id="53"/>
    </w:p>
    <w:p w14:paraId="1723435C" w14:textId="77777777" w:rsidR="000332D3" w:rsidRPr="00410F85" w:rsidRDefault="000332D3" w:rsidP="00942A79">
      <w:pPr>
        <w:spacing w:after="40" w:line="360" w:lineRule="auto"/>
        <w:ind w:left="426" w:hanging="426"/>
        <w:rPr>
          <w:noProof/>
        </w:rPr>
      </w:pPr>
      <w:bookmarkStart w:id="54" w:name="_ENREF_78"/>
      <w:r w:rsidRPr="00410F85">
        <w:rPr>
          <w:noProof/>
        </w:rPr>
        <w:t>Sallares, V., Danobeitia, J. J., and Flueh, E. R., 2001, Lithospheric structure of the Costa Rican Isthmus: Effects of subduction zone magmatism on an oceanic plateau: Journal of Geophysical Research-Solid Earth, v. 106, no. B1, p. 621-643.</w:t>
      </w:r>
      <w:bookmarkEnd w:id="54"/>
    </w:p>
    <w:p w14:paraId="3EDBD1F3" w14:textId="77777777" w:rsidR="000332D3" w:rsidRDefault="000332D3" w:rsidP="00942A79">
      <w:pPr>
        <w:spacing w:after="40" w:line="360" w:lineRule="auto"/>
        <w:ind w:left="426" w:hanging="426"/>
        <w:rPr>
          <w:noProof/>
        </w:rPr>
      </w:pPr>
      <w:bookmarkStart w:id="55" w:name="_ENREF_79"/>
      <w:r w:rsidRPr="00410F85">
        <w:rPr>
          <w:noProof/>
        </w:rPr>
        <w:t>Schindlbeck, J. C., Kutterolf, S., Freundt, A., Alvarado, G., Wang, K.-L., Straub, S. M., Hemming, S. R., and Frische, M., in press, Late Cenozoic tephrostratigraphy offshore southern Central America: 1. Applications of tephrochronostratigraphy: Geochemistry Geophysics Geosystems.</w:t>
      </w:r>
      <w:bookmarkEnd w:id="55"/>
    </w:p>
    <w:p w14:paraId="12123398" w14:textId="77777777" w:rsidR="008F1E67" w:rsidRPr="001028EF" w:rsidRDefault="008F1E67" w:rsidP="00942A79">
      <w:pPr>
        <w:spacing w:after="40" w:line="360" w:lineRule="auto"/>
        <w:ind w:left="426" w:hanging="426"/>
        <w:rPr>
          <w:noProof/>
        </w:rPr>
      </w:pPr>
      <w:bookmarkStart w:id="56" w:name="_ENREF_16"/>
      <w:r w:rsidRPr="001028EF">
        <w:rPr>
          <w:noProof/>
        </w:rPr>
        <w:lastRenderedPageBreak/>
        <w:t>Scholl, D. W., and von Huene, R., 2007, Crustal recycling at modern subduction zones applied to the past-issues of growth and preservation of continental basement, mantle geochemistry, and supercontinent reconstruction, in Hatchers, R. D. J., Carlson, M. P., McBride, J. H., and Martinez Catala' N, J. R., eds., 4D Framework of Continental Crust, Volume 200, Geological Society of America, Memoirs, p. 9-32.</w:t>
      </w:r>
      <w:bookmarkEnd w:id="56"/>
    </w:p>
    <w:p w14:paraId="5F51F94D" w14:textId="77777777" w:rsidR="008F1E67" w:rsidRPr="008F1E67" w:rsidRDefault="008F1E67" w:rsidP="00942A79">
      <w:pPr>
        <w:spacing w:after="40" w:line="360" w:lineRule="auto"/>
        <w:ind w:left="426" w:hanging="426"/>
        <w:rPr>
          <w:noProof/>
        </w:rPr>
      </w:pPr>
      <w:bookmarkStart w:id="57" w:name="_ENREF_17"/>
      <w:r w:rsidRPr="001028EF">
        <w:rPr>
          <w:noProof/>
        </w:rPr>
        <w:t>Scholl, D. W., and von Huene, R., 2009, Implications of estimated magmatic additions and recycling losses at the subduction zones of accretionary (non-collisional) and collisional (suturing) orogens, in Cawood, P., and Kroener, A., eds., Accretionary orogens in space and time, Volume 318: London, Geological Society, p. 105-125.</w:t>
      </w:r>
      <w:bookmarkEnd w:id="57"/>
    </w:p>
    <w:p w14:paraId="66D5E9D1" w14:textId="77777777" w:rsidR="000332D3" w:rsidRPr="00410F85" w:rsidRDefault="000332D3" w:rsidP="00942A79">
      <w:pPr>
        <w:spacing w:after="40" w:line="360" w:lineRule="auto"/>
        <w:ind w:left="426" w:hanging="426"/>
        <w:rPr>
          <w:noProof/>
        </w:rPr>
      </w:pPr>
      <w:bookmarkStart w:id="58" w:name="_ENREF_80"/>
      <w:r w:rsidRPr="00410F85">
        <w:rPr>
          <w:noProof/>
        </w:rPr>
        <w:t>Silver, E. A., McIntosh, K. D., and Ranero, C., 2000, Influence of lower plate structure on the overriding slope offshore Nicaragua: New geophysical observations and first dredge samples of basement rocks: Eos (Trans.) American Geophysical Union, v. 81, p. T12D-03.</w:t>
      </w:r>
      <w:bookmarkEnd w:id="58"/>
    </w:p>
    <w:p w14:paraId="3777F7E1" w14:textId="77777777" w:rsidR="000332D3" w:rsidRPr="00410F85" w:rsidRDefault="000332D3" w:rsidP="00942A79">
      <w:pPr>
        <w:spacing w:after="40" w:line="360" w:lineRule="auto"/>
        <w:ind w:left="426" w:hanging="426"/>
        <w:rPr>
          <w:noProof/>
        </w:rPr>
      </w:pPr>
      <w:bookmarkStart w:id="59" w:name="_ENREF_81"/>
      <w:r w:rsidRPr="00410F85">
        <w:rPr>
          <w:noProof/>
        </w:rPr>
        <w:t>Sinton, C. W., Duncan, R. A., and Denyer, P., 1997, Nicoya Peninsula, Costa Rica: A single suite of Caribbean oceanic plateau magmas: Journal of Geophysical Research, v. 102, no. B7, p. 15507-15520.</w:t>
      </w:r>
      <w:bookmarkEnd w:id="59"/>
    </w:p>
    <w:p w14:paraId="106D3D5F" w14:textId="77777777" w:rsidR="000332D3" w:rsidRPr="00410F85" w:rsidRDefault="000332D3" w:rsidP="00942A79">
      <w:pPr>
        <w:spacing w:after="40" w:line="360" w:lineRule="auto"/>
        <w:ind w:left="426" w:hanging="426"/>
        <w:rPr>
          <w:noProof/>
        </w:rPr>
      </w:pPr>
      <w:bookmarkStart w:id="60" w:name="_ENREF_82"/>
      <w:r w:rsidRPr="00410F85">
        <w:rPr>
          <w:noProof/>
        </w:rPr>
        <w:t>Sitchler, J. C., Fisher, D. M., Gardner, T. W., and Protti, M., ,: , v. , no.. 2007, Constraints on inner forearc deformation from balanced cross sections, Fila Costena thrust belt, Costa Rica: Tectonics, v. 26, no. 6, p. TC6012.</w:t>
      </w:r>
      <w:bookmarkEnd w:id="60"/>
    </w:p>
    <w:p w14:paraId="49D815B1" w14:textId="77777777" w:rsidR="000332D3" w:rsidRPr="00410F85" w:rsidRDefault="000332D3" w:rsidP="00942A79">
      <w:pPr>
        <w:spacing w:after="40" w:line="360" w:lineRule="auto"/>
        <w:ind w:left="426" w:hanging="426"/>
        <w:rPr>
          <w:noProof/>
        </w:rPr>
      </w:pPr>
      <w:bookmarkStart w:id="61" w:name="_ENREF_83"/>
      <w:r w:rsidRPr="00410F85">
        <w:rPr>
          <w:noProof/>
        </w:rPr>
        <w:t>Stavenhagen, A. U., Flueh, E. R., Ranero, C. R., McIntosh, K. D., Shipley, T., Leandro, G., Schulze, A., and Dañobeitia, J. J., 1998, Seismic wide-angle investigations in Costa Rica - a crustal velocity model from the Pacific to the Caribbean: Zbl. Geol. Paläont., v. 1, no. 3-6, p. 393-408.</w:t>
      </w:r>
      <w:bookmarkEnd w:id="61"/>
    </w:p>
    <w:p w14:paraId="01C4F947" w14:textId="77777777" w:rsidR="000332D3" w:rsidRDefault="000332D3" w:rsidP="007327FA">
      <w:pPr>
        <w:spacing w:after="40" w:line="360" w:lineRule="auto"/>
        <w:ind w:left="426" w:hanging="426"/>
        <w:rPr>
          <w:noProof/>
        </w:rPr>
      </w:pPr>
      <w:bookmarkStart w:id="62" w:name="_ENREF_84"/>
      <w:r w:rsidRPr="00410F85">
        <w:rPr>
          <w:noProof/>
        </w:rPr>
        <w:t>Steiger, T., Meschede, M., and Gawlick, H., 2005, Evidence of Nicoya Ophiolite material Drilled at ODP Site 1042: Eos (Trans.) American Geophysical Union, v. 86, no. 52, p. T33C-0579.</w:t>
      </w:r>
      <w:bookmarkEnd w:id="62"/>
    </w:p>
    <w:p w14:paraId="7C9BC153" w14:textId="3BC204FC" w:rsidR="007327FA" w:rsidRDefault="007327FA" w:rsidP="007327FA">
      <w:pPr>
        <w:spacing w:after="40" w:line="360" w:lineRule="auto"/>
        <w:ind w:left="426" w:hanging="426"/>
      </w:pPr>
      <w:r>
        <w:t xml:space="preserve">Stern, C.S., 2011, Subduction erosion: rates, mechanisms, and its role in arc magmatism and the evolution of the continental crust and mantle: </w:t>
      </w:r>
      <w:proofErr w:type="spellStart"/>
      <w:r>
        <w:t>Gondwana</w:t>
      </w:r>
      <w:proofErr w:type="spellEnd"/>
      <w:r>
        <w:t xml:space="preserve"> Research, v. 20, </w:t>
      </w:r>
      <w:proofErr w:type="spellStart"/>
      <w:r>
        <w:t>pg</w:t>
      </w:r>
      <w:proofErr w:type="spellEnd"/>
      <w:r>
        <w:t xml:space="preserve"> 284-308</w:t>
      </w:r>
    </w:p>
    <w:p w14:paraId="7E54979E" w14:textId="77777777" w:rsidR="008F1E67" w:rsidRPr="008F1E67" w:rsidRDefault="008F1E67" w:rsidP="007327FA">
      <w:pPr>
        <w:spacing w:after="40" w:line="360" w:lineRule="auto"/>
        <w:ind w:left="426" w:hanging="426"/>
        <w:rPr>
          <w:noProof/>
        </w:rPr>
      </w:pPr>
      <w:r w:rsidRPr="001028EF">
        <w:rPr>
          <w:noProof/>
        </w:rPr>
        <w:t>Stern, R. J., and Scholl, D. W., 2010, Ying and yang of continental crust creation and destruction by plate tectonic processes: International Geology Review, v. 52, p. 1-31.</w:t>
      </w:r>
    </w:p>
    <w:p w14:paraId="0E499318" w14:textId="77777777" w:rsidR="000332D3" w:rsidRPr="00410F85" w:rsidRDefault="000332D3" w:rsidP="00942A79">
      <w:pPr>
        <w:spacing w:after="40" w:line="360" w:lineRule="auto"/>
        <w:ind w:left="426" w:hanging="426"/>
        <w:rPr>
          <w:noProof/>
        </w:rPr>
      </w:pPr>
      <w:bookmarkStart w:id="63" w:name="_ENREF_85"/>
      <w:r w:rsidRPr="00410F85">
        <w:rPr>
          <w:noProof/>
        </w:rPr>
        <w:t>Straub, S. M., Gomez-Tuena, A., Bindeman, I. N., Bolge, L. L., Brandl, P. A., Espinasa-Perena, R., Solari, L., Stuart, F. M., Vannucchi, P., and Zellmer, G. F., 2015, Crustal recycling by subduction erosion in the central Mexican Volcanic Belt: Geochimica Et Cosmochimica Acta, v. 166, p. 29-52.</w:t>
      </w:r>
      <w:bookmarkEnd w:id="63"/>
    </w:p>
    <w:p w14:paraId="379CBB96" w14:textId="77777777" w:rsidR="000332D3" w:rsidRPr="00410F85" w:rsidRDefault="000332D3" w:rsidP="00942A79">
      <w:pPr>
        <w:spacing w:after="40" w:line="360" w:lineRule="auto"/>
        <w:ind w:left="426" w:hanging="426"/>
        <w:rPr>
          <w:noProof/>
        </w:rPr>
      </w:pPr>
      <w:bookmarkStart w:id="64" w:name="_ENREF_86"/>
      <w:r w:rsidRPr="00410F85">
        <w:rPr>
          <w:noProof/>
        </w:rPr>
        <w:t>Tatsumi, Y., 2005, The subduction factory: How it operates in the evolving Earth: GSA Today, v. 15, no. 7.</w:t>
      </w:r>
      <w:bookmarkEnd w:id="64"/>
    </w:p>
    <w:p w14:paraId="12D5485B" w14:textId="77777777" w:rsidR="00942A79" w:rsidRPr="00410F85" w:rsidRDefault="000332D3" w:rsidP="00942A79">
      <w:pPr>
        <w:spacing w:after="40" w:line="360" w:lineRule="auto"/>
        <w:ind w:left="426" w:hanging="426"/>
        <w:rPr>
          <w:noProof/>
        </w:rPr>
      </w:pPr>
      <w:bookmarkStart w:id="65" w:name="_ENREF_87"/>
      <w:r w:rsidRPr="00410F85">
        <w:rPr>
          <w:noProof/>
        </w:rPr>
        <w:lastRenderedPageBreak/>
        <w:t>Tatsumi, Y., and Kogiso, T., 2003, The subduction factory: its role in the evolution of the Earth’s crust and mantle: Geological Society, London, Special Publications, v. 219, no. 1, p. 55-80.</w:t>
      </w:r>
      <w:bookmarkEnd w:id="65"/>
    </w:p>
    <w:p w14:paraId="1B457CE3" w14:textId="77777777" w:rsidR="000332D3" w:rsidRPr="00410F85" w:rsidRDefault="000332D3" w:rsidP="00942A79">
      <w:pPr>
        <w:spacing w:after="40" w:line="360" w:lineRule="auto"/>
        <w:ind w:left="426" w:hanging="426"/>
        <w:rPr>
          <w:noProof/>
        </w:rPr>
      </w:pPr>
      <w:bookmarkStart w:id="66" w:name="_ENREF_88"/>
      <w:r w:rsidRPr="00410F85">
        <w:rPr>
          <w:noProof/>
        </w:rPr>
        <w:t>Vannucchi, P., Fisher, D. M., Gardner, T. W., and Bier, S., 2006, From seamount accretion to tectonic erosion: Formation of Osa Mélange and the effects of Cocos Ridge subduction in southern Costa Rica: Tectonics, v. 25, no. TC2004.</w:t>
      </w:r>
      <w:bookmarkEnd w:id="66"/>
    </w:p>
    <w:p w14:paraId="53D4E249" w14:textId="77777777" w:rsidR="000332D3" w:rsidRPr="00410F85" w:rsidRDefault="000332D3" w:rsidP="00942A79">
      <w:pPr>
        <w:spacing w:after="40" w:line="360" w:lineRule="auto"/>
        <w:ind w:left="426" w:hanging="426"/>
        <w:rPr>
          <w:noProof/>
        </w:rPr>
      </w:pPr>
      <w:bookmarkStart w:id="67" w:name="_ENREF_89"/>
      <w:r w:rsidRPr="00410F85">
        <w:rPr>
          <w:noProof/>
        </w:rPr>
        <w:t>Vannucchi, P., Galeotti, S., Clift, P. D., Ranero, C., and von Huene, R., 2004, Long Term Subduction Erosion along the Middle America Trench offshore Guatemala: Geology, v. 32, no. 7, p. 617-620.</w:t>
      </w:r>
      <w:bookmarkEnd w:id="67"/>
    </w:p>
    <w:p w14:paraId="28F9F1D9" w14:textId="77777777" w:rsidR="000332D3" w:rsidRPr="00410F85" w:rsidRDefault="000332D3" w:rsidP="00942A79">
      <w:pPr>
        <w:spacing w:after="40" w:line="360" w:lineRule="auto"/>
        <w:ind w:left="426" w:hanging="426"/>
        <w:rPr>
          <w:noProof/>
        </w:rPr>
      </w:pPr>
      <w:bookmarkStart w:id="68" w:name="_ENREF_90"/>
      <w:r w:rsidRPr="00410F85">
        <w:rPr>
          <w:noProof/>
        </w:rPr>
        <w:t>Vannucchi, P., Morgan, J. P., Silver, E. A., and Kluesner, J. W., 2016, Origin and dynamics of depositionary subduction margins: Geochemistry Geophysics Geosystems.</w:t>
      </w:r>
      <w:bookmarkEnd w:id="68"/>
    </w:p>
    <w:p w14:paraId="17BFD7D1" w14:textId="77777777" w:rsidR="000332D3" w:rsidRPr="00410F85" w:rsidRDefault="000332D3" w:rsidP="00942A79">
      <w:pPr>
        <w:spacing w:after="40" w:line="360" w:lineRule="auto"/>
        <w:ind w:left="426" w:hanging="426"/>
        <w:rPr>
          <w:noProof/>
        </w:rPr>
      </w:pPr>
      <w:bookmarkStart w:id="69" w:name="_ENREF_91"/>
      <w:r w:rsidRPr="00410F85">
        <w:rPr>
          <w:noProof/>
        </w:rPr>
        <w:t>Vannucchi, P., Ranero, C. R., Galeotti, S., Straub, S. M., Scholl, D. W., and McDougall-Ried, K., 2003, Fast rates of subduction erosion along the Costa Rica Pacific margin: Implications for nonsteady rates of crustal recycling at subduction zones: Journal of Geophysical Research, v. 108, no. B11, p. 2511, doi:2510.1029/2002JB002207.</w:t>
      </w:r>
      <w:bookmarkEnd w:id="69"/>
    </w:p>
    <w:p w14:paraId="35C7396E" w14:textId="77777777" w:rsidR="000332D3" w:rsidRPr="00410F85" w:rsidRDefault="000332D3" w:rsidP="00942A79">
      <w:pPr>
        <w:spacing w:after="40" w:line="360" w:lineRule="auto"/>
        <w:ind w:left="426" w:hanging="426"/>
        <w:rPr>
          <w:noProof/>
        </w:rPr>
      </w:pPr>
      <w:bookmarkStart w:id="70" w:name="_ENREF_92"/>
      <w:r w:rsidRPr="00410F85">
        <w:rPr>
          <w:noProof/>
        </w:rPr>
        <w:t>Vannucchi, P., Remitti, F., and Bettelli, G., 2008, Geological record of fluid flow and seismogenesis along an erosive subducting plate boundary: Nature, v. 451, no. 7179, p. 699-703.</w:t>
      </w:r>
      <w:bookmarkEnd w:id="70"/>
    </w:p>
    <w:p w14:paraId="36F2F5E5" w14:textId="77777777" w:rsidR="000332D3" w:rsidRPr="00410F85" w:rsidRDefault="000332D3" w:rsidP="00942A79">
      <w:pPr>
        <w:spacing w:after="40" w:line="360" w:lineRule="auto"/>
        <w:ind w:left="426" w:hanging="426"/>
        <w:rPr>
          <w:noProof/>
        </w:rPr>
      </w:pPr>
      <w:bookmarkStart w:id="71" w:name="_ENREF_93"/>
      <w:r w:rsidRPr="00410F85">
        <w:rPr>
          <w:noProof/>
        </w:rPr>
        <w:t>Vannucchi, P., Sak, P. B., Morgan, J. P., Ohkushi, K., Ujiie, K., and Scientists, I. E. S., 2013, Rapid pulses of uplift, subsidence, and subduction erosion offshore Central America: Implications for building the rock record of convergent margins: Geology, v. 41, p. 995-998.</w:t>
      </w:r>
      <w:bookmarkEnd w:id="71"/>
    </w:p>
    <w:p w14:paraId="21D0303B" w14:textId="77777777" w:rsidR="000332D3" w:rsidRPr="00410F85" w:rsidRDefault="000332D3" w:rsidP="00942A79">
      <w:pPr>
        <w:spacing w:after="40" w:line="360" w:lineRule="auto"/>
        <w:ind w:left="426" w:hanging="426"/>
        <w:rPr>
          <w:noProof/>
        </w:rPr>
      </w:pPr>
      <w:bookmarkStart w:id="72" w:name="_ENREF_94"/>
      <w:r w:rsidRPr="00410F85">
        <w:rPr>
          <w:noProof/>
        </w:rPr>
        <w:t>Vannucchi, P., Scholl, D. W., Meschede, M., and McDougall-Reid, K., 2001, Tectonic erosion and consequent collapse of the Pacific margin of Costa Rica: Combined implications from ODP Leg 170, seismic offshore data, and regional geology of the Nicoya Peninsula: Tectonics, v. 20, no. 5, p. 649-668.</w:t>
      </w:r>
      <w:bookmarkEnd w:id="72"/>
    </w:p>
    <w:p w14:paraId="4AD6F956" w14:textId="77777777" w:rsidR="000332D3" w:rsidRPr="00410F85" w:rsidRDefault="000332D3" w:rsidP="00942A79">
      <w:pPr>
        <w:spacing w:after="40" w:line="360" w:lineRule="auto"/>
        <w:ind w:left="426" w:hanging="426"/>
        <w:rPr>
          <w:noProof/>
        </w:rPr>
      </w:pPr>
      <w:bookmarkStart w:id="73" w:name="_ENREF_95"/>
      <w:r w:rsidRPr="00410F85">
        <w:rPr>
          <w:noProof/>
        </w:rPr>
        <w:t>Vannucchi, P., Ujiie, K., Stroncik, N., and the Expedition 334 Scientists, 2012, Proceeding IODP, Volume 334: Tokyo, Integrated Ocean Drilling Program Management International, Inc.</w:t>
      </w:r>
      <w:bookmarkEnd w:id="73"/>
    </w:p>
    <w:p w14:paraId="34283109" w14:textId="77777777" w:rsidR="000332D3" w:rsidRPr="00410F85" w:rsidRDefault="000332D3" w:rsidP="00942A79">
      <w:pPr>
        <w:spacing w:after="40" w:line="360" w:lineRule="auto"/>
        <w:ind w:left="426" w:hanging="426"/>
        <w:rPr>
          <w:noProof/>
        </w:rPr>
      </w:pPr>
      <w:bookmarkStart w:id="74" w:name="_ENREF_96"/>
      <w:r w:rsidRPr="00410F85">
        <w:rPr>
          <w:noProof/>
        </w:rPr>
        <w:t>Veizer, J., and Jansen, S. L., 1979, Basement and sedimentary recycling and continental evolution: Journal of Geology, v. 87, p. 341-370.</w:t>
      </w:r>
      <w:bookmarkEnd w:id="74"/>
    </w:p>
    <w:p w14:paraId="04EDE31E" w14:textId="77777777" w:rsidR="000332D3" w:rsidRPr="00410F85" w:rsidRDefault="000332D3" w:rsidP="00942A79">
      <w:pPr>
        <w:spacing w:after="40" w:line="360" w:lineRule="auto"/>
        <w:ind w:left="426" w:hanging="426"/>
        <w:rPr>
          <w:noProof/>
        </w:rPr>
      </w:pPr>
      <w:bookmarkStart w:id="75" w:name="_ENREF_97"/>
      <w:r w:rsidRPr="00410F85">
        <w:rPr>
          <w:noProof/>
        </w:rPr>
        <w:t>Vermeesch, P., 2004, How many grains are needed for a provenance study?: Earth and Planetary Science Letters, v. 224, p. 441-451.</w:t>
      </w:r>
      <w:bookmarkEnd w:id="75"/>
    </w:p>
    <w:p w14:paraId="352E95E5" w14:textId="77777777" w:rsidR="000332D3" w:rsidRPr="00410F85" w:rsidRDefault="000332D3" w:rsidP="00942A79">
      <w:pPr>
        <w:spacing w:after="40" w:line="360" w:lineRule="auto"/>
        <w:ind w:left="426" w:hanging="426"/>
        <w:rPr>
          <w:noProof/>
        </w:rPr>
      </w:pPr>
      <w:bookmarkStart w:id="76" w:name="_ENREF_98"/>
      <w:r w:rsidRPr="00410F85">
        <w:rPr>
          <w:noProof/>
        </w:rPr>
        <w:t xml:space="preserve">von Huene, R., Aubouin, J., Arnott, R. J., Baltuck, M., Bourgois, J., Helm, R., Ogawa, Y., Kvenvolden, K. A., McDonald, T. J., Taylor, E., McDougall, K., Filewicz, M. V., Winsborough, B., and Lienert, B., 1985, </w:t>
      </w:r>
      <w:r w:rsidRPr="00410F85">
        <w:rPr>
          <w:noProof/>
        </w:rPr>
        <w:lastRenderedPageBreak/>
        <w:t>Proceedings of the Deep Sea Drilling Program, Initial Report, 84, Washington D.C., U.S. Government Printing Office, 967 p.:</w:t>
      </w:r>
      <w:bookmarkEnd w:id="76"/>
    </w:p>
    <w:p w14:paraId="57393B2C" w14:textId="77777777" w:rsidR="00942A79" w:rsidRPr="001028EF" w:rsidRDefault="00942A79" w:rsidP="00942A79">
      <w:pPr>
        <w:spacing w:after="40" w:line="360" w:lineRule="auto"/>
        <w:ind w:left="426" w:hanging="426"/>
        <w:rPr>
          <w:noProof/>
        </w:rPr>
      </w:pPr>
      <w:bookmarkStart w:id="77" w:name="_ENREF_99"/>
      <w:r w:rsidRPr="001028EF">
        <w:rPr>
          <w:noProof/>
        </w:rPr>
        <w:t>von Huene, R., and Lallemand, S., 1990, Tectonic Erosion Along the Japan and Peru Convergent Margins: Geological Society of America Bulletin, v. 102, no. 6, p. 704-720.</w:t>
      </w:r>
    </w:p>
    <w:p w14:paraId="499FDDAD" w14:textId="77777777" w:rsidR="000332D3" w:rsidRPr="00410F85" w:rsidRDefault="000332D3" w:rsidP="00942A79">
      <w:pPr>
        <w:spacing w:after="40" w:line="360" w:lineRule="auto"/>
        <w:ind w:left="426" w:hanging="426"/>
        <w:rPr>
          <w:noProof/>
        </w:rPr>
      </w:pPr>
      <w:r w:rsidRPr="00410F85">
        <w:rPr>
          <w:noProof/>
        </w:rPr>
        <w:t>von Huene, R., Ranero, C. R., Weinrebe, W., and Hinz, K., 2000, Quaternary convergent margin tectonics of Costa Rica, segmentation of the Cocos Plate, and Central American volcanism: Tectonics, v. 19, no. 2, p. 314-334.</w:t>
      </w:r>
      <w:bookmarkEnd w:id="77"/>
    </w:p>
    <w:p w14:paraId="150815C2" w14:textId="77777777" w:rsidR="000332D3" w:rsidRDefault="000332D3" w:rsidP="00942A79">
      <w:pPr>
        <w:spacing w:after="40" w:line="360" w:lineRule="auto"/>
        <w:ind w:left="426" w:hanging="426"/>
        <w:rPr>
          <w:noProof/>
        </w:rPr>
      </w:pPr>
      <w:bookmarkStart w:id="78" w:name="_ENREF_100"/>
      <w:r w:rsidRPr="00410F85">
        <w:rPr>
          <w:noProof/>
        </w:rPr>
        <w:t>von Huene, R., and Scholl, D. W., 1991, Observations at Convergent Margins Concerning Sediment Subduction, Subduction Erosion, and the Growth of Continental- Crust: Reviews of Geophysics, v. 29, no. 3, p. 279-316.</w:t>
      </w:r>
      <w:bookmarkEnd w:id="78"/>
    </w:p>
    <w:p w14:paraId="72377A22" w14:textId="77777777" w:rsidR="000332D3" w:rsidRDefault="000332D3" w:rsidP="00942A79">
      <w:pPr>
        <w:spacing w:after="40" w:line="360" w:lineRule="auto"/>
        <w:ind w:left="426" w:hanging="426"/>
        <w:rPr>
          <w:noProof/>
        </w:rPr>
      </w:pPr>
      <w:bookmarkStart w:id="79" w:name="_ENREF_101"/>
      <w:r w:rsidRPr="00410F85">
        <w:rPr>
          <w:noProof/>
        </w:rPr>
        <w:t>Walther, C. H. E., Flueh, E. R., Ranero, C. R., von Huene, R., and Strauch, W., 2000, Crustal structure across the Pacific margin of Nicaragua: evidence for ophiolitic basement and a shallow mantle sliver: Geophysical Journal International, v. 141, no. 3, p. 759-777.</w:t>
      </w:r>
      <w:bookmarkEnd w:id="79"/>
    </w:p>
    <w:p w14:paraId="55554F34" w14:textId="77777777" w:rsidR="00942A79" w:rsidRPr="001028EF" w:rsidRDefault="00942A79" w:rsidP="00942A79">
      <w:pPr>
        <w:spacing w:after="40" w:line="360" w:lineRule="auto"/>
        <w:ind w:left="426" w:hanging="426"/>
        <w:rPr>
          <w:noProof/>
        </w:rPr>
      </w:pPr>
      <w:bookmarkStart w:id="80" w:name="_ENREF_25"/>
      <w:r w:rsidRPr="001028EF">
        <w:rPr>
          <w:noProof/>
        </w:rPr>
        <w:t>Willbold, M., and Stracke, A., 2006, Trace element composition of mantle end-members: Implications for recycling of oceanic and upper and lower continental crust: Geochemistry Geophysics Geosystems, v. 7, p. Q04004.</w:t>
      </w:r>
      <w:bookmarkEnd w:id="80"/>
    </w:p>
    <w:p w14:paraId="44CC6A9D" w14:textId="77777777" w:rsidR="00942A79" w:rsidRPr="001028EF" w:rsidRDefault="00942A79" w:rsidP="00942A79">
      <w:pPr>
        <w:spacing w:after="40" w:line="360" w:lineRule="auto"/>
        <w:ind w:left="426" w:hanging="426"/>
        <w:rPr>
          <w:noProof/>
        </w:rPr>
      </w:pPr>
      <w:bookmarkStart w:id="81" w:name="_ENREF_26"/>
      <w:r w:rsidRPr="001028EF">
        <w:rPr>
          <w:noProof/>
        </w:rPr>
        <w:t>-, 2010, Formation of enriched mantle components by recycling of upper and lower continental crust: Chemical Geology, v. 276, p. 188-197.</w:t>
      </w:r>
      <w:bookmarkEnd w:id="81"/>
    </w:p>
    <w:p w14:paraId="7122D203" w14:textId="77777777" w:rsidR="000332D3" w:rsidRPr="00410F85" w:rsidRDefault="000332D3" w:rsidP="00942A79">
      <w:pPr>
        <w:spacing w:after="40" w:line="360" w:lineRule="auto"/>
        <w:ind w:left="426" w:hanging="426"/>
        <w:rPr>
          <w:noProof/>
        </w:rPr>
      </w:pPr>
      <w:bookmarkStart w:id="82" w:name="_ENREF_102"/>
      <w:r w:rsidRPr="00410F85">
        <w:rPr>
          <w:noProof/>
        </w:rPr>
        <w:t>Ye, S., Bialas, J., Flueh, E. R., Stavenhagen, A., vonHuene, R., Leandro, G., and Hinz, K., 1996, Crustal structure of the middle American trench off Costa Rica from wide-angle seismic data: Tectonics, v. 15, no. 5, p. 1006-1021.</w:t>
      </w:r>
      <w:bookmarkEnd w:id="82"/>
    </w:p>
    <w:p w14:paraId="5FDFBA25" w14:textId="77777777" w:rsidR="000332D3" w:rsidRPr="00410F85" w:rsidRDefault="000332D3" w:rsidP="00942A79">
      <w:pPr>
        <w:spacing w:after="40" w:line="360" w:lineRule="auto"/>
        <w:ind w:left="426" w:hanging="426"/>
        <w:rPr>
          <w:noProof/>
        </w:rPr>
      </w:pPr>
      <w:bookmarkStart w:id="83" w:name="_ENREF_103"/>
      <w:r w:rsidRPr="00410F85">
        <w:rPr>
          <w:noProof/>
        </w:rPr>
        <w:t>Zeumann, S., and Hampel, A., 2015, Deformation of erosive and accretive forearcs during subduction of migrating and non-migrating aseismic ridges: Results from 3-D finite element models and application to the Central American, Peruvian, and Ryukyu margins: Tectonics, v. 2015TC003867.</w:t>
      </w:r>
      <w:bookmarkEnd w:id="83"/>
    </w:p>
    <w:p w14:paraId="24F4FD6D" w14:textId="77777777" w:rsidR="000332D3" w:rsidRDefault="000332D3" w:rsidP="00F22CAC">
      <w:pPr>
        <w:ind w:left="567" w:hanging="567"/>
        <w:rPr>
          <w:noProof/>
        </w:rPr>
      </w:pPr>
    </w:p>
    <w:p w14:paraId="65AB0C39" w14:textId="77777777" w:rsidR="000332D3" w:rsidRDefault="000332D3" w:rsidP="00530331"/>
    <w:p w14:paraId="6E00C770" w14:textId="77777777" w:rsidR="000332D3" w:rsidRDefault="000332D3" w:rsidP="00530331">
      <w:pPr>
        <w:sectPr w:rsidR="000332D3" w:rsidSect="00530331">
          <w:footerReference w:type="default" r:id="rId8"/>
          <w:pgSz w:w="12240" w:h="15840"/>
          <w:pgMar w:top="1440" w:right="1440" w:bottom="1440" w:left="1440" w:header="720" w:footer="720" w:gutter="0"/>
          <w:cols w:space="720"/>
          <w:docGrid w:linePitch="360"/>
        </w:sectPr>
      </w:pPr>
    </w:p>
    <w:p w14:paraId="2EF000A2" w14:textId="64174C08" w:rsidR="000332D3" w:rsidRDefault="000332D3" w:rsidP="00D56D63">
      <w:pPr>
        <w:spacing w:after="0" w:line="240" w:lineRule="auto"/>
        <w:rPr>
          <w:lang w:val="en-GB"/>
        </w:rPr>
      </w:pPr>
      <w:r w:rsidRPr="0029705F">
        <w:lastRenderedPageBreak/>
        <w:t xml:space="preserve">Table </w:t>
      </w:r>
      <w:r>
        <w:t>1</w:t>
      </w:r>
      <w:r w:rsidRPr="0029705F">
        <w:t xml:space="preserve"> - </w:t>
      </w:r>
      <w:r w:rsidRPr="0029705F">
        <w:rPr>
          <w:lang w:val="en-GB"/>
        </w:rPr>
        <w:t>apatite fission-track peak ages</w:t>
      </w:r>
    </w:p>
    <w:tbl>
      <w:tblPr>
        <w:tblpPr w:leftFromText="141" w:rightFromText="141" w:vertAnchor="text" w:horzAnchor="margin" w:tblpXSpec="center" w:tblpY="451"/>
        <w:tblOverlap w:val="never"/>
        <w:tblW w:w="13631" w:type="dxa"/>
        <w:tblBorders>
          <w:top w:val="single" w:sz="4" w:space="0" w:color="auto"/>
          <w:bottom w:val="single" w:sz="4" w:space="0" w:color="auto"/>
        </w:tblBorders>
        <w:tblCellMar>
          <w:left w:w="57" w:type="dxa"/>
        </w:tblCellMar>
        <w:tblLook w:val="04A0" w:firstRow="1" w:lastRow="0" w:firstColumn="1" w:lastColumn="0" w:noHBand="0" w:noVBand="1"/>
      </w:tblPr>
      <w:tblGrid>
        <w:gridCol w:w="644"/>
        <w:gridCol w:w="1274"/>
        <w:gridCol w:w="409"/>
        <w:gridCol w:w="898"/>
        <w:gridCol w:w="476"/>
        <w:gridCol w:w="721"/>
        <w:gridCol w:w="604"/>
        <w:gridCol w:w="480"/>
        <w:gridCol w:w="974"/>
        <w:gridCol w:w="557"/>
        <w:gridCol w:w="480"/>
        <w:gridCol w:w="948"/>
        <w:gridCol w:w="557"/>
        <w:gridCol w:w="480"/>
        <w:gridCol w:w="947"/>
        <w:gridCol w:w="557"/>
        <w:gridCol w:w="535"/>
        <w:gridCol w:w="892"/>
        <w:gridCol w:w="558"/>
        <w:gridCol w:w="640"/>
      </w:tblGrid>
      <w:tr w:rsidR="001028EF" w:rsidRPr="001028EF" w14:paraId="1847D6F7" w14:textId="77777777" w:rsidTr="00530331">
        <w:trPr>
          <w:trHeight w:val="621"/>
        </w:trPr>
        <w:tc>
          <w:tcPr>
            <w:tcW w:w="0" w:type="auto"/>
            <w:vMerge w:val="restart"/>
            <w:tcBorders>
              <w:top w:val="single" w:sz="4" w:space="0" w:color="auto"/>
              <w:left w:val="nil"/>
              <w:right w:val="nil"/>
            </w:tcBorders>
            <w:hideMark/>
          </w:tcPr>
          <w:p w14:paraId="485524E3" w14:textId="77777777" w:rsidR="001028EF" w:rsidRPr="001028EF" w:rsidRDefault="001028EF" w:rsidP="00D56D63">
            <w:pPr>
              <w:spacing w:after="0" w:line="276" w:lineRule="auto"/>
              <w:jc w:val="center"/>
              <w:rPr>
                <w:rFonts w:cs="Arial"/>
                <w:color w:val="000000" w:themeColor="text1"/>
                <w:sz w:val="16"/>
                <w:szCs w:val="16"/>
              </w:rPr>
            </w:pPr>
            <w:r w:rsidRPr="001028EF">
              <w:rPr>
                <w:rFonts w:cs="Arial"/>
                <w:color w:val="000000" w:themeColor="text1"/>
                <w:sz w:val="16"/>
                <w:szCs w:val="16"/>
              </w:rPr>
              <w:t>Sample</w:t>
            </w:r>
          </w:p>
        </w:tc>
        <w:tc>
          <w:tcPr>
            <w:tcW w:w="0" w:type="auto"/>
            <w:vMerge w:val="restart"/>
            <w:tcBorders>
              <w:top w:val="single" w:sz="4" w:space="0" w:color="auto"/>
              <w:left w:val="nil"/>
              <w:right w:val="nil"/>
            </w:tcBorders>
          </w:tcPr>
          <w:p w14:paraId="0574F0BC" w14:textId="77777777" w:rsidR="001028EF" w:rsidRPr="001028EF" w:rsidRDefault="001028EF" w:rsidP="001028EF">
            <w:pPr>
              <w:spacing w:after="0" w:line="276" w:lineRule="auto"/>
              <w:jc w:val="center"/>
              <w:rPr>
                <w:rFonts w:cs="Arial"/>
                <w:b/>
                <w:color w:val="000000" w:themeColor="text1"/>
                <w:sz w:val="16"/>
                <w:szCs w:val="16"/>
                <w:lang w:val="en-GB"/>
              </w:rPr>
            </w:pPr>
            <w:r w:rsidRPr="001028EF">
              <w:rPr>
                <w:rFonts w:cs="Arial"/>
                <w:b/>
                <w:color w:val="000000" w:themeColor="text1"/>
                <w:sz w:val="16"/>
                <w:szCs w:val="16"/>
                <w:lang w:val="en-GB"/>
              </w:rPr>
              <w:t>Depositional age</w:t>
            </w:r>
          </w:p>
          <w:p w14:paraId="72440EB9" w14:textId="77777777" w:rsidR="001028EF" w:rsidRPr="001028EF" w:rsidRDefault="001028EF" w:rsidP="001028EF">
            <w:pPr>
              <w:spacing w:after="0" w:line="276" w:lineRule="auto"/>
              <w:jc w:val="center"/>
              <w:rPr>
                <w:rFonts w:cs="Arial"/>
                <w:i/>
                <w:color w:val="000000" w:themeColor="text1"/>
                <w:sz w:val="16"/>
                <w:szCs w:val="16"/>
              </w:rPr>
            </w:pPr>
            <w:r w:rsidRPr="001028EF">
              <w:rPr>
                <w:rFonts w:cs="Arial"/>
                <w:b/>
                <w:color w:val="000000" w:themeColor="text1"/>
                <w:sz w:val="16"/>
                <w:szCs w:val="16"/>
                <w:lang w:val="en-GB"/>
              </w:rPr>
              <w:t xml:space="preserve"> [Ma]</w:t>
            </w:r>
          </w:p>
        </w:tc>
        <w:tc>
          <w:tcPr>
            <w:tcW w:w="0" w:type="auto"/>
            <w:vMerge w:val="restart"/>
            <w:tcBorders>
              <w:top w:val="single" w:sz="4" w:space="0" w:color="auto"/>
              <w:left w:val="nil"/>
              <w:right w:val="nil"/>
            </w:tcBorders>
            <w:hideMark/>
          </w:tcPr>
          <w:p w14:paraId="37F5B26A" w14:textId="77777777" w:rsidR="001028EF" w:rsidRPr="001028EF" w:rsidRDefault="001028EF" w:rsidP="001028EF">
            <w:pPr>
              <w:spacing w:after="0" w:line="276" w:lineRule="auto"/>
              <w:jc w:val="center"/>
              <w:rPr>
                <w:rFonts w:cs="Arial"/>
                <w:i/>
                <w:color w:val="000000" w:themeColor="text1"/>
                <w:sz w:val="16"/>
                <w:szCs w:val="16"/>
              </w:rPr>
            </w:pPr>
            <w:r w:rsidRPr="001028EF">
              <w:rPr>
                <w:rFonts w:cs="Arial"/>
                <w:i/>
                <w:color w:val="000000" w:themeColor="text1"/>
                <w:sz w:val="16"/>
                <w:szCs w:val="16"/>
              </w:rPr>
              <w:t>ng</w:t>
            </w:r>
          </w:p>
        </w:tc>
        <w:tc>
          <w:tcPr>
            <w:tcW w:w="898" w:type="dxa"/>
            <w:vMerge w:val="restart"/>
            <w:tcBorders>
              <w:top w:val="single" w:sz="4" w:space="0" w:color="auto"/>
              <w:left w:val="nil"/>
              <w:right w:val="nil"/>
            </w:tcBorders>
            <w:hideMark/>
          </w:tcPr>
          <w:p w14:paraId="67CA52DD"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Age interval</w:t>
            </w:r>
          </w:p>
          <w:p w14:paraId="57D9D7A1"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(Ma)</w:t>
            </w:r>
          </w:p>
        </w:tc>
        <w:tc>
          <w:tcPr>
            <w:tcW w:w="0" w:type="auto"/>
            <w:gridSpan w:val="3"/>
            <w:tcBorders>
              <w:top w:val="single" w:sz="4" w:space="0" w:color="auto"/>
              <w:left w:val="nil"/>
              <w:bottom w:val="single" w:sz="4" w:space="0" w:color="auto"/>
              <w:right w:val="nil"/>
            </w:tcBorders>
            <w:hideMark/>
          </w:tcPr>
          <w:p w14:paraId="5B32122E"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P1</w:t>
            </w:r>
          </w:p>
        </w:tc>
        <w:tc>
          <w:tcPr>
            <w:tcW w:w="2011" w:type="dxa"/>
            <w:gridSpan w:val="3"/>
            <w:tcBorders>
              <w:top w:val="single" w:sz="4" w:space="0" w:color="auto"/>
              <w:left w:val="nil"/>
              <w:bottom w:val="single" w:sz="4" w:space="0" w:color="auto"/>
              <w:right w:val="nil"/>
            </w:tcBorders>
            <w:hideMark/>
          </w:tcPr>
          <w:p w14:paraId="2AF04E9F"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P2</w:t>
            </w:r>
          </w:p>
        </w:tc>
        <w:tc>
          <w:tcPr>
            <w:tcW w:w="1985" w:type="dxa"/>
            <w:gridSpan w:val="3"/>
            <w:tcBorders>
              <w:top w:val="single" w:sz="4" w:space="0" w:color="auto"/>
              <w:left w:val="nil"/>
              <w:bottom w:val="single" w:sz="4" w:space="0" w:color="auto"/>
              <w:right w:val="nil"/>
            </w:tcBorders>
            <w:hideMark/>
          </w:tcPr>
          <w:p w14:paraId="6004F06B"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P3</w:t>
            </w:r>
          </w:p>
        </w:tc>
        <w:tc>
          <w:tcPr>
            <w:tcW w:w="1984" w:type="dxa"/>
            <w:gridSpan w:val="3"/>
            <w:tcBorders>
              <w:top w:val="single" w:sz="4" w:space="0" w:color="auto"/>
              <w:left w:val="nil"/>
              <w:bottom w:val="single" w:sz="4" w:space="0" w:color="auto"/>
              <w:right w:val="nil"/>
            </w:tcBorders>
          </w:tcPr>
          <w:p w14:paraId="38881DBA"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P4</w:t>
            </w:r>
          </w:p>
        </w:tc>
        <w:tc>
          <w:tcPr>
            <w:tcW w:w="1985" w:type="dxa"/>
            <w:gridSpan w:val="3"/>
            <w:tcBorders>
              <w:top w:val="single" w:sz="4" w:space="0" w:color="auto"/>
              <w:left w:val="nil"/>
              <w:bottom w:val="single" w:sz="4" w:space="0" w:color="auto"/>
              <w:right w:val="nil"/>
            </w:tcBorders>
          </w:tcPr>
          <w:p w14:paraId="58E92EC7"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P5</w:t>
            </w:r>
          </w:p>
        </w:tc>
        <w:tc>
          <w:tcPr>
            <w:tcW w:w="0" w:type="auto"/>
            <w:vMerge w:val="restart"/>
            <w:tcBorders>
              <w:top w:val="single" w:sz="4" w:space="0" w:color="auto"/>
              <w:left w:val="nil"/>
              <w:right w:val="nil"/>
            </w:tcBorders>
          </w:tcPr>
          <w:p w14:paraId="04B469B4"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lang w:val="en-GB"/>
              </w:rPr>
              <w:t xml:space="preserve">Red. </w:t>
            </w:r>
            <w:r w:rsidRPr="001028EF">
              <w:rPr>
                <w:rFonts w:cs="TimesNewRoman"/>
                <w:color w:val="000000" w:themeColor="text1"/>
                <w:sz w:val="16"/>
                <w:szCs w:val="16"/>
              </w:rPr>
              <w:t>χ2</w:t>
            </w:r>
          </w:p>
        </w:tc>
      </w:tr>
      <w:tr w:rsidR="001028EF" w:rsidRPr="001028EF" w14:paraId="5DC910D6" w14:textId="77777777" w:rsidTr="001028EF">
        <w:trPr>
          <w:trHeight w:val="621"/>
        </w:trPr>
        <w:tc>
          <w:tcPr>
            <w:tcW w:w="0" w:type="auto"/>
            <w:vMerge/>
            <w:tcBorders>
              <w:left w:val="nil"/>
              <w:bottom w:val="single" w:sz="4" w:space="0" w:color="auto"/>
              <w:right w:val="nil"/>
            </w:tcBorders>
          </w:tcPr>
          <w:p w14:paraId="170E7A87" w14:textId="77777777" w:rsidR="001028EF" w:rsidRPr="001028EF" w:rsidRDefault="001028EF" w:rsidP="001028EF">
            <w:pPr>
              <w:spacing w:after="0" w:line="276" w:lineRule="auto"/>
              <w:jc w:val="center"/>
              <w:rPr>
                <w:rFonts w:cs="Arial"/>
                <w:color w:val="000000" w:themeColor="text1"/>
                <w:sz w:val="16"/>
                <w:szCs w:val="16"/>
              </w:rPr>
            </w:pPr>
          </w:p>
        </w:tc>
        <w:tc>
          <w:tcPr>
            <w:tcW w:w="0" w:type="auto"/>
            <w:vMerge/>
            <w:tcBorders>
              <w:left w:val="nil"/>
              <w:bottom w:val="single" w:sz="4" w:space="0" w:color="auto"/>
              <w:right w:val="nil"/>
            </w:tcBorders>
          </w:tcPr>
          <w:p w14:paraId="217F5ABF" w14:textId="77777777" w:rsidR="001028EF" w:rsidRPr="001028EF" w:rsidRDefault="001028EF" w:rsidP="001028EF">
            <w:pPr>
              <w:spacing w:after="0" w:line="276" w:lineRule="auto"/>
              <w:jc w:val="center"/>
              <w:rPr>
                <w:rFonts w:cs="Arial"/>
                <w:b/>
                <w:color w:val="000000" w:themeColor="text1"/>
                <w:sz w:val="16"/>
                <w:szCs w:val="16"/>
                <w:lang w:val="en-GB"/>
              </w:rPr>
            </w:pPr>
          </w:p>
        </w:tc>
        <w:tc>
          <w:tcPr>
            <w:tcW w:w="0" w:type="auto"/>
            <w:vMerge/>
            <w:tcBorders>
              <w:left w:val="nil"/>
              <w:bottom w:val="single" w:sz="4" w:space="0" w:color="auto"/>
              <w:right w:val="nil"/>
            </w:tcBorders>
          </w:tcPr>
          <w:p w14:paraId="2DC912BA" w14:textId="77777777" w:rsidR="001028EF" w:rsidRPr="001028EF" w:rsidRDefault="001028EF" w:rsidP="001028EF">
            <w:pPr>
              <w:spacing w:after="0" w:line="276" w:lineRule="auto"/>
              <w:jc w:val="center"/>
              <w:rPr>
                <w:rFonts w:cs="Arial"/>
                <w:i/>
                <w:color w:val="000000" w:themeColor="text1"/>
                <w:sz w:val="16"/>
                <w:szCs w:val="16"/>
              </w:rPr>
            </w:pPr>
          </w:p>
        </w:tc>
        <w:tc>
          <w:tcPr>
            <w:tcW w:w="898" w:type="dxa"/>
            <w:vMerge/>
            <w:tcBorders>
              <w:left w:val="nil"/>
              <w:bottom w:val="single" w:sz="4" w:space="0" w:color="auto"/>
              <w:right w:val="nil"/>
            </w:tcBorders>
          </w:tcPr>
          <w:p w14:paraId="15E02C09" w14:textId="77777777" w:rsidR="001028EF" w:rsidRPr="001028EF" w:rsidRDefault="001028EF" w:rsidP="001028EF">
            <w:pPr>
              <w:spacing w:after="0" w:line="276" w:lineRule="auto"/>
              <w:jc w:val="center"/>
              <w:rPr>
                <w:rFonts w:cs="Arial"/>
                <w:color w:val="000000" w:themeColor="text1"/>
                <w:sz w:val="16"/>
                <w:szCs w:val="16"/>
              </w:rPr>
            </w:pPr>
          </w:p>
        </w:tc>
        <w:tc>
          <w:tcPr>
            <w:tcW w:w="0" w:type="auto"/>
            <w:tcBorders>
              <w:top w:val="single" w:sz="4" w:space="0" w:color="auto"/>
              <w:left w:val="nil"/>
              <w:bottom w:val="single" w:sz="4" w:space="0" w:color="auto"/>
              <w:right w:val="nil"/>
            </w:tcBorders>
          </w:tcPr>
          <w:p w14:paraId="54060D2A"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Age</w:t>
            </w:r>
          </w:p>
          <w:p w14:paraId="0733F16F"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(Ma)</w:t>
            </w:r>
          </w:p>
        </w:tc>
        <w:tc>
          <w:tcPr>
            <w:tcW w:w="0" w:type="auto"/>
            <w:tcBorders>
              <w:top w:val="single" w:sz="4" w:space="0" w:color="auto"/>
              <w:left w:val="nil"/>
              <w:bottom w:val="single" w:sz="4" w:space="0" w:color="auto"/>
              <w:right w:val="nil"/>
            </w:tcBorders>
          </w:tcPr>
          <w:p w14:paraId="6EC1D563"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63%Cl</w:t>
            </w:r>
          </w:p>
        </w:tc>
        <w:tc>
          <w:tcPr>
            <w:tcW w:w="0" w:type="auto"/>
            <w:tcBorders>
              <w:top w:val="single" w:sz="4" w:space="0" w:color="auto"/>
              <w:left w:val="nil"/>
              <w:bottom w:val="single" w:sz="4" w:space="0" w:color="auto"/>
              <w:right w:val="nil"/>
            </w:tcBorders>
          </w:tcPr>
          <w:p w14:paraId="1D241B4C" w14:textId="77777777" w:rsidR="001028EF" w:rsidRPr="001028EF" w:rsidRDefault="001028EF" w:rsidP="001028EF">
            <w:pPr>
              <w:spacing w:after="0" w:line="276" w:lineRule="auto"/>
              <w:jc w:val="center"/>
              <w:rPr>
                <w:rFonts w:cs="Arial"/>
                <w:color w:val="000000" w:themeColor="text1"/>
                <w:sz w:val="16"/>
                <w:szCs w:val="16"/>
              </w:rPr>
            </w:pPr>
            <w:proofErr w:type="spellStart"/>
            <w:r w:rsidRPr="001028EF">
              <w:rPr>
                <w:rFonts w:cs="Arial"/>
                <w:color w:val="000000" w:themeColor="text1"/>
                <w:sz w:val="16"/>
                <w:szCs w:val="16"/>
              </w:rPr>
              <w:t>Frac</w:t>
            </w:r>
            <w:proofErr w:type="spellEnd"/>
            <w:r w:rsidRPr="001028EF">
              <w:rPr>
                <w:rFonts w:cs="Arial"/>
                <w:color w:val="000000" w:themeColor="text1"/>
                <w:sz w:val="16"/>
                <w:szCs w:val="16"/>
              </w:rPr>
              <w:t>%</w:t>
            </w:r>
          </w:p>
        </w:tc>
        <w:tc>
          <w:tcPr>
            <w:tcW w:w="0" w:type="auto"/>
            <w:tcBorders>
              <w:top w:val="single" w:sz="4" w:space="0" w:color="auto"/>
              <w:left w:val="nil"/>
              <w:bottom w:val="single" w:sz="4" w:space="0" w:color="auto"/>
              <w:right w:val="nil"/>
            </w:tcBorders>
          </w:tcPr>
          <w:p w14:paraId="0D37EE7B"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Age</w:t>
            </w:r>
          </w:p>
          <w:p w14:paraId="35C49D2E"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(Ma)</w:t>
            </w:r>
          </w:p>
        </w:tc>
        <w:tc>
          <w:tcPr>
            <w:tcW w:w="967" w:type="dxa"/>
            <w:tcBorders>
              <w:top w:val="single" w:sz="4" w:space="0" w:color="auto"/>
              <w:left w:val="nil"/>
              <w:bottom w:val="single" w:sz="4" w:space="0" w:color="auto"/>
              <w:right w:val="nil"/>
            </w:tcBorders>
          </w:tcPr>
          <w:p w14:paraId="52CEC5E7"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63%Cl</w:t>
            </w:r>
          </w:p>
        </w:tc>
        <w:tc>
          <w:tcPr>
            <w:tcW w:w="0" w:type="auto"/>
            <w:tcBorders>
              <w:top w:val="single" w:sz="4" w:space="0" w:color="auto"/>
              <w:left w:val="nil"/>
              <w:bottom w:val="single" w:sz="4" w:space="0" w:color="auto"/>
              <w:right w:val="nil"/>
            </w:tcBorders>
          </w:tcPr>
          <w:p w14:paraId="618B00BD" w14:textId="77777777" w:rsidR="001028EF" w:rsidRPr="001028EF" w:rsidRDefault="001028EF" w:rsidP="001028EF">
            <w:pPr>
              <w:spacing w:after="0" w:line="276" w:lineRule="auto"/>
              <w:jc w:val="center"/>
              <w:rPr>
                <w:rFonts w:cs="Arial"/>
                <w:color w:val="000000" w:themeColor="text1"/>
                <w:sz w:val="16"/>
                <w:szCs w:val="16"/>
              </w:rPr>
            </w:pPr>
            <w:proofErr w:type="spellStart"/>
            <w:r w:rsidRPr="001028EF">
              <w:rPr>
                <w:rFonts w:cs="Arial"/>
                <w:color w:val="000000" w:themeColor="text1"/>
                <w:sz w:val="16"/>
                <w:szCs w:val="16"/>
              </w:rPr>
              <w:t>Frac</w:t>
            </w:r>
            <w:proofErr w:type="spellEnd"/>
            <w:r w:rsidRPr="001028EF">
              <w:rPr>
                <w:rFonts w:cs="Arial"/>
                <w:color w:val="000000" w:themeColor="text1"/>
                <w:sz w:val="16"/>
                <w:szCs w:val="16"/>
              </w:rPr>
              <w:t>%</w:t>
            </w:r>
          </w:p>
        </w:tc>
        <w:tc>
          <w:tcPr>
            <w:tcW w:w="0" w:type="auto"/>
            <w:tcBorders>
              <w:top w:val="single" w:sz="4" w:space="0" w:color="auto"/>
              <w:left w:val="nil"/>
              <w:bottom w:val="single" w:sz="4" w:space="0" w:color="auto"/>
              <w:right w:val="nil"/>
            </w:tcBorders>
          </w:tcPr>
          <w:p w14:paraId="2CA839FD"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Age</w:t>
            </w:r>
          </w:p>
          <w:p w14:paraId="4CC564E5"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(Ma)</w:t>
            </w:r>
          </w:p>
        </w:tc>
        <w:tc>
          <w:tcPr>
            <w:tcW w:w="940" w:type="dxa"/>
            <w:tcBorders>
              <w:top w:val="single" w:sz="4" w:space="0" w:color="auto"/>
              <w:left w:val="nil"/>
              <w:bottom w:val="single" w:sz="4" w:space="0" w:color="auto"/>
              <w:right w:val="nil"/>
            </w:tcBorders>
          </w:tcPr>
          <w:p w14:paraId="4BBC71B1"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63%Cl</w:t>
            </w:r>
          </w:p>
        </w:tc>
        <w:tc>
          <w:tcPr>
            <w:tcW w:w="0" w:type="auto"/>
            <w:tcBorders>
              <w:top w:val="single" w:sz="4" w:space="0" w:color="auto"/>
              <w:left w:val="nil"/>
              <w:bottom w:val="single" w:sz="4" w:space="0" w:color="auto"/>
              <w:right w:val="nil"/>
            </w:tcBorders>
          </w:tcPr>
          <w:p w14:paraId="17627E9A" w14:textId="77777777" w:rsidR="001028EF" w:rsidRPr="001028EF" w:rsidRDefault="001028EF" w:rsidP="001028EF">
            <w:pPr>
              <w:spacing w:after="0" w:line="276" w:lineRule="auto"/>
              <w:jc w:val="center"/>
              <w:rPr>
                <w:rFonts w:cs="Arial"/>
                <w:color w:val="000000" w:themeColor="text1"/>
                <w:sz w:val="16"/>
                <w:szCs w:val="16"/>
              </w:rPr>
            </w:pPr>
            <w:proofErr w:type="spellStart"/>
            <w:r w:rsidRPr="001028EF">
              <w:rPr>
                <w:rFonts w:cs="Arial"/>
                <w:color w:val="000000" w:themeColor="text1"/>
                <w:sz w:val="16"/>
                <w:szCs w:val="16"/>
              </w:rPr>
              <w:t>Frac</w:t>
            </w:r>
            <w:proofErr w:type="spellEnd"/>
            <w:r w:rsidRPr="001028EF">
              <w:rPr>
                <w:rFonts w:cs="Arial"/>
                <w:color w:val="000000" w:themeColor="text1"/>
                <w:sz w:val="16"/>
                <w:szCs w:val="16"/>
              </w:rPr>
              <w:t>%</w:t>
            </w:r>
          </w:p>
        </w:tc>
        <w:tc>
          <w:tcPr>
            <w:tcW w:w="0" w:type="auto"/>
            <w:tcBorders>
              <w:top w:val="single" w:sz="4" w:space="0" w:color="auto"/>
              <w:left w:val="nil"/>
              <w:bottom w:val="single" w:sz="4" w:space="0" w:color="auto"/>
              <w:right w:val="nil"/>
            </w:tcBorders>
          </w:tcPr>
          <w:p w14:paraId="389F919E"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Age</w:t>
            </w:r>
          </w:p>
          <w:p w14:paraId="5CA232AA"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(Ma)</w:t>
            </w:r>
          </w:p>
        </w:tc>
        <w:tc>
          <w:tcPr>
            <w:tcW w:w="939" w:type="dxa"/>
            <w:tcBorders>
              <w:top w:val="single" w:sz="4" w:space="0" w:color="auto"/>
              <w:left w:val="nil"/>
              <w:bottom w:val="single" w:sz="4" w:space="0" w:color="auto"/>
              <w:right w:val="nil"/>
            </w:tcBorders>
          </w:tcPr>
          <w:p w14:paraId="557E7C8C"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63%Cl</w:t>
            </w:r>
          </w:p>
        </w:tc>
        <w:tc>
          <w:tcPr>
            <w:tcW w:w="0" w:type="auto"/>
            <w:tcBorders>
              <w:top w:val="single" w:sz="4" w:space="0" w:color="auto"/>
              <w:left w:val="nil"/>
              <w:bottom w:val="single" w:sz="4" w:space="0" w:color="auto"/>
              <w:right w:val="nil"/>
            </w:tcBorders>
          </w:tcPr>
          <w:p w14:paraId="707CEA10" w14:textId="77777777" w:rsidR="001028EF" w:rsidRPr="001028EF" w:rsidRDefault="001028EF" w:rsidP="001028EF">
            <w:pPr>
              <w:spacing w:after="0" w:line="276" w:lineRule="auto"/>
              <w:jc w:val="center"/>
              <w:rPr>
                <w:rFonts w:cs="Arial"/>
                <w:color w:val="000000" w:themeColor="text1"/>
                <w:sz w:val="16"/>
                <w:szCs w:val="16"/>
              </w:rPr>
            </w:pPr>
            <w:proofErr w:type="spellStart"/>
            <w:r w:rsidRPr="001028EF">
              <w:rPr>
                <w:rFonts w:cs="Arial"/>
                <w:color w:val="000000" w:themeColor="text1"/>
                <w:sz w:val="16"/>
                <w:szCs w:val="16"/>
              </w:rPr>
              <w:t>Frac</w:t>
            </w:r>
            <w:proofErr w:type="spellEnd"/>
            <w:r w:rsidRPr="001028EF">
              <w:rPr>
                <w:rFonts w:cs="Arial"/>
                <w:color w:val="000000" w:themeColor="text1"/>
                <w:sz w:val="16"/>
                <w:szCs w:val="16"/>
              </w:rPr>
              <w:t>%</w:t>
            </w:r>
          </w:p>
        </w:tc>
        <w:tc>
          <w:tcPr>
            <w:tcW w:w="0" w:type="auto"/>
            <w:tcBorders>
              <w:top w:val="single" w:sz="4" w:space="0" w:color="auto"/>
              <w:left w:val="nil"/>
              <w:bottom w:val="single" w:sz="4" w:space="0" w:color="auto"/>
              <w:right w:val="nil"/>
            </w:tcBorders>
          </w:tcPr>
          <w:p w14:paraId="032C548A"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Age</w:t>
            </w:r>
          </w:p>
          <w:p w14:paraId="56B3D4D3"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(Ma)</w:t>
            </w:r>
          </w:p>
        </w:tc>
        <w:tc>
          <w:tcPr>
            <w:tcW w:w="884" w:type="dxa"/>
            <w:tcBorders>
              <w:top w:val="single" w:sz="4" w:space="0" w:color="auto"/>
              <w:left w:val="nil"/>
              <w:bottom w:val="single" w:sz="4" w:space="0" w:color="auto"/>
              <w:right w:val="nil"/>
            </w:tcBorders>
          </w:tcPr>
          <w:p w14:paraId="4BF88051"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63%Cl</w:t>
            </w:r>
          </w:p>
        </w:tc>
        <w:tc>
          <w:tcPr>
            <w:tcW w:w="0" w:type="auto"/>
            <w:tcBorders>
              <w:top w:val="single" w:sz="4" w:space="0" w:color="auto"/>
              <w:left w:val="nil"/>
              <w:bottom w:val="single" w:sz="4" w:space="0" w:color="auto"/>
              <w:right w:val="nil"/>
            </w:tcBorders>
          </w:tcPr>
          <w:p w14:paraId="175F6FDB" w14:textId="77777777" w:rsidR="001028EF" w:rsidRPr="001028EF" w:rsidRDefault="001028EF" w:rsidP="001028EF">
            <w:pPr>
              <w:spacing w:after="0" w:line="276" w:lineRule="auto"/>
              <w:jc w:val="center"/>
              <w:rPr>
                <w:rFonts w:cs="Arial"/>
                <w:color w:val="000000" w:themeColor="text1"/>
                <w:sz w:val="16"/>
                <w:szCs w:val="16"/>
              </w:rPr>
            </w:pPr>
            <w:proofErr w:type="spellStart"/>
            <w:r w:rsidRPr="001028EF">
              <w:rPr>
                <w:rFonts w:cs="Arial"/>
                <w:color w:val="000000" w:themeColor="text1"/>
                <w:sz w:val="16"/>
                <w:szCs w:val="16"/>
              </w:rPr>
              <w:t>Frac</w:t>
            </w:r>
            <w:proofErr w:type="spellEnd"/>
            <w:r w:rsidRPr="001028EF">
              <w:rPr>
                <w:rFonts w:cs="Arial"/>
                <w:color w:val="000000" w:themeColor="text1"/>
                <w:sz w:val="16"/>
                <w:szCs w:val="16"/>
              </w:rPr>
              <w:t>%</w:t>
            </w:r>
          </w:p>
        </w:tc>
        <w:tc>
          <w:tcPr>
            <w:tcW w:w="0" w:type="auto"/>
            <w:vMerge/>
            <w:tcBorders>
              <w:left w:val="nil"/>
              <w:bottom w:val="single" w:sz="4" w:space="0" w:color="auto"/>
              <w:right w:val="nil"/>
            </w:tcBorders>
          </w:tcPr>
          <w:p w14:paraId="4352E286" w14:textId="77777777" w:rsidR="001028EF" w:rsidRPr="001028EF" w:rsidRDefault="001028EF" w:rsidP="001028EF">
            <w:pPr>
              <w:spacing w:after="0" w:line="276" w:lineRule="auto"/>
              <w:jc w:val="center"/>
              <w:rPr>
                <w:rFonts w:cs="Arial"/>
                <w:color w:val="000000" w:themeColor="text1"/>
                <w:sz w:val="16"/>
                <w:szCs w:val="16"/>
                <w:lang w:val="en-GB"/>
              </w:rPr>
            </w:pPr>
          </w:p>
        </w:tc>
      </w:tr>
      <w:tr w:rsidR="001028EF" w:rsidRPr="001028EF" w14:paraId="3EBF283D" w14:textId="77777777" w:rsidTr="00530331">
        <w:trPr>
          <w:trHeight w:val="333"/>
        </w:trPr>
        <w:tc>
          <w:tcPr>
            <w:tcW w:w="0" w:type="auto"/>
            <w:tcBorders>
              <w:top w:val="single" w:sz="4" w:space="0" w:color="auto"/>
              <w:left w:val="nil"/>
              <w:bottom w:val="nil"/>
              <w:right w:val="nil"/>
            </w:tcBorders>
            <w:hideMark/>
          </w:tcPr>
          <w:p w14:paraId="0597B9A3" w14:textId="77777777" w:rsidR="001028EF" w:rsidRPr="001028EF" w:rsidRDefault="001028EF" w:rsidP="001028EF">
            <w:pPr>
              <w:spacing w:after="0" w:line="276" w:lineRule="auto"/>
              <w:jc w:val="center"/>
              <w:rPr>
                <w:rFonts w:cs="Arial"/>
                <w:b/>
                <w:color w:val="000000" w:themeColor="text1"/>
                <w:sz w:val="16"/>
                <w:szCs w:val="16"/>
              </w:rPr>
            </w:pPr>
            <w:r w:rsidRPr="001028EF">
              <w:rPr>
                <w:rFonts w:cs="Arial"/>
                <w:b/>
                <w:sz w:val="16"/>
                <w:szCs w:val="16"/>
                <w:lang w:val="en-GB"/>
              </w:rPr>
              <w:t>U1379</w:t>
            </w:r>
          </w:p>
        </w:tc>
        <w:tc>
          <w:tcPr>
            <w:tcW w:w="12347" w:type="dxa"/>
            <w:gridSpan w:val="18"/>
            <w:tcBorders>
              <w:top w:val="single" w:sz="4" w:space="0" w:color="auto"/>
              <w:left w:val="nil"/>
              <w:bottom w:val="nil"/>
              <w:right w:val="nil"/>
            </w:tcBorders>
          </w:tcPr>
          <w:p w14:paraId="28B9582A" w14:textId="77777777" w:rsidR="001028EF" w:rsidRPr="001028EF" w:rsidRDefault="001028EF" w:rsidP="001028EF">
            <w:pPr>
              <w:spacing w:after="0" w:line="276" w:lineRule="auto"/>
              <w:jc w:val="center"/>
              <w:rPr>
                <w:rFonts w:cs="Arial"/>
                <w:color w:val="000000" w:themeColor="text1"/>
                <w:sz w:val="16"/>
                <w:szCs w:val="16"/>
              </w:rPr>
            </w:pPr>
          </w:p>
        </w:tc>
        <w:tc>
          <w:tcPr>
            <w:tcW w:w="0" w:type="auto"/>
            <w:tcBorders>
              <w:top w:val="single" w:sz="4" w:space="0" w:color="auto"/>
              <w:left w:val="nil"/>
              <w:bottom w:val="nil"/>
              <w:right w:val="nil"/>
            </w:tcBorders>
          </w:tcPr>
          <w:p w14:paraId="697814B4" w14:textId="77777777" w:rsidR="001028EF" w:rsidRPr="001028EF" w:rsidRDefault="001028EF" w:rsidP="001028EF">
            <w:pPr>
              <w:spacing w:after="0" w:line="276" w:lineRule="auto"/>
              <w:jc w:val="center"/>
              <w:rPr>
                <w:rFonts w:cs="Arial"/>
                <w:color w:val="000000" w:themeColor="text1"/>
                <w:sz w:val="16"/>
                <w:szCs w:val="16"/>
              </w:rPr>
            </w:pPr>
          </w:p>
        </w:tc>
      </w:tr>
      <w:tr w:rsidR="001028EF" w:rsidRPr="001028EF" w14:paraId="72F96221" w14:textId="77777777" w:rsidTr="001028EF">
        <w:trPr>
          <w:trHeight w:val="333"/>
        </w:trPr>
        <w:tc>
          <w:tcPr>
            <w:tcW w:w="0" w:type="auto"/>
            <w:tcBorders>
              <w:top w:val="nil"/>
              <w:left w:val="nil"/>
              <w:bottom w:val="nil"/>
              <w:right w:val="nil"/>
            </w:tcBorders>
            <w:hideMark/>
          </w:tcPr>
          <w:p w14:paraId="467786C0"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UP1</w:t>
            </w:r>
          </w:p>
        </w:tc>
        <w:tc>
          <w:tcPr>
            <w:tcW w:w="0" w:type="auto"/>
            <w:tcBorders>
              <w:top w:val="nil"/>
              <w:left w:val="nil"/>
              <w:bottom w:val="nil"/>
              <w:right w:val="nil"/>
            </w:tcBorders>
          </w:tcPr>
          <w:p w14:paraId="72793E60" w14:textId="77777777" w:rsidR="001028EF" w:rsidRPr="001028EF" w:rsidRDefault="001028EF" w:rsidP="001028EF">
            <w:pPr>
              <w:spacing w:after="0" w:line="276" w:lineRule="auto"/>
              <w:jc w:val="center"/>
              <w:rPr>
                <w:rFonts w:cs="Arial"/>
                <w:i/>
                <w:color w:val="000000" w:themeColor="text1"/>
                <w:sz w:val="16"/>
                <w:szCs w:val="16"/>
              </w:rPr>
            </w:pPr>
            <w:r w:rsidRPr="001028EF">
              <w:rPr>
                <w:rFonts w:cs="Arial"/>
                <w:i/>
                <w:color w:val="000000" w:themeColor="text1"/>
                <w:sz w:val="16"/>
                <w:szCs w:val="16"/>
              </w:rPr>
              <w:t>recent</w:t>
            </w:r>
          </w:p>
        </w:tc>
        <w:tc>
          <w:tcPr>
            <w:tcW w:w="0" w:type="auto"/>
            <w:tcBorders>
              <w:top w:val="nil"/>
              <w:left w:val="nil"/>
              <w:bottom w:val="nil"/>
              <w:right w:val="nil"/>
            </w:tcBorders>
            <w:hideMark/>
          </w:tcPr>
          <w:p w14:paraId="305AE5C8" w14:textId="77777777" w:rsidR="001028EF" w:rsidRPr="001028EF" w:rsidRDefault="001028EF" w:rsidP="001028EF">
            <w:pPr>
              <w:spacing w:after="0" w:line="276" w:lineRule="auto"/>
              <w:jc w:val="center"/>
              <w:rPr>
                <w:rFonts w:cs="Arial"/>
                <w:i/>
                <w:color w:val="000000" w:themeColor="text1"/>
                <w:sz w:val="16"/>
                <w:szCs w:val="16"/>
              </w:rPr>
            </w:pPr>
            <w:r w:rsidRPr="001028EF">
              <w:rPr>
                <w:rFonts w:cs="Arial"/>
                <w:i/>
                <w:color w:val="000000" w:themeColor="text1"/>
                <w:sz w:val="16"/>
                <w:szCs w:val="16"/>
              </w:rPr>
              <w:t>109</w:t>
            </w:r>
          </w:p>
        </w:tc>
        <w:tc>
          <w:tcPr>
            <w:tcW w:w="898" w:type="dxa"/>
            <w:tcBorders>
              <w:top w:val="nil"/>
              <w:left w:val="nil"/>
              <w:bottom w:val="nil"/>
              <w:right w:val="nil"/>
            </w:tcBorders>
            <w:hideMark/>
          </w:tcPr>
          <w:p w14:paraId="2A2DFBB4"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3.0-222.4</w:t>
            </w:r>
          </w:p>
        </w:tc>
        <w:tc>
          <w:tcPr>
            <w:tcW w:w="0" w:type="auto"/>
            <w:tcBorders>
              <w:top w:val="nil"/>
              <w:left w:val="nil"/>
              <w:right w:val="nil"/>
            </w:tcBorders>
            <w:hideMark/>
          </w:tcPr>
          <w:p w14:paraId="411DFE42" w14:textId="77777777" w:rsidR="001028EF" w:rsidRPr="001028EF" w:rsidRDefault="001028EF" w:rsidP="001028EF">
            <w:pPr>
              <w:spacing w:after="0" w:line="276" w:lineRule="auto"/>
              <w:jc w:val="center"/>
              <w:rPr>
                <w:rFonts w:cs="Arial"/>
                <w:color w:val="000000" w:themeColor="text1"/>
                <w:sz w:val="16"/>
                <w:szCs w:val="16"/>
              </w:rPr>
            </w:pPr>
          </w:p>
        </w:tc>
        <w:tc>
          <w:tcPr>
            <w:tcW w:w="721" w:type="dxa"/>
            <w:tcBorders>
              <w:top w:val="nil"/>
              <w:left w:val="nil"/>
              <w:right w:val="nil"/>
            </w:tcBorders>
          </w:tcPr>
          <w:p w14:paraId="36B009F6" w14:textId="77777777" w:rsidR="001028EF" w:rsidRPr="001028EF" w:rsidRDefault="001028EF" w:rsidP="001028EF">
            <w:pPr>
              <w:spacing w:after="0" w:line="276" w:lineRule="auto"/>
              <w:jc w:val="center"/>
              <w:rPr>
                <w:rFonts w:cs="Arial"/>
                <w:color w:val="000000" w:themeColor="text1"/>
                <w:sz w:val="16"/>
                <w:szCs w:val="16"/>
              </w:rPr>
            </w:pPr>
          </w:p>
        </w:tc>
        <w:tc>
          <w:tcPr>
            <w:tcW w:w="604" w:type="dxa"/>
            <w:tcBorders>
              <w:top w:val="nil"/>
              <w:left w:val="nil"/>
              <w:right w:val="nil"/>
            </w:tcBorders>
          </w:tcPr>
          <w:p w14:paraId="1A7AEFFF" w14:textId="77777777" w:rsidR="001028EF" w:rsidRPr="001028EF" w:rsidRDefault="001028EF" w:rsidP="001028EF">
            <w:pPr>
              <w:spacing w:after="0" w:line="276" w:lineRule="auto"/>
              <w:jc w:val="center"/>
              <w:rPr>
                <w:rFonts w:cs="Arial"/>
                <w:color w:val="000000" w:themeColor="text1"/>
                <w:sz w:val="16"/>
                <w:szCs w:val="16"/>
              </w:rPr>
            </w:pPr>
          </w:p>
        </w:tc>
        <w:tc>
          <w:tcPr>
            <w:tcW w:w="0" w:type="auto"/>
            <w:tcBorders>
              <w:top w:val="nil"/>
              <w:left w:val="nil"/>
              <w:bottom w:val="nil"/>
              <w:right w:val="nil"/>
            </w:tcBorders>
            <w:hideMark/>
          </w:tcPr>
          <w:p w14:paraId="7955C401"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15.8</w:t>
            </w:r>
          </w:p>
        </w:tc>
        <w:tc>
          <w:tcPr>
            <w:tcW w:w="967" w:type="dxa"/>
            <w:tcBorders>
              <w:top w:val="nil"/>
              <w:left w:val="nil"/>
              <w:bottom w:val="nil"/>
              <w:right w:val="nil"/>
            </w:tcBorders>
          </w:tcPr>
          <w:p w14:paraId="6A4D474F"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-2.3+2.7</w:t>
            </w:r>
          </w:p>
        </w:tc>
        <w:tc>
          <w:tcPr>
            <w:tcW w:w="0" w:type="auto"/>
            <w:tcBorders>
              <w:top w:val="nil"/>
              <w:left w:val="nil"/>
              <w:bottom w:val="nil"/>
              <w:right w:val="nil"/>
            </w:tcBorders>
          </w:tcPr>
          <w:p w14:paraId="31B57FBC"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90.5</w:t>
            </w:r>
          </w:p>
        </w:tc>
        <w:tc>
          <w:tcPr>
            <w:tcW w:w="0" w:type="auto"/>
            <w:tcBorders>
              <w:top w:val="nil"/>
              <w:left w:val="nil"/>
              <w:bottom w:val="nil"/>
              <w:right w:val="nil"/>
            </w:tcBorders>
            <w:hideMark/>
          </w:tcPr>
          <w:p w14:paraId="1AF22791" w14:textId="77777777" w:rsidR="001028EF" w:rsidRPr="001028EF" w:rsidRDefault="001028EF" w:rsidP="001028EF">
            <w:pPr>
              <w:spacing w:after="0" w:line="276" w:lineRule="auto"/>
              <w:jc w:val="center"/>
              <w:rPr>
                <w:rFonts w:cs="Arial"/>
                <w:color w:val="000000" w:themeColor="text1"/>
                <w:sz w:val="16"/>
                <w:szCs w:val="16"/>
              </w:rPr>
            </w:pPr>
          </w:p>
        </w:tc>
        <w:tc>
          <w:tcPr>
            <w:tcW w:w="940" w:type="dxa"/>
            <w:tcBorders>
              <w:top w:val="nil"/>
              <w:left w:val="nil"/>
              <w:bottom w:val="nil"/>
              <w:right w:val="nil"/>
            </w:tcBorders>
          </w:tcPr>
          <w:p w14:paraId="56E4981A" w14:textId="77777777" w:rsidR="001028EF" w:rsidRPr="001028EF" w:rsidRDefault="001028EF" w:rsidP="001028EF">
            <w:pPr>
              <w:spacing w:after="0" w:line="276" w:lineRule="auto"/>
              <w:jc w:val="center"/>
              <w:rPr>
                <w:rFonts w:cs="Arial"/>
                <w:color w:val="000000" w:themeColor="text1"/>
                <w:sz w:val="16"/>
                <w:szCs w:val="16"/>
              </w:rPr>
            </w:pPr>
          </w:p>
        </w:tc>
        <w:tc>
          <w:tcPr>
            <w:tcW w:w="0" w:type="auto"/>
            <w:tcBorders>
              <w:top w:val="nil"/>
              <w:left w:val="nil"/>
              <w:bottom w:val="nil"/>
              <w:right w:val="nil"/>
            </w:tcBorders>
          </w:tcPr>
          <w:p w14:paraId="1AAC00A7" w14:textId="77777777" w:rsidR="001028EF" w:rsidRPr="001028EF" w:rsidRDefault="001028EF" w:rsidP="001028EF">
            <w:pPr>
              <w:spacing w:after="0" w:line="276" w:lineRule="auto"/>
              <w:jc w:val="center"/>
              <w:rPr>
                <w:rFonts w:cs="Arial"/>
                <w:color w:val="000000" w:themeColor="text1"/>
                <w:sz w:val="16"/>
                <w:szCs w:val="16"/>
              </w:rPr>
            </w:pPr>
          </w:p>
        </w:tc>
        <w:tc>
          <w:tcPr>
            <w:tcW w:w="0" w:type="auto"/>
            <w:tcBorders>
              <w:top w:val="nil"/>
              <w:left w:val="nil"/>
              <w:bottom w:val="nil"/>
              <w:right w:val="nil"/>
            </w:tcBorders>
          </w:tcPr>
          <w:p w14:paraId="53A1CD06"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w:t>
            </w:r>
          </w:p>
        </w:tc>
        <w:tc>
          <w:tcPr>
            <w:tcW w:w="939" w:type="dxa"/>
            <w:tcBorders>
              <w:top w:val="nil"/>
              <w:left w:val="nil"/>
              <w:bottom w:val="nil"/>
              <w:right w:val="nil"/>
            </w:tcBorders>
          </w:tcPr>
          <w:p w14:paraId="01434E87" w14:textId="77777777" w:rsidR="001028EF" w:rsidRPr="001028EF" w:rsidRDefault="001028EF" w:rsidP="001028EF">
            <w:pPr>
              <w:spacing w:after="0" w:line="276" w:lineRule="auto"/>
              <w:jc w:val="center"/>
              <w:rPr>
                <w:rFonts w:cs="Arial"/>
                <w:color w:val="000000" w:themeColor="text1"/>
                <w:sz w:val="16"/>
                <w:szCs w:val="16"/>
              </w:rPr>
            </w:pPr>
          </w:p>
        </w:tc>
        <w:tc>
          <w:tcPr>
            <w:tcW w:w="0" w:type="auto"/>
            <w:tcBorders>
              <w:top w:val="nil"/>
              <w:left w:val="nil"/>
              <w:bottom w:val="nil"/>
              <w:right w:val="nil"/>
            </w:tcBorders>
          </w:tcPr>
          <w:p w14:paraId="0E284160" w14:textId="77777777" w:rsidR="001028EF" w:rsidRPr="001028EF" w:rsidRDefault="001028EF" w:rsidP="001028EF">
            <w:pPr>
              <w:spacing w:after="0" w:line="276" w:lineRule="auto"/>
              <w:jc w:val="center"/>
              <w:rPr>
                <w:rFonts w:cs="Arial"/>
                <w:color w:val="000000" w:themeColor="text1"/>
                <w:sz w:val="16"/>
                <w:szCs w:val="16"/>
              </w:rPr>
            </w:pPr>
          </w:p>
        </w:tc>
        <w:tc>
          <w:tcPr>
            <w:tcW w:w="0" w:type="auto"/>
            <w:tcBorders>
              <w:top w:val="nil"/>
              <w:left w:val="nil"/>
              <w:bottom w:val="nil"/>
              <w:right w:val="nil"/>
            </w:tcBorders>
          </w:tcPr>
          <w:p w14:paraId="3960B96C"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104.4</w:t>
            </w:r>
          </w:p>
        </w:tc>
        <w:tc>
          <w:tcPr>
            <w:tcW w:w="884" w:type="dxa"/>
            <w:tcBorders>
              <w:top w:val="nil"/>
              <w:left w:val="nil"/>
              <w:bottom w:val="nil"/>
              <w:right w:val="nil"/>
            </w:tcBorders>
          </w:tcPr>
          <w:p w14:paraId="4EB63665"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-2.3+2.7</w:t>
            </w:r>
          </w:p>
        </w:tc>
        <w:tc>
          <w:tcPr>
            <w:tcW w:w="0" w:type="auto"/>
            <w:tcBorders>
              <w:top w:val="nil"/>
              <w:left w:val="nil"/>
              <w:bottom w:val="nil"/>
              <w:right w:val="nil"/>
            </w:tcBorders>
          </w:tcPr>
          <w:p w14:paraId="3F518DDE"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9.5</w:t>
            </w:r>
          </w:p>
        </w:tc>
        <w:tc>
          <w:tcPr>
            <w:tcW w:w="0" w:type="auto"/>
            <w:tcBorders>
              <w:top w:val="nil"/>
              <w:left w:val="nil"/>
              <w:bottom w:val="nil"/>
              <w:right w:val="nil"/>
            </w:tcBorders>
          </w:tcPr>
          <w:p w14:paraId="36BC5AEF"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0.89</w:t>
            </w:r>
          </w:p>
        </w:tc>
      </w:tr>
      <w:tr w:rsidR="001028EF" w:rsidRPr="001028EF" w14:paraId="260E8971" w14:textId="77777777" w:rsidTr="001028EF">
        <w:trPr>
          <w:trHeight w:val="333"/>
        </w:trPr>
        <w:tc>
          <w:tcPr>
            <w:tcW w:w="0" w:type="auto"/>
            <w:tcBorders>
              <w:top w:val="nil"/>
              <w:left w:val="nil"/>
              <w:bottom w:val="nil"/>
              <w:right w:val="nil"/>
            </w:tcBorders>
            <w:hideMark/>
          </w:tcPr>
          <w:p w14:paraId="64368DFD"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CR2</w:t>
            </w:r>
          </w:p>
        </w:tc>
        <w:tc>
          <w:tcPr>
            <w:tcW w:w="0" w:type="auto"/>
            <w:tcBorders>
              <w:top w:val="nil"/>
              <w:left w:val="nil"/>
              <w:bottom w:val="nil"/>
              <w:right w:val="nil"/>
            </w:tcBorders>
          </w:tcPr>
          <w:p w14:paraId="1BF20272" w14:textId="77777777" w:rsidR="001028EF" w:rsidRPr="001028EF" w:rsidRDefault="001028EF" w:rsidP="001028EF">
            <w:pPr>
              <w:spacing w:after="0" w:line="276" w:lineRule="auto"/>
              <w:jc w:val="center"/>
              <w:rPr>
                <w:rFonts w:cs="Arial"/>
                <w:i/>
                <w:color w:val="000000" w:themeColor="text1"/>
                <w:sz w:val="16"/>
                <w:szCs w:val="16"/>
              </w:rPr>
            </w:pPr>
            <w:r w:rsidRPr="001028EF">
              <w:rPr>
                <w:rFonts w:cs="Arial"/>
                <w:i/>
                <w:color w:val="000000" w:themeColor="text1"/>
                <w:sz w:val="16"/>
                <w:szCs w:val="16"/>
              </w:rPr>
              <w:t>&lt;1.9</w:t>
            </w:r>
          </w:p>
        </w:tc>
        <w:tc>
          <w:tcPr>
            <w:tcW w:w="0" w:type="auto"/>
            <w:tcBorders>
              <w:top w:val="nil"/>
              <w:left w:val="nil"/>
              <w:bottom w:val="nil"/>
              <w:right w:val="nil"/>
            </w:tcBorders>
            <w:hideMark/>
          </w:tcPr>
          <w:p w14:paraId="2E549998" w14:textId="77777777" w:rsidR="001028EF" w:rsidRPr="001028EF" w:rsidRDefault="001028EF" w:rsidP="001028EF">
            <w:pPr>
              <w:spacing w:after="0" w:line="276" w:lineRule="auto"/>
              <w:jc w:val="center"/>
              <w:rPr>
                <w:rFonts w:cs="Arial"/>
                <w:i/>
                <w:color w:val="000000" w:themeColor="text1"/>
                <w:sz w:val="16"/>
                <w:szCs w:val="16"/>
              </w:rPr>
            </w:pPr>
            <w:r w:rsidRPr="001028EF">
              <w:rPr>
                <w:rFonts w:cs="Arial"/>
                <w:i/>
                <w:color w:val="000000" w:themeColor="text1"/>
                <w:sz w:val="16"/>
                <w:szCs w:val="16"/>
              </w:rPr>
              <w:t>109</w:t>
            </w:r>
          </w:p>
        </w:tc>
        <w:tc>
          <w:tcPr>
            <w:tcW w:w="898" w:type="dxa"/>
            <w:tcBorders>
              <w:top w:val="nil"/>
              <w:left w:val="nil"/>
              <w:bottom w:val="nil"/>
              <w:right w:val="nil"/>
            </w:tcBorders>
            <w:hideMark/>
          </w:tcPr>
          <w:p w14:paraId="7E952F50"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4.6-150.7</w:t>
            </w:r>
          </w:p>
        </w:tc>
        <w:tc>
          <w:tcPr>
            <w:tcW w:w="0" w:type="auto"/>
            <w:tcBorders>
              <w:left w:val="nil"/>
              <w:bottom w:val="nil"/>
              <w:right w:val="nil"/>
            </w:tcBorders>
            <w:hideMark/>
          </w:tcPr>
          <w:p w14:paraId="3C44FAC3" w14:textId="77777777" w:rsidR="001028EF" w:rsidRPr="001028EF" w:rsidRDefault="001028EF" w:rsidP="001028EF">
            <w:pPr>
              <w:spacing w:after="0" w:line="276" w:lineRule="auto"/>
              <w:jc w:val="center"/>
              <w:rPr>
                <w:rFonts w:cs="Arial"/>
                <w:color w:val="000000" w:themeColor="text1"/>
                <w:sz w:val="16"/>
                <w:szCs w:val="16"/>
              </w:rPr>
            </w:pPr>
          </w:p>
        </w:tc>
        <w:tc>
          <w:tcPr>
            <w:tcW w:w="721" w:type="dxa"/>
            <w:tcBorders>
              <w:left w:val="nil"/>
              <w:bottom w:val="nil"/>
              <w:right w:val="nil"/>
            </w:tcBorders>
          </w:tcPr>
          <w:p w14:paraId="3D54D77E" w14:textId="77777777" w:rsidR="001028EF" w:rsidRPr="001028EF" w:rsidRDefault="001028EF" w:rsidP="001028EF">
            <w:pPr>
              <w:spacing w:after="0" w:line="276" w:lineRule="auto"/>
              <w:jc w:val="center"/>
              <w:rPr>
                <w:rFonts w:cs="Arial"/>
                <w:color w:val="000000" w:themeColor="text1"/>
                <w:sz w:val="16"/>
                <w:szCs w:val="16"/>
              </w:rPr>
            </w:pPr>
          </w:p>
        </w:tc>
        <w:tc>
          <w:tcPr>
            <w:tcW w:w="604" w:type="dxa"/>
            <w:tcBorders>
              <w:left w:val="nil"/>
              <w:bottom w:val="nil"/>
              <w:right w:val="nil"/>
            </w:tcBorders>
          </w:tcPr>
          <w:p w14:paraId="7ADBCFA4" w14:textId="77777777" w:rsidR="001028EF" w:rsidRPr="001028EF" w:rsidRDefault="001028EF" w:rsidP="001028EF">
            <w:pPr>
              <w:spacing w:after="0" w:line="276" w:lineRule="auto"/>
              <w:jc w:val="center"/>
              <w:rPr>
                <w:rFonts w:cs="Arial"/>
                <w:color w:val="000000" w:themeColor="text1"/>
                <w:sz w:val="16"/>
                <w:szCs w:val="16"/>
              </w:rPr>
            </w:pPr>
          </w:p>
        </w:tc>
        <w:tc>
          <w:tcPr>
            <w:tcW w:w="0" w:type="auto"/>
            <w:tcBorders>
              <w:top w:val="nil"/>
              <w:left w:val="nil"/>
              <w:bottom w:val="nil"/>
              <w:right w:val="nil"/>
            </w:tcBorders>
            <w:hideMark/>
          </w:tcPr>
          <w:p w14:paraId="5DB9C2BC"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10.0</w:t>
            </w:r>
          </w:p>
        </w:tc>
        <w:tc>
          <w:tcPr>
            <w:tcW w:w="967" w:type="dxa"/>
            <w:tcBorders>
              <w:top w:val="nil"/>
              <w:left w:val="nil"/>
              <w:bottom w:val="nil"/>
              <w:right w:val="nil"/>
            </w:tcBorders>
            <w:vAlign w:val="center"/>
          </w:tcPr>
          <w:p w14:paraId="3A707F63"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-3.3+0.8</w:t>
            </w:r>
          </w:p>
        </w:tc>
        <w:tc>
          <w:tcPr>
            <w:tcW w:w="0" w:type="auto"/>
            <w:tcBorders>
              <w:top w:val="nil"/>
              <w:left w:val="nil"/>
              <w:bottom w:val="nil"/>
              <w:right w:val="nil"/>
            </w:tcBorders>
          </w:tcPr>
          <w:p w14:paraId="08D3D1AF"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44</w:t>
            </w:r>
          </w:p>
        </w:tc>
        <w:tc>
          <w:tcPr>
            <w:tcW w:w="0" w:type="auto"/>
            <w:tcBorders>
              <w:top w:val="nil"/>
              <w:left w:val="nil"/>
              <w:bottom w:val="nil"/>
              <w:right w:val="nil"/>
            </w:tcBorders>
            <w:hideMark/>
          </w:tcPr>
          <w:p w14:paraId="411FDC73"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21.1</w:t>
            </w:r>
          </w:p>
        </w:tc>
        <w:tc>
          <w:tcPr>
            <w:tcW w:w="940" w:type="dxa"/>
            <w:tcBorders>
              <w:top w:val="nil"/>
              <w:left w:val="nil"/>
              <w:bottom w:val="nil"/>
              <w:right w:val="nil"/>
            </w:tcBorders>
          </w:tcPr>
          <w:p w14:paraId="7E58F241"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-4.7+6.0</w:t>
            </w:r>
          </w:p>
        </w:tc>
        <w:tc>
          <w:tcPr>
            <w:tcW w:w="0" w:type="auto"/>
            <w:tcBorders>
              <w:top w:val="nil"/>
              <w:left w:val="nil"/>
              <w:bottom w:val="nil"/>
              <w:right w:val="nil"/>
            </w:tcBorders>
          </w:tcPr>
          <w:p w14:paraId="35529695"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42</w:t>
            </w:r>
          </w:p>
        </w:tc>
        <w:tc>
          <w:tcPr>
            <w:tcW w:w="0" w:type="auto"/>
            <w:tcBorders>
              <w:top w:val="nil"/>
              <w:left w:val="nil"/>
              <w:bottom w:val="nil"/>
              <w:right w:val="nil"/>
            </w:tcBorders>
          </w:tcPr>
          <w:p w14:paraId="3C67AC6B"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50.3</w:t>
            </w:r>
          </w:p>
        </w:tc>
        <w:tc>
          <w:tcPr>
            <w:tcW w:w="939" w:type="dxa"/>
            <w:tcBorders>
              <w:top w:val="nil"/>
              <w:left w:val="nil"/>
              <w:bottom w:val="nil"/>
              <w:right w:val="nil"/>
            </w:tcBorders>
          </w:tcPr>
          <w:p w14:paraId="704E59FD" w14:textId="77777777" w:rsidR="001028EF" w:rsidRPr="001028EF" w:rsidRDefault="001028EF" w:rsidP="001028EF">
            <w:pPr>
              <w:spacing w:after="0" w:line="276" w:lineRule="auto"/>
              <w:ind w:left="-108"/>
              <w:jc w:val="center"/>
              <w:rPr>
                <w:rFonts w:cs="Arial"/>
                <w:color w:val="000000" w:themeColor="text1"/>
                <w:sz w:val="16"/>
                <w:szCs w:val="16"/>
              </w:rPr>
            </w:pPr>
            <w:r w:rsidRPr="001028EF">
              <w:rPr>
                <w:rFonts w:cs="Arial"/>
                <w:color w:val="000000" w:themeColor="text1"/>
                <w:sz w:val="16"/>
                <w:szCs w:val="16"/>
              </w:rPr>
              <w:t>-27.6+60.8</w:t>
            </w:r>
          </w:p>
        </w:tc>
        <w:tc>
          <w:tcPr>
            <w:tcW w:w="0" w:type="auto"/>
            <w:tcBorders>
              <w:top w:val="nil"/>
              <w:left w:val="nil"/>
              <w:bottom w:val="nil"/>
              <w:right w:val="nil"/>
            </w:tcBorders>
          </w:tcPr>
          <w:p w14:paraId="08DF25F1"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14</w:t>
            </w:r>
          </w:p>
        </w:tc>
        <w:tc>
          <w:tcPr>
            <w:tcW w:w="0" w:type="auto"/>
            <w:tcBorders>
              <w:top w:val="nil"/>
              <w:left w:val="nil"/>
              <w:right w:val="nil"/>
            </w:tcBorders>
          </w:tcPr>
          <w:p w14:paraId="73BF38BC"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w:t>
            </w:r>
          </w:p>
        </w:tc>
        <w:tc>
          <w:tcPr>
            <w:tcW w:w="884" w:type="dxa"/>
            <w:tcBorders>
              <w:top w:val="nil"/>
              <w:left w:val="nil"/>
              <w:right w:val="nil"/>
            </w:tcBorders>
          </w:tcPr>
          <w:p w14:paraId="09F06841" w14:textId="77777777" w:rsidR="001028EF" w:rsidRPr="001028EF" w:rsidRDefault="001028EF" w:rsidP="001028EF">
            <w:pPr>
              <w:spacing w:after="0" w:line="276" w:lineRule="auto"/>
              <w:jc w:val="center"/>
              <w:rPr>
                <w:rFonts w:cs="Arial"/>
                <w:color w:val="000000" w:themeColor="text1"/>
                <w:sz w:val="16"/>
                <w:szCs w:val="16"/>
              </w:rPr>
            </w:pPr>
          </w:p>
        </w:tc>
        <w:tc>
          <w:tcPr>
            <w:tcW w:w="0" w:type="auto"/>
            <w:tcBorders>
              <w:top w:val="nil"/>
              <w:left w:val="nil"/>
              <w:right w:val="nil"/>
            </w:tcBorders>
          </w:tcPr>
          <w:p w14:paraId="66DC4513" w14:textId="77777777" w:rsidR="001028EF" w:rsidRPr="001028EF" w:rsidRDefault="001028EF" w:rsidP="001028EF">
            <w:pPr>
              <w:spacing w:after="0" w:line="276" w:lineRule="auto"/>
              <w:jc w:val="center"/>
              <w:rPr>
                <w:rFonts w:cs="Arial"/>
                <w:color w:val="000000" w:themeColor="text1"/>
                <w:sz w:val="16"/>
                <w:szCs w:val="16"/>
              </w:rPr>
            </w:pPr>
          </w:p>
        </w:tc>
        <w:tc>
          <w:tcPr>
            <w:tcW w:w="0" w:type="auto"/>
            <w:tcBorders>
              <w:top w:val="nil"/>
              <w:left w:val="nil"/>
              <w:bottom w:val="nil"/>
              <w:right w:val="nil"/>
            </w:tcBorders>
          </w:tcPr>
          <w:p w14:paraId="2B52E456"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0.90</w:t>
            </w:r>
          </w:p>
        </w:tc>
      </w:tr>
      <w:tr w:rsidR="001028EF" w:rsidRPr="001028EF" w14:paraId="3ABC5E9F" w14:textId="77777777" w:rsidTr="001028EF">
        <w:trPr>
          <w:trHeight w:val="333"/>
        </w:trPr>
        <w:tc>
          <w:tcPr>
            <w:tcW w:w="0" w:type="auto"/>
            <w:tcBorders>
              <w:top w:val="nil"/>
              <w:left w:val="nil"/>
              <w:bottom w:val="single" w:sz="4" w:space="0" w:color="auto"/>
              <w:right w:val="nil"/>
            </w:tcBorders>
            <w:hideMark/>
          </w:tcPr>
          <w:p w14:paraId="16BB717F"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CR1</w:t>
            </w:r>
          </w:p>
        </w:tc>
        <w:tc>
          <w:tcPr>
            <w:tcW w:w="0" w:type="auto"/>
            <w:tcBorders>
              <w:top w:val="nil"/>
              <w:left w:val="nil"/>
              <w:bottom w:val="single" w:sz="4" w:space="0" w:color="auto"/>
              <w:right w:val="nil"/>
            </w:tcBorders>
          </w:tcPr>
          <w:p w14:paraId="2FFDC684" w14:textId="77777777" w:rsidR="001028EF" w:rsidRPr="001028EF" w:rsidRDefault="001028EF" w:rsidP="001028EF">
            <w:pPr>
              <w:spacing w:after="0" w:line="276" w:lineRule="auto"/>
              <w:jc w:val="center"/>
              <w:rPr>
                <w:rFonts w:cs="Arial"/>
                <w:i/>
                <w:color w:val="000000" w:themeColor="text1"/>
                <w:sz w:val="16"/>
                <w:szCs w:val="16"/>
              </w:rPr>
            </w:pPr>
            <w:r w:rsidRPr="001028EF">
              <w:rPr>
                <w:rFonts w:cs="Arial"/>
                <w:i/>
                <w:color w:val="000000" w:themeColor="text1"/>
                <w:sz w:val="16"/>
                <w:szCs w:val="16"/>
              </w:rPr>
              <w:t>1.9-2.5</w:t>
            </w:r>
          </w:p>
        </w:tc>
        <w:tc>
          <w:tcPr>
            <w:tcW w:w="0" w:type="auto"/>
            <w:tcBorders>
              <w:top w:val="nil"/>
              <w:left w:val="nil"/>
              <w:bottom w:val="single" w:sz="4" w:space="0" w:color="auto"/>
              <w:right w:val="nil"/>
            </w:tcBorders>
            <w:hideMark/>
          </w:tcPr>
          <w:p w14:paraId="35B58454" w14:textId="77777777" w:rsidR="001028EF" w:rsidRPr="001028EF" w:rsidRDefault="001028EF" w:rsidP="001028EF">
            <w:pPr>
              <w:spacing w:after="0" w:line="276" w:lineRule="auto"/>
              <w:jc w:val="center"/>
              <w:rPr>
                <w:rFonts w:cs="Arial"/>
                <w:i/>
                <w:color w:val="000000" w:themeColor="text1"/>
                <w:sz w:val="16"/>
                <w:szCs w:val="16"/>
              </w:rPr>
            </w:pPr>
            <w:r w:rsidRPr="001028EF">
              <w:rPr>
                <w:rFonts w:cs="Arial"/>
                <w:i/>
                <w:color w:val="000000" w:themeColor="text1"/>
                <w:sz w:val="16"/>
                <w:szCs w:val="16"/>
              </w:rPr>
              <w:t>100</w:t>
            </w:r>
          </w:p>
        </w:tc>
        <w:tc>
          <w:tcPr>
            <w:tcW w:w="898" w:type="dxa"/>
            <w:tcBorders>
              <w:top w:val="nil"/>
              <w:left w:val="nil"/>
              <w:bottom w:val="single" w:sz="4" w:space="0" w:color="auto"/>
              <w:right w:val="nil"/>
            </w:tcBorders>
            <w:hideMark/>
          </w:tcPr>
          <w:p w14:paraId="0FA26435"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0.7-59.7</w:t>
            </w:r>
          </w:p>
        </w:tc>
        <w:tc>
          <w:tcPr>
            <w:tcW w:w="0" w:type="auto"/>
            <w:tcBorders>
              <w:top w:val="nil"/>
              <w:left w:val="nil"/>
              <w:bottom w:val="single" w:sz="4" w:space="0" w:color="auto"/>
              <w:right w:val="nil"/>
            </w:tcBorders>
            <w:hideMark/>
          </w:tcPr>
          <w:p w14:paraId="63EB08FD"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2.3</w:t>
            </w:r>
          </w:p>
        </w:tc>
        <w:tc>
          <w:tcPr>
            <w:tcW w:w="721" w:type="dxa"/>
            <w:tcBorders>
              <w:top w:val="nil"/>
              <w:left w:val="nil"/>
              <w:bottom w:val="single" w:sz="4" w:space="0" w:color="auto"/>
              <w:right w:val="nil"/>
            </w:tcBorders>
          </w:tcPr>
          <w:p w14:paraId="4AC4B38B"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-0.4+0.4</w:t>
            </w:r>
          </w:p>
        </w:tc>
        <w:tc>
          <w:tcPr>
            <w:tcW w:w="604" w:type="dxa"/>
            <w:tcBorders>
              <w:top w:val="nil"/>
              <w:left w:val="nil"/>
              <w:bottom w:val="single" w:sz="4" w:space="0" w:color="auto"/>
              <w:right w:val="nil"/>
            </w:tcBorders>
          </w:tcPr>
          <w:p w14:paraId="7728A8F8"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96</w:t>
            </w:r>
          </w:p>
        </w:tc>
        <w:tc>
          <w:tcPr>
            <w:tcW w:w="0" w:type="auto"/>
            <w:tcBorders>
              <w:top w:val="nil"/>
              <w:left w:val="nil"/>
              <w:bottom w:val="single" w:sz="4" w:space="0" w:color="auto"/>
              <w:right w:val="nil"/>
            </w:tcBorders>
            <w:hideMark/>
          </w:tcPr>
          <w:p w14:paraId="6DE72B40" w14:textId="77777777" w:rsidR="001028EF" w:rsidRPr="001028EF" w:rsidRDefault="001028EF" w:rsidP="001028EF">
            <w:pPr>
              <w:spacing w:after="0" w:line="276" w:lineRule="auto"/>
              <w:jc w:val="center"/>
              <w:rPr>
                <w:rFonts w:cs="Arial"/>
                <w:color w:val="000000" w:themeColor="text1"/>
                <w:sz w:val="16"/>
                <w:szCs w:val="16"/>
              </w:rPr>
            </w:pPr>
          </w:p>
        </w:tc>
        <w:tc>
          <w:tcPr>
            <w:tcW w:w="967" w:type="dxa"/>
            <w:tcBorders>
              <w:top w:val="nil"/>
              <w:left w:val="nil"/>
              <w:bottom w:val="single" w:sz="4" w:space="0" w:color="auto"/>
              <w:right w:val="nil"/>
            </w:tcBorders>
          </w:tcPr>
          <w:p w14:paraId="58732B83" w14:textId="77777777" w:rsidR="001028EF" w:rsidRPr="001028EF" w:rsidRDefault="001028EF" w:rsidP="001028EF">
            <w:pPr>
              <w:spacing w:after="0" w:line="276" w:lineRule="auto"/>
              <w:jc w:val="center"/>
              <w:rPr>
                <w:rFonts w:cs="Arial"/>
                <w:color w:val="000000" w:themeColor="text1"/>
                <w:sz w:val="16"/>
                <w:szCs w:val="16"/>
              </w:rPr>
            </w:pPr>
          </w:p>
        </w:tc>
        <w:tc>
          <w:tcPr>
            <w:tcW w:w="0" w:type="auto"/>
            <w:tcBorders>
              <w:top w:val="nil"/>
              <w:left w:val="nil"/>
              <w:bottom w:val="single" w:sz="4" w:space="0" w:color="auto"/>
              <w:right w:val="nil"/>
            </w:tcBorders>
          </w:tcPr>
          <w:p w14:paraId="555924C5" w14:textId="77777777" w:rsidR="001028EF" w:rsidRPr="001028EF" w:rsidRDefault="001028EF" w:rsidP="001028EF">
            <w:pPr>
              <w:spacing w:after="0" w:line="276" w:lineRule="auto"/>
              <w:jc w:val="center"/>
              <w:rPr>
                <w:rFonts w:cs="Arial"/>
                <w:color w:val="000000" w:themeColor="text1"/>
                <w:sz w:val="16"/>
                <w:szCs w:val="16"/>
              </w:rPr>
            </w:pPr>
          </w:p>
        </w:tc>
        <w:tc>
          <w:tcPr>
            <w:tcW w:w="0" w:type="auto"/>
            <w:tcBorders>
              <w:top w:val="nil"/>
              <w:left w:val="nil"/>
              <w:bottom w:val="single" w:sz="4" w:space="0" w:color="auto"/>
              <w:right w:val="nil"/>
            </w:tcBorders>
            <w:hideMark/>
          </w:tcPr>
          <w:p w14:paraId="57E46DC9"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28.5</w:t>
            </w:r>
          </w:p>
        </w:tc>
        <w:tc>
          <w:tcPr>
            <w:tcW w:w="940" w:type="dxa"/>
            <w:tcBorders>
              <w:top w:val="nil"/>
              <w:left w:val="nil"/>
              <w:bottom w:val="single" w:sz="4" w:space="0" w:color="auto"/>
              <w:right w:val="nil"/>
            </w:tcBorders>
          </w:tcPr>
          <w:p w14:paraId="71549826" w14:textId="77777777" w:rsidR="001028EF" w:rsidRPr="001028EF" w:rsidRDefault="001028EF" w:rsidP="001028EF">
            <w:pPr>
              <w:spacing w:after="0" w:line="276" w:lineRule="auto"/>
              <w:ind w:left="-108"/>
              <w:jc w:val="center"/>
              <w:rPr>
                <w:rFonts w:cs="Arial"/>
                <w:color w:val="000000" w:themeColor="text1"/>
                <w:sz w:val="16"/>
                <w:szCs w:val="16"/>
              </w:rPr>
            </w:pPr>
            <w:r w:rsidRPr="001028EF">
              <w:rPr>
                <w:rFonts w:cs="Arial"/>
                <w:color w:val="000000" w:themeColor="text1"/>
                <w:sz w:val="16"/>
                <w:szCs w:val="16"/>
              </w:rPr>
              <w:t>-12.9+23.5</w:t>
            </w:r>
          </w:p>
        </w:tc>
        <w:tc>
          <w:tcPr>
            <w:tcW w:w="0" w:type="auto"/>
            <w:tcBorders>
              <w:top w:val="nil"/>
              <w:left w:val="nil"/>
              <w:bottom w:val="single" w:sz="4" w:space="0" w:color="auto"/>
              <w:right w:val="nil"/>
            </w:tcBorders>
          </w:tcPr>
          <w:p w14:paraId="555DEBBB"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4</w:t>
            </w:r>
          </w:p>
        </w:tc>
        <w:tc>
          <w:tcPr>
            <w:tcW w:w="0" w:type="auto"/>
            <w:tcBorders>
              <w:top w:val="nil"/>
              <w:left w:val="nil"/>
              <w:bottom w:val="single" w:sz="4" w:space="0" w:color="auto"/>
              <w:right w:val="nil"/>
            </w:tcBorders>
          </w:tcPr>
          <w:p w14:paraId="0F293D94"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w:t>
            </w:r>
          </w:p>
        </w:tc>
        <w:tc>
          <w:tcPr>
            <w:tcW w:w="939" w:type="dxa"/>
            <w:tcBorders>
              <w:top w:val="nil"/>
              <w:left w:val="nil"/>
              <w:bottom w:val="single" w:sz="4" w:space="0" w:color="auto"/>
              <w:right w:val="nil"/>
            </w:tcBorders>
          </w:tcPr>
          <w:p w14:paraId="3C2C05AC" w14:textId="77777777" w:rsidR="001028EF" w:rsidRPr="001028EF" w:rsidRDefault="001028EF" w:rsidP="001028EF">
            <w:pPr>
              <w:spacing w:after="0" w:line="276" w:lineRule="auto"/>
              <w:jc w:val="center"/>
              <w:rPr>
                <w:rFonts w:cs="Arial"/>
                <w:color w:val="000000" w:themeColor="text1"/>
                <w:sz w:val="16"/>
                <w:szCs w:val="16"/>
              </w:rPr>
            </w:pPr>
          </w:p>
        </w:tc>
        <w:tc>
          <w:tcPr>
            <w:tcW w:w="0" w:type="auto"/>
            <w:tcBorders>
              <w:top w:val="nil"/>
              <w:left w:val="nil"/>
              <w:bottom w:val="single" w:sz="4" w:space="0" w:color="auto"/>
              <w:right w:val="nil"/>
            </w:tcBorders>
          </w:tcPr>
          <w:p w14:paraId="7FE26615" w14:textId="77777777" w:rsidR="001028EF" w:rsidRPr="001028EF" w:rsidRDefault="001028EF" w:rsidP="001028EF">
            <w:pPr>
              <w:spacing w:after="0" w:line="276" w:lineRule="auto"/>
              <w:jc w:val="center"/>
              <w:rPr>
                <w:rFonts w:cs="Arial"/>
                <w:color w:val="000000" w:themeColor="text1"/>
                <w:sz w:val="16"/>
                <w:szCs w:val="16"/>
              </w:rPr>
            </w:pPr>
          </w:p>
        </w:tc>
        <w:tc>
          <w:tcPr>
            <w:tcW w:w="0" w:type="auto"/>
            <w:tcBorders>
              <w:left w:val="nil"/>
              <w:bottom w:val="single" w:sz="4" w:space="0" w:color="auto"/>
              <w:right w:val="nil"/>
            </w:tcBorders>
          </w:tcPr>
          <w:p w14:paraId="2B73223A" w14:textId="77777777" w:rsidR="001028EF" w:rsidRPr="001028EF" w:rsidRDefault="001028EF" w:rsidP="001028EF">
            <w:pPr>
              <w:spacing w:after="0" w:line="276" w:lineRule="auto"/>
              <w:jc w:val="center"/>
              <w:rPr>
                <w:rFonts w:cs="Arial"/>
                <w:color w:val="000000" w:themeColor="text1"/>
                <w:sz w:val="16"/>
                <w:szCs w:val="16"/>
              </w:rPr>
            </w:pPr>
          </w:p>
        </w:tc>
        <w:tc>
          <w:tcPr>
            <w:tcW w:w="884" w:type="dxa"/>
            <w:tcBorders>
              <w:left w:val="nil"/>
              <w:bottom w:val="single" w:sz="4" w:space="0" w:color="auto"/>
              <w:right w:val="nil"/>
            </w:tcBorders>
          </w:tcPr>
          <w:p w14:paraId="7AF4C270" w14:textId="77777777" w:rsidR="001028EF" w:rsidRPr="001028EF" w:rsidRDefault="001028EF" w:rsidP="001028EF">
            <w:pPr>
              <w:spacing w:after="0" w:line="276" w:lineRule="auto"/>
              <w:jc w:val="center"/>
              <w:rPr>
                <w:rFonts w:cs="Arial"/>
                <w:color w:val="000000" w:themeColor="text1"/>
                <w:sz w:val="16"/>
                <w:szCs w:val="16"/>
              </w:rPr>
            </w:pPr>
          </w:p>
        </w:tc>
        <w:tc>
          <w:tcPr>
            <w:tcW w:w="0" w:type="auto"/>
            <w:tcBorders>
              <w:left w:val="nil"/>
              <w:bottom w:val="single" w:sz="4" w:space="0" w:color="auto"/>
              <w:right w:val="nil"/>
            </w:tcBorders>
          </w:tcPr>
          <w:p w14:paraId="1AD44BCF" w14:textId="77777777" w:rsidR="001028EF" w:rsidRPr="001028EF" w:rsidRDefault="001028EF" w:rsidP="001028EF">
            <w:pPr>
              <w:spacing w:after="0" w:line="276" w:lineRule="auto"/>
              <w:jc w:val="center"/>
              <w:rPr>
                <w:rFonts w:cs="Arial"/>
                <w:color w:val="000000" w:themeColor="text1"/>
                <w:sz w:val="16"/>
                <w:szCs w:val="16"/>
              </w:rPr>
            </w:pPr>
          </w:p>
        </w:tc>
        <w:tc>
          <w:tcPr>
            <w:tcW w:w="0" w:type="auto"/>
            <w:tcBorders>
              <w:top w:val="nil"/>
              <w:left w:val="nil"/>
              <w:bottom w:val="single" w:sz="4" w:space="0" w:color="auto"/>
              <w:right w:val="nil"/>
            </w:tcBorders>
          </w:tcPr>
          <w:p w14:paraId="5D6D0742"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1.07</w:t>
            </w:r>
          </w:p>
        </w:tc>
      </w:tr>
      <w:tr w:rsidR="001028EF" w:rsidRPr="001028EF" w14:paraId="5F69888D" w14:textId="77777777" w:rsidTr="00530331">
        <w:trPr>
          <w:trHeight w:val="333"/>
        </w:trPr>
        <w:tc>
          <w:tcPr>
            <w:tcW w:w="0" w:type="auto"/>
            <w:tcBorders>
              <w:top w:val="single" w:sz="4" w:space="0" w:color="auto"/>
              <w:left w:val="nil"/>
              <w:bottom w:val="nil"/>
              <w:right w:val="nil"/>
            </w:tcBorders>
            <w:hideMark/>
          </w:tcPr>
          <w:p w14:paraId="6786C5F6" w14:textId="77777777" w:rsidR="001028EF" w:rsidRPr="001028EF" w:rsidRDefault="001028EF" w:rsidP="001028EF">
            <w:pPr>
              <w:spacing w:after="0" w:line="276" w:lineRule="auto"/>
              <w:jc w:val="center"/>
              <w:rPr>
                <w:rFonts w:cs="Arial"/>
                <w:b/>
                <w:color w:val="000000" w:themeColor="text1"/>
                <w:sz w:val="16"/>
                <w:szCs w:val="16"/>
              </w:rPr>
            </w:pPr>
            <w:r w:rsidRPr="001028EF">
              <w:rPr>
                <w:rFonts w:cs="Arial"/>
                <w:b/>
                <w:sz w:val="16"/>
                <w:szCs w:val="16"/>
                <w:lang w:val="en-GB"/>
              </w:rPr>
              <w:t>U1380</w:t>
            </w:r>
          </w:p>
        </w:tc>
        <w:tc>
          <w:tcPr>
            <w:tcW w:w="0" w:type="auto"/>
            <w:tcBorders>
              <w:top w:val="single" w:sz="4" w:space="0" w:color="auto"/>
              <w:left w:val="nil"/>
              <w:bottom w:val="nil"/>
              <w:right w:val="nil"/>
            </w:tcBorders>
          </w:tcPr>
          <w:p w14:paraId="38656428" w14:textId="77777777" w:rsidR="001028EF" w:rsidRPr="001028EF" w:rsidRDefault="001028EF" w:rsidP="001028EF">
            <w:pPr>
              <w:spacing w:after="0" w:line="276" w:lineRule="auto"/>
              <w:jc w:val="center"/>
              <w:rPr>
                <w:rFonts w:cs="Arial"/>
                <w:i/>
                <w:color w:val="000000" w:themeColor="text1"/>
                <w:sz w:val="16"/>
                <w:szCs w:val="16"/>
              </w:rPr>
            </w:pPr>
          </w:p>
        </w:tc>
        <w:tc>
          <w:tcPr>
            <w:tcW w:w="0" w:type="auto"/>
            <w:tcBorders>
              <w:top w:val="single" w:sz="4" w:space="0" w:color="auto"/>
              <w:left w:val="nil"/>
              <w:bottom w:val="nil"/>
              <w:right w:val="nil"/>
            </w:tcBorders>
            <w:hideMark/>
          </w:tcPr>
          <w:p w14:paraId="24C01AB0" w14:textId="77777777" w:rsidR="001028EF" w:rsidRPr="001028EF" w:rsidRDefault="001028EF" w:rsidP="001028EF">
            <w:pPr>
              <w:spacing w:after="0" w:line="276" w:lineRule="auto"/>
              <w:jc w:val="center"/>
              <w:rPr>
                <w:rFonts w:cs="Arial"/>
                <w:i/>
                <w:color w:val="000000" w:themeColor="text1"/>
                <w:sz w:val="16"/>
                <w:szCs w:val="16"/>
              </w:rPr>
            </w:pPr>
          </w:p>
        </w:tc>
        <w:tc>
          <w:tcPr>
            <w:tcW w:w="898" w:type="dxa"/>
            <w:tcBorders>
              <w:top w:val="single" w:sz="4" w:space="0" w:color="auto"/>
              <w:left w:val="nil"/>
              <w:bottom w:val="nil"/>
              <w:right w:val="nil"/>
            </w:tcBorders>
            <w:hideMark/>
          </w:tcPr>
          <w:p w14:paraId="78CCA8B4" w14:textId="77777777" w:rsidR="001028EF" w:rsidRPr="001028EF" w:rsidRDefault="001028EF" w:rsidP="001028EF">
            <w:pPr>
              <w:spacing w:after="0" w:line="276" w:lineRule="auto"/>
              <w:jc w:val="center"/>
              <w:rPr>
                <w:rFonts w:cs="Arial"/>
                <w:color w:val="000000" w:themeColor="text1"/>
                <w:sz w:val="16"/>
                <w:szCs w:val="16"/>
              </w:rPr>
            </w:pPr>
          </w:p>
        </w:tc>
        <w:tc>
          <w:tcPr>
            <w:tcW w:w="0" w:type="auto"/>
            <w:gridSpan w:val="3"/>
            <w:tcBorders>
              <w:top w:val="single" w:sz="4" w:space="0" w:color="auto"/>
              <w:left w:val="nil"/>
              <w:bottom w:val="nil"/>
              <w:right w:val="nil"/>
            </w:tcBorders>
            <w:hideMark/>
          </w:tcPr>
          <w:p w14:paraId="5E70E844" w14:textId="77777777" w:rsidR="001028EF" w:rsidRPr="001028EF" w:rsidRDefault="001028EF" w:rsidP="001028EF">
            <w:pPr>
              <w:spacing w:after="0" w:line="276" w:lineRule="auto"/>
              <w:jc w:val="center"/>
              <w:rPr>
                <w:rFonts w:cs="Arial"/>
                <w:color w:val="000000" w:themeColor="text1"/>
                <w:sz w:val="16"/>
                <w:szCs w:val="16"/>
              </w:rPr>
            </w:pPr>
          </w:p>
        </w:tc>
        <w:tc>
          <w:tcPr>
            <w:tcW w:w="2011" w:type="dxa"/>
            <w:gridSpan w:val="3"/>
            <w:tcBorders>
              <w:top w:val="single" w:sz="4" w:space="0" w:color="auto"/>
              <w:left w:val="nil"/>
              <w:bottom w:val="nil"/>
              <w:right w:val="nil"/>
            </w:tcBorders>
            <w:hideMark/>
          </w:tcPr>
          <w:p w14:paraId="2C8B61AE" w14:textId="77777777" w:rsidR="001028EF" w:rsidRPr="001028EF" w:rsidRDefault="001028EF" w:rsidP="001028EF">
            <w:pPr>
              <w:spacing w:after="0" w:line="276" w:lineRule="auto"/>
              <w:jc w:val="center"/>
              <w:rPr>
                <w:rFonts w:cs="Arial"/>
                <w:color w:val="000000" w:themeColor="text1"/>
                <w:sz w:val="16"/>
                <w:szCs w:val="16"/>
              </w:rPr>
            </w:pPr>
          </w:p>
        </w:tc>
        <w:tc>
          <w:tcPr>
            <w:tcW w:w="1985" w:type="dxa"/>
            <w:gridSpan w:val="3"/>
            <w:tcBorders>
              <w:top w:val="single" w:sz="4" w:space="0" w:color="auto"/>
              <w:left w:val="nil"/>
              <w:bottom w:val="nil"/>
              <w:right w:val="nil"/>
            </w:tcBorders>
            <w:hideMark/>
          </w:tcPr>
          <w:p w14:paraId="7A2F160A" w14:textId="77777777" w:rsidR="001028EF" w:rsidRPr="001028EF" w:rsidRDefault="001028EF" w:rsidP="001028EF">
            <w:pPr>
              <w:spacing w:after="0" w:line="276" w:lineRule="auto"/>
              <w:jc w:val="center"/>
              <w:rPr>
                <w:rFonts w:cs="Arial"/>
                <w:color w:val="000000" w:themeColor="text1"/>
                <w:sz w:val="16"/>
                <w:szCs w:val="16"/>
              </w:rPr>
            </w:pPr>
          </w:p>
        </w:tc>
        <w:tc>
          <w:tcPr>
            <w:tcW w:w="1984" w:type="dxa"/>
            <w:gridSpan w:val="3"/>
            <w:tcBorders>
              <w:top w:val="single" w:sz="4" w:space="0" w:color="auto"/>
              <w:left w:val="nil"/>
              <w:bottom w:val="nil"/>
              <w:right w:val="nil"/>
            </w:tcBorders>
          </w:tcPr>
          <w:p w14:paraId="7B6D88EC" w14:textId="77777777" w:rsidR="001028EF" w:rsidRPr="001028EF" w:rsidRDefault="001028EF" w:rsidP="001028EF">
            <w:pPr>
              <w:spacing w:after="0" w:line="276" w:lineRule="auto"/>
              <w:jc w:val="center"/>
              <w:rPr>
                <w:rFonts w:cs="Arial"/>
                <w:color w:val="000000" w:themeColor="text1"/>
                <w:sz w:val="16"/>
                <w:szCs w:val="16"/>
              </w:rPr>
            </w:pPr>
          </w:p>
        </w:tc>
        <w:tc>
          <w:tcPr>
            <w:tcW w:w="1985" w:type="dxa"/>
            <w:gridSpan w:val="3"/>
            <w:tcBorders>
              <w:top w:val="single" w:sz="4" w:space="0" w:color="auto"/>
              <w:left w:val="nil"/>
              <w:bottom w:val="nil"/>
              <w:right w:val="nil"/>
            </w:tcBorders>
          </w:tcPr>
          <w:p w14:paraId="342AB95A" w14:textId="77777777" w:rsidR="001028EF" w:rsidRPr="001028EF" w:rsidRDefault="001028EF" w:rsidP="001028EF">
            <w:pPr>
              <w:spacing w:after="0" w:line="276" w:lineRule="auto"/>
              <w:jc w:val="center"/>
              <w:rPr>
                <w:rFonts w:cs="Arial"/>
                <w:color w:val="000000" w:themeColor="text1"/>
                <w:sz w:val="16"/>
                <w:szCs w:val="16"/>
              </w:rPr>
            </w:pPr>
          </w:p>
        </w:tc>
        <w:tc>
          <w:tcPr>
            <w:tcW w:w="0" w:type="auto"/>
            <w:tcBorders>
              <w:top w:val="single" w:sz="4" w:space="0" w:color="auto"/>
              <w:left w:val="nil"/>
              <w:bottom w:val="nil"/>
              <w:right w:val="nil"/>
            </w:tcBorders>
          </w:tcPr>
          <w:p w14:paraId="66156FA9" w14:textId="77777777" w:rsidR="001028EF" w:rsidRPr="001028EF" w:rsidRDefault="001028EF" w:rsidP="001028EF">
            <w:pPr>
              <w:spacing w:after="0" w:line="276" w:lineRule="auto"/>
              <w:jc w:val="center"/>
              <w:rPr>
                <w:rFonts w:cs="Arial"/>
                <w:color w:val="000000" w:themeColor="text1"/>
                <w:sz w:val="16"/>
                <w:szCs w:val="16"/>
              </w:rPr>
            </w:pPr>
          </w:p>
        </w:tc>
      </w:tr>
      <w:tr w:rsidR="001028EF" w:rsidRPr="001028EF" w14:paraId="298A7865" w14:textId="77777777" w:rsidTr="001028EF">
        <w:trPr>
          <w:trHeight w:val="333"/>
        </w:trPr>
        <w:tc>
          <w:tcPr>
            <w:tcW w:w="0" w:type="auto"/>
            <w:tcBorders>
              <w:top w:val="nil"/>
              <w:left w:val="nil"/>
              <w:bottom w:val="single" w:sz="4" w:space="0" w:color="auto"/>
              <w:right w:val="nil"/>
            </w:tcBorders>
            <w:hideMark/>
          </w:tcPr>
          <w:p w14:paraId="6EA8611C"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CR3</w:t>
            </w:r>
          </w:p>
        </w:tc>
        <w:tc>
          <w:tcPr>
            <w:tcW w:w="0" w:type="auto"/>
            <w:tcBorders>
              <w:top w:val="nil"/>
              <w:left w:val="nil"/>
              <w:bottom w:val="single" w:sz="4" w:space="0" w:color="auto"/>
              <w:right w:val="nil"/>
            </w:tcBorders>
          </w:tcPr>
          <w:p w14:paraId="4CA271D9" w14:textId="77777777" w:rsidR="001028EF" w:rsidRPr="001028EF" w:rsidRDefault="001028EF" w:rsidP="001028EF">
            <w:pPr>
              <w:spacing w:after="0" w:line="276" w:lineRule="auto"/>
              <w:jc w:val="center"/>
              <w:rPr>
                <w:rFonts w:cs="Arial"/>
                <w:i/>
                <w:color w:val="000000" w:themeColor="text1"/>
                <w:sz w:val="16"/>
                <w:szCs w:val="16"/>
              </w:rPr>
            </w:pPr>
            <w:r w:rsidRPr="001028EF">
              <w:rPr>
                <w:rFonts w:cs="Arial"/>
                <w:i/>
                <w:color w:val="000000" w:themeColor="text1"/>
                <w:sz w:val="16"/>
                <w:szCs w:val="16"/>
              </w:rPr>
              <w:t>&lt;1.9</w:t>
            </w:r>
          </w:p>
        </w:tc>
        <w:tc>
          <w:tcPr>
            <w:tcW w:w="0" w:type="auto"/>
            <w:tcBorders>
              <w:top w:val="nil"/>
              <w:left w:val="nil"/>
              <w:bottom w:val="single" w:sz="4" w:space="0" w:color="auto"/>
              <w:right w:val="nil"/>
            </w:tcBorders>
            <w:hideMark/>
          </w:tcPr>
          <w:p w14:paraId="0EF66348" w14:textId="77777777" w:rsidR="001028EF" w:rsidRPr="001028EF" w:rsidRDefault="001028EF" w:rsidP="001028EF">
            <w:pPr>
              <w:spacing w:after="0" w:line="276" w:lineRule="auto"/>
              <w:jc w:val="center"/>
              <w:rPr>
                <w:rFonts w:cs="Arial"/>
                <w:i/>
                <w:color w:val="000000" w:themeColor="text1"/>
                <w:sz w:val="16"/>
                <w:szCs w:val="16"/>
              </w:rPr>
            </w:pPr>
            <w:r w:rsidRPr="001028EF">
              <w:rPr>
                <w:rFonts w:cs="Arial"/>
                <w:i/>
                <w:color w:val="000000" w:themeColor="text1"/>
                <w:sz w:val="16"/>
                <w:szCs w:val="16"/>
              </w:rPr>
              <w:t>113</w:t>
            </w:r>
          </w:p>
        </w:tc>
        <w:tc>
          <w:tcPr>
            <w:tcW w:w="898" w:type="dxa"/>
            <w:tcBorders>
              <w:top w:val="nil"/>
              <w:left w:val="nil"/>
              <w:bottom w:val="single" w:sz="4" w:space="0" w:color="auto"/>
              <w:right w:val="nil"/>
            </w:tcBorders>
            <w:hideMark/>
          </w:tcPr>
          <w:p w14:paraId="1D4B85A5"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1.0- 348.4</w:t>
            </w:r>
          </w:p>
        </w:tc>
        <w:tc>
          <w:tcPr>
            <w:tcW w:w="0" w:type="auto"/>
            <w:tcBorders>
              <w:top w:val="nil"/>
              <w:left w:val="nil"/>
              <w:bottom w:val="single" w:sz="4" w:space="0" w:color="auto"/>
              <w:right w:val="nil"/>
            </w:tcBorders>
            <w:hideMark/>
          </w:tcPr>
          <w:p w14:paraId="7552BF2A" w14:textId="77777777" w:rsidR="001028EF" w:rsidRPr="001028EF" w:rsidRDefault="001028EF" w:rsidP="001028EF">
            <w:pPr>
              <w:spacing w:after="0" w:line="276" w:lineRule="auto"/>
              <w:jc w:val="center"/>
              <w:rPr>
                <w:rFonts w:cs="Arial"/>
                <w:color w:val="000000" w:themeColor="text1"/>
                <w:sz w:val="16"/>
                <w:szCs w:val="16"/>
              </w:rPr>
            </w:pPr>
          </w:p>
        </w:tc>
        <w:tc>
          <w:tcPr>
            <w:tcW w:w="0" w:type="auto"/>
            <w:tcBorders>
              <w:top w:val="nil"/>
              <w:left w:val="nil"/>
              <w:bottom w:val="single" w:sz="4" w:space="0" w:color="auto"/>
              <w:right w:val="nil"/>
            </w:tcBorders>
          </w:tcPr>
          <w:p w14:paraId="027C9F41" w14:textId="77777777" w:rsidR="001028EF" w:rsidRPr="001028EF" w:rsidRDefault="001028EF" w:rsidP="001028EF">
            <w:pPr>
              <w:spacing w:after="0" w:line="276" w:lineRule="auto"/>
              <w:jc w:val="center"/>
              <w:rPr>
                <w:rFonts w:cs="Arial"/>
                <w:color w:val="000000" w:themeColor="text1"/>
                <w:sz w:val="16"/>
                <w:szCs w:val="16"/>
              </w:rPr>
            </w:pPr>
          </w:p>
        </w:tc>
        <w:tc>
          <w:tcPr>
            <w:tcW w:w="0" w:type="auto"/>
            <w:tcBorders>
              <w:top w:val="nil"/>
              <w:left w:val="nil"/>
              <w:bottom w:val="single" w:sz="4" w:space="0" w:color="auto"/>
              <w:right w:val="nil"/>
            </w:tcBorders>
          </w:tcPr>
          <w:p w14:paraId="01F630CC" w14:textId="77777777" w:rsidR="001028EF" w:rsidRPr="001028EF" w:rsidRDefault="001028EF" w:rsidP="001028EF">
            <w:pPr>
              <w:spacing w:after="0" w:line="276" w:lineRule="auto"/>
              <w:jc w:val="center"/>
              <w:rPr>
                <w:rFonts w:cs="Arial"/>
                <w:color w:val="000000" w:themeColor="text1"/>
                <w:sz w:val="16"/>
                <w:szCs w:val="16"/>
              </w:rPr>
            </w:pPr>
          </w:p>
        </w:tc>
        <w:tc>
          <w:tcPr>
            <w:tcW w:w="0" w:type="auto"/>
            <w:tcBorders>
              <w:top w:val="nil"/>
              <w:left w:val="nil"/>
              <w:bottom w:val="single" w:sz="4" w:space="0" w:color="auto"/>
              <w:right w:val="nil"/>
            </w:tcBorders>
            <w:hideMark/>
          </w:tcPr>
          <w:p w14:paraId="5CBAADB8"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10.4</w:t>
            </w:r>
          </w:p>
        </w:tc>
        <w:tc>
          <w:tcPr>
            <w:tcW w:w="967" w:type="dxa"/>
            <w:tcBorders>
              <w:top w:val="nil"/>
              <w:left w:val="nil"/>
              <w:bottom w:val="single" w:sz="4" w:space="0" w:color="auto"/>
              <w:right w:val="nil"/>
            </w:tcBorders>
          </w:tcPr>
          <w:p w14:paraId="00A751BF"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-1.6+2.0</w:t>
            </w:r>
          </w:p>
        </w:tc>
        <w:tc>
          <w:tcPr>
            <w:tcW w:w="0" w:type="auto"/>
            <w:tcBorders>
              <w:top w:val="nil"/>
              <w:left w:val="nil"/>
              <w:bottom w:val="single" w:sz="4" w:space="0" w:color="auto"/>
              <w:right w:val="nil"/>
            </w:tcBorders>
          </w:tcPr>
          <w:p w14:paraId="2DF7B96C" w14:textId="77777777" w:rsidR="001028EF" w:rsidRPr="001028EF" w:rsidRDefault="001028EF" w:rsidP="001028EF">
            <w:pPr>
              <w:spacing w:after="0" w:line="276" w:lineRule="auto"/>
              <w:jc w:val="center"/>
              <w:rPr>
                <w:rFonts w:cs="Arial"/>
                <w:color w:val="000000" w:themeColor="text1"/>
                <w:sz w:val="16"/>
                <w:szCs w:val="16"/>
              </w:rPr>
            </w:pPr>
            <w:r w:rsidRPr="001028EF">
              <w:rPr>
                <w:rFonts w:cs="Arial"/>
                <w:color w:val="000000" w:themeColor="text1"/>
                <w:sz w:val="16"/>
                <w:szCs w:val="16"/>
              </w:rPr>
              <w:t>82</w:t>
            </w:r>
          </w:p>
        </w:tc>
        <w:tc>
          <w:tcPr>
            <w:tcW w:w="0" w:type="auto"/>
            <w:tcBorders>
              <w:top w:val="nil"/>
              <w:left w:val="nil"/>
              <w:bottom w:val="single" w:sz="4" w:space="0" w:color="auto"/>
              <w:right w:val="nil"/>
            </w:tcBorders>
            <w:hideMark/>
          </w:tcPr>
          <w:p w14:paraId="13911E15" w14:textId="77777777" w:rsidR="001028EF" w:rsidRPr="001028EF" w:rsidRDefault="001028EF" w:rsidP="001028EF">
            <w:pPr>
              <w:spacing w:after="0" w:line="276" w:lineRule="auto"/>
              <w:jc w:val="center"/>
              <w:rPr>
                <w:rFonts w:cs="Arial"/>
                <w:color w:val="000000" w:themeColor="text1"/>
                <w:sz w:val="16"/>
                <w:szCs w:val="16"/>
                <w:lang w:val="en-GB"/>
              </w:rPr>
            </w:pPr>
          </w:p>
        </w:tc>
        <w:tc>
          <w:tcPr>
            <w:tcW w:w="940" w:type="dxa"/>
            <w:tcBorders>
              <w:top w:val="nil"/>
              <w:left w:val="nil"/>
              <w:bottom w:val="single" w:sz="4" w:space="0" w:color="auto"/>
              <w:right w:val="nil"/>
            </w:tcBorders>
          </w:tcPr>
          <w:p w14:paraId="413BD34C" w14:textId="77777777" w:rsidR="001028EF" w:rsidRPr="001028EF" w:rsidRDefault="001028EF" w:rsidP="001028EF">
            <w:pPr>
              <w:spacing w:after="0" w:line="276" w:lineRule="auto"/>
              <w:jc w:val="center"/>
              <w:rPr>
                <w:rFonts w:cs="Arial"/>
                <w:color w:val="000000" w:themeColor="text1"/>
                <w:sz w:val="16"/>
                <w:szCs w:val="16"/>
                <w:lang w:val="en-GB"/>
              </w:rPr>
            </w:pPr>
          </w:p>
        </w:tc>
        <w:tc>
          <w:tcPr>
            <w:tcW w:w="0" w:type="auto"/>
            <w:tcBorders>
              <w:top w:val="nil"/>
              <w:left w:val="nil"/>
              <w:bottom w:val="single" w:sz="4" w:space="0" w:color="auto"/>
              <w:right w:val="nil"/>
            </w:tcBorders>
          </w:tcPr>
          <w:p w14:paraId="2F25EDA1" w14:textId="77777777" w:rsidR="001028EF" w:rsidRPr="001028EF" w:rsidRDefault="001028EF" w:rsidP="001028EF">
            <w:pPr>
              <w:spacing w:after="0" w:line="276" w:lineRule="auto"/>
              <w:jc w:val="center"/>
              <w:rPr>
                <w:rFonts w:cs="Arial"/>
                <w:color w:val="000000" w:themeColor="text1"/>
                <w:sz w:val="16"/>
                <w:szCs w:val="16"/>
                <w:lang w:val="en-GB"/>
              </w:rPr>
            </w:pPr>
          </w:p>
        </w:tc>
        <w:tc>
          <w:tcPr>
            <w:tcW w:w="0" w:type="auto"/>
            <w:tcBorders>
              <w:top w:val="nil"/>
              <w:left w:val="nil"/>
              <w:bottom w:val="single" w:sz="4" w:space="0" w:color="auto"/>
              <w:right w:val="nil"/>
            </w:tcBorders>
          </w:tcPr>
          <w:p w14:paraId="5D1A0191" w14:textId="77777777" w:rsidR="001028EF" w:rsidRPr="001028EF" w:rsidRDefault="001028EF" w:rsidP="001028EF">
            <w:pPr>
              <w:spacing w:after="0" w:line="276" w:lineRule="auto"/>
              <w:jc w:val="center"/>
              <w:rPr>
                <w:rFonts w:cs="Arial"/>
                <w:color w:val="000000" w:themeColor="text1"/>
                <w:sz w:val="16"/>
                <w:szCs w:val="16"/>
                <w:lang w:val="en-GB"/>
              </w:rPr>
            </w:pPr>
            <w:r w:rsidRPr="001028EF">
              <w:rPr>
                <w:rFonts w:cs="Arial"/>
                <w:color w:val="000000" w:themeColor="text1"/>
                <w:sz w:val="16"/>
                <w:szCs w:val="16"/>
              </w:rPr>
              <w:t>66.8</w:t>
            </w:r>
          </w:p>
        </w:tc>
        <w:tc>
          <w:tcPr>
            <w:tcW w:w="939" w:type="dxa"/>
            <w:tcBorders>
              <w:top w:val="nil"/>
              <w:left w:val="nil"/>
              <w:bottom w:val="single" w:sz="4" w:space="0" w:color="auto"/>
              <w:right w:val="nil"/>
            </w:tcBorders>
          </w:tcPr>
          <w:p w14:paraId="49BB0DD6" w14:textId="77777777" w:rsidR="001028EF" w:rsidRPr="001028EF" w:rsidRDefault="001028EF" w:rsidP="001028EF">
            <w:pPr>
              <w:spacing w:after="0" w:line="276" w:lineRule="auto"/>
              <w:ind w:left="-108"/>
              <w:jc w:val="center"/>
              <w:rPr>
                <w:rFonts w:cs="Arial"/>
                <w:color w:val="000000" w:themeColor="text1"/>
                <w:sz w:val="16"/>
                <w:szCs w:val="16"/>
                <w:lang w:val="en-GB"/>
              </w:rPr>
            </w:pPr>
            <w:r w:rsidRPr="001028EF">
              <w:rPr>
                <w:rFonts w:cs="Arial"/>
                <w:color w:val="000000" w:themeColor="text1"/>
                <w:sz w:val="16"/>
                <w:szCs w:val="16"/>
              </w:rPr>
              <w:t>-19.5+27.6</w:t>
            </w:r>
          </w:p>
        </w:tc>
        <w:tc>
          <w:tcPr>
            <w:tcW w:w="0" w:type="auto"/>
            <w:tcBorders>
              <w:top w:val="nil"/>
              <w:left w:val="nil"/>
              <w:bottom w:val="single" w:sz="4" w:space="0" w:color="auto"/>
              <w:right w:val="nil"/>
            </w:tcBorders>
          </w:tcPr>
          <w:p w14:paraId="280EB5BE" w14:textId="77777777" w:rsidR="001028EF" w:rsidRPr="001028EF" w:rsidRDefault="001028EF" w:rsidP="001028EF">
            <w:pPr>
              <w:spacing w:after="0" w:line="276" w:lineRule="auto"/>
              <w:jc w:val="center"/>
              <w:rPr>
                <w:rFonts w:cs="Arial"/>
                <w:color w:val="000000" w:themeColor="text1"/>
                <w:sz w:val="16"/>
                <w:szCs w:val="16"/>
                <w:lang w:val="en-GB"/>
              </w:rPr>
            </w:pPr>
            <w:r w:rsidRPr="001028EF">
              <w:rPr>
                <w:rFonts w:cs="Arial"/>
                <w:color w:val="000000" w:themeColor="text1"/>
                <w:sz w:val="16"/>
                <w:szCs w:val="16"/>
              </w:rPr>
              <w:t>18</w:t>
            </w:r>
          </w:p>
        </w:tc>
        <w:tc>
          <w:tcPr>
            <w:tcW w:w="0" w:type="auto"/>
            <w:tcBorders>
              <w:top w:val="nil"/>
              <w:left w:val="nil"/>
              <w:bottom w:val="single" w:sz="4" w:space="0" w:color="auto"/>
              <w:right w:val="nil"/>
            </w:tcBorders>
          </w:tcPr>
          <w:p w14:paraId="575EFC2F" w14:textId="77777777" w:rsidR="001028EF" w:rsidRPr="001028EF" w:rsidRDefault="001028EF" w:rsidP="001028EF">
            <w:pPr>
              <w:spacing w:after="0" w:line="276" w:lineRule="auto"/>
              <w:jc w:val="center"/>
              <w:rPr>
                <w:rFonts w:cs="Arial"/>
                <w:color w:val="000000" w:themeColor="text1"/>
                <w:sz w:val="16"/>
                <w:szCs w:val="16"/>
                <w:lang w:val="en-GB"/>
              </w:rPr>
            </w:pPr>
            <w:r w:rsidRPr="001028EF">
              <w:rPr>
                <w:rFonts w:cs="Arial"/>
                <w:color w:val="000000" w:themeColor="text1"/>
                <w:sz w:val="16"/>
                <w:szCs w:val="16"/>
                <w:lang w:val="en-GB"/>
              </w:rPr>
              <w:t>-</w:t>
            </w:r>
          </w:p>
        </w:tc>
        <w:tc>
          <w:tcPr>
            <w:tcW w:w="884" w:type="dxa"/>
            <w:tcBorders>
              <w:top w:val="nil"/>
              <w:left w:val="nil"/>
              <w:bottom w:val="single" w:sz="4" w:space="0" w:color="auto"/>
              <w:right w:val="nil"/>
            </w:tcBorders>
          </w:tcPr>
          <w:p w14:paraId="71FD7FD2" w14:textId="77777777" w:rsidR="001028EF" w:rsidRPr="001028EF" w:rsidRDefault="001028EF" w:rsidP="001028EF">
            <w:pPr>
              <w:spacing w:after="0" w:line="276" w:lineRule="auto"/>
              <w:jc w:val="center"/>
              <w:rPr>
                <w:rFonts w:cs="Arial"/>
                <w:color w:val="000000" w:themeColor="text1"/>
                <w:sz w:val="16"/>
                <w:szCs w:val="16"/>
                <w:lang w:val="en-GB"/>
              </w:rPr>
            </w:pPr>
          </w:p>
        </w:tc>
        <w:tc>
          <w:tcPr>
            <w:tcW w:w="0" w:type="auto"/>
            <w:tcBorders>
              <w:top w:val="nil"/>
              <w:left w:val="nil"/>
              <w:bottom w:val="single" w:sz="4" w:space="0" w:color="auto"/>
              <w:right w:val="nil"/>
            </w:tcBorders>
          </w:tcPr>
          <w:p w14:paraId="251D98F2" w14:textId="77777777" w:rsidR="001028EF" w:rsidRPr="001028EF" w:rsidRDefault="001028EF" w:rsidP="001028EF">
            <w:pPr>
              <w:spacing w:after="0" w:line="276" w:lineRule="auto"/>
              <w:jc w:val="center"/>
              <w:rPr>
                <w:rFonts w:cs="Arial"/>
                <w:color w:val="000000" w:themeColor="text1"/>
                <w:sz w:val="16"/>
                <w:szCs w:val="16"/>
                <w:lang w:val="en-GB"/>
              </w:rPr>
            </w:pPr>
          </w:p>
        </w:tc>
        <w:tc>
          <w:tcPr>
            <w:tcW w:w="0" w:type="auto"/>
            <w:tcBorders>
              <w:top w:val="nil"/>
              <w:left w:val="nil"/>
              <w:bottom w:val="single" w:sz="4" w:space="0" w:color="auto"/>
              <w:right w:val="nil"/>
            </w:tcBorders>
          </w:tcPr>
          <w:p w14:paraId="7B8146EA" w14:textId="77777777" w:rsidR="001028EF" w:rsidRPr="001028EF" w:rsidRDefault="001028EF" w:rsidP="001028EF">
            <w:pPr>
              <w:spacing w:after="0" w:line="276" w:lineRule="auto"/>
              <w:jc w:val="center"/>
              <w:rPr>
                <w:rFonts w:cs="Arial"/>
                <w:color w:val="000000" w:themeColor="text1"/>
                <w:sz w:val="16"/>
                <w:szCs w:val="16"/>
                <w:lang w:val="en-GB"/>
              </w:rPr>
            </w:pPr>
            <w:r w:rsidRPr="001028EF">
              <w:rPr>
                <w:rFonts w:cs="Arial"/>
                <w:color w:val="000000" w:themeColor="text1"/>
                <w:sz w:val="16"/>
                <w:szCs w:val="16"/>
                <w:lang w:val="en-GB"/>
              </w:rPr>
              <w:t>0.97</w:t>
            </w:r>
          </w:p>
        </w:tc>
      </w:tr>
    </w:tbl>
    <w:p w14:paraId="4039780F" w14:textId="77777777" w:rsidR="001028EF" w:rsidRDefault="001028EF" w:rsidP="00D56D63">
      <w:pPr>
        <w:autoSpaceDE w:val="0"/>
        <w:autoSpaceDN w:val="0"/>
        <w:adjustRightInd w:val="0"/>
        <w:spacing w:after="0" w:line="360" w:lineRule="auto"/>
      </w:pPr>
    </w:p>
    <w:p w14:paraId="77BFA838" w14:textId="77777777" w:rsidR="000332D3" w:rsidRPr="002D01EA" w:rsidRDefault="000332D3" w:rsidP="00D56D63">
      <w:pPr>
        <w:autoSpaceDE w:val="0"/>
        <w:autoSpaceDN w:val="0"/>
        <w:adjustRightInd w:val="0"/>
        <w:spacing w:after="0" w:line="360" w:lineRule="auto"/>
      </w:pPr>
      <w:r>
        <w:t>Note</w:t>
      </w:r>
      <w:r w:rsidRPr="00970363">
        <w:t xml:space="preserve">: ng, number of grains </w:t>
      </w:r>
      <w:proofErr w:type="spellStart"/>
      <w:r w:rsidRPr="00970363">
        <w:t>analysed</w:t>
      </w:r>
      <w:proofErr w:type="spellEnd"/>
      <w:r w:rsidRPr="00970363">
        <w:t xml:space="preserve"> for binomial peak fitting. </w:t>
      </w:r>
      <w:r>
        <w:t xml:space="preserve">63% Confidence level (Cl) is approximately equal to ±1 </w:t>
      </w:r>
      <w:r w:rsidRPr="002D01EA">
        <w:rPr>
          <w:rFonts w:ascii="Symbol" w:hAnsi="Symbol"/>
        </w:rPr>
        <w:t></w:t>
      </w:r>
      <w:r>
        <w:t xml:space="preserve">; </w:t>
      </w:r>
      <w:proofErr w:type="spellStart"/>
      <w:r w:rsidRPr="00970363">
        <w:t>Frac</w:t>
      </w:r>
      <w:proofErr w:type="spellEnd"/>
      <w:r w:rsidRPr="00970363">
        <w:t xml:space="preserve">, fraction of the </w:t>
      </w:r>
      <w:proofErr w:type="spellStart"/>
      <w:r w:rsidRPr="00970363">
        <w:t>analysed</w:t>
      </w:r>
      <w:proofErr w:type="spellEnd"/>
      <w:r w:rsidRPr="00970363">
        <w:t xml:space="preserve"> grains belonging </w:t>
      </w:r>
      <w:r>
        <w:t xml:space="preserve">to an age population in percent; </w:t>
      </w:r>
      <w:r w:rsidRPr="00970363">
        <w:t>red. χ2, reduced Chi-square test describing the probability of the fitting curve where a value of 1 coincides with a good fit.</w:t>
      </w:r>
    </w:p>
    <w:p w14:paraId="0EA56535" w14:textId="77777777" w:rsidR="000332D3" w:rsidRDefault="000332D3" w:rsidP="00F22CAC">
      <w:pPr>
        <w:rPr>
          <w:lang w:val="en-GB"/>
        </w:rPr>
      </w:pPr>
    </w:p>
    <w:p w14:paraId="7A285547" w14:textId="77777777" w:rsidR="000332D3" w:rsidRDefault="000332D3" w:rsidP="00CB06FE">
      <w:pPr>
        <w:rPr>
          <w:lang w:val="en-GB"/>
        </w:rPr>
        <w:sectPr w:rsidR="000332D3" w:rsidSect="00530331">
          <w:pgSz w:w="15840" w:h="12240" w:orient="landscape"/>
          <w:pgMar w:top="1440" w:right="1440" w:bottom="1440" w:left="1440" w:header="720" w:footer="720" w:gutter="0"/>
          <w:cols w:space="720"/>
          <w:docGrid w:linePitch="360"/>
        </w:sectPr>
      </w:pPr>
    </w:p>
    <w:p w14:paraId="785C7961" w14:textId="77777777" w:rsidR="00D56D63" w:rsidRDefault="00D56D63" w:rsidP="00D56D63">
      <w:pPr>
        <w:spacing w:line="360" w:lineRule="auto"/>
      </w:pPr>
    </w:p>
    <w:p w14:paraId="0EA9705B" w14:textId="1B2C8153" w:rsidR="00D56D63" w:rsidRDefault="00D56D63" w:rsidP="00D56D63">
      <w:pPr>
        <w:spacing w:after="120" w:line="360" w:lineRule="auto"/>
        <w:rPr>
          <w:lang w:val="en-GB"/>
        </w:rPr>
      </w:pPr>
      <w:r w:rsidRPr="0029705F">
        <w:t xml:space="preserve">Table </w:t>
      </w:r>
      <w:r>
        <w:t>2</w:t>
      </w:r>
      <w:r w:rsidRPr="0029705F">
        <w:t xml:space="preserve"> </w:t>
      </w:r>
      <w:r>
        <w:t>–</w:t>
      </w:r>
      <w:r w:rsidRPr="0029705F">
        <w:t xml:space="preserve"> </w:t>
      </w:r>
      <w:r>
        <w:rPr>
          <w:lang w:val="en-GB"/>
        </w:rPr>
        <w:t>Length of trench with aseismic ridge subduction</w:t>
      </w:r>
    </w:p>
    <w:tbl>
      <w:tblPr>
        <w:tblStyle w:val="TableGrid"/>
        <w:tblW w:w="0" w:type="auto"/>
        <w:tblLook w:val="04A0" w:firstRow="1" w:lastRow="0" w:firstColumn="1" w:lastColumn="0" w:noHBand="0" w:noVBand="1"/>
      </w:tblPr>
      <w:tblGrid>
        <w:gridCol w:w="2235"/>
        <w:gridCol w:w="1417"/>
      </w:tblGrid>
      <w:tr w:rsidR="00D56D63" w:rsidRPr="00A9165B" w14:paraId="0FA37F95" w14:textId="77777777" w:rsidTr="00530331">
        <w:trPr>
          <w:trHeight w:val="510"/>
        </w:trPr>
        <w:tc>
          <w:tcPr>
            <w:tcW w:w="2235" w:type="dxa"/>
            <w:vAlign w:val="center"/>
          </w:tcPr>
          <w:p w14:paraId="15481F1D" w14:textId="77777777" w:rsidR="00D56D63" w:rsidRPr="00A9165B" w:rsidRDefault="00D56D63" w:rsidP="00530331">
            <w:pPr>
              <w:spacing w:line="360" w:lineRule="auto"/>
              <w:jc w:val="center"/>
            </w:pPr>
            <w:r w:rsidRPr="00A9165B">
              <w:t>Hawaii-Emperor</w:t>
            </w:r>
          </w:p>
        </w:tc>
        <w:tc>
          <w:tcPr>
            <w:tcW w:w="1417" w:type="dxa"/>
            <w:vAlign w:val="center"/>
          </w:tcPr>
          <w:p w14:paraId="0ADE5D07" w14:textId="77777777" w:rsidR="00D56D63" w:rsidRPr="00A9165B" w:rsidRDefault="00D56D63" w:rsidP="00530331">
            <w:pPr>
              <w:spacing w:line="360" w:lineRule="auto"/>
              <w:jc w:val="center"/>
            </w:pPr>
            <w:r>
              <w:t>635 km</w:t>
            </w:r>
          </w:p>
        </w:tc>
      </w:tr>
      <w:tr w:rsidR="00D56D63" w14:paraId="72FA5725" w14:textId="77777777" w:rsidTr="00530331">
        <w:trPr>
          <w:trHeight w:val="510"/>
        </w:trPr>
        <w:tc>
          <w:tcPr>
            <w:tcW w:w="2235" w:type="dxa"/>
            <w:vAlign w:val="center"/>
          </w:tcPr>
          <w:p w14:paraId="0E6226C9" w14:textId="77777777" w:rsidR="00D56D63" w:rsidRDefault="00D56D63" w:rsidP="00530331">
            <w:pPr>
              <w:spacing w:line="360" w:lineRule="auto"/>
              <w:jc w:val="center"/>
              <w:rPr>
                <w:lang w:val="en-GB"/>
              </w:rPr>
            </w:pPr>
            <w:r>
              <w:t>Louisville</w:t>
            </w:r>
          </w:p>
        </w:tc>
        <w:tc>
          <w:tcPr>
            <w:tcW w:w="1417" w:type="dxa"/>
            <w:vAlign w:val="center"/>
          </w:tcPr>
          <w:p w14:paraId="6676B493" w14:textId="77777777" w:rsidR="00D56D63" w:rsidRDefault="00D56D63" w:rsidP="00530331">
            <w:pPr>
              <w:spacing w:line="360" w:lineRule="auto"/>
              <w:jc w:val="center"/>
              <w:rPr>
                <w:lang w:val="en-GB"/>
              </w:rPr>
            </w:pPr>
            <w:r>
              <w:rPr>
                <w:lang w:val="en-GB"/>
              </w:rPr>
              <w:t>225 km</w:t>
            </w:r>
          </w:p>
        </w:tc>
      </w:tr>
      <w:tr w:rsidR="00D56D63" w14:paraId="2984C625" w14:textId="77777777" w:rsidTr="00530331">
        <w:trPr>
          <w:trHeight w:val="510"/>
        </w:trPr>
        <w:tc>
          <w:tcPr>
            <w:tcW w:w="2235" w:type="dxa"/>
            <w:vAlign w:val="center"/>
          </w:tcPr>
          <w:p w14:paraId="08EE2E4A" w14:textId="77777777" w:rsidR="00D56D63" w:rsidRDefault="00D56D63" w:rsidP="00530331">
            <w:pPr>
              <w:spacing w:line="360" w:lineRule="auto"/>
              <w:jc w:val="center"/>
              <w:rPr>
                <w:lang w:val="en-GB"/>
              </w:rPr>
            </w:pPr>
            <w:r w:rsidRPr="00A9165B">
              <w:rPr>
                <w:lang w:val="it-IT"/>
              </w:rPr>
              <w:t>Hikurangi</w:t>
            </w:r>
          </w:p>
        </w:tc>
        <w:tc>
          <w:tcPr>
            <w:tcW w:w="1417" w:type="dxa"/>
            <w:vAlign w:val="center"/>
          </w:tcPr>
          <w:p w14:paraId="34728C7F" w14:textId="77777777" w:rsidR="00D56D63" w:rsidRDefault="00D56D63" w:rsidP="00530331">
            <w:pPr>
              <w:spacing w:line="360" w:lineRule="auto"/>
              <w:jc w:val="center"/>
              <w:rPr>
                <w:lang w:val="en-GB"/>
              </w:rPr>
            </w:pPr>
            <w:r>
              <w:rPr>
                <w:lang w:val="en-GB"/>
              </w:rPr>
              <w:t>140 km</w:t>
            </w:r>
          </w:p>
        </w:tc>
      </w:tr>
      <w:tr w:rsidR="00D56D63" w14:paraId="0EBC6796" w14:textId="77777777" w:rsidTr="00530331">
        <w:trPr>
          <w:trHeight w:val="510"/>
        </w:trPr>
        <w:tc>
          <w:tcPr>
            <w:tcW w:w="2235" w:type="dxa"/>
            <w:vAlign w:val="center"/>
          </w:tcPr>
          <w:p w14:paraId="65B24365" w14:textId="77777777" w:rsidR="00D56D63" w:rsidRDefault="00D56D63" w:rsidP="00530331">
            <w:pPr>
              <w:spacing w:line="360" w:lineRule="auto"/>
              <w:jc w:val="center"/>
              <w:rPr>
                <w:lang w:val="en-GB"/>
              </w:rPr>
            </w:pPr>
            <w:r w:rsidRPr="00A9165B">
              <w:rPr>
                <w:lang w:val="it-IT"/>
              </w:rPr>
              <w:t>Carnegie</w:t>
            </w:r>
          </w:p>
        </w:tc>
        <w:tc>
          <w:tcPr>
            <w:tcW w:w="1417" w:type="dxa"/>
            <w:vAlign w:val="center"/>
          </w:tcPr>
          <w:p w14:paraId="02D05E40" w14:textId="77777777" w:rsidR="00D56D63" w:rsidRDefault="00D56D63" w:rsidP="00530331">
            <w:pPr>
              <w:spacing w:line="360" w:lineRule="auto"/>
              <w:jc w:val="center"/>
              <w:rPr>
                <w:lang w:val="en-GB"/>
              </w:rPr>
            </w:pPr>
            <w:r>
              <w:rPr>
                <w:lang w:val="en-GB"/>
              </w:rPr>
              <w:t>330 km</w:t>
            </w:r>
          </w:p>
        </w:tc>
      </w:tr>
      <w:tr w:rsidR="00D56D63" w14:paraId="6A4EFEF1" w14:textId="77777777" w:rsidTr="00530331">
        <w:trPr>
          <w:trHeight w:val="510"/>
        </w:trPr>
        <w:tc>
          <w:tcPr>
            <w:tcW w:w="2235" w:type="dxa"/>
            <w:vAlign w:val="center"/>
          </w:tcPr>
          <w:p w14:paraId="6CDEB105" w14:textId="77777777" w:rsidR="00D56D63" w:rsidRDefault="00D56D63" w:rsidP="00530331">
            <w:pPr>
              <w:spacing w:line="360" w:lineRule="auto"/>
              <w:jc w:val="center"/>
              <w:rPr>
                <w:lang w:val="en-GB"/>
              </w:rPr>
            </w:pPr>
            <w:r w:rsidRPr="00A9165B">
              <w:t>Nazca</w:t>
            </w:r>
          </w:p>
        </w:tc>
        <w:tc>
          <w:tcPr>
            <w:tcW w:w="1417" w:type="dxa"/>
            <w:vAlign w:val="center"/>
          </w:tcPr>
          <w:p w14:paraId="363A0142" w14:textId="77777777" w:rsidR="00D56D63" w:rsidRDefault="00D56D63" w:rsidP="00530331">
            <w:pPr>
              <w:spacing w:line="360" w:lineRule="auto"/>
              <w:jc w:val="center"/>
              <w:rPr>
                <w:lang w:val="en-GB"/>
              </w:rPr>
            </w:pPr>
            <w:r>
              <w:rPr>
                <w:lang w:val="en-GB"/>
              </w:rPr>
              <w:t>185 km</w:t>
            </w:r>
          </w:p>
        </w:tc>
      </w:tr>
      <w:tr w:rsidR="00D56D63" w14:paraId="520A7E54" w14:textId="77777777" w:rsidTr="00530331">
        <w:trPr>
          <w:trHeight w:val="510"/>
        </w:trPr>
        <w:tc>
          <w:tcPr>
            <w:tcW w:w="2235" w:type="dxa"/>
            <w:vAlign w:val="center"/>
          </w:tcPr>
          <w:p w14:paraId="739745B4" w14:textId="77777777" w:rsidR="00D56D63" w:rsidRPr="00A9165B" w:rsidRDefault="00D56D63" w:rsidP="00530331">
            <w:pPr>
              <w:spacing w:line="360" w:lineRule="auto"/>
              <w:jc w:val="center"/>
            </w:pPr>
            <w:r>
              <w:t>Cocos Ridge</w:t>
            </w:r>
          </w:p>
        </w:tc>
        <w:tc>
          <w:tcPr>
            <w:tcW w:w="1417" w:type="dxa"/>
            <w:vAlign w:val="center"/>
          </w:tcPr>
          <w:p w14:paraId="0D5A08A6" w14:textId="77777777" w:rsidR="00D56D63" w:rsidRDefault="00D56D63" w:rsidP="00530331">
            <w:pPr>
              <w:spacing w:line="360" w:lineRule="auto"/>
              <w:jc w:val="center"/>
              <w:rPr>
                <w:lang w:val="en-GB"/>
              </w:rPr>
            </w:pPr>
            <w:r>
              <w:rPr>
                <w:lang w:val="en-GB"/>
              </w:rPr>
              <w:t>185 km</w:t>
            </w:r>
          </w:p>
        </w:tc>
      </w:tr>
      <w:tr w:rsidR="00D56D63" w14:paraId="77108D79" w14:textId="77777777" w:rsidTr="00530331">
        <w:trPr>
          <w:trHeight w:val="510"/>
        </w:trPr>
        <w:tc>
          <w:tcPr>
            <w:tcW w:w="2235" w:type="dxa"/>
            <w:vAlign w:val="center"/>
          </w:tcPr>
          <w:p w14:paraId="779D34EE" w14:textId="77777777" w:rsidR="00D56D63" w:rsidRDefault="00D56D63" w:rsidP="00530331">
            <w:pPr>
              <w:spacing w:line="360" w:lineRule="auto"/>
              <w:jc w:val="center"/>
            </w:pPr>
            <w:r>
              <w:t>Juan Fernandez</w:t>
            </w:r>
          </w:p>
        </w:tc>
        <w:tc>
          <w:tcPr>
            <w:tcW w:w="1417" w:type="dxa"/>
            <w:vAlign w:val="center"/>
          </w:tcPr>
          <w:p w14:paraId="65047530" w14:textId="77777777" w:rsidR="00D56D63" w:rsidRDefault="00D56D63" w:rsidP="00530331">
            <w:pPr>
              <w:spacing w:line="360" w:lineRule="auto"/>
              <w:jc w:val="center"/>
              <w:rPr>
                <w:lang w:val="en-GB"/>
              </w:rPr>
            </w:pPr>
            <w:r>
              <w:rPr>
                <w:lang w:val="en-GB"/>
              </w:rPr>
              <w:t>120 km</w:t>
            </w:r>
          </w:p>
        </w:tc>
      </w:tr>
      <w:tr w:rsidR="00D56D63" w14:paraId="3E6733F9" w14:textId="77777777" w:rsidTr="00530331">
        <w:trPr>
          <w:trHeight w:val="510"/>
        </w:trPr>
        <w:tc>
          <w:tcPr>
            <w:tcW w:w="2235" w:type="dxa"/>
            <w:vAlign w:val="center"/>
          </w:tcPr>
          <w:p w14:paraId="51104F65" w14:textId="77777777" w:rsidR="00D56D63" w:rsidRDefault="00D56D63" w:rsidP="00530331">
            <w:pPr>
              <w:spacing w:line="360" w:lineRule="auto"/>
              <w:jc w:val="center"/>
              <w:rPr>
                <w:lang w:val="en-GB"/>
              </w:rPr>
            </w:pPr>
            <w:r w:rsidRPr="00A9165B">
              <w:t>Java</w:t>
            </w:r>
          </w:p>
        </w:tc>
        <w:tc>
          <w:tcPr>
            <w:tcW w:w="1417" w:type="dxa"/>
            <w:vAlign w:val="center"/>
          </w:tcPr>
          <w:p w14:paraId="79C2BA04" w14:textId="77777777" w:rsidR="00D56D63" w:rsidRDefault="00D56D63" w:rsidP="00530331">
            <w:pPr>
              <w:spacing w:line="360" w:lineRule="auto"/>
              <w:jc w:val="center"/>
              <w:rPr>
                <w:lang w:val="en-GB"/>
              </w:rPr>
            </w:pPr>
            <w:r>
              <w:rPr>
                <w:lang w:val="en-GB"/>
              </w:rPr>
              <w:t>450 km</w:t>
            </w:r>
          </w:p>
        </w:tc>
      </w:tr>
      <w:tr w:rsidR="00D56D63" w14:paraId="4E67F02B" w14:textId="77777777" w:rsidTr="00530331">
        <w:trPr>
          <w:trHeight w:val="510"/>
        </w:trPr>
        <w:tc>
          <w:tcPr>
            <w:tcW w:w="2235" w:type="dxa"/>
            <w:vAlign w:val="center"/>
          </w:tcPr>
          <w:p w14:paraId="1841AF80" w14:textId="77777777" w:rsidR="00D56D63" w:rsidRDefault="00D56D63" w:rsidP="00530331">
            <w:pPr>
              <w:spacing w:line="360" w:lineRule="auto"/>
              <w:jc w:val="center"/>
              <w:rPr>
                <w:lang w:val="en-GB"/>
              </w:rPr>
            </w:pPr>
            <w:proofErr w:type="spellStart"/>
            <w:r w:rsidRPr="00A9165B">
              <w:t>Izu</w:t>
            </w:r>
            <w:proofErr w:type="spellEnd"/>
            <w:r w:rsidRPr="00A9165B">
              <w:t>-Bonin</w:t>
            </w:r>
          </w:p>
        </w:tc>
        <w:tc>
          <w:tcPr>
            <w:tcW w:w="1417" w:type="dxa"/>
            <w:vAlign w:val="center"/>
          </w:tcPr>
          <w:p w14:paraId="2AF68563" w14:textId="77777777" w:rsidR="00D56D63" w:rsidRDefault="00D56D63" w:rsidP="00530331">
            <w:pPr>
              <w:spacing w:line="360" w:lineRule="auto"/>
              <w:jc w:val="center"/>
              <w:rPr>
                <w:lang w:val="en-GB"/>
              </w:rPr>
            </w:pPr>
            <w:r>
              <w:rPr>
                <w:lang w:val="en-GB"/>
              </w:rPr>
              <w:t>140 km</w:t>
            </w:r>
          </w:p>
        </w:tc>
      </w:tr>
    </w:tbl>
    <w:p w14:paraId="04758D39" w14:textId="77777777" w:rsidR="00D56D63" w:rsidRDefault="00D56D63" w:rsidP="00D56D63">
      <w:r>
        <w:br w:type="page"/>
      </w:r>
    </w:p>
    <w:p w14:paraId="2CB770E4" w14:textId="2350226F" w:rsidR="000332D3" w:rsidRDefault="00B3765D" w:rsidP="00530331">
      <w:pPr>
        <w:pStyle w:val="Heading2"/>
      </w:pPr>
      <w:r>
        <w:lastRenderedPageBreak/>
        <w:t xml:space="preserve">Figure </w:t>
      </w:r>
      <w:r w:rsidR="000332D3">
        <w:t>Captions</w:t>
      </w:r>
    </w:p>
    <w:p w14:paraId="1472A29D" w14:textId="77777777" w:rsidR="000332D3" w:rsidRDefault="000332D3" w:rsidP="00530331">
      <w:r>
        <w:t>Figure 1</w:t>
      </w:r>
    </w:p>
    <w:p w14:paraId="0CD514F7" w14:textId="156A0DF8" w:rsidR="000332D3" w:rsidRDefault="000332D3" w:rsidP="00530331">
      <w:proofErr w:type="gramStart"/>
      <w:r>
        <w:t>Bathymetric and topographic map of the Middle America Trench and adjacent areas.</w:t>
      </w:r>
      <w:proofErr w:type="gramEnd"/>
      <w:r>
        <w:t xml:space="preserve"> Purple stars indicate the location of dredging that recovered igneous and ophiolitic material close to the trench. Blue arrows indicate scars left by </w:t>
      </w:r>
      <w:proofErr w:type="spellStart"/>
      <w:r>
        <w:t>subducted</w:t>
      </w:r>
      <w:proofErr w:type="spellEnd"/>
      <w:r>
        <w:t xml:space="preserve"> seamount on the forearc slope. The (minimum) margin retreat caused by Cocos Ridge subduction is also</w:t>
      </w:r>
      <w:r w:rsidRPr="008B40D7">
        <w:t xml:space="preserve"> </w:t>
      </w:r>
      <w:r>
        <w:t xml:space="preserve">shown. </w:t>
      </w:r>
      <w:proofErr w:type="gramStart"/>
      <w:r>
        <w:t>In red the location of DSDP, ODP and IODP expeditions.</w:t>
      </w:r>
      <w:proofErr w:type="gramEnd"/>
      <w:r>
        <w:t xml:space="preserve"> Black arrows indicate the relative convergent rates (cm/year) between the oceanic and continental plates </w:t>
      </w:r>
      <w:r>
        <w:rPr>
          <w:noProof/>
        </w:rPr>
        <w:t>(DeMets, 2001)</w:t>
      </w:r>
      <w:r>
        <w:t>.</w:t>
      </w:r>
    </w:p>
    <w:p w14:paraId="6591F67C" w14:textId="77777777" w:rsidR="000332D3" w:rsidRDefault="000332D3" w:rsidP="00530331"/>
    <w:p w14:paraId="2BA9DA13" w14:textId="77777777" w:rsidR="000332D3" w:rsidRDefault="000332D3" w:rsidP="00530331">
      <w:r>
        <w:t>Figure 2</w:t>
      </w:r>
    </w:p>
    <w:p w14:paraId="2E1FDB60" w14:textId="329A88D3" w:rsidR="000332D3" w:rsidRDefault="000332D3" w:rsidP="00530331">
      <w:r>
        <w:t xml:space="preserve">Erosion rates calculated for </w:t>
      </w:r>
      <w:r w:rsidR="00B3765D">
        <w:t xml:space="preserve">the </w:t>
      </w:r>
      <w:r>
        <w:t>three sectors of the Central America subduction system considered in this study.</w:t>
      </w:r>
    </w:p>
    <w:p w14:paraId="172FCEDD" w14:textId="77777777" w:rsidR="000332D3" w:rsidRDefault="000332D3" w:rsidP="00530331"/>
    <w:p w14:paraId="201FB7B9" w14:textId="77777777" w:rsidR="000332D3" w:rsidRDefault="000332D3" w:rsidP="00530331">
      <w:r>
        <w:t>Figure 3</w:t>
      </w:r>
    </w:p>
    <w:p w14:paraId="7BD7F9F6" w14:textId="77777777" w:rsidR="000332D3" w:rsidRDefault="000332D3" w:rsidP="00530331">
      <w:proofErr w:type="gramStart"/>
      <w:r>
        <w:t xml:space="preserve">Bathymetry of the Cocos Ridge </w:t>
      </w:r>
      <w:proofErr w:type="spellStart"/>
      <w:r>
        <w:t>subducting</w:t>
      </w:r>
      <w:proofErr w:type="spellEnd"/>
      <w:r>
        <w:t xml:space="preserve"> under Southern Costa Rica.</w:t>
      </w:r>
      <w:proofErr w:type="gramEnd"/>
      <w:r>
        <w:t xml:space="preserve"> The geology of the </w:t>
      </w:r>
      <w:proofErr w:type="spellStart"/>
      <w:r>
        <w:t>onland</w:t>
      </w:r>
      <w:proofErr w:type="spellEnd"/>
      <w:r>
        <w:t xml:space="preserve"> areas has been modified from Morell (2016). </w:t>
      </w:r>
    </w:p>
    <w:p w14:paraId="279D56B1" w14:textId="77777777" w:rsidR="000332D3" w:rsidRDefault="000332D3" w:rsidP="00530331"/>
    <w:p w14:paraId="5A1395BF" w14:textId="77777777" w:rsidR="000332D3" w:rsidRDefault="000332D3" w:rsidP="00530331">
      <w:r>
        <w:t>Figure 4</w:t>
      </w:r>
    </w:p>
    <w:p w14:paraId="3C64AB3C" w14:textId="6D7FCAD6" w:rsidR="000332D3" w:rsidRDefault="000332D3" w:rsidP="00530331">
      <w:proofErr w:type="spellStart"/>
      <w:r>
        <w:t>Lithostratigraphic</w:t>
      </w:r>
      <w:proofErr w:type="spellEnd"/>
      <w:r>
        <w:t xml:space="preserve"> summaries of IODP Sites U1378 and U1379 showing the location of the single collected samples and how they were combined for fission track analysis. Results of the binomial </w:t>
      </w:r>
      <w:r>
        <w:lastRenderedPageBreak/>
        <w:t>decomposition of apatite fission track single-grain age distribution</w:t>
      </w:r>
      <w:r w:rsidR="00B3765D">
        <w:t>s</w:t>
      </w:r>
      <w:r>
        <w:t xml:space="preserve"> </w:t>
      </w:r>
      <w:r w:rsidR="00B3765D">
        <w:t>are</w:t>
      </w:r>
      <w:r>
        <w:t xml:space="preserve"> shown</w:t>
      </w:r>
      <w:r w:rsidRPr="001767B0">
        <w:t xml:space="preserve"> </w:t>
      </w:r>
      <w:r>
        <w:t>for each sample. CR1 has the smallest age interval with no fission track ages older than 59.7 Ma and a clear peak at 2.3 Ma that is missing in the other diagrams.</w:t>
      </w:r>
    </w:p>
    <w:p w14:paraId="7D09F762" w14:textId="77777777" w:rsidR="000332D3" w:rsidRDefault="000332D3" w:rsidP="00530331"/>
    <w:p w14:paraId="02645B99" w14:textId="77777777" w:rsidR="000332D3" w:rsidRDefault="000332D3" w:rsidP="00530331">
      <w:r>
        <w:t>Figure 5</w:t>
      </w:r>
    </w:p>
    <w:p w14:paraId="4DF01345" w14:textId="648D4E50" w:rsidR="000332D3" w:rsidRDefault="000332D3" w:rsidP="00530331">
      <w:r>
        <w:t xml:space="preserve">Continental crust budget calculated for the three different sectors of the Central America trench considered in this study. </w:t>
      </w:r>
      <w:r w:rsidR="005C737C">
        <w:t xml:space="preserve">Different components of the budgets are calculated in </w:t>
      </w:r>
      <w:proofErr w:type="spellStart"/>
      <w:r w:rsidR="005C737C">
        <w:t>Tg</w:t>
      </w:r>
      <w:proofErr w:type="spellEnd"/>
      <w:r w:rsidR="005C737C">
        <w:t>/y (A) or km</w:t>
      </w:r>
      <w:r w:rsidR="005C737C" w:rsidRPr="005C737C">
        <w:rPr>
          <w:vertAlign w:val="superscript"/>
        </w:rPr>
        <w:t>3</w:t>
      </w:r>
      <w:r w:rsidR="005C737C">
        <w:t>/</w:t>
      </w:r>
      <w:proofErr w:type="spellStart"/>
      <w:r w:rsidR="005C737C">
        <w:t>Myr</w:t>
      </w:r>
      <w:proofErr w:type="spellEnd"/>
      <w:r w:rsidR="005C737C">
        <w:t>/km (B)</w:t>
      </w:r>
    </w:p>
    <w:p w14:paraId="0E200C25" w14:textId="77777777" w:rsidR="000332D3" w:rsidRDefault="000332D3" w:rsidP="00530331"/>
    <w:p w14:paraId="7E7EA541" w14:textId="379821D9" w:rsidR="000332D3" w:rsidRDefault="00AD0075" w:rsidP="00AD0075">
      <w:pPr>
        <w:pStyle w:val="Heading2"/>
      </w:pPr>
      <w:r>
        <w:t>Authors:</w:t>
      </w:r>
    </w:p>
    <w:p w14:paraId="6C1FDA70" w14:textId="6F4BB282" w:rsidR="002C5816" w:rsidRDefault="002C5816" w:rsidP="009F5ED0">
      <w:pPr>
        <w:pStyle w:val="Heading3"/>
        <w:rPr>
          <w:i w:val="0"/>
        </w:rPr>
      </w:pPr>
      <w:r>
        <w:rPr>
          <w:i w:val="0"/>
          <w:noProof/>
        </w:rPr>
        <w:drawing>
          <wp:inline distT="0" distB="0" distL="0" distR="0" wp14:anchorId="460C0B47" wp14:editId="14B9EC0B">
            <wp:extent cx="1145235" cy="14951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olaPic.png"/>
                    <pic:cNvPicPr/>
                  </pic:nvPicPr>
                  <pic:blipFill>
                    <a:blip r:embed="rId9">
                      <a:extLst>
                        <a:ext uri="{28A0092B-C50C-407E-A947-70E740481C1C}">
                          <a14:useLocalDpi xmlns:a14="http://schemas.microsoft.com/office/drawing/2010/main" val="0"/>
                        </a:ext>
                      </a:extLst>
                    </a:blip>
                    <a:stretch>
                      <a:fillRect/>
                    </a:stretch>
                  </pic:blipFill>
                  <pic:spPr>
                    <a:xfrm>
                      <a:off x="0" y="0"/>
                      <a:ext cx="1146516" cy="1496840"/>
                    </a:xfrm>
                    <a:prstGeom prst="rect">
                      <a:avLst/>
                    </a:prstGeom>
                  </pic:spPr>
                </pic:pic>
              </a:graphicData>
            </a:graphic>
          </wp:inline>
        </w:drawing>
      </w:r>
    </w:p>
    <w:p w14:paraId="3FC41DD3" w14:textId="4828D9B5" w:rsidR="009F5ED0" w:rsidRDefault="00AD0075" w:rsidP="009F5ED0">
      <w:pPr>
        <w:pStyle w:val="Heading3"/>
        <w:rPr>
          <w:i w:val="0"/>
        </w:rPr>
      </w:pPr>
      <w:r w:rsidRPr="002C5816">
        <w:rPr>
          <w:b/>
          <w:i w:val="0"/>
        </w:rPr>
        <w:t>Paola Vannucchi</w:t>
      </w:r>
      <w:r w:rsidR="002418B9" w:rsidRPr="009F5ED0">
        <w:rPr>
          <w:i w:val="0"/>
        </w:rPr>
        <w:t xml:space="preserve"> is Reader of Tectonics and Marine Geology at Royal </w:t>
      </w:r>
      <w:r w:rsidR="002C5816">
        <w:rPr>
          <w:i w:val="0"/>
        </w:rPr>
        <w:t>Holloway, University of London-UK</w:t>
      </w:r>
      <w:r w:rsidR="002418B9" w:rsidRPr="009F5ED0">
        <w:rPr>
          <w:i w:val="0"/>
        </w:rPr>
        <w:t xml:space="preserve">. She </w:t>
      </w:r>
      <w:r w:rsidR="006C24AE">
        <w:rPr>
          <w:i w:val="0"/>
        </w:rPr>
        <w:t xml:space="preserve">has </w:t>
      </w:r>
      <w:r w:rsidR="00CF2D6A">
        <w:rPr>
          <w:i w:val="0"/>
        </w:rPr>
        <w:t>worked</w:t>
      </w:r>
      <w:r w:rsidR="006C24AE">
        <w:rPr>
          <w:i w:val="0"/>
        </w:rPr>
        <w:t xml:space="preserve"> at the University of Modena and Reggio Emilia and at the University of Firenze </w:t>
      </w:r>
      <w:r w:rsidR="002C5816">
        <w:rPr>
          <w:i w:val="0"/>
        </w:rPr>
        <w:t xml:space="preserve">– Italy - </w:t>
      </w:r>
      <w:r w:rsidR="006C24AE">
        <w:rPr>
          <w:i w:val="0"/>
        </w:rPr>
        <w:t xml:space="preserve">(where she still holds an affiliation as researcher). </w:t>
      </w:r>
      <w:r w:rsidR="00CF2D6A">
        <w:rPr>
          <w:i w:val="0"/>
        </w:rPr>
        <w:t xml:space="preserve">Her </w:t>
      </w:r>
      <w:r w:rsidR="002C5816">
        <w:rPr>
          <w:i w:val="0"/>
        </w:rPr>
        <w:t>research interest</w:t>
      </w:r>
      <w:r w:rsidR="00CF2D6A">
        <w:rPr>
          <w:i w:val="0"/>
        </w:rPr>
        <w:t xml:space="preserve"> in</w:t>
      </w:r>
      <w:r w:rsidR="002418B9" w:rsidRPr="009F5ED0">
        <w:rPr>
          <w:i w:val="0"/>
        </w:rPr>
        <w:t xml:space="preserve"> Central America</w:t>
      </w:r>
      <w:r w:rsidR="00CF2D6A">
        <w:rPr>
          <w:i w:val="0"/>
        </w:rPr>
        <w:t xml:space="preserve"> subduction started in</w:t>
      </w:r>
      <w:r w:rsidR="002418B9" w:rsidRPr="009F5ED0">
        <w:rPr>
          <w:i w:val="0"/>
        </w:rPr>
        <w:t xml:space="preserve"> 1996 </w:t>
      </w:r>
      <w:r w:rsidR="00CF2D6A">
        <w:rPr>
          <w:i w:val="0"/>
        </w:rPr>
        <w:t>and since then she has participated in four</w:t>
      </w:r>
      <w:r w:rsidR="002418B9" w:rsidRPr="009F5ED0">
        <w:rPr>
          <w:i w:val="0"/>
        </w:rPr>
        <w:t xml:space="preserve"> ODP/IODP expeditions</w:t>
      </w:r>
      <w:r w:rsidR="006951B5" w:rsidRPr="009F5ED0">
        <w:rPr>
          <w:i w:val="0"/>
        </w:rPr>
        <w:t xml:space="preserve"> </w:t>
      </w:r>
      <w:r w:rsidR="00CF2D6A" w:rsidRPr="009F5ED0">
        <w:rPr>
          <w:i w:val="0"/>
        </w:rPr>
        <w:t>and geophysical cruises</w:t>
      </w:r>
      <w:r w:rsidR="00CF2D6A">
        <w:rPr>
          <w:i w:val="0"/>
        </w:rPr>
        <w:t xml:space="preserve"> in the area</w:t>
      </w:r>
      <w:r w:rsidR="006951B5" w:rsidRPr="009F5ED0">
        <w:rPr>
          <w:i w:val="0"/>
        </w:rPr>
        <w:t>, as well as to</w:t>
      </w:r>
      <w:r w:rsidR="00CF2D6A">
        <w:rPr>
          <w:i w:val="0"/>
        </w:rPr>
        <w:t xml:space="preserve"> several</w:t>
      </w:r>
      <w:r w:rsidR="006951B5" w:rsidRPr="009F5ED0">
        <w:rPr>
          <w:i w:val="0"/>
        </w:rPr>
        <w:t xml:space="preserve"> on-shore</w:t>
      </w:r>
      <w:r w:rsidR="00CF2D6A" w:rsidRPr="00CF2D6A">
        <w:rPr>
          <w:i w:val="0"/>
        </w:rPr>
        <w:t xml:space="preserve"> </w:t>
      </w:r>
      <w:r w:rsidR="00CF2D6A">
        <w:rPr>
          <w:i w:val="0"/>
        </w:rPr>
        <w:t>missions</w:t>
      </w:r>
      <w:r w:rsidR="006951B5" w:rsidRPr="009F5ED0">
        <w:rPr>
          <w:i w:val="0"/>
        </w:rPr>
        <w:t xml:space="preserve">. She was PI of the IODP “Costa Rica </w:t>
      </w:r>
      <w:proofErr w:type="spellStart"/>
      <w:r w:rsidR="006951B5" w:rsidRPr="009F5ED0">
        <w:rPr>
          <w:i w:val="0"/>
        </w:rPr>
        <w:t>Seismogenesis</w:t>
      </w:r>
      <w:proofErr w:type="spellEnd"/>
      <w:r w:rsidR="006951B5" w:rsidRPr="009F5ED0">
        <w:rPr>
          <w:i w:val="0"/>
        </w:rPr>
        <w:t xml:space="preserve"> Project” and co-chief scientist on board IODP Exp. 334. Her main research </w:t>
      </w:r>
      <w:r w:rsidR="006C24AE">
        <w:rPr>
          <w:i w:val="0"/>
        </w:rPr>
        <w:t>fields</w:t>
      </w:r>
      <w:r w:rsidR="006951B5" w:rsidRPr="009F5ED0">
        <w:rPr>
          <w:i w:val="0"/>
        </w:rPr>
        <w:t xml:space="preserve"> include integrated geological-tectonic and geophysical interpretation, tectonophysics, </w:t>
      </w:r>
      <w:proofErr w:type="gramStart"/>
      <w:r w:rsidR="006951B5" w:rsidRPr="009F5ED0">
        <w:rPr>
          <w:i w:val="0"/>
        </w:rPr>
        <w:t>rock</w:t>
      </w:r>
      <w:proofErr w:type="gramEnd"/>
      <w:r w:rsidR="006951B5" w:rsidRPr="009F5ED0">
        <w:rPr>
          <w:i w:val="0"/>
        </w:rPr>
        <w:t xml:space="preserve">-mechanics. </w:t>
      </w:r>
      <w:r w:rsidR="006951B5" w:rsidRPr="009F5ED0">
        <w:rPr>
          <w:i w:val="0"/>
        </w:rPr>
        <w:lastRenderedPageBreak/>
        <w:t>She is associate editor for</w:t>
      </w:r>
      <w:r w:rsidR="006951B5">
        <w:t xml:space="preserve"> “Tectonics”</w:t>
      </w:r>
      <w:r w:rsidR="009F5ED0" w:rsidRPr="009F5ED0">
        <w:rPr>
          <w:i w:val="0"/>
        </w:rPr>
        <w:t xml:space="preserve">. In 2004 </w:t>
      </w:r>
      <w:r w:rsidR="009F5ED0">
        <w:rPr>
          <w:i w:val="0"/>
        </w:rPr>
        <w:t>EGU awarded her</w:t>
      </w:r>
      <w:r w:rsidR="009F5ED0" w:rsidRPr="009F5ED0">
        <w:rPr>
          <w:i w:val="0"/>
        </w:rPr>
        <w:t xml:space="preserve"> the </w:t>
      </w:r>
      <w:r w:rsidR="009F5ED0">
        <w:t>Arne Richter Award for Outstanding Early Career Scientists</w:t>
      </w:r>
      <w:r w:rsidR="009F5ED0" w:rsidRPr="009F5ED0">
        <w:rPr>
          <w:i w:val="0"/>
        </w:rPr>
        <w:t>.</w:t>
      </w:r>
      <w:r w:rsidR="006C24AE">
        <w:rPr>
          <w:i w:val="0"/>
        </w:rPr>
        <w:t xml:space="preserve"> She is curious about subduction zones - how subduction plate boundaries work and what is the transfer of material in the forearc and arc regions - and transform faults/fracture zone systems. </w:t>
      </w:r>
    </w:p>
    <w:p w14:paraId="02699AAA" w14:textId="77777777" w:rsidR="002C5816" w:rsidRDefault="002C5816" w:rsidP="002C5816"/>
    <w:p w14:paraId="285F15B8" w14:textId="635314D0" w:rsidR="002C5816" w:rsidRPr="002C5816" w:rsidRDefault="0024351E" w:rsidP="002C5816">
      <w:r>
        <w:rPr>
          <w:rFonts w:eastAsia="Times New Roman"/>
          <w:noProof/>
        </w:rPr>
        <w:drawing>
          <wp:inline distT="0" distB="0" distL="0" distR="0" wp14:anchorId="42A216FA" wp14:editId="03335511">
            <wp:extent cx="1717675" cy="1717675"/>
            <wp:effectExtent l="0" t="0" r="0" b="0"/>
            <wp:docPr id="3" name="Picture 3" descr="cid:d44fbcfc-6066-4d3d-9896-9403b41a0e41@eurprd0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d44fbcfc-6066-4d3d-9896-9403b41a0e41@eurprd03.prod.outlook.com"/>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717675" cy="1717675"/>
                    </a:xfrm>
                    <a:prstGeom prst="rect">
                      <a:avLst/>
                    </a:prstGeom>
                    <a:noFill/>
                    <a:ln>
                      <a:noFill/>
                    </a:ln>
                  </pic:spPr>
                </pic:pic>
              </a:graphicData>
            </a:graphic>
          </wp:inline>
        </w:drawing>
      </w:r>
    </w:p>
    <w:p w14:paraId="488FD698" w14:textId="340A35B4" w:rsidR="002C5816" w:rsidRDefault="002C5816" w:rsidP="002C5816">
      <w:pPr>
        <w:pStyle w:val="PlainText"/>
        <w:spacing w:line="480" w:lineRule="auto"/>
      </w:pPr>
      <w:r w:rsidRPr="002C5816">
        <w:rPr>
          <w:b/>
        </w:rPr>
        <w:t xml:space="preserve">Jason </w:t>
      </w:r>
      <w:r>
        <w:rPr>
          <w:b/>
        </w:rPr>
        <w:t xml:space="preserve">P. </w:t>
      </w:r>
      <w:r w:rsidRPr="002C5816">
        <w:rPr>
          <w:b/>
        </w:rPr>
        <w:t>Morgan</w:t>
      </w:r>
      <w:r>
        <w:t xml:space="preserve"> is Professor of Geodynamics at the Earth Sciences Department of Royal Holloway, University of London, and previously worked at Cornell, GEOMAR, IGPP-SIO, and MIT.  He has worked on the geodynamics, geochemistry, and marine geophysics of subduction zones, intraplate volcanoes, mid-ocean ridges, and continental rifting and the early evolution of ocean basins. In 1995 he was the recipient of the AGU </w:t>
      </w:r>
      <w:r w:rsidRPr="002C5816">
        <w:t xml:space="preserve">James B. </w:t>
      </w:r>
      <w:proofErr w:type="spellStart"/>
      <w:r w:rsidRPr="002C5816">
        <w:t>Macelwane</w:t>
      </w:r>
      <w:proofErr w:type="spellEnd"/>
      <w:r w:rsidRPr="002C5816">
        <w:t xml:space="preserve"> Medal</w:t>
      </w:r>
      <w:r>
        <w:t>, and in 2016 EGU awarder him the A. Love Medal. After several decades as a teacher and researcher, he still enjoys having a career that gives opportunities to explore the puzzles associated with how the Earth and planets work.</w:t>
      </w:r>
    </w:p>
    <w:p w14:paraId="2B820F77" w14:textId="7D18D51F" w:rsidR="00AD0075" w:rsidRDefault="00AD0075" w:rsidP="00530331"/>
    <w:p w14:paraId="4C48BDBB" w14:textId="2AD5EE33" w:rsidR="009F5ED0" w:rsidRDefault="002C5816" w:rsidP="00530331">
      <w:r>
        <w:rPr>
          <w:noProof/>
        </w:rPr>
        <w:lastRenderedPageBreak/>
        <w:drawing>
          <wp:inline distT="0" distB="0" distL="0" distR="0" wp14:anchorId="080BC2CD" wp14:editId="5D0BDACE">
            <wp:extent cx="1816735" cy="1903095"/>
            <wp:effectExtent l="0" t="0" r="0" b="1905"/>
            <wp:docPr id="1" name="Picture 1" descr="Risultati immagini per maria laura balestri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maria laura balestrier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6735" cy="1903095"/>
                    </a:xfrm>
                    <a:prstGeom prst="rect">
                      <a:avLst/>
                    </a:prstGeom>
                    <a:noFill/>
                    <a:ln>
                      <a:noFill/>
                    </a:ln>
                  </pic:spPr>
                </pic:pic>
              </a:graphicData>
            </a:graphic>
          </wp:inline>
        </w:drawing>
      </w:r>
    </w:p>
    <w:p w14:paraId="1DA3857A" w14:textId="77777777" w:rsidR="009F5ED0" w:rsidRDefault="009F5ED0" w:rsidP="00530331"/>
    <w:p w14:paraId="6FF7EDCE" w14:textId="6559AF7F" w:rsidR="00A350B2" w:rsidRDefault="00A350B2" w:rsidP="00A350B2">
      <w:pPr>
        <w:pStyle w:val="PlainText"/>
        <w:spacing w:line="480" w:lineRule="auto"/>
      </w:pPr>
      <w:r w:rsidRPr="00A350B2">
        <w:rPr>
          <w:b/>
        </w:rPr>
        <w:t xml:space="preserve">Maria Laura </w:t>
      </w:r>
      <w:proofErr w:type="spellStart"/>
      <w:r w:rsidRPr="00A350B2">
        <w:rPr>
          <w:b/>
        </w:rPr>
        <w:t>Balestrieri</w:t>
      </w:r>
      <w:proofErr w:type="spellEnd"/>
      <w:r>
        <w:t xml:space="preserve"> is responsible for the fission-track laboratory of the Institute of Geosciences and Earth Resources, CNR, Italy. Her main research interest are the fission-track and (U-</w:t>
      </w:r>
      <w:proofErr w:type="spellStart"/>
      <w:r>
        <w:t>Th</w:t>
      </w:r>
      <w:proofErr w:type="spellEnd"/>
      <w:r>
        <w:t xml:space="preserve">)/He method </w:t>
      </w:r>
      <w:proofErr w:type="spellStart"/>
      <w:r>
        <w:t>thermocronometry</w:t>
      </w:r>
      <w:proofErr w:type="spellEnd"/>
      <w:r>
        <w:t xml:space="preserve">. Her skills are devoted to quantify exhumation and erosion in bedrock and provenance in the detrital fraction and more in general in the application of low temperature </w:t>
      </w:r>
      <w:proofErr w:type="spellStart"/>
      <w:r>
        <w:t>thermochronology</w:t>
      </w:r>
      <w:proofErr w:type="spellEnd"/>
      <w:r>
        <w:t xml:space="preserve"> in the different geodynamic environment (rift and passive margin: Nubian margin, Transantarctic Mountains, Ethiopian rift, Gulf of California; Orogenic belts such as the Northern Apennines of Italy, and the </w:t>
      </w:r>
      <w:proofErr w:type="spellStart"/>
      <w:r>
        <w:t>Peloritani</w:t>
      </w:r>
      <w:proofErr w:type="spellEnd"/>
      <w:r>
        <w:t xml:space="preserve"> </w:t>
      </w:r>
      <w:proofErr w:type="spellStart"/>
      <w:r>
        <w:t>Mts</w:t>
      </w:r>
      <w:proofErr w:type="spellEnd"/>
      <w:r>
        <w:t xml:space="preserve"> in Sicily).</w:t>
      </w:r>
    </w:p>
    <w:p w14:paraId="3DE5C34C" w14:textId="77777777" w:rsidR="000332D3" w:rsidRDefault="000332D3" w:rsidP="00530331"/>
    <w:p w14:paraId="3282162C" w14:textId="77777777" w:rsidR="000332D3" w:rsidRDefault="000332D3" w:rsidP="00530331"/>
    <w:p w14:paraId="43996E7A" w14:textId="40F9F835" w:rsidR="000332D3" w:rsidRDefault="000332D3" w:rsidP="00530331"/>
    <w:sectPr w:rsidR="000332D3" w:rsidSect="005303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E3D17A" w14:textId="77777777" w:rsidR="007B37B7" w:rsidRDefault="007B37B7" w:rsidP="00F22CAC">
      <w:pPr>
        <w:spacing w:after="0" w:line="240" w:lineRule="auto"/>
      </w:pPr>
      <w:r>
        <w:separator/>
      </w:r>
    </w:p>
  </w:endnote>
  <w:endnote w:type="continuationSeparator" w:id="0">
    <w:p w14:paraId="04AEB42D" w14:textId="77777777" w:rsidR="007B37B7" w:rsidRDefault="007B37B7" w:rsidP="00F22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Times">
    <w:panose1 w:val="02020603050405020304"/>
    <w:charset w:val="4D"/>
    <w:family w:val="roman"/>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TimesNewRomanPSMT">
    <w:altName w:val="Times New Roman"/>
    <w:charset w:val="00"/>
    <w:family w:val="roman"/>
    <w:pitch w:val="default"/>
  </w:font>
  <w:font w:name="AdvEPSTIM">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
    <w:altName w:val="Times New Roman"/>
    <w:panose1 w:val="00000000000000000000"/>
    <w:charset w:val="A1"/>
    <w:family w:val="auto"/>
    <w:notTrueType/>
    <w:pitch w:val="default"/>
    <w:sig w:usb0="00000081" w:usb1="00000000" w:usb2="00000000" w:usb3="00000000" w:csb0="00000008"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1459327"/>
      <w:docPartObj>
        <w:docPartGallery w:val="Page Numbers (Bottom of Page)"/>
        <w:docPartUnique/>
      </w:docPartObj>
    </w:sdtPr>
    <w:sdtEndPr>
      <w:rPr>
        <w:noProof/>
      </w:rPr>
    </w:sdtEndPr>
    <w:sdtContent>
      <w:p w14:paraId="0820BF5C" w14:textId="77777777" w:rsidR="00F27BBD" w:rsidRDefault="00F27BBD" w:rsidP="00F22CAC">
        <w:pPr>
          <w:pStyle w:val="Footer"/>
          <w:jc w:val="center"/>
        </w:pPr>
        <w:r>
          <w:fldChar w:fldCharType="begin"/>
        </w:r>
        <w:r>
          <w:instrText xml:space="preserve"> PAGE   \* MERGEFORMAT </w:instrText>
        </w:r>
        <w:r>
          <w:fldChar w:fldCharType="separate"/>
        </w:r>
        <w:r w:rsidR="00392DB1">
          <w:rPr>
            <w:noProof/>
          </w:rPr>
          <w:t>26</w:t>
        </w:r>
        <w:r>
          <w:rPr>
            <w:noProof/>
          </w:rPr>
          <w:fldChar w:fldCharType="end"/>
        </w:r>
      </w:p>
    </w:sdtContent>
  </w:sdt>
  <w:p w14:paraId="6B59EF7B" w14:textId="77777777" w:rsidR="00F27BBD" w:rsidRDefault="00F27BBD" w:rsidP="005303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E229ED" w14:textId="77777777" w:rsidR="007B37B7" w:rsidRDefault="007B37B7" w:rsidP="00F22CAC">
      <w:pPr>
        <w:spacing w:after="0" w:line="240" w:lineRule="auto"/>
      </w:pPr>
      <w:r>
        <w:separator/>
      </w:r>
    </w:p>
  </w:footnote>
  <w:footnote w:type="continuationSeparator" w:id="0">
    <w:p w14:paraId="4D7CBB81" w14:textId="77777777" w:rsidR="007B37B7" w:rsidRDefault="007B37B7" w:rsidP="00F22C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12ABD"/>
    <w:multiLevelType w:val="hybridMultilevel"/>
    <w:tmpl w:val="848C8DB6"/>
    <w:lvl w:ilvl="0" w:tplc="01AC97C0">
      <w:start w:val="1"/>
      <w:numFmt w:val="bullet"/>
      <w:lvlText w:val=""/>
      <w:lvlJc w:val="left"/>
      <w:pPr>
        <w:tabs>
          <w:tab w:val="num" w:pos="720"/>
        </w:tabs>
        <w:ind w:left="720" w:hanging="360"/>
      </w:pPr>
      <w:rPr>
        <w:rFonts w:ascii="Wingdings" w:hAnsi="Wingdings" w:hint="default"/>
      </w:rPr>
    </w:lvl>
    <w:lvl w:ilvl="1" w:tplc="49DC154A" w:tentative="1">
      <w:start w:val="1"/>
      <w:numFmt w:val="bullet"/>
      <w:lvlText w:val=""/>
      <w:lvlJc w:val="left"/>
      <w:pPr>
        <w:tabs>
          <w:tab w:val="num" w:pos="1440"/>
        </w:tabs>
        <w:ind w:left="1440" w:hanging="360"/>
      </w:pPr>
      <w:rPr>
        <w:rFonts w:ascii="Wingdings" w:hAnsi="Wingdings" w:hint="default"/>
      </w:rPr>
    </w:lvl>
    <w:lvl w:ilvl="2" w:tplc="234EC16E">
      <w:start w:val="1"/>
      <w:numFmt w:val="bullet"/>
      <w:lvlText w:val=""/>
      <w:lvlJc w:val="left"/>
      <w:pPr>
        <w:tabs>
          <w:tab w:val="num" w:pos="2160"/>
        </w:tabs>
        <w:ind w:left="2160" w:hanging="360"/>
      </w:pPr>
      <w:rPr>
        <w:rFonts w:ascii="Wingdings" w:hAnsi="Wingdings" w:hint="default"/>
      </w:rPr>
    </w:lvl>
    <w:lvl w:ilvl="3" w:tplc="4C802764" w:tentative="1">
      <w:start w:val="1"/>
      <w:numFmt w:val="bullet"/>
      <w:lvlText w:val=""/>
      <w:lvlJc w:val="left"/>
      <w:pPr>
        <w:tabs>
          <w:tab w:val="num" w:pos="2880"/>
        </w:tabs>
        <w:ind w:left="2880" w:hanging="360"/>
      </w:pPr>
      <w:rPr>
        <w:rFonts w:ascii="Wingdings" w:hAnsi="Wingdings" w:hint="default"/>
      </w:rPr>
    </w:lvl>
    <w:lvl w:ilvl="4" w:tplc="90046ECE" w:tentative="1">
      <w:start w:val="1"/>
      <w:numFmt w:val="bullet"/>
      <w:lvlText w:val=""/>
      <w:lvlJc w:val="left"/>
      <w:pPr>
        <w:tabs>
          <w:tab w:val="num" w:pos="3600"/>
        </w:tabs>
        <w:ind w:left="3600" w:hanging="360"/>
      </w:pPr>
      <w:rPr>
        <w:rFonts w:ascii="Wingdings" w:hAnsi="Wingdings" w:hint="default"/>
      </w:rPr>
    </w:lvl>
    <w:lvl w:ilvl="5" w:tplc="6BA04DD8" w:tentative="1">
      <w:start w:val="1"/>
      <w:numFmt w:val="bullet"/>
      <w:lvlText w:val=""/>
      <w:lvlJc w:val="left"/>
      <w:pPr>
        <w:tabs>
          <w:tab w:val="num" w:pos="4320"/>
        </w:tabs>
        <w:ind w:left="4320" w:hanging="360"/>
      </w:pPr>
      <w:rPr>
        <w:rFonts w:ascii="Wingdings" w:hAnsi="Wingdings" w:hint="default"/>
      </w:rPr>
    </w:lvl>
    <w:lvl w:ilvl="6" w:tplc="F03CBD56" w:tentative="1">
      <w:start w:val="1"/>
      <w:numFmt w:val="bullet"/>
      <w:lvlText w:val=""/>
      <w:lvlJc w:val="left"/>
      <w:pPr>
        <w:tabs>
          <w:tab w:val="num" w:pos="5040"/>
        </w:tabs>
        <w:ind w:left="5040" w:hanging="360"/>
      </w:pPr>
      <w:rPr>
        <w:rFonts w:ascii="Wingdings" w:hAnsi="Wingdings" w:hint="default"/>
      </w:rPr>
    </w:lvl>
    <w:lvl w:ilvl="7" w:tplc="FC561790" w:tentative="1">
      <w:start w:val="1"/>
      <w:numFmt w:val="bullet"/>
      <w:lvlText w:val=""/>
      <w:lvlJc w:val="left"/>
      <w:pPr>
        <w:tabs>
          <w:tab w:val="num" w:pos="5760"/>
        </w:tabs>
        <w:ind w:left="5760" w:hanging="360"/>
      </w:pPr>
      <w:rPr>
        <w:rFonts w:ascii="Wingdings" w:hAnsi="Wingdings" w:hint="default"/>
      </w:rPr>
    </w:lvl>
    <w:lvl w:ilvl="8" w:tplc="4A40F124" w:tentative="1">
      <w:start w:val="1"/>
      <w:numFmt w:val="bullet"/>
      <w:lvlText w:val=""/>
      <w:lvlJc w:val="left"/>
      <w:pPr>
        <w:tabs>
          <w:tab w:val="num" w:pos="6480"/>
        </w:tabs>
        <w:ind w:left="6480" w:hanging="360"/>
      </w:pPr>
      <w:rPr>
        <w:rFonts w:ascii="Wingdings" w:hAnsi="Wingdings" w:hint="default"/>
      </w:rPr>
    </w:lvl>
  </w:abstractNum>
  <w:abstractNum w:abstractNumId="1">
    <w:nsid w:val="54FC21F2"/>
    <w:multiLevelType w:val="hybridMultilevel"/>
    <w:tmpl w:val="092661D4"/>
    <w:lvl w:ilvl="0" w:tplc="108665F6">
      <w:start w:val="46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E025C22"/>
    <w:multiLevelType w:val="hybridMultilevel"/>
    <w:tmpl w:val="85521532"/>
    <w:lvl w:ilvl="0" w:tplc="A1688DC4">
      <w:start w:val="1"/>
      <w:numFmt w:val="bullet"/>
      <w:lvlText w:val=""/>
      <w:lvlJc w:val="left"/>
      <w:pPr>
        <w:tabs>
          <w:tab w:val="num" w:pos="720"/>
        </w:tabs>
        <w:ind w:left="720" w:hanging="360"/>
      </w:pPr>
      <w:rPr>
        <w:rFonts w:ascii="Wingdings" w:hAnsi="Wingdings" w:hint="default"/>
      </w:rPr>
    </w:lvl>
    <w:lvl w:ilvl="1" w:tplc="1C02F308" w:tentative="1">
      <w:start w:val="1"/>
      <w:numFmt w:val="bullet"/>
      <w:lvlText w:val=""/>
      <w:lvlJc w:val="left"/>
      <w:pPr>
        <w:tabs>
          <w:tab w:val="num" w:pos="1440"/>
        </w:tabs>
        <w:ind w:left="1440" w:hanging="360"/>
      </w:pPr>
      <w:rPr>
        <w:rFonts w:ascii="Wingdings" w:hAnsi="Wingdings" w:hint="default"/>
      </w:rPr>
    </w:lvl>
    <w:lvl w:ilvl="2" w:tplc="29260C16" w:tentative="1">
      <w:start w:val="1"/>
      <w:numFmt w:val="bullet"/>
      <w:lvlText w:val=""/>
      <w:lvlJc w:val="left"/>
      <w:pPr>
        <w:tabs>
          <w:tab w:val="num" w:pos="2160"/>
        </w:tabs>
        <w:ind w:left="2160" w:hanging="360"/>
      </w:pPr>
      <w:rPr>
        <w:rFonts w:ascii="Wingdings" w:hAnsi="Wingdings" w:hint="default"/>
      </w:rPr>
    </w:lvl>
    <w:lvl w:ilvl="3" w:tplc="23CA52C6" w:tentative="1">
      <w:start w:val="1"/>
      <w:numFmt w:val="bullet"/>
      <w:lvlText w:val=""/>
      <w:lvlJc w:val="left"/>
      <w:pPr>
        <w:tabs>
          <w:tab w:val="num" w:pos="2880"/>
        </w:tabs>
        <w:ind w:left="2880" w:hanging="360"/>
      </w:pPr>
      <w:rPr>
        <w:rFonts w:ascii="Wingdings" w:hAnsi="Wingdings" w:hint="default"/>
      </w:rPr>
    </w:lvl>
    <w:lvl w:ilvl="4" w:tplc="CB44A232" w:tentative="1">
      <w:start w:val="1"/>
      <w:numFmt w:val="bullet"/>
      <w:lvlText w:val=""/>
      <w:lvlJc w:val="left"/>
      <w:pPr>
        <w:tabs>
          <w:tab w:val="num" w:pos="3600"/>
        </w:tabs>
        <w:ind w:left="3600" w:hanging="360"/>
      </w:pPr>
      <w:rPr>
        <w:rFonts w:ascii="Wingdings" w:hAnsi="Wingdings" w:hint="default"/>
      </w:rPr>
    </w:lvl>
    <w:lvl w:ilvl="5" w:tplc="E7460344" w:tentative="1">
      <w:start w:val="1"/>
      <w:numFmt w:val="bullet"/>
      <w:lvlText w:val=""/>
      <w:lvlJc w:val="left"/>
      <w:pPr>
        <w:tabs>
          <w:tab w:val="num" w:pos="4320"/>
        </w:tabs>
        <w:ind w:left="4320" w:hanging="360"/>
      </w:pPr>
      <w:rPr>
        <w:rFonts w:ascii="Wingdings" w:hAnsi="Wingdings" w:hint="default"/>
      </w:rPr>
    </w:lvl>
    <w:lvl w:ilvl="6" w:tplc="B40CBF64" w:tentative="1">
      <w:start w:val="1"/>
      <w:numFmt w:val="bullet"/>
      <w:lvlText w:val=""/>
      <w:lvlJc w:val="left"/>
      <w:pPr>
        <w:tabs>
          <w:tab w:val="num" w:pos="5040"/>
        </w:tabs>
        <w:ind w:left="5040" w:hanging="360"/>
      </w:pPr>
      <w:rPr>
        <w:rFonts w:ascii="Wingdings" w:hAnsi="Wingdings" w:hint="default"/>
      </w:rPr>
    </w:lvl>
    <w:lvl w:ilvl="7" w:tplc="F760B996" w:tentative="1">
      <w:start w:val="1"/>
      <w:numFmt w:val="bullet"/>
      <w:lvlText w:val=""/>
      <w:lvlJc w:val="left"/>
      <w:pPr>
        <w:tabs>
          <w:tab w:val="num" w:pos="5760"/>
        </w:tabs>
        <w:ind w:left="5760" w:hanging="360"/>
      </w:pPr>
      <w:rPr>
        <w:rFonts w:ascii="Wingdings" w:hAnsi="Wingdings" w:hint="default"/>
      </w:rPr>
    </w:lvl>
    <w:lvl w:ilvl="8" w:tplc="50E60304"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e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s2wt2rzhrd9xle0zfl5pp9nfz5tvzvr2dtt&quot;&gt;ContinentalCrust&lt;record-ids&gt;&lt;item&gt;143&lt;/item&gt;&lt;/record-ids&gt;&lt;/item&gt;&lt;/Libraries&gt;"/>
  </w:docVars>
  <w:rsids>
    <w:rsidRoot w:val="000332D3"/>
    <w:rsid w:val="000332D3"/>
    <w:rsid w:val="000722F9"/>
    <w:rsid w:val="000B6155"/>
    <w:rsid w:val="001028EF"/>
    <w:rsid w:val="001B49D2"/>
    <w:rsid w:val="001B6591"/>
    <w:rsid w:val="002418B9"/>
    <w:rsid w:val="0024351E"/>
    <w:rsid w:val="002A6080"/>
    <w:rsid w:val="002C0214"/>
    <w:rsid w:val="002C5816"/>
    <w:rsid w:val="0034704E"/>
    <w:rsid w:val="00392DB1"/>
    <w:rsid w:val="00416D2A"/>
    <w:rsid w:val="004218A3"/>
    <w:rsid w:val="00423B44"/>
    <w:rsid w:val="0042759C"/>
    <w:rsid w:val="0045110C"/>
    <w:rsid w:val="004D1BAF"/>
    <w:rsid w:val="004F37D4"/>
    <w:rsid w:val="00530331"/>
    <w:rsid w:val="00536C6B"/>
    <w:rsid w:val="00541EB5"/>
    <w:rsid w:val="005C737C"/>
    <w:rsid w:val="006072B8"/>
    <w:rsid w:val="00656802"/>
    <w:rsid w:val="00694D4E"/>
    <w:rsid w:val="006951B5"/>
    <w:rsid w:val="006C0794"/>
    <w:rsid w:val="006C24AE"/>
    <w:rsid w:val="006E158A"/>
    <w:rsid w:val="007327FA"/>
    <w:rsid w:val="00746C02"/>
    <w:rsid w:val="007818B3"/>
    <w:rsid w:val="007B37B7"/>
    <w:rsid w:val="007B6B1C"/>
    <w:rsid w:val="007D2ABA"/>
    <w:rsid w:val="008A3AA1"/>
    <w:rsid w:val="008A6889"/>
    <w:rsid w:val="008B714C"/>
    <w:rsid w:val="008E0216"/>
    <w:rsid w:val="008F1E67"/>
    <w:rsid w:val="00904BC3"/>
    <w:rsid w:val="0093117A"/>
    <w:rsid w:val="00942A79"/>
    <w:rsid w:val="009846FE"/>
    <w:rsid w:val="009F5ED0"/>
    <w:rsid w:val="00A350B2"/>
    <w:rsid w:val="00A44BA1"/>
    <w:rsid w:val="00A67E7D"/>
    <w:rsid w:val="00A960E6"/>
    <w:rsid w:val="00AD0075"/>
    <w:rsid w:val="00B3765D"/>
    <w:rsid w:val="00B40CEA"/>
    <w:rsid w:val="00B63503"/>
    <w:rsid w:val="00B63ECD"/>
    <w:rsid w:val="00BC65CC"/>
    <w:rsid w:val="00C10A94"/>
    <w:rsid w:val="00CB06FE"/>
    <w:rsid w:val="00CF2D6A"/>
    <w:rsid w:val="00D17224"/>
    <w:rsid w:val="00D46413"/>
    <w:rsid w:val="00D56D63"/>
    <w:rsid w:val="00E71BB3"/>
    <w:rsid w:val="00E72E4E"/>
    <w:rsid w:val="00E85017"/>
    <w:rsid w:val="00EA26E1"/>
    <w:rsid w:val="00ED0640"/>
    <w:rsid w:val="00F22CAC"/>
    <w:rsid w:val="00F27B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C85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32D3"/>
    <w:pPr>
      <w:spacing w:line="480" w:lineRule="auto"/>
    </w:pPr>
  </w:style>
  <w:style w:type="paragraph" w:styleId="Heading1">
    <w:name w:val="heading 1"/>
    <w:basedOn w:val="Normal"/>
    <w:next w:val="Normal"/>
    <w:link w:val="Heading1Char"/>
    <w:uiPriority w:val="9"/>
    <w:qFormat/>
    <w:rsid w:val="000332D3"/>
    <w:pPr>
      <w:outlineLvl w:val="0"/>
    </w:pPr>
    <w:rPr>
      <w:b/>
      <w:sz w:val="28"/>
      <w:lang w:val="en-GB"/>
    </w:rPr>
  </w:style>
  <w:style w:type="paragraph" w:styleId="Heading2">
    <w:name w:val="heading 2"/>
    <w:basedOn w:val="Normal"/>
    <w:next w:val="Normal"/>
    <w:link w:val="Heading2Char"/>
    <w:uiPriority w:val="9"/>
    <w:unhideWhenUsed/>
    <w:qFormat/>
    <w:rsid w:val="000332D3"/>
    <w:pPr>
      <w:outlineLvl w:val="1"/>
    </w:pPr>
    <w:rPr>
      <w:b/>
    </w:rPr>
  </w:style>
  <w:style w:type="paragraph" w:styleId="Heading3">
    <w:name w:val="heading 3"/>
    <w:basedOn w:val="Normal"/>
    <w:next w:val="Normal"/>
    <w:link w:val="Heading3Char"/>
    <w:uiPriority w:val="9"/>
    <w:unhideWhenUsed/>
    <w:qFormat/>
    <w:rsid w:val="000332D3"/>
    <w:pPr>
      <w:adjustRightInd w:val="0"/>
      <w:spacing w:after="120"/>
      <w:outlineLvl w:val="2"/>
    </w:pPr>
    <w:rPr>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2D3"/>
    <w:rPr>
      <w:b/>
      <w:sz w:val="28"/>
      <w:lang w:val="en-GB"/>
    </w:rPr>
  </w:style>
  <w:style w:type="character" w:customStyle="1" w:styleId="Heading2Char">
    <w:name w:val="Heading 2 Char"/>
    <w:basedOn w:val="DefaultParagraphFont"/>
    <w:link w:val="Heading2"/>
    <w:uiPriority w:val="9"/>
    <w:rsid w:val="000332D3"/>
    <w:rPr>
      <w:b/>
    </w:rPr>
  </w:style>
  <w:style w:type="character" w:customStyle="1" w:styleId="Heading3Char">
    <w:name w:val="Heading 3 Char"/>
    <w:basedOn w:val="DefaultParagraphFont"/>
    <w:link w:val="Heading3"/>
    <w:uiPriority w:val="9"/>
    <w:rsid w:val="000332D3"/>
    <w:rPr>
      <w:i/>
    </w:rPr>
  </w:style>
  <w:style w:type="paragraph" w:styleId="NormalWeb">
    <w:name w:val="Normal (Web)"/>
    <w:basedOn w:val="Normal"/>
    <w:uiPriority w:val="99"/>
    <w:semiHidden/>
    <w:unhideWhenUsed/>
    <w:rsid w:val="000332D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332D3"/>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332D3"/>
    <w:rPr>
      <w:color w:val="0000FF" w:themeColor="hyperlink"/>
      <w:u w:val="single"/>
    </w:rPr>
  </w:style>
  <w:style w:type="paragraph" w:customStyle="1" w:styleId="BodyParagraph">
    <w:name w:val="Body Paragraph"/>
    <w:basedOn w:val="Normal"/>
    <w:rsid w:val="000332D3"/>
    <w:pPr>
      <w:spacing w:after="0" w:line="240" w:lineRule="auto"/>
      <w:ind w:firstLine="720"/>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332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32D3"/>
  </w:style>
  <w:style w:type="paragraph" w:styleId="Footer">
    <w:name w:val="footer"/>
    <w:basedOn w:val="Normal"/>
    <w:link w:val="FooterChar"/>
    <w:uiPriority w:val="99"/>
    <w:unhideWhenUsed/>
    <w:rsid w:val="000332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32D3"/>
  </w:style>
  <w:style w:type="character" w:styleId="Emphasis">
    <w:name w:val="Emphasis"/>
    <w:basedOn w:val="DefaultParagraphFont"/>
    <w:uiPriority w:val="20"/>
    <w:qFormat/>
    <w:rsid w:val="000332D3"/>
    <w:rPr>
      <w:i/>
      <w:iCs/>
    </w:rPr>
  </w:style>
  <w:style w:type="paragraph" w:styleId="BalloonText">
    <w:name w:val="Balloon Text"/>
    <w:basedOn w:val="Normal"/>
    <w:link w:val="BalloonTextChar"/>
    <w:uiPriority w:val="99"/>
    <w:semiHidden/>
    <w:unhideWhenUsed/>
    <w:rsid w:val="000332D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32D3"/>
    <w:rPr>
      <w:rFonts w:ascii="Lucida Grande" w:hAnsi="Lucida Grande" w:cs="Lucida Grande"/>
      <w:sz w:val="18"/>
      <w:szCs w:val="18"/>
    </w:rPr>
  </w:style>
  <w:style w:type="character" w:styleId="CommentReference">
    <w:name w:val="annotation reference"/>
    <w:basedOn w:val="DefaultParagraphFont"/>
    <w:uiPriority w:val="99"/>
    <w:semiHidden/>
    <w:unhideWhenUsed/>
    <w:rsid w:val="000332D3"/>
    <w:rPr>
      <w:sz w:val="18"/>
      <w:szCs w:val="18"/>
    </w:rPr>
  </w:style>
  <w:style w:type="paragraph" w:styleId="CommentText">
    <w:name w:val="annotation text"/>
    <w:basedOn w:val="Normal"/>
    <w:link w:val="CommentTextChar"/>
    <w:uiPriority w:val="99"/>
    <w:semiHidden/>
    <w:unhideWhenUsed/>
    <w:rsid w:val="000332D3"/>
    <w:pPr>
      <w:spacing w:line="240" w:lineRule="auto"/>
    </w:pPr>
    <w:rPr>
      <w:sz w:val="24"/>
      <w:szCs w:val="24"/>
    </w:rPr>
  </w:style>
  <w:style w:type="character" w:customStyle="1" w:styleId="CommentTextChar">
    <w:name w:val="Comment Text Char"/>
    <w:basedOn w:val="DefaultParagraphFont"/>
    <w:link w:val="CommentText"/>
    <w:uiPriority w:val="99"/>
    <w:semiHidden/>
    <w:rsid w:val="000332D3"/>
    <w:rPr>
      <w:sz w:val="24"/>
      <w:szCs w:val="24"/>
    </w:rPr>
  </w:style>
  <w:style w:type="paragraph" w:styleId="CommentSubject">
    <w:name w:val="annotation subject"/>
    <w:basedOn w:val="CommentText"/>
    <w:next w:val="CommentText"/>
    <w:link w:val="CommentSubjectChar"/>
    <w:uiPriority w:val="99"/>
    <w:semiHidden/>
    <w:unhideWhenUsed/>
    <w:rsid w:val="000332D3"/>
    <w:rPr>
      <w:b/>
      <w:bCs/>
      <w:sz w:val="20"/>
      <w:szCs w:val="20"/>
    </w:rPr>
  </w:style>
  <w:style w:type="character" w:customStyle="1" w:styleId="CommentSubjectChar">
    <w:name w:val="Comment Subject Char"/>
    <w:basedOn w:val="CommentTextChar"/>
    <w:link w:val="CommentSubject"/>
    <w:uiPriority w:val="99"/>
    <w:semiHidden/>
    <w:rsid w:val="000332D3"/>
    <w:rPr>
      <w:b/>
      <w:bCs/>
      <w:sz w:val="20"/>
      <w:szCs w:val="20"/>
    </w:rPr>
  </w:style>
  <w:style w:type="paragraph" w:styleId="Revision">
    <w:name w:val="Revision"/>
    <w:hidden/>
    <w:uiPriority w:val="99"/>
    <w:semiHidden/>
    <w:rsid w:val="000332D3"/>
    <w:pPr>
      <w:spacing w:after="0" w:line="240" w:lineRule="auto"/>
    </w:pPr>
  </w:style>
  <w:style w:type="paragraph" w:customStyle="1" w:styleId="BodyText1">
    <w:name w:val="Body Text1"/>
    <w:rsid w:val="000332D3"/>
    <w:pPr>
      <w:tabs>
        <w:tab w:val="left" w:pos="284"/>
      </w:tabs>
      <w:spacing w:after="0" w:line="220" w:lineRule="exact"/>
      <w:ind w:firstLine="284"/>
      <w:jc w:val="both"/>
    </w:pPr>
    <w:rPr>
      <w:rFonts w:ascii="Times" w:eastAsia="Times New Roman" w:hAnsi="Times" w:cs="Times New Roman"/>
      <w:noProof/>
      <w:sz w:val="18"/>
      <w:szCs w:val="20"/>
      <w:lang w:val="en-GB"/>
    </w:rPr>
  </w:style>
  <w:style w:type="table" w:styleId="TableGrid">
    <w:name w:val="Table Grid"/>
    <w:basedOn w:val="TableNormal"/>
    <w:uiPriority w:val="59"/>
    <w:rsid w:val="000332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0332D3"/>
  </w:style>
  <w:style w:type="paragraph" w:styleId="PlainText">
    <w:name w:val="Plain Text"/>
    <w:basedOn w:val="Normal"/>
    <w:link w:val="PlainTextChar"/>
    <w:uiPriority w:val="99"/>
    <w:semiHidden/>
    <w:unhideWhenUsed/>
    <w:rsid w:val="002C5816"/>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2C5816"/>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32D3"/>
    <w:pPr>
      <w:spacing w:line="480" w:lineRule="auto"/>
    </w:pPr>
  </w:style>
  <w:style w:type="paragraph" w:styleId="Heading1">
    <w:name w:val="heading 1"/>
    <w:basedOn w:val="Normal"/>
    <w:next w:val="Normal"/>
    <w:link w:val="Heading1Char"/>
    <w:uiPriority w:val="9"/>
    <w:qFormat/>
    <w:rsid w:val="000332D3"/>
    <w:pPr>
      <w:outlineLvl w:val="0"/>
    </w:pPr>
    <w:rPr>
      <w:b/>
      <w:sz w:val="28"/>
      <w:lang w:val="en-GB"/>
    </w:rPr>
  </w:style>
  <w:style w:type="paragraph" w:styleId="Heading2">
    <w:name w:val="heading 2"/>
    <w:basedOn w:val="Normal"/>
    <w:next w:val="Normal"/>
    <w:link w:val="Heading2Char"/>
    <w:uiPriority w:val="9"/>
    <w:unhideWhenUsed/>
    <w:qFormat/>
    <w:rsid w:val="000332D3"/>
    <w:pPr>
      <w:outlineLvl w:val="1"/>
    </w:pPr>
    <w:rPr>
      <w:b/>
    </w:rPr>
  </w:style>
  <w:style w:type="paragraph" w:styleId="Heading3">
    <w:name w:val="heading 3"/>
    <w:basedOn w:val="Normal"/>
    <w:next w:val="Normal"/>
    <w:link w:val="Heading3Char"/>
    <w:uiPriority w:val="9"/>
    <w:unhideWhenUsed/>
    <w:qFormat/>
    <w:rsid w:val="000332D3"/>
    <w:pPr>
      <w:adjustRightInd w:val="0"/>
      <w:spacing w:after="120"/>
      <w:outlineLvl w:val="2"/>
    </w:pPr>
    <w:rPr>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2D3"/>
    <w:rPr>
      <w:b/>
      <w:sz w:val="28"/>
      <w:lang w:val="en-GB"/>
    </w:rPr>
  </w:style>
  <w:style w:type="character" w:customStyle="1" w:styleId="Heading2Char">
    <w:name w:val="Heading 2 Char"/>
    <w:basedOn w:val="DefaultParagraphFont"/>
    <w:link w:val="Heading2"/>
    <w:uiPriority w:val="9"/>
    <w:rsid w:val="000332D3"/>
    <w:rPr>
      <w:b/>
    </w:rPr>
  </w:style>
  <w:style w:type="character" w:customStyle="1" w:styleId="Heading3Char">
    <w:name w:val="Heading 3 Char"/>
    <w:basedOn w:val="DefaultParagraphFont"/>
    <w:link w:val="Heading3"/>
    <w:uiPriority w:val="9"/>
    <w:rsid w:val="000332D3"/>
    <w:rPr>
      <w:i/>
    </w:rPr>
  </w:style>
  <w:style w:type="paragraph" w:styleId="NormalWeb">
    <w:name w:val="Normal (Web)"/>
    <w:basedOn w:val="Normal"/>
    <w:uiPriority w:val="99"/>
    <w:semiHidden/>
    <w:unhideWhenUsed/>
    <w:rsid w:val="000332D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332D3"/>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332D3"/>
    <w:rPr>
      <w:color w:val="0000FF" w:themeColor="hyperlink"/>
      <w:u w:val="single"/>
    </w:rPr>
  </w:style>
  <w:style w:type="paragraph" w:customStyle="1" w:styleId="BodyParagraph">
    <w:name w:val="Body Paragraph"/>
    <w:basedOn w:val="Normal"/>
    <w:rsid w:val="000332D3"/>
    <w:pPr>
      <w:spacing w:after="0" w:line="240" w:lineRule="auto"/>
      <w:ind w:firstLine="720"/>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332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32D3"/>
  </w:style>
  <w:style w:type="paragraph" w:styleId="Footer">
    <w:name w:val="footer"/>
    <w:basedOn w:val="Normal"/>
    <w:link w:val="FooterChar"/>
    <w:uiPriority w:val="99"/>
    <w:unhideWhenUsed/>
    <w:rsid w:val="000332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32D3"/>
  </w:style>
  <w:style w:type="character" w:styleId="Emphasis">
    <w:name w:val="Emphasis"/>
    <w:basedOn w:val="DefaultParagraphFont"/>
    <w:uiPriority w:val="20"/>
    <w:qFormat/>
    <w:rsid w:val="000332D3"/>
    <w:rPr>
      <w:i/>
      <w:iCs/>
    </w:rPr>
  </w:style>
  <w:style w:type="paragraph" w:styleId="BalloonText">
    <w:name w:val="Balloon Text"/>
    <w:basedOn w:val="Normal"/>
    <w:link w:val="BalloonTextChar"/>
    <w:uiPriority w:val="99"/>
    <w:semiHidden/>
    <w:unhideWhenUsed/>
    <w:rsid w:val="000332D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32D3"/>
    <w:rPr>
      <w:rFonts w:ascii="Lucida Grande" w:hAnsi="Lucida Grande" w:cs="Lucida Grande"/>
      <w:sz w:val="18"/>
      <w:szCs w:val="18"/>
    </w:rPr>
  </w:style>
  <w:style w:type="character" w:styleId="CommentReference">
    <w:name w:val="annotation reference"/>
    <w:basedOn w:val="DefaultParagraphFont"/>
    <w:uiPriority w:val="99"/>
    <w:semiHidden/>
    <w:unhideWhenUsed/>
    <w:rsid w:val="000332D3"/>
    <w:rPr>
      <w:sz w:val="18"/>
      <w:szCs w:val="18"/>
    </w:rPr>
  </w:style>
  <w:style w:type="paragraph" w:styleId="CommentText">
    <w:name w:val="annotation text"/>
    <w:basedOn w:val="Normal"/>
    <w:link w:val="CommentTextChar"/>
    <w:uiPriority w:val="99"/>
    <w:semiHidden/>
    <w:unhideWhenUsed/>
    <w:rsid w:val="000332D3"/>
    <w:pPr>
      <w:spacing w:line="240" w:lineRule="auto"/>
    </w:pPr>
    <w:rPr>
      <w:sz w:val="24"/>
      <w:szCs w:val="24"/>
    </w:rPr>
  </w:style>
  <w:style w:type="character" w:customStyle="1" w:styleId="CommentTextChar">
    <w:name w:val="Comment Text Char"/>
    <w:basedOn w:val="DefaultParagraphFont"/>
    <w:link w:val="CommentText"/>
    <w:uiPriority w:val="99"/>
    <w:semiHidden/>
    <w:rsid w:val="000332D3"/>
    <w:rPr>
      <w:sz w:val="24"/>
      <w:szCs w:val="24"/>
    </w:rPr>
  </w:style>
  <w:style w:type="paragraph" w:styleId="CommentSubject">
    <w:name w:val="annotation subject"/>
    <w:basedOn w:val="CommentText"/>
    <w:next w:val="CommentText"/>
    <w:link w:val="CommentSubjectChar"/>
    <w:uiPriority w:val="99"/>
    <w:semiHidden/>
    <w:unhideWhenUsed/>
    <w:rsid w:val="000332D3"/>
    <w:rPr>
      <w:b/>
      <w:bCs/>
      <w:sz w:val="20"/>
      <w:szCs w:val="20"/>
    </w:rPr>
  </w:style>
  <w:style w:type="character" w:customStyle="1" w:styleId="CommentSubjectChar">
    <w:name w:val="Comment Subject Char"/>
    <w:basedOn w:val="CommentTextChar"/>
    <w:link w:val="CommentSubject"/>
    <w:uiPriority w:val="99"/>
    <w:semiHidden/>
    <w:rsid w:val="000332D3"/>
    <w:rPr>
      <w:b/>
      <w:bCs/>
      <w:sz w:val="20"/>
      <w:szCs w:val="20"/>
    </w:rPr>
  </w:style>
  <w:style w:type="paragraph" w:styleId="Revision">
    <w:name w:val="Revision"/>
    <w:hidden/>
    <w:uiPriority w:val="99"/>
    <w:semiHidden/>
    <w:rsid w:val="000332D3"/>
    <w:pPr>
      <w:spacing w:after="0" w:line="240" w:lineRule="auto"/>
    </w:pPr>
  </w:style>
  <w:style w:type="paragraph" w:customStyle="1" w:styleId="BodyText1">
    <w:name w:val="Body Text1"/>
    <w:rsid w:val="000332D3"/>
    <w:pPr>
      <w:tabs>
        <w:tab w:val="left" w:pos="284"/>
      </w:tabs>
      <w:spacing w:after="0" w:line="220" w:lineRule="exact"/>
      <w:ind w:firstLine="284"/>
      <w:jc w:val="both"/>
    </w:pPr>
    <w:rPr>
      <w:rFonts w:ascii="Times" w:eastAsia="Times New Roman" w:hAnsi="Times" w:cs="Times New Roman"/>
      <w:noProof/>
      <w:sz w:val="18"/>
      <w:szCs w:val="20"/>
      <w:lang w:val="en-GB"/>
    </w:rPr>
  </w:style>
  <w:style w:type="table" w:styleId="TableGrid">
    <w:name w:val="Table Grid"/>
    <w:basedOn w:val="TableNormal"/>
    <w:uiPriority w:val="59"/>
    <w:rsid w:val="000332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0332D3"/>
  </w:style>
  <w:style w:type="paragraph" w:styleId="PlainText">
    <w:name w:val="Plain Text"/>
    <w:basedOn w:val="Normal"/>
    <w:link w:val="PlainTextChar"/>
    <w:uiPriority w:val="99"/>
    <w:semiHidden/>
    <w:unhideWhenUsed/>
    <w:rsid w:val="002C5816"/>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2C5816"/>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141754">
      <w:bodyDiv w:val="1"/>
      <w:marLeft w:val="0"/>
      <w:marRight w:val="0"/>
      <w:marTop w:val="0"/>
      <w:marBottom w:val="0"/>
      <w:divBdr>
        <w:top w:val="none" w:sz="0" w:space="0" w:color="auto"/>
        <w:left w:val="none" w:sz="0" w:space="0" w:color="auto"/>
        <w:bottom w:val="none" w:sz="0" w:space="0" w:color="auto"/>
        <w:right w:val="none" w:sz="0" w:space="0" w:color="auto"/>
      </w:divBdr>
    </w:div>
    <w:div w:id="591747396">
      <w:bodyDiv w:val="1"/>
      <w:marLeft w:val="0"/>
      <w:marRight w:val="0"/>
      <w:marTop w:val="0"/>
      <w:marBottom w:val="0"/>
      <w:divBdr>
        <w:top w:val="none" w:sz="0" w:space="0" w:color="auto"/>
        <w:left w:val="none" w:sz="0" w:space="0" w:color="auto"/>
        <w:bottom w:val="none" w:sz="0" w:space="0" w:color="auto"/>
        <w:right w:val="none" w:sz="0" w:space="0" w:color="auto"/>
      </w:divBdr>
    </w:div>
    <w:div w:id="722362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cid:d44fbcfc-6066-4d3d-9896-9403b41a0e41@eurprd03.prod.outlook.com"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42</Pages>
  <Words>12828</Words>
  <Characters>73121</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Vannucchi</dc:creator>
  <cp:lastModifiedBy>Paola Vannucchi</cp:lastModifiedBy>
  <cp:revision>10</cp:revision>
  <cp:lastPrinted>2016-08-27T07:45:00Z</cp:lastPrinted>
  <dcterms:created xsi:type="dcterms:W3CDTF">2016-08-31T07:28:00Z</dcterms:created>
  <dcterms:modified xsi:type="dcterms:W3CDTF">2016-09-26T10:39:00Z</dcterms:modified>
</cp:coreProperties>
</file>