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4923DA2" w14:textId="77777777" w:rsidR="009179F6" w:rsidRPr="00465964" w:rsidRDefault="008A492E" w:rsidP="00465964">
      <w:pPr>
        <w:pStyle w:val="Normal1"/>
        <w:spacing w:after="240" w:line="480" w:lineRule="auto"/>
      </w:pPr>
      <w:bookmarkStart w:id="0" w:name="_GoBack"/>
      <w:bookmarkEnd w:id="0"/>
      <w:r>
        <w:rPr>
          <w:rFonts w:ascii="Times New Roman" w:eastAsia="Times New Roman" w:hAnsi="Times New Roman" w:cs="Times New Roman"/>
          <w:color w:val="161616"/>
        </w:rPr>
        <w:t>Intra-acting with the IceCube Neutrino Observatory; or, how the technosphere may come to matter</w:t>
      </w:r>
    </w:p>
    <w:p w14:paraId="3953408D" w14:textId="77777777" w:rsidR="009179F6" w:rsidRDefault="008A492E">
      <w:pPr>
        <w:pStyle w:val="Normal1"/>
        <w:spacing w:after="240" w:line="480" w:lineRule="auto"/>
      </w:pPr>
      <w:r>
        <w:rPr>
          <w:rFonts w:ascii="Times New Roman" w:eastAsia="Times New Roman" w:hAnsi="Times New Roman" w:cs="Times New Roman"/>
          <w:color w:val="161616"/>
        </w:rPr>
        <w:t xml:space="preserve"> </w:t>
      </w:r>
    </w:p>
    <w:p w14:paraId="49E02CC0" w14:textId="77777777" w:rsidR="009179F6" w:rsidRDefault="008A492E">
      <w:pPr>
        <w:pStyle w:val="Normal1"/>
        <w:spacing w:after="240" w:line="480" w:lineRule="auto"/>
      </w:pPr>
      <w:r>
        <w:rPr>
          <w:rFonts w:ascii="Times New Roman" w:eastAsia="Times New Roman" w:hAnsi="Times New Roman" w:cs="Times New Roman"/>
          <w:color w:val="161616"/>
          <w:vertAlign w:val="superscript"/>
        </w:rPr>
        <w:t xml:space="preserve"> </w:t>
      </w:r>
    </w:p>
    <w:p w14:paraId="38219F30" w14:textId="77777777" w:rsidR="009179F6" w:rsidRPr="00465964" w:rsidRDefault="008A492E" w:rsidP="00465964">
      <w:pPr>
        <w:pStyle w:val="Normal1"/>
        <w:spacing w:after="240" w:line="480" w:lineRule="auto"/>
      </w:pPr>
      <w:r>
        <w:rPr>
          <w:rFonts w:ascii="Times New Roman" w:eastAsia="Times New Roman" w:hAnsi="Times New Roman" w:cs="Times New Roman"/>
          <w:b/>
        </w:rPr>
        <w:t>Abstract</w:t>
      </w:r>
    </w:p>
    <w:p w14:paraId="7CE4BB51" w14:textId="0AEEC576" w:rsidR="009179F6" w:rsidRPr="00465964" w:rsidRDefault="008A492E" w:rsidP="00465964">
      <w:pPr>
        <w:pStyle w:val="Normal1"/>
        <w:spacing w:after="240" w:line="480" w:lineRule="auto"/>
      </w:pPr>
      <w:r>
        <w:rPr>
          <w:rFonts w:ascii="Times New Roman" w:eastAsia="Times New Roman" w:hAnsi="Times New Roman" w:cs="Times New Roman"/>
        </w:rPr>
        <w:t xml:space="preserve">This paper contends that a robust concept of the technosphere – indeed one that is truly adequate to the Anthropocene – must be approached using a plurality of methods that do not categorize agencies or rely on hierarchical scalar analysis.  In this commentary, we draw from feminist science studies scholar Karen Barad’s philosophy of </w:t>
      </w:r>
      <w:r>
        <w:rPr>
          <w:rFonts w:ascii="Times New Roman" w:eastAsia="Times New Roman" w:hAnsi="Times New Roman" w:cs="Times New Roman"/>
          <w:i/>
        </w:rPr>
        <w:t>agential realism</w:t>
      </w:r>
      <w:r>
        <w:rPr>
          <w:rFonts w:ascii="Times New Roman" w:eastAsia="Times New Roman" w:hAnsi="Times New Roman" w:cs="Times New Roman"/>
        </w:rPr>
        <w:t xml:space="preserve">, and in particular her concept of “intra-action,” to identify the technosphere as emergent from entangled practices, sites and infrastructures, and to trace the technosphere from the “meso” scale to subatomic and cosmological realms of force and energy.  We demonstrate the value of a critical, intra-active approach to technical assemblages by thinking the technosphere concept with and within a vast experimental apparatus: the </w:t>
      </w:r>
      <w:r>
        <w:rPr>
          <w:rFonts w:ascii="Times New Roman" w:eastAsia="Times New Roman" w:hAnsi="Times New Roman" w:cs="Times New Roman"/>
          <w:i/>
        </w:rPr>
        <w:t>IceCube Neutrino Observatory.</w:t>
      </w:r>
    </w:p>
    <w:p w14:paraId="6DF30C2F" w14:textId="77777777" w:rsidR="009179F6" w:rsidRPr="00465964" w:rsidRDefault="008A492E" w:rsidP="00465964">
      <w:pPr>
        <w:pStyle w:val="Normal1"/>
        <w:spacing w:after="240" w:line="480" w:lineRule="auto"/>
      </w:pPr>
      <w:r>
        <w:rPr>
          <w:rFonts w:ascii="Times New Roman" w:eastAsia="Times New Roman" w:hAnsi="Times New Roman" w:cs="Times New Roman"/>
          <w:b/>
        </w:rPr>
        <w:t>Keywords</w:t>
      </w:r>
    </w:p>
    <w:p w14:paraId="2027475C" w14:textId="0519E975" w:rsidR="009179F6" w:rsidRPr="00465964" w:rsidRDefault="008A492E" w:rsidP="00465964">
      <w:pPr>
        <w:pStyle w:val="Normal1"/>
        <w:spacing w:after="240" w:line="480" w:lineRule="auto"/>
      </w:pPr>
      <w:r>
        <w:rPr>
          <w:rFonts w:ascii="Times New Roman" w:eastAsia="Times New Roman" w:hAnsi="Times New Roman" w:cs="Times New Roman"/>
        </w:rPr>
        <w:t>intra-action, neutrino, agency, scale, entanglement, technosphere, cascade, IceCube</w:t>
      </w:r>
    </w:p>
    <w:p w14:paraId="1DE957A3" w14:textId="77777777" w:rsidR="009179F6" w:rsidRDefault="008A492E">
      <w:pPr>
        <w:pStyle w:val="Normal1"/>
        <w:spacing w:after="240" w:line="480" w:lineRule="auto"/>
      </w:pPr>
      <w:r>
        <w:rPr>
          <w:rFonts w:ascii="Times New Roman" w:eastAsia="Times New Roman" w:hAnsi="Times New Roman" w:cs="Times New Roman"/>
          <w:i/>
        </w:rPr>
        <w:t xml:space="preserve"> </w:t>
      </w:r>
    </w:p>
    <w:p w14:paraId="1BD3B912" w14:textId="77777777" w:rsidR="009179F6" w:rsidRDefault="008A492E">
      <w:pPr>
        <w:pStyle w:val="Normal1"/>
        <w:spacing w:after="240" w:line="480" w:lineRule="auto"/>
      </w:pPr>
      <w:r>
        <w:rPr>
          <w:rFonts w:ascii="Times New Roman" w:eastAsia="Times New Roman" w:hAnsi="Times New Roman" w:cs="Times New Roman"/>
          <w:i/>
        </w:rPr>
        <w:t xml:space="preserve"> </w:t>
      </w:r>
    </w:p>
    <w:p w14:paraId="246FAB80" w14:textId="77777777" w:rsidR="009179F6" w:rsidRDefault="008A492E">
      <w:pPr>
        <w:pStyle w:val="Normal1"/>
        <w:spacing w:after="240" w:line="480" w:lineRule="auto"/>
      </w:pPr>
      <w:r>
        <w:rPr>
          <w:rFonts w:ascii="Times New Roman" w:eastAsia="Times New Roman" w:hAnsi="Times New Roman" w:cs="Times New Roman"/>
          <w:i/>
        </w:rPr>
        <w:t xml:space="preserve"> </w:t>
      </w:r>
    </w:p>
    <w:p w14:paraId="6B131DAC" w14:textId="77777777" w:rsidR="009179F6" w:rsidRDefault="009179F6">
      <w:pPr>
        <w:pStyle w:val="Normal1"/>
        <w:spacing w:after="240" w:line="480" w:lineRule="auto"/>
      </w:pPr>
    </w:p>
    <w:p w14:paraId="576636F6" w14:textId="77777777" w:rsidR="009179F6" w:rsidRDefault="008A492E">
      <w:pPr>
        <w:pStyle w:val="Normal1"/>
        <w:spacing w:after="240" w:line="480" w:lineRule="auto"/>
        <w:ind w:left="1140"/>
      </w:pPr>
      <w:r>
        <w:rPr>
          <w:rFonts w:ascii="Times New Roman" w:eastAsia="Times New Roman" w:hAnsi="Times New Roman" w:cs="Times New Roman"/>
          <w:i/>
        </w:rPr>
        <w:t xml:space="preserve"> </w:t>
      </w:r>
    </w:p>
    <w:p w14:paraId="07574F5E" w14:textId="77777777" w:rsidR="009179F6" w:rsidRDefault="008A492E">
      <w:pPr>
        <w:pStyle w:val="Normal1"/>
        <w:spacing w:after="240" w:line="480" w:lineRule="auto"/>
        <w:ind w:left="1140"/>
      </w:pPr>
      <w:r>
        <w:rPr>
          <w:rFonts w:ascii="Times New Roman" w:eastAsia="Times New Roman" w:hAnsi="Times New Roman" w:cs="Times New Roman"/>
          <w:i/>
        </w:rPr>
        <w:lastRenderedPageBreak/>
        <w:t>In my agential realist account, humans do not merely assemble different apparatuses for satisfying particular knowledge projects; humans are a part of the configuration or ongoing reconfiguration of the world - that is, they/we too are phenomenon. In other words, humans (like other parts of nature) are of the world, not in the world, and surely not outside of it looking in.  (Barad, 2007; 206)</w:t>
      </w:r>
      <w:r>
        <w:rPr>
          <w:rFonts w:ascii="Times New Roman" w:eastAsia="Times New Roman" w:hAnsi="Times New Roman" w:cs="Times New Roman"/>
          <w:i/>
        </w:rPr>
        <w:br/>
      </w:r>
    </w:p>
    <w:p w14:paraId="3B8C6E04" w14:textId="77777777" w:rsidR="009179F6" w:rsidRPr="00465964" w:rsidRDefault="008A492E" w:rsidP="00465964">
      <w:pPr>
        <w:pStyle w:val="Normal1"/>
        <w:spacing w:after="240" w:line="480" w:lineRule="auto"/>
      </w:pPr>
      <w:r>
        <w:rPr>
          <w:rFonts w:ascii="Times New Roman" w:eastAsia="Times New Roman" w:hAnsi="Times New Roman" w:cs="Times New Roman"/>
        </w:rPr>
        <w:t>Introduction</w:t>
      </w:r>
    </w:p>
    <w:p w14:paraId="15655105" w14:textId="19B9F496" w:rsidR="009179F6" w:rsidRPr="00465964" w:rsidRDefault="008A492E" w:rsidP="00465964">
      <w:pPr>
        <w:pStyle w:val="Normal1"/>
        <w:spacing w:after="240" w:line="480" w:lineRule="auto"/>
        <w:ind w:firstLine="560"/>
      </w:pPr>
      <w:r>
        <w:rPr>
          <w:rFonts w:ascii="Times New Roman" w:eastAsia="Times New Roman" w:hAnsi="Times New Roman" w:cs="Times New Roman"/>
        </w:rPr>
        <w:t>The concept of the ‘technosphere’ as articulated by Peter K. Haff suggests that technical objects, institutions, and processes have coalesced into a novel planetary sphere to which humans, and indeed other living and non-living things, are ‘subservient parts’ in this sphere’s search for ‘quality energy’ (Haff, 2014).  The technosphere concept therefore embodies a radical redrawing of what constitutes the technical in the age of the Anthropocene, and for this it is of great value.  In this commentary, however, we articulate a few reservations regarding the methods and frameworks of research that are enrolled and enabled by the technosphere.  In particular, we are critical of Haff’s granting of hierarchical autonomy to the technological systems that are embedded in the material, discursive and energetic flows across Earth.  We are critical of this gesture not for some nostalgic ideas about free will, or romantic concepts of Nature.  Rather, the technosphere’s reliance on hierarchical concepts of agency and scale limits critique itself, foreclosing our capacities to witness the diverse species of onto-, epistemo-, and techno-logics emerging on our planet.</w:t>
      </w:r>
    </w:p>
    <w:p w14:paraId="6AE1DDD1" w14:textId="7B8E415A" w:rsidR="009179F6" w:rsidRPr="00465964" w:rsidRDefault="008A492E" w:rsidP="00465964">
      <w:pPr>
        <w:pStyle w:val="Normal1"/>
        <w:spacing w:after="240" w:line="48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To </w:t>
      </w:r>
      <w:r w:rsidR="005F2602">
        <w:rPr>
          <w:rFonts w:ascii="Times New Roman" w:eastAsia="Times New Roman" w:hAnsi="Times New Roman" w:cs="Times New Roman"/>
        </w:rPr>
        <w:t>apprehend</w:t>
      </w:r>
      <w:r>
        <w:rPr>
          <w:rFonts w:ascii="Times New Roman" w:eastAsia="Times New Roman" w:hAnsi="Times New Roman" w:cs="Times New Roman"/>
        </w:rPr>
        <w:t xml:space="preserve"> the ‘becoming-technology of the world’ announced in the technosphere, our capacities to think, act and invent must become adequate to what Haff (2014) refers to as technologies’ ‘escaped’ velocities.  In this endeavor, we can gain valuable insights from literature in science studies and posthumanist philosophy that radically extends notions of accountability, agency and causality (Bennet, 2010; Braidotti, 2013; Pickering, 1994).  Specifically, through an engagement with physicist and </w:t>
      </w:r>
      <w:r>
        <w:rPr>
          <w:rFonts w:ascii="Times New Roman" w:eastAsia="Times New Roman" w:hAnsi="Times New Roman" w:cs="Times New Roman"/>
        </w:rPr>
        <w:lastRenderedPageBreak/>
        <w:t xml:space="preserve">philosopher Karen Barad’s (2007) critical practice of </w:t>
      </w:r>
      <w:r>
        <w:rPr>
          <w:rFonts w:ascii="Times New Roman" w:eastAsia="Times New Roman" w:hAnsi="Times New Roman" w:cs="Times New Roman"/>
          <w:i/>
        </w:rPr>
        <w:t xml:space="preserve">agential realism, </w:t>
      </w:r>
      <w:r>
        <w:rPr>
          <w:rFonts w:ascii="Times New Roman" w:eastAsia="Times New Roman" w:hAnsi="Times New Roman" w:cs="Times New Roman"/>
        </w:rPr>
        <w:t xml:space="preserve">and especially her concept of </w:t>
      </w:r>
      <w:r>
        <w:rPr>
          <w:rFonts w:ascii="Times New Roman" w:eastAsia="Times New Roman" w:hAnsi="Times New Roman" w:cs="Times New Roman"/>
          <w:i/>
        </w:rPr>
        <w:t>intra-action</w:t>
      </w:r>
      <w:r>
        <w:rPr>
          <w:rFonts w:ascii="Times New Roman" w:eastAsia="Times New Roman" w:hAnsi="Times New Roman" w:cs="Times New Roman"/>
        </w:rPr>
        <w:t>, we address several questions important to a meaningful articulation of Earth’s technical capacities.  Moreover, by exploring intra-action through a site – the IceCube Neutrino Observatory – we test spatial concepts that transcend scales</w:t>
      </w:r>
      <w:r w:rsidR="005F2602">
        <w:rPr>
          <w:rFonts w:ascii="Times New Roman" w:eastAsia="Times New Roman" w:hAnsi="Times New Roman" w:cs="Times New Roman"/>
        </w:rPr>
        <w:t>,</w:t>
      </w:r>
      <w:r>
        <w:rPr>
          <w:rFonts w:ascii="Times New Roman" w:eastAsia="Times New Roman" w:hAnsi="Times New Roman" w:cs="Times New Roman"/>
        </w:rPr>
        <w:t xml:space="preserve"> and depart from the </w:t>
      </w:r>
      <w:r w:rsidR="005F2602">
        <w:rPr>
          <w:rFonts w:ascii="Times New Roman" w:eastAsia="Times New Roman" w:hAnsi="Times New Roman" w:cs="Times New Roman"/>
        </w:rPr>
        <w:t>scale</w:t>
      </w:r>
      <w:r w:rsidR="002D0ECB">
        <w:rPr>
          <w:rFonts w:ascii="Times New Roman" w:eastAsia="Times New Roman" w:hAnsi="Times New Roman" w:cs="Times New Roman"/>
        </w:rPr>
        <w:t>-based</w:t>
      </w:r>
      <w:r w:rsidR="005F2602">
        <w:rPr>
          <w:rFonts w:ascii="Times New Roman" w:eastAsia="Times New Roman" w:hAnsi="Times New Roman" w:cs="Times New Roman"/>
        </w:rPr>
        <w:t xml:space="preserve"> ‘graining’</w:t>
      </w:r>
      <w:r>
        <w:rPr>
          <w:rFonts w:ascii="Times New Roman" w:eastAsia="Times New Roman" w:hAnsi="Times New Roman" w:cs="Times New Roman"/>
        </w:rPr>
        <w:t xml:space="preserve"> of a ‘techno-sphere’.  In the Anthropocene, the stakes for such new concepts are high.  Before engaging further with the technosphere concept we briefly set the critical-conceptual stage</w:t>
      </w:r>
      <w:r w:rsidR="00465964">
        <w:rPr>
          <w:rFonts w:ascii="Times New Roman" w:eastAsia="Times New Roman" w:hAnsi="Times New Roman" w:cs="Times New Roman"/>
        </w:rPr>
        <w:t xml:space="preserve"> for our </w:t>
      </w:r>
      <w:r w:rsidR="002D0ECB">
        <w:rPr>
          <w:rFonts w:ascii="Times New Roman" w:eastAsia="Times New Roman" w:hAnsi="Times New Roman" w:cs="Times New Roman"/>
        </w:rPr>
        <w:t>contribution</w:t>
      </w:r>
      <w:r>
        <w:rPr>
          <w:rFonts w:ascii="Times New Roman" w:eastAsia="Times New Roman" w:hAnsi="Times New Roman" w:cs="Times New Roman"/>
        </w:rPr>
        <w:t>.  While doing so, we define the Baradian terms of agential realism and intra-action and delineate their consequences for (re)animating agency and scale.</w:t>
      </w:r>
    </w:p>
    <w:p w14:paraId="7607932F" w14:textId="77777777" w:rsidR="009179F6" w:rsidRPr="00465964" w:rsidRDefault="008A492E" w:rsidP="00465964">
      <w:pPr>
        <w:pStyle w:val="Normal1"/>
        <w:spacing w:after="240" w:line="480" w:lineRule="auto"/>
      </w:pPr>
      <w:r>
        <w:rPr>
          <w:rFonts w:ascii="Times New Roman" w:eastAsia="Times New Roman" w:hAnsi="Times New Roman" w:cs="Times New Roman"/>
          <w:i/>
        </w:rPr>
        <w:t xml:space="preserve"> </w:t>
      </w:r>
    </w:p>
    <w:p w14:paraId="1BA66072" w14:textId="77777777" w:rsidR="009179F6" w:rsidRPr="00465964" w:rsidRDefault="008A492E" w:rsidP="00465964">
      <w:pPr>
        <w:pStyle w:val="Normal1"/>
        <w:spacing w:after="240" w:line="480" w:lineRule="auto"/>
      </w:pPr>
      <w:r>
        <w:rPr>
          <w:rFonts w:ascii="Times New Roman" w:eastAsia="Times New Roman" w:hAnsi="Times New Roman" w:cs="Times New Roman"/>
        </w:rPr>
        <w:t>New knowing subjects</w:t>
      </w:r>
    </w:p>
    <w:p w14:paraId="58CEBE51" w14:textId="4F0C7119" w:rsidR="009179F6" w:rsidRPr="00465964" w:rsidRDefault="008A492E" w:rsidP="00465964">
      <w:pPr>
        <w:pStyle w:val="Normal1"/>
        <w:spacing w:after="240" w:line="480" w:lineRule="auto"/>
      </w:pPr>
      <w:r>
        <w:rPr>
          <w:rFonts w:ascii="Times New Roman" w:eastAsia="Times New Roman" w:hAnsi="Times New Roman" w:cs="Times New Roman"/>
        </w:rPr>
        <w:t xml:space="preserve">Accompanying </w:t>
      </w:r>
      <w:r w:rsidR="002D0ECB">
        <w:rPr>
          <w:rFonts w:ascii="Times New Roman" w:eastAsia="Times New Roman" w:hAnsi="Times New Roman" w:cs="Times New Roman"/>
        </w:rPr>
        <w:t xml:space="preserve">the </w:t>
      </w:r>
      <w:r w:rsidR="00465964">
        <w:rPr>
          <w:rFonts w:ascii="Times New Roman" w:eastAsia="Times New Roman" w:hAnsi="Times New Roman" w:cs="Times New Roman"/>
        </w:rPr>
        <w:t>figure of</w:t>
      </w:r>
      <w:r>
        <w:rPr>
          <w:rFonts w:ascii="Times New Roman" w:eastAsia="Times New Roman" w:hAnsi="Times New Roman" w:cs="Times New Roman"/>
        </w:rPr>
        <w:t xml:space="preserve"> an </w:t>
      </w:r>
      <w:r>
        <w:rPr>
          <w:rFonts w:ascii="Times New Roman" w:eastAsia="Times New Roman" w:hAnsi="Times New Roman" w:cs="Times New Roman"/>
          <w:i/>
        </w:rPr>
        <w:t xml:space="preserve">Onomatophoric Anthropocene </w:t>
      </w:r>
      <w:r>
        <w:rPr>
          <w:rFonts w:ascii="Times New Roman" w:eastAsia="Times New Roman" w:hAnsi="Times New Roman" w:cs="Times New Roman"/>
        </w:rPr>
        <w:t>(Szerszynski, 2014)</w:t>
      </w:r>
      <w:r>
        <w:rPr>
          <w:rFonts w:ascii="Times New Roman" w:eastAsia="Times New Roman" w:hAnsi="Times New Roman" w:cs="Times New Roman"/>
          <w:i/>
        </w:rPr>
        <w:t xml:space="preserve"> </w:t>
      </w:r>
      <w:r>
        <w:rPr>
          <w:rFonts w:ascii="Times New Roman" w:eastAsia="Times New Roman" w:hAnsi="Times New Roman" w:cs="Times New Roman"/>
        </w:rPr>
        <w:t xml:space="preserve">are challenges to human exceptionalism.  These challenges emerge from the envelopment and exposure of bodies to the ‘volatile juncture’ (Massumi, 2002) of hybrid </w:t>
      </w:r>
      <w:r w:rsidR="002D0ECB">
        <w:rPr>
          <w:rFonts w:ascii="Times New Roman" w:eastAsia="Times New Roman" w:hAnsi="Times New Roman" w:cs="Times New Roman"/>
        </w:rPr>
        <w:t xml:space="preserve">and toxic </w:t>
      </w:r>
      <w:r>
        <w:rPr>
          <w:rFonts w:ascii="Times New Roman" w:eastAsia="Times New Roman" w:hAnsi="Times New Roman" w:cs="Times New Roman"/>
        </w:rPr>
        <w:t xml:space="preserve">Anthropocene ecologies.  Recent interdisciplinary work across science studies, geo-philosophies, posthumanism, and cybernetics has suggested: ‘This new knowing [Anthropocenic] subject is a complex assemblage of human and non-human, planetary and cosmic, given and manufactured, </w:t>
      </w:r>
      <w:r>
        <w:rPr>
          <w:rFonts w:ascii="Times New Roman" w:eastAsia="Times New Roman" w:hAnsi="Times New Roman" w:cs="Times New Roman"/>
          <w:i/>
        </w:rPr>
        <w:t xml:space="preserve">which requires major re-adjustments in our ways of thinking’ </w:t>
      </w:r>
      <w:r>
        <w:rPr>
          <w:rFonts w:ascii="Times New Roman" w:eastAsia="Times New Roman" w:hAnsi="Times New Roman" w:cs="Times New Roman"/>
        </w:rPr>
        <w:t xml:space="preserve">(Braidotti, 2013: 159; emphasis ours).  Such ‘re-adjustments’ are found in Karen Barad‘s </w:t>
      </w:r>
      <w:r>
        <w:rPr>
          <w:rFonts w:ascii="Times New Roman" w:eastAsia="Times New Roman" w:hAnsi="Times New Roman" w:cs="Times New Roman"/>
          <w:i/>
        </w:rPr>
        <w:t>agential realism</w:t>
      </w:r>
      <w:r>
        <w:rPr>
          <w:rFonts w:ascii="Times New Roman" w:eastAsia="Times New Roman" w:hAnsi="Times New Roman" w:cs="Times New Roman"/>
        </w:rPr>
        <w:t xml:space="preserve">, which depends on a performative, as opposed to representational, understanding of phenomena.  Barad inherits her approach from scientist and philosopher Donna Haraway’s ‘diffractive methodology’.  To employ the optical metaphor of </w:t>
      </w:r>
      <w:r w:rsidRPr="00465964">
        <w:rPr>
          <w:rFonts w:ascii="Times New Roman" w:hAnsi="Times New Roman"/>
          <w:i/>
        </w:rPr>
        <w:t>diffraction</w:t>
      </w:r>
      <w:r>
        <w:rPr>
          <w:rFonts w:ascii="Times New Roman" w:eastAsia="Times New Roman" w:hAnsi="Times New Roman" w:cs="Times New Roman"/>
        </w:rPr>
        <w:t xml:space="preserve"> is to step beyond representation as a stance that presumes critical displacement between subject and world (Haraway, 1997).</w:t>
      </w:r>
      <w:r w:rsidR="002D0ECB">
        <w:rPr>
          <w:rFonts w:ascii="Times New Roman" w:eastAsia="Times New Roman" w:hAnsi="Times New Roman" w:cs="Times New Roman"/>
        </w:rPr>
        <w:t xml:space="preserve">  </w:t>
      </w:r>
      <w:r>
        <w:rPr>
          <w:rFonts w:ascii="Times New Roman" w:eastAsia="Times New Roman" w:hAnsi="Times New Roman" w:cs="Times New Roman"/>
        </w:rPr>
        <w:t xml:space="preserve">Barad’s critical method, then, “is a way of understanding the world from within and as a part of it” (Barad 2007: 88).  Agential realism is the practice of attuning to differences, frequencies, interferences and entanglements of </w:t>
      </w:r>
      <w:r>
        <w:rPr>
          <w:rFonts w:ascii="Times New Roman" w:eastAsia="Times New Roman" w:hAnsi="Times New Roman" w:cs="Times New Roman"/>
          <w:i/>
        </w:rPr>
        <w:t>intra-acting</w:t>
      </w:r>
      <w:r>
        <w:rPr>
          <w:rFonts w:ascii="Times New Roman" w:eastAsia="Times New Roman" w:hAnsi="Times New Roman" w:cs="Times New Roman"/>
        </w:rPr>
        <w:t xml:space="preserve"> </w:t>
      </w:r>
      <w:r w:rsidR="00465964">
        <w:rPr>
          <w:rFonts w:ascii="Times New Roman" w:eastAsia="Times New Roman" w:hAnsi="Times New Roman" w:cs="Times New Roman"/>
        </w:rPr>
        <w:t>entities</w:t>
      </w:r>
      <w:r>
        <w:rPr>
          <w:rFonts w:ascii="Times New Roman" w:eastAsia="Times New Roman" w:hAnsi="Times New Roman" w:cs="Times New Roman"/>
        </w:rPr>
        <w:t xml:space="preserve">, </w:t>
      </w:r>
      <w:r>
        <w:rPr>
          <w:rFonts w:ascii="Times New Roman" w:eastAsia="Times New Roman" w:hAnsi="Times New Roman" w:cs="Times New Roman"/>
        </w:rPr>
        <w:lastRenderedPageBreak/>
        <w:t>apparatuses, theories</w:t>
      </w:r>
      <w:r w:rsidR="00465964">
        <w:rPr>
          <w:rFonts w:ascii="Times New Roman" w:eastAsia="Times New Roman" w:hAnsi="Times New Roman" w:cs="Times New Roman"/>
        </w:rPr>
        <w:t xml:space="preserve"> </w:t>
      </w:r>
      <w:r>
        <w:rPr>
          <w:rFonts w:ascii="Times New Roman" w:eastAsia="Times New Roman" w:hAnsi="Times New Roman" w:cs="Times New Roman"/>
        </w:rPr>
        <w:t xml:space="preserve">and agencies.  As she further underlines, ‘Knowing does not come from standing at a distance and representing, but from </w:t>
      </w:r>
      <w:r>
        <w:rPr>
          <w:rFonts w:ascii="Times New Roman" w:eastAsia="Times New Roman" w:hAnsi="Times New Roman" w:cs="Times New Roman"/>
          <w:i/>
        </w:rPr>
        <w:t xml:space="preserve">a direct material engagement with the world’ </w:t>
      </w:r>
      <w:r>
        <w:rPr>
          <w:rFonts w:ascii="Times New Roman" w:eastAsia="Times New Roman" w:hAnsi="Times New Roman" w:cs="Times New Roman"/>
        </w:rPr>
        <w:t>(Barad, 2007: 49)</w:t>
      </w:r>
      <w:r>
        <w:rPr>
          <w:rFonts w:ascii="Times New Roman" w:eastAsia="Times New Roman" w:hAnsi="Times New Roman" w:cs="Times New Roman"/>
          <w:i/>
        </w:rPr>
        <w:t>.</w:t>
      </w:r>
    </w:p>
    <w:p w14:paraId="0E681F84" w14:textId="2B5BB189" w:rsidR="009179F6" w:rsidRPr="00465964" w:rsidRDefault="008A492E" w:rsidP="00465964">
      <w:pPr>
        <w:pStyle w:val="Normal1"/>
        <w:spacing w:after="240" w:line="480" w:lineRule="auto"/>
        <w:ind w:firstLine="720"/>
      </w:pPr>
      <w:r>
        <w:rPr>
          <w:rFonts w:ascii="Times New Roman" w:eastAsia="Times New Roman" w:hAnsi="Times New Roman" w:cs="Times New Roman"/>
        </w:rPr>
        <w:t xml:space="preserve">The neologism </w:t>
      </w:r>
      <w:r>
        <w:rPr>
          <w:rFonts w:ascii="Times New Roman" w:eastAsia="Times New Roman" w:hAnsi="Times New Roman" w:cs="Times New Roman"/>
          <w:i/>
        </w:rPr>
        <w:t>intra-action</w:t>
      </w:r>
      <w:r>
        <w:rPr>
          <w:rFonts w:ascii="Times New Roman" w:eastAsia="Times New Roman" w:hAnsi="Times New Roman" w:cs="Times New Roman"/>
        </w:rPr>
        <w:t xml:space="preserve"> plays a significant role in Barad’s ‘relational ontology’ as well as in this paper.  Like Andrew Pickering’s (1994) ‘dance of agency’, Barad’s (2007) </w:t>
      </w:r>
      <w:r>
        <w:rPr>
          <w:rFonts w:ascii="Times New Roman" w:eastAsia="Times New Roman" w:hAnsi="Times New Roman" w:cs="Times New Roman"/>
          <w:i/>
        </w:rPr>
        <w:t xml:space="preserve">intra-action </w:t>
      </w:r>
      <w:r>
        <w:rPr>
          <w:rFonts w:ascii="Times New Roman" w:eastAsia="Times New Roman" w:hAnsi="Times New Roman" w:cs="Times New Roman"/>
        </w:rPr>
        <w:t xml:space="preserve">may be understood as, “the mutual constitution of entangled agencies” (Barad, 2007: 33).  In </w:t>
      </w:r>
      <w:r w:rsidR="002D0ECB">
        <w:rPr>
          <w:rFonts w:ascii="Times New Roman" w:eastAsia="Times New Roman" w:hAnsi="Times New Roman" w:cs="Times New Roman"/>
        </w:rPr>
        <w:t xml:space="preserve">other </w:t>
      </w:r>
      <w:r>
        <w:rPr>
          <w:rFonts w:ascii="Times New Roman" w:eastAsia="Times New Roman" w:hAnsi="Times New Roman" w:cs="Times New Roman"/>
        </w:rPr>
        <w:t xml:space="preserve">terms, intra-action’s contribution is that agency does not belong to discrete entities but rather emerges from the ongoing processes of relations themselves.  In Barad’s social constructivist approach, and in other posthumanist accounts, </w:t>
      </w:r>
      <w:r w:rsidRPr="002D0ECB">
        <w:rPr>
          <w:rFonts w:ascii="Times New Roman" w:eastAsia="Times New Roman" w:hAnsi="Times New Roman" w:cs="Times New Roman"/>
        </w:rPr>
        <w:t>agency,</w:t>
      </w:r>
      <w:r>
        <w:rPr>
          <w:rFonts w:ascii="Times New Roman" w:eastAsia="Times New Roman" w:hAnsi="Times New Roman" w:cs="Times New Roman"/>
        </w:rPr>
        <w:t xml:space="preserve"> ‘is cut loose from its traditional humanist orbit’ (Barad, 2007: 235).  ‘Crucially,’ Barad emphasizes, ‘agency is a matter of intra-acting; it is an enactment, not something that someone or something has’ (Barad, 2007: 235).  Going deeper, she explains intra-action’s position vis-à-vis complex systems theory: </w:t>
      </w:r>
    </w:p>
    <w:p w14:paraId="4B8DC89E" w14:textId="762BC38E" w:rsidR="009179F6" w:rsidRPr="00465964" w:rsidRDefault="008A492E" w:rsidP="00465964">
      <w:pPr>
        <w:pStyle w:val="Normal1"/>
        <w:spacing w:after="240" w:line="480" w:lineRule="auto"/>
        <w:ind w:left="1140"/>
      </w:pPr>
      <w:r>
        <w:rPr>
          <w:rFonts w:ascii="Times New Roman" w:eastAsia="Times New Roman" w:hAnsi="Times New Roman" w:cs="Times New Roman"/>
        </w:rPr>
        <w:t>…intra-actions effect the rich topology of connective causal relations that are iteratively performed and reconfigured. This is a reworking of causality that goes beyond not only its classical conception but also goes beyond that of complex systems theory as well: “emergence,” in an agential realist account, is dependent not merely on the nonlinearity of relations but on their intra-active nature (i.e., on nonseparability and nontrivial topological dynamics as well). Barad, 2007: 393</w:t>
      </w:r>
    </w:p>
    <w:p w14:paraId="1956420C" w14:textId="3CCB1E91" w:rsidR="009179F6" w:rsidRPr="00465964" w:rsidRDefault="008A492E" w:rsidP="00465964">
      <w:pPr>
        <w:pStyle w:val="Normal1"/>
        <w:spacing w:after="240" w:line="480" w:lineRule="auto"/>
      </w:pPr>
      <w:r>
        <w:rPr>
          <w:rFonts w:ascii="Times New Roman" w:eastAsia="Times New Roman" w:hAnsi="Times New Roman" w:cs="Times New Roman"/>
        </w:rPr>
        <w:t xml:space="preserve">In </w:t>
      </w:r>
      <w:r w:rsidR="002D0ECB">
        <w:rPr>
          <w:rFonts w:ascii="Times New Roman" w:eastAsia="Times New Roman" w:hAnsi="Times New Roman" w:cs="Times New Roman"/>
        </w:rPr>
        <w:t>this account of</w:t>
      </w:r>
      <w:r>
        <w:rPr>
          <w:rFonts w:ascii="Times New Roman" w:eastAsia="Times New Roman" w:hAnsi="Times New Roman" w:cs="Times New Roman"/>
        </w:rPr>
        <w:t xml:space="preserve"> intra-action we find the radical proposal that all forms of matter, even subatomic particles like quarks and leptons, together with the mathematical theories and equations used to describe them, are in a flux of being ‘made and unmade’ with many other entities across scales and with other compositions (Barad, 2007).</w:t>
      </w:r>
      <w:r>
        <w:rPr>
          <w:rFonts w:ascii="Times New Roman" w:eastAsia="Times New Roman" w:hAnsi="Times New Roman" w:cs="Times New Roman"/>
          <w:i/>
        </w:rPr>
        <w:t xml:space="preserve">  </w:t>
      </w:r>
      <w:r>
        <w:rPr>
          <w:rFonts w:ascii="Times New Roman" w:eastAsia="Times New Roman" w:hAnsi="Times New Roman" w:cs="Times New Roman"/>
        </w:rPr>
        <w:t xml:space="preserve">It is important to note that what is ‘made and unmade’ are the </w:t>
      </w:r>
      <w:r>
        <w:rPr>
          <w:rFonts w:ascii="Times New Roman" w:eastAsia="Times New Roman" w:hAnsi="Times New Roman" w:cs="Times New Roman"/>
          <w:i/>
        </w:rPr>
        <w:t>boundaries</w:t>
      </w:r>
      <w:r>
        <w:rPr>
          <w:rFonts w:ascii="Times New Roman" w:eastAsia="Times New Roman" w:hAnsi="Times New Roman" w:cs="Times New Roman"/>
        </w:rPr>
        <w:t xml:space="preserve"> that come to define ‘subjects’ and ‘objects,’ as well as the boundaries that categorize and divide different scales of analysis.  What constitutes a limit, </w:t>
      </w:r>
      <w:r>
        <w:rPr>
          <w:rFonts w:ascii="Times New Roman" w:eastAsia="Times New Roman" w:hAnsi="Times New Roman" w:cs="Times New Roman"/>
          <w:i/>
        </w:rPr>
        <w:t>a sphere</w:t>
      </w:r>
      <w:r>
        <w:rPr>
          <w:rFonts w:ascii="Times New Roman" w:eastAsia="Times New Roman" w:hAnsi="Times New Roman" w:cs="Times New Roman"/>
        </w:rPr>
        <w:t xml:space="preserve">, or a ‘sub-‘ anything is constantly up for negotiation.  </w:t>
      </w:r>
      <w:r w:rsidR="002D0ECB">
        <w:rPr>
          <w:rFonts w:ascii="Times New Roman" w:eastAsia="Times New Roman" w:hAnsi="Times New Roman" w:cs="Times New Roman"/>
        </w:rPr>
        <w:t>D</w:t>
      </w:r>
      <w:r>
        <w:rPr>
          <w:rFonts w:ascii="Times New Roman" w:eastAsia="Times New Roman" w:hAnsi="Times New Roman" w:cs="Times New Roman"/>
        </w:rPr>
        <w:t xml:space="preserve">istinctions are never fixed, but </w:t>
      </w:r>
      <w:r w:rsidR="002D0ECB">
        <w:rPr>
          <w:rFonts w:ascii="Times New Roman" w:eastAsia="Times New Roman" w:hAnsi="Times New Roman" w:cs="Times New Roman"/>
        </w:rPr>
        <w:t xml:space="preserve">are </w:t>
      </w:r>
      <w:r>
        <w:rPr>
          <w:rFonts w:ascii="Times New Roman" w:eastAsia="Times New Roman" w:hAnsi="Times New Roman" w:cs="Times New Roman"/>
        </w:rPr>
        <w:t xml:space="preserve">dependent on sensing apparatuses, theories, forms of mathematical </w:t>
      </w:r>
      <w:r>
        <w:rPr>
          <w:rFonts w:ascii="Times New Roman" w:eastAsia="Times New Roman" w:hAnsi="Times New Roman" w:cs="Times New Roman"/>
        </w:rPr>
        <w:lastRenderedPageBreak/>
        <w:t>description, modes of observation, or other investigative cultural practices, which in turn rely on economic, social and ecological factors.</w:t>
      </w:r>
    </w:p>
    <w:p w14:paraId="1D308860" w14:textId="576062FC" w:rsidR="009179F6" w:rsidRPr="00465964" w:rsidRDefault="008A492E" w:rsidP="00465964">
      <w:pPr>
        <w:pStyle w:val="Normal1"/>
        <w:spacing w:after="240" w:line="480" w:lineRule="auto"/>
        <w:ind w:firstLine="720"/>
      </w:pPr>
      <w:r>
        <w:rPr>
          <w:rFonts w:ascii="Times New Roman" w:eastAsia="Times New Roman" w:hAnsi="Times New Roman" w:cs="Times New Roman"/>
        </w:rPr>
        <w:t xml:space="preserve">This brings us to the provocation of this paper: abstracting the technical ‘sphere’ away from the material, the creaturely and the cosmological neglects the insight that Earth’s technical capacity is an intra-acting space of entangled agencies. </w:t>
      </w:r>
      <w:r w:rsidR="002D0ECB">
        <w:rPr>
          <w:rFonts w:ascii="Times New Roman" w:eastAsia="Times New Roman" w:hAnsi="Times New Roman" w:cs="Times New Roman"/>
        </w:rPr>
        <w:t xml:space="preserve"> </w:t>
      </w:r>
      <w:r>
        <w:rPr>
          <w:rFonts w:ascii="Times New Roman" w:eastAsia="Times New Roman" w:hAnsi="Times New Roman" w:cs="Times New Roman"/>
        </w:rPr>
        <w:t>Phrased differently, technological apparatuses and infrastructures are not autonomous, but co-constituted through social</w:t>
      </w:r>
      <w:r w:rsidR="002D0ECB">
        <w:rPr>
          <w:rFonts w:ascii="Times New Roman" w:eastAsia="Times New Roman" w:hAnsi="Times New Roman" w:cs="Times New Roman"/>
        </w:rPr>
        <w:t>, economic</w:t>
      </w:r>
      <w:r>
        <w:rPr>
          <w:rFonts w:ascii="Times New Roman" w:eastAsia="Times New Roman" w:hAnsi="Times New Roman" w:cs="Times New Roman"/>
        </w:rPr>
        <w:t xml:space="preserve"> and bio-geo-physical processes.  This provocation implies the following question: what forms of analysis of technology might be opened up if we unsettle fixed notions of agency and scale, probing the, ‘rich topology of connective causal relations’ (Barad 2007, 393) that transcend the liminal boundaries of our planet’s ‘spheres’?  In addressing this question, the neutrino becomes a meaningful collaborator.  This paper will continue to demonstrate the value of an intra-active approach to technical assemblages by (re)thinking the technosphere concept with a vast, experimental apparatus: the </w:t>
      </w:r>
      <w:r>
        <w:rPr>
          <w:rFonts w:ascii="Times New Roman" w:eastAsia="Times New Roman" w:hAnsi="Times New Roman" w:cs="Times New Roman"/>
          <w:i/>
        </w:rPr>
        <w:t>IceCube Neutrino Observatory</w:t>
      </w:r>
      <w:r>
        <w:rPr>
          <w:rFonts w:ascii="Times New Roman" w:eastAsia="Times New Roman" w:hAnsi="Times New Roman" w:cs="Times New Roman"/>
        </w:rPr>
        <w:t>.</w:t>
      </w:r>
    </w:p>
    <w:p w14:paraId="69EC7F53" w14:textId="4175A66A" w:rsidR="009179F6" w:rsidRDefault="008A492E">
      <w:pPr>
        <w:pStyle w:val="Normal1"/>
        <w:spacing w:after="240" w:line="480" w:lineRule="auto"/>
      </w:pPr>
      <w:r>
        <w:rPr>
          <w:rFonts w:ascii="Times New Roman" w:eastAsia="Times New Roman" w:hAnsi="Times New Roman" w:cs="Times New Roman"/>
        </w:rPr>
        <w:t xml:space="preserve"> </w:t>
      </w:r>
    </w:p>
    <w:p w14:paraId="30DD72B0" w14:textId="77777777" w:rsidR="009179F6" w:rsidRDefault="008A492E">
      <w:pPr>
        <w:pStyle w:val="Normal1"/>
        <w:spacing w:after="240" w:line="480" w:lineRule="auto"/>
      </w:pPr>
      <w:r>
        <w:rPr>
          <w:rFonts w:ascii="Times New Roman" w:eastAsia="Times New Roman" w:hAnsi="Times New Roman" w:cs="Times New Roman"/>
        </w:rPr>
        <w:t>IceCube Neutrino Observatory</w:t>
      </w:r>
    </w:p>
    <w:p w14:paraId="3A85941E" w14:textId="5475F788" w:rsidR="009179F6" w:rsidRPr="00465964" w:rsidRDefault="008A492E" w:rsidP="00465964">
      <w:pPr>
        <w:pStyle w:val="Normal1"/>
        <w:spacing w:after="240" w:line="480" w:lineRule="auto"/>
        <w:ind w:left="560"/>
      </w:pPr>
      <w:r>
        <w:rPr>
          <w:rFonts w:ascii="Times New Roman" w:eastAsia="Times New Roman" w:hAnsi="Times New Roman" w:cs="Times New Roman"/>
          <w:i/>
        </w:rPr>
        <w:t xml:space="preserve">We had no choice, nature had built the detector for us. – </w:t>
      </w:r>
      <w:r>
        <w:rPr>
          <w:rFonts w:ascii="Times New Roman" w:eastAsia="Times New Roman" w:hAnsi="Times New Roman" w:cs="Times New Roman"/>
        </w:rPr>
        <w:t xml:space="preserve">Dr. Francis Halzen, director of </w:t>
      </w:r>
      <w:r w:rsidR="00465964">
        <w:rPr>
          <w:rFonts w:ascii="Times New Roman" w:eastAsia="Times New Roman" w:hAnsi="Times New Roman" w:cs="Times New Roman"/>
        </w:rPr>
        <w:t xml:space="preserve">the </w:t>
      </w:r>
      <w:r>
        <w:rPr>
          <w:rFonts w:ascii="Times New Roman" w:eastAsia="Times New Roman" w:hAnsi="Times New Roman" w:cs="Times New Roman"/>
        </w:rPr>
        <w:t xml:space="preserve">IceCube Observatory, </w:t>
      </w:r>
      <w:r w:rsidR="00465964">
        <w:rPr>
          <w:rFonts w:ascii="Times New Roman" w:eastAsia="Times New Roman" w:hAnsi="Times New Roman" w:cs="Times New Roman"/>
        </w:rPr>
        <w:t xml:space="preserve">personal </w:t>
      </w:r>
      <w:r>
        <w:rPr>
          <w:rFonts w:ascii="Times New Roman" w:eastAsia="Times New Roman" w:hAnsi="Times New Roman" w:cs="Times New Roman"/>
        </w:rPr>
        <w:t>interview with authors, 2015</w:t>
      </w:r>
      <w:r>
        <w:rPr>
          <w:rFonts w:ascii="Times New Roman" w:eastAsia="Times New Roman" w:hAnsi="Times New Roman" w:cs="Times New Roman"/>
          <w:i/>
        </w:rPr>
        <w:t>.</w:t>
      </w:r>
    </w:p>
    <w:p w14:paraId="319015FF" w14:textId="402A102F" w:rsidR="009179F6" w:rsidRPr="00465964" w:rsidRDefault="008A492E" w:rsidP="00465964">
      <w:pPr>
        <w:pStyle w:val="Normal1"/>
        <w:spacing w:after="240" w:line="480" w:lineRule="auto"/>
      </w:pPr>
      <w:r>
        <w:rPr>
          <w:rFonts w:ascii="Times New Roman" w:eastAsia="Times New Roman" w:hAnsi="Times New Roman" w:cs="Times New Roman"/>
        </w:rPr>
        <w:t xml:space="preserve">        </w:t>
      </w:r>
      <w:r>
        <w:rPr>
          <w:rFonts w:ascii="Times New Roman" w:eastAsia="Times New Roman" w:hAnsi="Times New Roman" w:cs="Times New Roman"/>
        </w:rPr>
        <w:tab/>
        <w:t>The IceCube Neutrino Observatory, located at the geographic South Pole, represents one of the largest, strangest, and most complex collaborations in the history of scientific research.  Its utility for thinking through Haff’s technosphere concept became evident in the process of a</w:t>
      </w:r>
      <w:r w:rsidR="00CC15FF">
        <w:rPr>
          <w:rFonts w:ascii="Times New Roman" w:eastAsia="Times New Roman" w:hAnsi="Times New Roman" w:cs="Times New Roman"/>
        </w:rPr>
        <w:t xml:space="preserve"> multi</w:t>
      </w:r>
      <w:r w:rsidR="00433DCD">
        <w:rPr>
          <w:rFonts w:ascii="Times New Roman" w:eastAsia="Times New Roman" w:hAnsi="Times New Roman" w:cs="Times New Roman"/>
        </w:rPr>
        <w:t>-</w:t>
      </w:r>
      <w:r w:rsidR="00CC15FF">
        <w:rPr>
          <w:rFonts w:ascii="Times New Roman" w:eastAsia="Times New Roman" w:hAnsi="Times New Roman" w:cs="Times New Roman"/>
        </w:rPr>
        <w:t>sited</w:t>
      </w:r>
      <w:r>
        <w:rPr>
          <w:rFonts w:ascii="Times New Roman" w:eastAsia="Times New Roman" w:hAnsi="Times New Roman" w:cs="Times New Roman"/>
        </w:rPr>
        <w:t xml:space="preserve"> ethnography through which many voices (human and nonhuman) were heard and echoed.  Over the past </w:t>
      </w:r>
      <w:r w:rsidR="00CC15FF">
        <w:rPr>
          <w:rFonts w:ascii="Times New Roman" w:eastAsia="Times New Roman" w:hAnsi="Times New Roman" w:cs="Times New Roman"/>
        </w:rPr>
        <w:t xml:space="preserve">two </w:t>
      </w:r>
      <w:r>
        <w:rPr>
          <w:rFonts w:ascii="Times New Roman" w:eastAsia="Times New Roman" w:hAnsi="Times New Roman" w:cs="Times New Roman"/>
        </w:rPr>
        <w:t>year</w:t>
      </w:r>
      <w:r w:rsidR="00CC15FF">
        <w:rPr>
          <w:rFonts w:ascii="Times New Roman" w:eastAsia="Times New Roman" w:hAnsi="Times New Roman" w:cs="Times New Roman"/>
        </w:rPr>
        <w:t>s</w:t>
      </w:r>
      <w:r>
        <w:rPr>
          <w:rFonts w:ascii="Times New Roman" w:eastAsia="Times New Roman" w:hAnsi="Times New Roman" w:cs="Times New Roman"/>
        </w:rPr>
        <w:t xml:space="preserve">, we analyzed recent publications emerging from the IceCube Neutrino observatory, contacted members of the core team of researchers there, and interviewed the current director of IceCube, Dr. Francis Halzen.  We also interviewed and visited the laboratory of Dr. Christian Spiering, former director of the Baikal </w:t>
      </w:r>
      <w:r>
        <w:rPr>
          <w:rFonts w:ascii="Times New Roman" w:eastAsia="Times New Roman" w:hAnsi="Times New Roman" w:cs="Times New Roman"/>
        </w:rPr>
        <w:lastRenderedPageBreak/>
        <w:t>Neutrino Telescope and IceCube spokesperson between 2005 and 2007.  We touched Digital Optical Modules – the ‘eyes’ of the IceCube Observatory – and watched the gorgeous signals of neutrinos cascading in ice</w:t>
      </w:r>
      <w:r w:rsidR="00433DCD">
        <w:rPr>
          <w:rFonts w:ascii="Times New Roman" w:eastAsia="Times New Roman" w:hAnsi="Times New Roman" w:cs="Times New Roman"/>
        </w:rPr>
        <w:t xml:space="preserve"> with PhD and Postdoctoral students</w:t>
      </w:r>
      <w:r>
        <w:rPr>
          <w:rFonts w:ascii="Times New Roman" w:eastAsia="Times New Roman" w:hAnsi="Times New Roman" w:cs="Times New Roman"/>
        </w:rPr>
        <w:t xml:space="preserve">.  </w:t>
      </w:r>
      <w:r w:rsidR="00465964">
        <w:rPr>
          <w:rFonts w:ascii="Times New Roman" w:eastAsia="Times New Roman" w:hAnsi="Times New Roman" w:cs="Times New Roman"/>
        </w:rPr>
        <w:t>We spent one week</w:t>
      </w:r>
      <w:r w:rsidR="00E31198">
        <w:rPr>
          <w:rFonts w:ascii="Times New Roman" w:eastAsia="Times New Roman" w:hAnsi="Times New Roman" w:cs="Times New Roman"/>
        </w:rPr>
        <w:t xml:space="preserve"> </w:t>
      </w:r>
      <w:r w:rsidR="00465964">
        <w:rPr>
          <w:rFonts w:ascii="Times New Roman" w:eastAsia="Times New Roman" w:hAnsi="Times New Roman" w:cs="Times New Roman"/>
        </w:rPr>
        <w:t>at the C</w:t>
      </w:r>
      <w:r w:rsidR="00CC15FF">
        <w:rPr>
          <w:rFonts w:ascii="Times New Roman" w:eastAsia="Times New Roman" w:hAnsi="Times New Roman" w:cs="Times New Roman"/>
        </w:rPr>
        <w:t xml:space="preserve">ryogenic </w:t>
      </w:r>
      <w:r w:rsidR="00465964">
        <w:rPr>
          <w:rFonts w:ascii="Times New Roman" w:eastAsia="Times New Roman" w:hAnsi="Times New Roman" w:cs="Times New Roman"/>
        </w:rPr>
        <w:t>Underground Observat</w:t>
      </w:r>
      <w:r w:rsidR="00CC15FF">
        <w:rPr>
          <w:rFonts w:ascii="Times New Roman" w:eastAsia="Times New Roman" w:hAnsi="Times New Roman" w:cs="Times New Roman"/>
        </w:rPr>
        <w:t>ory</w:t>
      </w:r>
      <w:r w:rsidR="00465964">
        <w:rPr>
          <w:rFonts w:ascii="Times New Roman" w:eastAsia="Times New Roman" w:hAnsi="Times New Roman" w:cs="Times New Roman"/>
        </w:rPr>
        <w:t xml:space="preserve"> of Rare Events</w:t>
      </w:r>
      <w:r w:rsidR="00E31198">
        <w:rPr>
          <w:rFonts w:ascii="Times New Roman" w:eastAsia="Times New Roman" w:hAnsi="Times New Roman" w:cs="Times New Roman"/>
        </w:rPr>
        <w:t xml:space="preserve"> (CUORE)</w:t>
      </w:r>
      <w:r w:rsidR="00465964">
        <w:rPr>
          <w:rFonts w:ascii="Times New Roman" w:eastAsia="Times New Roman" w:hAnsi="Times New Roman" w:cs="Times New Roman"/>
        </w:rPr>
        <w:t xml:space="preserve"> at the Laboratory del Gran Sasso in Italy, where </w:t>
      </w:r>
      <w:r w:rsidR="00FF1F23">
        <w:rPr>
          <w:rFonts w:ascii="Times New Roman" w:eastAsia="Times New Roman" w:hAnsi="Times New Roman" w:cs="Times New Roman"/>
        </w:rPr>
        <w:t>a number of experiments aim to understand neutrino oscillation and decay.</w:t>
      </w:r>
      <w:r w:rsidR="00FF1F23">
        <w:rPr>
          <w:rStyle w:val="FootnoteReference"/>
          <w:rFonts w:ascii="Times New Roman" w:eastAsia="Times New Roman" w:hAnsi="Times New Roman" w:cs="Times New Roman"/>
        </w:rPr>
        <w:footnoteReference w:id="2"/>
      </w:r>
      <w:r w:rsidR="00FF1F23">
        <w:rPr>
          <w:rFonts w:ascii="Times New Roman" w:eastAsia="Times New Roman" w:hAnsi="Times New Roman" w:cs="Times New Roman"/>
        </w:rPr>
        <w:t xml:space="preserve">  </w:t>
      </w:r>
      <w:r w:rsidR="00CC15FF">
        <w:rPr>
          <w:rFonts w:ascii="Times New Roman" w:eastAsia="Times New Roman" w:hAnsi="Times New Roman" w:cs="Times New Roman"/>
        </w:rPr>
        <w:t xml:space="preserve">Among many others, these </w:t>
      </w:r>
      <w:r>
        <w:rPr>
          <w:rFonts w:ascii="Times New Roman" w:eastAsia="Times New Roman" w:hAnsi="Times New Roman" w:cs="Times New Roman"/>
        </w:rPr>
        <w:t>encounters helped us to accurately attend to neutrino physics, and have informed what we understand to be the notable contributions of IceCube to the field(s) of particle physics, astronomy and cosmology, as well as to notions of Earth’s technical capacities.</w:t>
      </w:r>
    </w:p>
    <w:p w14:paraId="7FA89BF8" w14:textId="0B5D5FC4" w:rsidR="009179F6" w:rsidRPr="00465964" w:rsidRDefault="008A492E" w:rsidP="00465964">
      <w:pPr>
        <w:pStyle w:val="Normal1"/>
        <w:spacing w:after="240" w:line="480" w:lineRule="auto"/>
        <w:ind w:firstLine="560"/>
      </w:pPr>
      <w:r>
        <w:rPr>
          <w:rFonts w:ascii="Times New Roman" w:eastAsia="Times New Roman" w:hAnsi="Times New Roman" w:cs="Times New Roman"/>
        </w:rPr>
        <w:t>The omnipresent yet phantom-like</w:t>
      </w:r>
      <w:r w:rsidR="00375B6E">
        <w:rPr>
          <w:rFonts w:ascii="Times New Roman" w:eastAsia="Times New Roman" w:hAnsi="Times New Roman" w:cs="Times New Roman"/>
        </w:rPr>
        <w:t xml:space="preserve"> neutrino, </w:t>
      </w:r>
      <w:r>
        <w:rPr>
          <w:rFonts w:ascii="Times New Roman" w:eastAsia="Times New Roman" w:hAnsi="Times New Roman" w:cs="Times New Roman"/>
        </w:rPr>
        <w:t xml:space="preserve"> of which trillions are passing through this page at any instant, summons an entirely new genre of experimental physical observation, and is speculated to be integral to our future understanding of non-baryonic or “dark” matter and energy – the stuff that comprises 96 percent of the cosmos.  Unlike other particles, neutrinos interact only via the ‘weak force’: the force that governs particle decay, and that which is fundamental to fusion and fission processes.  </w:t>
      </w:r>
      <w:r w:rsidR="00375B6E">
        <w:rPr>
          <w:rFonts w:ascii="Times New Roman" w:eastAsia="Times New Roman" w:hAnsi="Times New Roman" w:cs="Times New Roman"/>
        </w:rPr>
        <w:t xml:space="preserve">In other words, most </w:t>
      </w:r>
      <w:r>
        <w:rPr>
          <w:rFonts w:ascii="Times New Roman" w:eastAsia="Times New Roman" w:hAnsi="Times New Roman" w:cs="Times New Roman"/>
        </w:rPr>
        <w:t xml:space="preserve">other particles have charge and significant mass, making them susceptible to electromagnetic fields and therefore determination, experiment, observation, measurement, and manipulation.  In contrast, neutrinos are not affected by electromagnetism, and they find baryonic matter completely porous: it has been calculated that a </w:t>
      </w:r>
      <w:r>
        <w:rPr>
          <w:rFonts w:ascii="Times New Roman" w:eastAsia="Times New Roman" w:hAnsi="Times New Roman" w:cs="Times New Roman"/>
          <w:i/>
        </w:rPr>
        <w:t>neutrino</w:t>
      </w:r>
      <w:r>
        <w:rPr>
          <w:rFonts w:ascii="Times New Roman" w:eastAsia="Times New Roman" w:hAnsi="Times New Roman" w:cs="Times New Roman"/>
        </w:rPr>
        <w:t xml:space="preserve"> </w:t>
      </w:r>
      <w:r w:rsidRPr="00465964">
        <w:rPr>
          <w:rFonts w:ascii="Times New Roman" w:hAnsi="Times New Roman"/>
          <w:i/>
        </w:rPr>
        <w:t xml:space="preserve">could pass through 100 Light </w:t>
      </w:r>
      <w:r w:rsidR="00375B6E">
        <w:rPr>
          <w:rFonts w:ascii="Times New Roman" w:hAnsi="Times New Roman"/>
          <w:i/>
        </w:rPr>
        <w:t>Y</w:t>
      </w:r>
      <w:r w:rsidRPr="00465964">
        <w:rPr>
          <w:rFonts w:ascii="Times New Roman" w:hAnsi="Times New Roman"/>
          <w:i/>
        </w:rPr>
        <w:t>ears of lead without slowing down</w:t>
      </w:r>
      <w:r>
        <w:rPr>
          <w:rFonts w:ascii="Times New Roman" w:eastAsia="Times New Roman" w:hAnsi="Times New Roman" w:cs="Times New Roman"/>
        </w:rPr>
        <w:t>.  Thus, while neutrinos have been often called “</w:t>
      </w:r>
      <w:r>
        <w:rPr>
          <w:rFonts w:ascii="Times New Roman" w:eastAsia="Times New Roman" w:hAnsi="Times New Roman" w:cs="Times New Roman"/>
          <w:i/>
        </w:rPr>
        <w:t>the ideal</w:t>
      </w:r>
      <w:r>
        <w:rPr>
          <w:rFonts w:ascii="Times New Roman" w:eastAsia="Times New Roman" w:hAnsi="Times New Roman" w:cs="Times New Roman"/>
        </w:rPr>
        <w:t xml:space="preserve"> </w:t>
      </w:r>
      <w:r>
        <w:rPr>
          <w:rFonts w:ascii="Times New Roman" w:eastAsia="Times New Roman" w:hAnsi="Times New Roman" w:cs="Times New Roman"/>
          <w:i/>
        </w:rPr>
        <w:t xml:space="preserve">cosmic messengers” </w:t>
      </w:r>
      <w:r>
        <w:rPr>
          <w:rFonts w:ascii="Times New Roman" w:eastAsia="Times New Roman" w:hAnsi="Times New Roman" w:cs="Times New Roman"/>
        </w:rPr>
        <w:t xml:space="preserve">(Halzen, interview with authors, 2015) approaching Earth from the far reaches of the universe, they are nevertheless imperceptible.  We can only sense neutrinos as traces, when they very rarely </w:t>
      </w:r>
      <w:r w:rsidRPr="00465964">
        <w:rPr>
          <w:rFonts w:ascii="Times New Roman" w:hAnsi="Times New Roman"/>
          <w:i/>
        </w:rPr>
        <w:t>decay</w:t>
      </w:r>
      <w:r>
        <w:rPr>
          <w:rFonts w:ascii="Times New Roman" w:eastAsia="Times New Roman" w:hAnsi="Times New Roman" w:cs="Times New Roman"/>
        </w:rPr>
        <w:t xml:space="preserve"> in charged matter, producing electromagnetic and hadronic showers, or </w:t>
      </w:r>
      <w:r>
        <w:rPr>
          <w:rFonts w:ascii="Times New Roman" w:eastAsia="Times New Roman" w:hAnsi="Times New Roman" w:cs="Times New Roman"/>
          <w:i/>
        </w:rPr>
        <w:t>cascades</w:t>
      </w:r>
      <w:r>
        <w:rPr>
          <w:rFonts w:ascii="Times New Roman" w:eastAsia="Times New Roman" w:hAnsi="Times New Roman" w:cs="Times New Roman"/>
        </w:rPr>
        <w:t xml:space="preserve">.  For the purposes of this paper, a cascade is a shower of secondary charged particles from the event of a high-energy neutrino </w:t>
      </w:r>
      <w:r>
        <w:rPr>
          <w:rFonts w:ascii="Times New Roman" w:eastAsia="Times New Roman" w:hAnsi="Times New Roman" w:cs="Times New Roman"/>
        </w:rPr>
        <w:lastRenderedPageBreak/>
        <w:t>intra-acting with matter.  The quality and orientation of the cascade’s shower of secondary particles holds layers of information that pertain to the neutrino’s characteristics and journey.</w:t>
      </w:r>
    </w:p>
    <w:p w14:paraId="02746C1D" w14:textId="182F9E60" w:rsidR="009179F6" w:rsidRPr="00465964" w:rsidRDefault="008A492E" w:rsidP="00465964">
      <w:pPr>
        <w:pStyle w:val="Normal1"/>
        <w:spacing w:after="240" w:line="480" w:lineRule="auto"/>
        <w:ind w:firstLine="560"/>
      </w:pPr>
      <w:r>
        <w:rPr>
          <w:rFonts w:ascii="Times New Roman" w:eastAsia="Times New Roman" w:hAnsi="Times New Roman" w:cs="Times New Roman"/>
        </w:rPr>
        <w:t xml:space="preserve">Neutrino detection requires a </w:t>
      </w:r>
      <w:r>
        <w:rPr>
          <w:rFonts w:ascii="Times New Roman" w:eastAsia="Times New Roman" w:hAnsi="Times New Roman" w:cs="Times New Roman"/>
          <w:i/>
        </w:rPr>
        <w:t>clearing of the field</w:t>
      </w:r>
      <w:r>
        <w:rPr>
          <w:rFonts w:ascii="Times New Roman" w:eastAsia="Times New Roman" w:hAnsi="Times New Roman" w:cs="Times New Roman"/>
        </w:rPr>
        <w:t>.  Most ‘neutrino telescopes’ are situated deep underground in repurposed mines or purpose-built caverns</w:t>
      </w:r>
      <w:r w:rsidR="00E31198">
        <w:rPr>
          <w:rFonts w:ascii="Times New Roman" w:eastAsia="Times New Roman" w:hAnsi="Times New Roman" w:cs="Times New Roman"/>
        </w:rPr>
        <w:t>; for example, the CUORE experiment visited by this paper’s authors is situated 1.4km under the Abruzzo Mountains in Italy</w:t>
      </w:r>
      <w:r>
        <w:rPr>
          <w:rFonts w:ascii="Times New Roman" w:eastAsia="Times New Roman" w:hAnsi="Times New Roman" w:cs="Times New Roman"/>
        </w:rPr>
        <w:t xml:space="preserve">.  In the case of detectors such as the Super-Kamiokande detector in Japan, a 50.000 litre tank of ultra-pure water buried deep within the Japanese Alps, the rock above the sensor apparatus acts as a shield from other high energy particles like cosmic rays that shower the planet.  One of the youngest and most prolific of these telescopes, and that which has been the subject of our </w:t>
      </w:r>
      <w:r w:rsidR="00433DCD">
        <w:rPr>
          <w:rFonts w:ascii="Times New Roman" w:eastAsia="Times New Roman" w:hAnsi="Times New Roman" w:cs="Times New Roman"/>
        </w:rPr>
        <w:t>research</w:t>
      </w:r>
      <w:r>
        <w:rPr>
          <w:rFonts w:ascii="Times New Roman" w:eastAsia="Times New Roman" w:hAnsi="Times New Roman" w:cs="Times New Roman"/>
        </w:rPr>
        <w:t xml:space="preserve"> – </w:t>
      </w:r>
      <w:r>
        <w:rPr>
          <w:rFonts w:ascii="Times New Roman" w:eastAsia="Times New Roman" w:hAnsi="Times New Roman" w:cs="Times New Roman"/>
          <w:i/>
        </w:rPr>
        <w:t>IceCube</w:t>
      </w:r>
      <w:r>
        <w:rPr>
          <w:rFonts w:ascii="Times New Roman" w:eastAsia="Times New Roman" w:hAnsi="Times New Roman" w:cs="Times New Roman"/>
        </w:rPr>
        <w:t xml:space="preserve"> – is embedded</w:t>
      </w:r>
      <w:r>
        <w:rPr>
          <w:rFonts w:ascii="Times New Roman" w:eastAsia="Times New Roman" w:hAnsi="Times New Roman" w:cs="Times New Roman"/>
          <w:i/>
        </w:rPr>
        <w:t xml:space="preserve"> </w:t>
      </w:r>
      <w:r>
        <w:rPr>
          <w:rFonts w:ascii="Times New Roman" w:eastAsia="Times New Roman" w:hAnsi="Times New Roman" w:cs="Times New Roman"/>
        </w:rPr>
        <w:t xml:space="preserve">at depths between 1450 and 2450 metres within the 200,000 year old Antarctic ice shelf at the Amundsen-Scott South Pole Station.  Some of the experiments at IceCube in fact capture neutrinos that originate from the other hemisphere of the earth.  These neutrinos </w:t>
      </w:r>
      <w:r w:rsidRPr="00465964">
        <w:rPr>
          <w:rFonts w:ascii="Times New Roman" w:hAnsi="Times New Roman"/>
          <w:i/>
        </w:rPr>
        <w:t>pass through the whole planet</w:t>
      </w:r>
      <w:r>
        <w:rPr>
          <w:rFonts w:ascii="Times New Roman" w:eastAsia="Times New Roman" w:hAnsi="Times New Roman" w:cs="Times New Roman"/>
        </w:rPr>
        <w:t xml:space="preserve"> and are detected in the IceCube apparatus moving ‘upwards’.</w:t>
      </w:r>
    </w:p>
    <w:p w14:paraId="4764411E" w14:textId="53337E45" w:rsidR="009179F6" w:rsidRPr="00465964" w:rsidRDefault="00860559" w:rsidP="00465964">
      <w:pPr>
        <w:pStyle w:val="Normal1"/>
        <w:spacing w:after="240" w:line="480" w:lineRule="auto"/>
        <w:ind w:firstLine="560"/>
        <w:jc w:val="center"/>
      </w:pPr>
      <w:r>
        <w:rPr>
          <w:rFonts w:ascii="Times New Roman" w:hAnsi="Times New Roman" w:cs="Times New Roman"/>
          <w:noProof/>
          <w:lang w:val="en-GB" w:eastAsia="en-GB"/>
        </w:rPr>
        <w:drawing>
          <wp:inline distT="0" distB="0" distL="0" distR="0" wp14:anchorId="797FFF98" wp14:editId="3E7D64F4">
            <wp:extent cx="4354195" cy="3515995"/>
            <wp:effectExtent l="0" t="0" r="0" b="0"/>
            <wp:docPr id="1" name="image02.png" descr="Description: Macintosh HD:Users:sashaengelmann:Desktop:Icecube-architecture-diagram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Description: Macintosh HD:Users:sashaengelmann:Desktop:Icecube-architecture-diagram20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4195" cy="3515995"/>
                    </a:xfrm>
                    <a:prstGeom prst="rect">
                      <a:avLst/>
                    </a:prstGeom>
                    <a:noFill/>
                    <a:ln>
                      <a:noFill/>
                    </a:ln>
                  </pic:spPr>
                </pic:pic>
              </a:graphicData>
            </a:graphic>
          </wp:inline>
        </w:drawing>
      </w:r>
    </w:p>
    <w:p w14:paraId="6C22F8A9" w14:textId="77777777" w:rsidR="009179F6" w:rsidRPr="00465964" w:rsidRDefault="008A492E" w:rsidP="00465964">
      <w:pPr>
        <w:pStyle w:val="Normal1"/>
        <w:spacing w:after="240" w:line="480" w:lineRule="auto"/>
        <w:ind w:firstLine="560"/>
        <w:jc w:val="center"/>
      </w:pPr>
      <w:r>
        <w:rPr>
          <w:rFonts w:ascii="Times New Roman" w:eastAsia="Times New Roman" w:hAnsi="Times New Roman" w:cs="Times New Roman"/>
          <w:b/>
        </w:rPr>
        <w:lastRenderedPageBreak/>
        <w:t xml:space="preserve">Figure 1. </w:t>
      </w:r>
      <w:r>
        <w:rPr>
          <w:rFonts w:ascii="Times New Roman" w:eastAsia="Times New Roman" w:hAnsi="Times New Roman" w:cs="Times New Roman"/>
        </w:rPr>
        <w:t>A cross section of the IceCube Neutrino Observatory, detailing depth, breadth, and the various components and experiments of the assemblage. Source: IceCube Collaboration.</w:t>
      </w:r>
    </w:p>
    <w:p w14:paraId="14AA574B" w14:textId="77777777" w:rsidR="009179F6" w:rsidRDefault="008A492E">
      <w:pPr>
        <w:pStyle w:val="Normal1"/>
        <w:spacing w:after="240" w:line="480" w:lineRule="auto"/>
        <w:ind w:firstLine="560"/>
        <w:jc w:val="center"/>
      </w:pPr>
      <w:r>
        <w:rPr>
          <w:rFonts w:ascii="Times New Roman" w:eastAsia="Times New Roman" w:hAnsi="Times New Roman" w:cs="Times New Roman"/>
        </w:rPr>
        <w:t xml:space="preserve"> </w:t>
      </w:r>
    </w:p>
    <w:p w14:paraId="65E3A14D" w14:textId="0203BFE0" w:rsidR="009179F6" w:rsidRPr="00465964" w:rsidRDefault="008A492E" w:rsidP="00465964">
      <w:pPr>
        <w:pStyle w:val="Normal1"/>
        <w:spacing w:after="240" w:line="48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The IceCube Collaboration comprises 45 scientific institutions from 12 countries and required an estimated 279 million US dollars to construct (IceCube Website). IceCube is comprised of 86 strings spaced 125 metres apart, each with 60 photoelectric sensors called Photomultiplier Tubes (PMT’s) for a total of 5,160 Digital Optical Modules (DOMs). </w:t>
      </w:r>
      <w:r w:rsidR="00433DCD">
        <w:rPr>
          <w:rFonts w:ascii="Times New Roman" w:eastAsia="Times New Roman" w:hAnsi="Times New Roman" w:cs="Times New Roman"/>
        </w:rPr>
        <w:t xml:space="preserve"> </w:t>
      </w:r>
      <w:r>
        <w:rPr>
          <w:rFonts w:ascii="Times New Roman" w:eastAsia="Times New Roman" w:hAnsi="Times New Roman" w:cs="Times New Roman"/>
        </w:rPr>
        <w:t>The PMT’s are sensitive to Cherenkov radiation, a blue ultraviolet light that is emitted like a shockwave when particles decay from neutrino interactions and move faster than the speed of light can in the same icy medium</w:t>
      </w:r>
      <w:r>
        <w:rPr>
          <w:rFonts w:ascii="Times New Roman" w:eastAsia="Times New Roman" w:hAnsi="Times New Roman" w:cs="Times New Roman"/>
          <w:i/>
        </w:rPr>
        <w:t>.</w:t>
      </w:r>
      <w:r w:rsidR="00433DCD">
        <w:rPr>
          <w:rFonts w:ascii="Times New Roman" w:eastAsia="Times New Roman" w:hAnsi="Times New Roman" w:cs="Times New Roman"/>
          <w:i/>
        </w:rPr>
        <w:t xml:space="preserve"> </w:t>
      </w:r>
      <w:r>
        <w:rPr>
          <w:rFonts w:ascii="Times New Roman" w:eastAsia="Times New Roman" w:hAnsi="Times New Roman" w:cs="Times New Roman"/>
          <w:i/>
        </w:rPr>
        <w:t xml:space="preserve"> </w:t>
      </w:r>
      <w:r>
        <w:rPr>
          <w:rFonts w:ascii="Times New Roman" w:eastAsia="Times New Roman" w:hAnsi="Times New Roman" w:cs="Times New Roman"/>
        </w:rPr>
        <w:t xml:space="preserve">The DOM’s analyze, amplify and digitize the information to send out of the ice to a lab on the surface, and to scientists around the world. </w:t>
      </w:r>
    </w:p>
    <w:p w14:paraId="68AFE4A2" w14:textId="75DB76E1" w:rsidR="009179F6" w:rsidRPr="00465964" w:rsidRDefault="008A492E" w:rsidP="00465964">
      <w:pPr>
        <w:pStyle w:val="Normal1"/>
        <w:spacing w:after="240" w:line="480" w:lineRule="auto"/>
      </w:pPr>
      <w:r>
        <w:rPr>
          <w:rFonts w:ascii="Times New Roman" w:eastAsia="Times New Roman" w:hAnsi="Times New Roman" w:cs="Times New Roman"/>
          <w:color w:val="FF6600"/>
        </w:rPr>
        <w:t xml:space="preserve">        </w:t>
      </w:r>
      <w:r>
        <w:rPr>
          <w:rFonts w:ascii="Times New Roman" w:eastAsia="Times New Roman" w:hAnsi="Times New Roman" w:cs="Times New Roman"/>
          <w:color w:val="FF6600"/>
        </w:rPr>
        <w:tab/>
      </w:r>
      <w:r>
        <w:rPr>
          <w:rFonts w:ascii="Times New Roman" w:eastAsia="Times New Roman" w:hAnsi="Times New Roman" w:cs="Times New Roman"/>
        </w:rPr>
        <w:t xml:space="preserve">So far, one of the most significant contributions made by IceCube has been the detection of 28 high energy extragalactic neutrinos: those ranging in energy level from Terra Electron Volts (TeV) to Peta Electron Volts (PeV) (IceCube Collaboration, 2013; Aartsen et al., 2014). The acceleration of these high-energy neutrinos has remained a question for over 100 years.  However, the most popular theory, consistent with IceCube’s data, is that acceleration is generated in the </w:t>
      </w:r>
      <w:r>
        <w:rPr>
          <w:rFonts w:ascii="Times New Roman" w:eastAsia="Times New Roman" w:hAnsi="Times New Roman" w:cs="Times New Roman"/>
          <w:highlight w:val="white"/>
        </w:rPr>
        <w:t xml:space="preserve">shockfronts </w:t>
      </w:r>
      <w:r>
        <w:rPr>
          <w:rFonts w:ascii="Times New Roman" w:eastAsia="Times New Roman" w:hAnsi="Times New Roman" w:cs="Times New Roman"/>
        </w:rPr>
        <w:t xml:space="preserve">near black holes, gamma ray bursts, and supernovae (Aartsen et al., 2014).  These rare extra-galactic neutrino events will eventually result in a new </w:t>
      </w:r>
      <w:r w:rsidR="00E31198">
        <w:rPr>
          <w:rFonts w:ascii="Times New Roman" w:eastAsia="Times New Roman" w:hAnsi="Times New Roman" w:cs="Times New Roman"/>
        </w:rPr>
        <w:t xml:space="preserve">‘map’ or ‘view’ </w:t>
      </w:r>
      <w:r>
        <w:rPr>
          <w:rFonts w:ascii="Times New Roman" w:eastAsia="Times New Roman" w:hAnsi="Times New Roman" w:cs="Times New Roman"/>
        </w:rPr>
        <w:t>of the astronomical sky.</w:t>
      </w:r>
    </w:p>
    <w:p w14:paraId="3EE2F6A4" w14:textId="01096F99" w:rsidR="009179F6" w:rsidRPr="00465964" w:rsidRDefault="008A492E" w:rsidP="00465964">
      <w:pPr>
        <w:pStyle w:val="Normal1"/>
        <w:spacing w:after="240" w:line="480" w:lineRule="auto"/>
        <w:ind w:firstLine="560"/>
      </w:pPr>
      <w:r>
        <w:rPr>
          <w:rFonts w:ascii="Times New Roman" w:eastAsia="Times New Roman" w:hAnsi="Times New Roman" w:cs="Times New Roman"/>
        </w:rPr>
        <w:t xml:space="preserve">As one of the largest and most sensitive technical instruments </w:t>
      </w:r>
      <w:r>
        <w:rPr>
          <w:rFonts w:ascii="Times New Roman" w:eastAsia="Times New Roman" w:hAnsi="Times New Roman" w:cs="Times New Roman"/>
          <w:i/>
        </w:rPr>
        <w:t>in</w:t>
      </w:r>
      <w:r>
        <w:rPr>
          <w:rFonts w:ascii="Times New Roman" w:eastAsia="Times New Roman" w:hAnsi="Times New Roman" w:cs="Times New Roman"/>
        </w:rPr>
        <w:t xml:space="preserve"> the planet, IceCube is attuned to 25 orders of magnitude of energy levels (Halzen, 2015).  IceCube’s range of sensitivity is elegantly manifested in its capacity to sense extra-galactic neutrinos, but physicists at IceCube also study </w:t>
      </w:r>
      <w:r>
        <w:rPr>
          <w:rFonts w:ascii="Times New Roman" w:eastAsia="Times New Roman" w:hAnsi="Times New Roman" w:cs="Times New Roman"/>
          <w:i/>
        </w:rPr>
        <w:t>atmospheric neutrinos</w:t>
      </w:r>
      <w:r>
        <w:rPr>
          <w:rFonts w:ascii="Times New Roman" w:eastAsia="Times New Roman" w:hAnsi="Times New Roman" w:cs="Times New Roman"/>
        </w:rPr>
        <w:t xml:space="preserve"> (those produced by cosmic rays interacting with the atmosphere), </w:t>
      </w:r>
      <w:r>
        <w:rPr>
          <w:rFonts w:ascii="Times New Roman" w:eastAsia="Times New Roman" w:hAnsi="Times New Roman" w:cs="Times New Roman"/>
          <w:i/>
        </w:rPr>
        <w:t>geo-neutrinos</w:t>
      </w:r>
      <w:r>
        <w:rPr>
          <w:rFonts w:ascii="Times New Roman" w:eastAsia="Times New Roman" w:hAnsi="Times New Roman" w:cs="Times New Roman"/>
        </w:rPr>
        <w:t xml:space="preserve"> (those that decay from Earthly metals and may soon lead to a tomography, or scanning, of the whole Earth) and </w:t>
      </w:r>
      <w:r>
        <w:rPr>
          <w:rFonts w:ascii="Times New Roman" w:eastAsia="Times New Roman" w:hAnsi="Times New Roman" w:cs="Times New Roman"/>
          <w:i/>
        </w:rPr>
        <w:t>relativistic magnetic monopoles</w:t>
      </w:r>
      <w:r>
        <w:rPr>
          <w:rFonts w:ascii="Times New Roman" w:eastAsia="Times New Roman" w:hAnsi="Times New Roman" w:cs="Times New Roman"/>
        </w:rPr>
        <w:t xml:space="preserve">, or hypothetical particles that are predicted by quantum mechanics (but as yet unrecorded).  Since some neutrinos pass through the </w:t>
      </w:r>
      <w:r>
        <w:rPr>
          <w:rFonts w:ascii="Times New Roman" w:eastAsia="Times New Roman" w:hAnsi="Times New Roman" w:cs="Times New Roman"/>
          <w:i/>
        </w:rPr>
        <w:t xml:space="preserve">entire planet </w:t>
      </w:r>
      <w:r>
        <w:rPr>
          <w:rFonts w:ascii="Times New Roman" w:eastAsia="Times New Roman" w:hAnsi="Times New Roman" w:cs="Times New Roman"/>
        </w:rPr>
        <w:t xml:space="preserve">to decay in the </w:t>
      </w:r>
      <w:r>
        <w:rPr>
          <w:rFonts w:ascii="Times New Roman" w:eastAsia="Times New Roman" w:hAnsi="Times New Roman" w:cs="Times New Roman"/>
        </w:rPr>
        <w:lastRenderedPageBreak/>
        <w:t xml:space="preserve">South Pole ice and thus be detected, the IceCube apparatus requires the material collaboration of the </w:t>
      </w:r>
      <w:r>
        <w:rPr>
          <w:rFonts w:ascii="Times New Roman" w:eastAsia="Times New Roman" w:hAnsi="Times New Roman" w:cs="Times New Roman"/>
          <w:i/>
        </w:rPr>
        <w:t>whole Earth</w:t>
      </w:r>
      <w:r>
        <w:rPr>
          <w:rFonts w:ascii="Times New Roman" w:eastAsia="Times New Roman" w:hAnsi="Times New Roman" w:cs="Times New Roman"/>
        </w:rPr>
        <w:t xml:space="preserve">, rendering the planet itself part of the sensing apparatus, and throwing into question the </w:t>
      </w:r>
      <w:r w:rsidR="00433DCD">
        <w:rPr>
          <w:rFonts w:ascii="Times New Roman" w:eastAsia="Times New Roman" w:hAnsi="Times New Roman" w:cs="Times New Roman"/>
        </w:rPr>
        <w:t xml:space="preserve">very </w:t>
      </w:r>
      <w:r>
        <w:rPr>
          <w:rFonts w:ascii="Times New Roman" w:eastAsia="Times New Roman" w:hAnsi="Times New Roman" w:cs="Times New Roman"/>
        </w:rPr>
        <w:t>definition of detection.  Such highly distributed and unbounded modes of technical sensing challenge the use of fixed scales or “spheres” as frames of analysis.  This challenge is particularly explicit in the performance of the neutrino cascade.</w:t>
      </w:r>
    </w:p>
    <w:p w14:paraId="241CB89D" w14:textId="77777777" w:rsidR="009179F6" w:rsidRDefault="008A492E">
      <w:pPr>
        <w:pStyle w:val="Normal1"/>
        <w:spacing w:after="240" w:line="480" w:lineRule="auto"/>
        <w:ind w:firstLine="560"/>
      </w:pPr>
      <w:r>
        <w:rPr>
          <w:rFonts w:ascii="Times New Roman" w:eastAsia="Times New Roman" w:hAnsi="Times New Roman" w:cs="Times New Roman"/>
        </w:rPr>
        <w:t xml:space="preserve"> </w:t>
      </w:r>
    </w:p>
    <w:p w14:paraId="7CE31A00" w14:textId="30322993" w:rsidR="009179F6" w:rsidRPr="00465964" w:rsidRDefault="008A492E" w:rsidP="00465964">
      <w:pPr>
        <w:pStyle w:val="Normal1"/>
        <w:spacing w:after="240" w:line="480" w:lineRule="auto"/>
      </w:pPr>
      <w:r>
        <w:rPr>
          <w:rFonts w:ascii="Times New Roman" w:eastAsia="Times New Roman" w:hAnsi="Times New Roman" w:cs="Times New Roman"/>
        </w:rPr>
        <w:t>Cascading relations</w:t>
      </w:r>
    </w:p>
    <w:p w14:paraId="2F697055" w14:textId="77777777" w:rsidR="009179F6" w:rsidRDefault="008A492E">
      <w:pPr>
        <w:pStyle w:val="Normal1"/>
        <w:spacing w:after="240" w:line="480" w:lineRule="auto"/>
        <w:ind w:left="720"/>
      </w:pPr>
      <w:r>
        <w:rPr>
          <w:rFonts w:ascii="Times New Roman" w:eastAsia="Times New Roman" w:hAnsi="Times New Roman" w:cs="Times New Roman"/>
          <w:i/>
        </w:rPr>
        <w:t>The entity in question may be small, but its consequences may be quite profound. (Barad, 2007: 110)</w:t>
      </w:r>
    </w:p>
    <w:p w14:paraId="7B0729F1" w14:textId="620AFA80" w:rsidR="009179F6" w:rsidRDefault="008A492E">
      <w:pPr>
        <w:pStyle w:val="Normal1"/>
        <w:spacing w:after="240" w:line="480" w:lineRule="auto"/>
        <w:ind w:firstLine="720"/>
      </w:pPr>
      <w:r>
        <w:rPr>
          <w:rFonts w:ascii="Times New Roman" w:eastAsia="Times New Roman" w:hAnsi="Times New Roman" w:cs="Times New Roman"/>
        </w:rPr>
        <w:t xml:space="preserve">In considering the intra-actions of matter-energy expressed in the IceCube apparatus, and by witnessing the cascades of subatomic particles caused by extra-galactic messengers, which spatial concepts become relevant?  One spatial concept that emerged from our research into the IceCube Neutrino Observatory is the hadronic shower, or </w:t>
      </w:r>
      <w:r>
        <w:rPr>
          <w:rFonts w:ascii="Times New Roman" w:eastAsia="Times New Roman" w:hAnsi="Times New Roman" w:cs="Times New Roman"/>
          <w:i/>
        </w:rPr>
        <w:t>cascade</w:t>
      </w:r>
      <w:r>
        <w:rPr>
          <w:rFonts w:ascii="Times New Roman" w:eastAsia="Times New Roman" w:hAnsi="Times New Roman" w:cs="Times New Roman"/>
        </w:rPr>
        <w:t xml:space="preserve">.  As we will describe further, cascades are fundamentally intra-active occasions that enfold information on neutrino particles, their energy levels and the cosmological objects from which they travel.  In other words, cascades are spectacular examples of intra-action spanning the observable universe.  </w:t>
      </w:r>
      <w:r w:rsidR="00433DCD">
        <w:rPr>
          <w:rFonts w:ascii="Times New Roman" w:eastAsia="Times New Roman" w:hAnsi="Times New Roman" w:cs="Times New Roman"/>
        </w:rPr>
        <w:t xml:space="preserve">They also demonstrate the value of intra-action for thinking and working beyond scalar regimes.  </w:t>
      </w:r>
      <w:r>
        <w:rPr>
          <w:rFonts w:ascii="Times New Roman" w:eastAsia="Times New Roman" w:hAnsi="Times New Roman" w:cs="Times New Roman"/>
        </w:rPr>
        <w:t>The implications of neutrino cascades are far-reaching, especially as they provide information on neutrino ‘mass hierarchies’ that many physicists argue hold the key to understanding the formation of matter and anti-matter in the early universe.  As we will show, they also unsettle assumptions behind the notion of a planetary technosphere.</w:t>
      </w:r>
    </w:p>
    <w:p w14:paraId="5CE1042D" w14:textId="5475DDB6" w:rsidR="009179F6" w:rsidRDefault="008A492E">
      <w:pPr>
        <w:pStyle w:val="Normal1"/>
        <w:spacing w:after="240" w:line="48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Following scholars in geography and political ecology like Marston et al. (2005) and Swyngedouw (2004), we find that the presupposition of hierarchical scale – usually allied with a relatively small number of ‘grains’ (such as the body, neighborhood, urban, regional, national and global) </w:t>
      </w:r>
      <w:r>
        <w:rPr>
          <w:rFonts w:ascii="Times New Roman" w:eastAsia="Times New Roman" w:hAnsi="Times New Roman" w:cs="Times New Roman"/>
        </w:rPr>
        <w:lastRenderedPageBreak/>
        <w:t xml:space="preserve">– creates difficulties in thinking relations that exist outside, within, or intra- to, these terms.  As Marston et al. (2005) assert, ‘…hierarchical scale is a classic case of </w:t>
      </w:r>
      <w:r>
        <w:rPr>
          <w:rFonts w:ascii="Times New Roman" w:eastAsia="Times New Roman" w:hAnsi="Times New Roman" w:cs="Times New Roman"/>
          <w:i/>
        </w:rPr>
        <w:t>form determining content</w:t>
      </w:r>
      <w:r>
        <w:rPr>
          <w:rFonts w:ascii="Times New Roman" w:eastAsia="Times New Roman" w:hAnsi="Times New Roman" w:cs="Times New Roman"/>
        </w:rPr>
        <w:t xml:space="preserve">, whereby objects, events, and processes come pre-sorted, ready to be inserted into the scalar apparatus at hand’ (emphasis in original; Marston et al., 2005: 422).  In other words, ‘solving for scale’ closes down the potential for unusual or surprising outputs and insights.  Moreover, an analysis that relies on scale flirts with ‘methodological perspectivalism, a God’s Eye view’ (ibid), which requires significant conceptual acrobatics to maintain. This is </w:t>
      </w:r>
      <w:r w:rsidR="00E31198">
        <w:rPr>
          <w:rFonts w:ascii="Times New Roman" w:eastAsia="Times New Roman" w:hAnsi="Times New Roman" w:cs="Times New Roman"/>
        </w:rPr>
        <w:t xml:space="preserve">precisely </w:t>
      </w:r>
      <w:r>
        <w:rPr>
          <w:rFonts w:ascii="Times New Roman" w:eastAsia="Times New Roman" w:hAnsi="Times New Roman" w:cs="Times New Roman"/>
        </w:rPr>
        <w:t xml:space="preserve">the </w:t>
      </w:r>
      <w:r w:rsidR="00E31198">
        <w:rPr>
          <w:rFonts w:ascii="Times New Roman" w:eastAsia="Times New Roman" w:hAnsi="Times New Roman" w:cs="Times New Roman"/>
        </w:rPr>
        <w:t xml:space="preserve">kind of </w:t>
      </w:r>
      <w:r>
        <w:rPr>
          <w:rFonts w:ascii="Times New Roman" w:eastAsia="Times New Roman" w:hAnsi="Times New Roman" w:cs="Times New Roman"/>
        </w:rPr>
        <w:t xml:space="preserve">“knowing at a distance” that </w:t>
      </w:r>
      <w:r w:rsidR="00E31198">
        <w:rPr>
          <w:rFonts w:ascii="Times New Roman" w:eastAsia="Times New Roman" w:hAnsi="Times New Roman" w:cs="Times New Roman"/>
        </w:rPr>
        <w:t>is intrinsic to the technosphere concept as it has been developed thus far</w:t>
      </w:r>
      <w:r w:rsidR="00B7538A">
        <w:rPr>
          <w:rFonts w:ascii="Times New Roman" w:eastAsia="Times New Roman" w:hAnsi="Times New Roman" w:cs="Times New Roman"/>
        </w:rPr>
        <w:t xml:space="preserve">; it is </w:t>
      </w:r>
      <w:r w:rsidR="00E31198">
        <w:rPr>
          <w:rFonts w:ascii="Times New Roman" w:eastAsia="Times New Roman" w:hAnsi="Times New Roman" w:cs="Times New Roman"/>
        </w:rPr>
        <w:t>the</w:t>
      </w:r>
      <w:r w:rsidR="00B7538A">
        <w:rPr>
          <w:rFonts w:ascii="Times New Roman" w:eastAsia="Times New Roman" w:hAnsi="Times New Roman" w:cs="Times New Roman"/>
        </w:rPr>
        <w:t xml:space="preserve"> same</w:t>
      </w:r>
      <w:r w:rsidR="00E31198">
        <w:rPr>
          <w:rFonts w:ascii="Times New Roman" w:eastAsia="Times New Roman" w:hAnsi="Times New Roman" w:cs="Times New Roman"/>
        </w:rPr>
        <w:t xml:space="preserve"> </w:t>
      </w:r>
      <w:r w:rsidR="00B7538A">
        <w:rPr>
          <w:rFonts w:ascii="Times New Roman" w:eastAsia="Times New Roman" w:hAnsi="Times New Roman" w:cs="Times New Roman"/>
        </w:rPr>
        <w:t>gesture</w:t>
      </w:r>
      <w:r w:rsidR="00E31198">
        <w:rPr>
          <w:rFonts w:ascii="Times New Roman" w:eastAsia="Times New Roman" w:hAnsi="Times New Roman" w:cs="Times New Roman"/>
        </w:rPr>
        <w:t xml:space="preserve"> that </w:t>
      </w:r>
      <w:r>
        <w:rPr>
          <w:rFonts w:ascii="Times New Roman" w:eastAsia="Times New Roman" w:hAnsi="Times New Roman" w:cs="Times New Roman"/>
        </w:rPr>
        <w:t>Barad’s agential realism question</w:t>
      </w:r>
      <w:r w:rsidR="00B7538A">
        <w:rPr>
          <w:rFonts w:ascii="Times New Roman" w:eastAsia="Times New Roman" w:hAnsi="Times New Roman" w:cs="Times New Roman"/>
        </w:rPr>
        <w:t>s and complicates</w:t>
      </w:r>
      <w:r>
        <w:rPr>
          <w:rFonts w:ascii="Times New Roman" w:eastAsia="Times New Roman" w:hAnsi="Times New Roman" w:cs="Times New Roman"/>
        </w:rPr>
        <w:t xml:space="preserve">.  </w:t>
      </w:r>
    </w:p>
    <w:p w14:paraId="3F6A157A" w14:textId="26F53AF3" w:rsidR="009179F6" w:rsidRPr="00465964" w:rsidRDefault="008A492E" w:rsidP="00465964">
      <w:pPr>
        <w:pStyle w:val="Normal1"/>
        <w:spacing w:after="240" w:line="48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Given its scale, degree of sensitivity and embeddedness in Antarctic Ice, the IceCube Neutrino Observatory can be described as an </w:t>
      </w:r>
      <w:r>
        <w:rPr>
          <w:rFonts w:ascii="Times New Roman" w:eastAsia="Times New Roman" w:hAnsi="Times New Roman" w:cs="Times New Roman"/>
          <w:i/>
        </w:rPr>
        <w:t>intra-active</w:t>
      </w:r>
      <w:r>
        <w:rPr>
          <w:rFonts w:ascii="Times New Roman" w:eastAsia="Times New Roman" w:hAnsi="Times New Roman" w:cs="Times New Roman"/>
        </w:rPr>
        <w:t xml:space="preserve"> achievement of human practices, techno-science and Earthly matter.  IceCube therefore invites us to think the technosphere otherwise, in terms that do not rely on scalar analysis, and that spring from </w:t>
      </w:r>
      <w:r w:rsidR="003D1A15">
        <w:rPr>
          <w:rFonts w:ascii="Times New Roman" w:eastAsia="Times New Roman" w:hAnsi="Times New Roman" w:cs="Times New Roman"/>
        </w:rPr>
        <w:t xml:space="preserve">the interstices of </w:t>
      </w:r>
      <w:r>
        <w:rPr>
          <w:rFonts w:ascii="Times New Roman" w:eastAsia="Times New Roman" w:hAnsi="Times New Roman" w:cs="Times New Roman"/>
        </w:rPr>
        <w:t xml:space="preserve">material and technical </w:t>
      </w:r>
      <w:r w:rsidR="003D1A15">
        <w:rPr>
          <w:rFonts w:ascii="Times New Roman" w:eastAsia="Times New Roman" w:hAnsi="Times New Roman" w:cs="Times New Roman"/>
        </w:rPr>
        <w:t>compositions</w:t>
      </w:r>
      <w:r>
        <w:rPr>
          <w:rFonts w:ascii="Times New Roman" w:eastAsia="Times New Roman" w:hAnsi="Times New Roman" w:cs="Times New Roman"/>
        </w:rPr>
        <w:t xml:space="preserve">.  The highly dispersed agencies of matter, scientific theory, and technologies of sensing are beautifully manifested in the detection of spectral neutrino cascades generated by, “secondary charged particles </w:t>
      </w:r>
      <w:r w:rsidRPr="00465964">
        <w:rPr>
          <w:rFonts w:ascii="Times New Roman" w:hAnsi="Times New Roman"/>
        </w:rPr>
        <w:t>produced in neutrino-matter interactions</w:t>
      </w:r>
      <w:r>
        <w:rPr>
          <w:rFonts w:ascii="Times New Roman" w:eastAsia="Times New Roman" w:hAnsi="Times New Roman" w:cs="Times New Roman"/>
        </w:rPr>
        <w:t>” (Taboada, 2014: 72).</w:t>
      </w:r>
    </w:p>
    <w:p w14:paraId="63C6CF12" w14:textId="4266E206" w:rsidR="009179F6" w:rsidRPr="00465964" w:rsidRDefault="008A492E" w:rsidP="00465964">
      <w:pPr>
        <w:pStyle w:val="Normal1"/>
        <w:spacing w:after="240" w:line="480" w:lineRule="auto"/>
      </w:pPr>
      <w:r>
        <w:rPr>
          <w:rFonts w:ascii="Times New Roman" w:eastAsia="Times New Roman" w:hAnsi="Times New Roman" w:cs="Times New Roman"/>
        </w:rPr>
        <w:t xml:space="preserve">        </w:t>
      </w:r>
      <w:r>
        <w:rPr>
          <w:rFonts w:ascii="Times New Roman" w:eastAsia="Times New Roman" w:hAnsi="Times New Roman" w:cs="Times New Roman"/>
        </w:rPr>
        <w:tab/>
        <w:t xml:space="preserve">The neutrino </w:t>
      </w:r>
      <w:r>
        <w:rPr>
          <w:rFonts w:ascii="Times New Roman" w:eastAsia="Times New Roman" w:hAnsi="Times New Roman" w:cs="Times New Roman"/>
          <w:i/>
        </w:rPr>
        <w:t xml:space="preserve">cascade </w:t>
      </w:r>
      <w:r>
        <w:rPr>
          <w:rFonts w:ascii="Times New Roman" w:eastAsia="Times New Roman" w:hAnsi="Times New Roman" w:cs="Times New Roman"/>
        </w:rPr>
        <w:t xml:space="preserve">is a </w:t>
      </w:r>
      <w:r>
        <w:rPr>
          <w:rFonts w:ascii="Times New Roman" w:eastAsia="Times New Roman" w:hAnsi="Times New Roman" w:cs="Times New Roman"/>
          <w:i/>
        </w:rPr>
        <w:t>“waterfall of causality</w:t>
      </w:r>
      <w:r>
        <w:rPr>
          <w:rFonts w:ascii="Times New Roman" w:eastAsia="Times New Roman" w:hAnsi="Times New Roman" w:cs="Times New Roman"/>
        </w:rPr>
        <w:t xml:space="preserve"> in which one event triggers and affects the next” (italics ours; Fulton cited in Rooney, 2004: 176).  While each cascade event occurs on a subatomic dimension, and is sensed via </w:t>
      </w:r>
      <w:r w:rsidRPr="00465964">
        <w:rPr>
          <w:rFonts w:ascii="Times New Roman" w:hAnsi="Times New Roman"/>
          <w:i/>
        </w:rPr>
        <w:t>Cherenkov radiation</w:t>
      </w:r>
      <w:r>
        <w:rPr>
          <w:rFonts w:ascii="Times New Roman" w:eastAsia="Times New Roman" w:hAnsi="Times New Roman" w:cs="Times New Roman"/>
        </w:rPr>
        <w:t xml:space="preserve">, a cascade also transmits the direction, energy level, and location of the neutrino’s astrophysical origin.  In the case of high energy neutrinos, the origin might be thousands of light years away.  In this way, subatomic and cosmological entities and forces are intimately entangled in the performance of a cascade.  They cannot be separated into distinct or nested spheres.  As they play across the IceCube apparatus, cascades might span the length of multiple football fields.  These qualities lead us to understand the cascade as the expression of entanglement in the interstitial, liminal spaces between subatomic particles, an icy volume, black holes, digital sensors and </w:t>
      </w:r>
      <w:r>
        <w:rPr>
          <w:rFonts w:ascii="Times New Roman" w:eastAsia="Times New Roman" w:hAnsi="Times New Roman" w:cs="Times New Roman"/>
        </w:rPr>
        <w:lastRenderedPageBreak/>
        <w:t xml:space="preserve">ecologies of scientific practice. </w:t>
      </w:r>
      <w:r w:rsidRPr="00465964">
        <w:rPr>
          <w:rFonts w:ascii="Times New Roman" w:hAnsi="Times New Roman"/>
        </w:rPr>
        <w:t xml:space="preserve"> </w:t>
      </w:r>
      <w:r>
        <w:rPr>
          <w:rFonts w:ascii="Times New Roman" w:eastAsia="Times New Roman" w:hAnsi="Times New Roman" w:cs="Times New Roman"/>
        </w:rPr>
        <w:t xml:space="preserve">Sending shock waves across such assemblages, </w:t>
      </w:r>
      <w:r w:rsidRPr="00465964">
        <w:rPr>
          <w:rFonts w:ascii="Times New Roman" w:hAnsi="Times New Roman"/>
        </w:rPr>
        <w:t>cascade phenomena</w:t>
      </w:r>
      <w:r>
        <w:rPr>
          <w:rFonts w:ascii="Times New Roman" w:eastAsia="Times New Roman" w:hAnsi="Times New Roman" w:cs="Times New Roman"/>
        </w:rPr>
        <w:t xml:space="preserve"> collapse static, singular notions of scale(s) and amplify human, more-than-human as well as technical agencies.</w:t>
      </w:r>
    </w:p>
    <w:p w14:paraId="3FDD174C" w14:textId="77777777" w:rsidR="001C1B07" w:rsidRPr="003C7F38" w:rsidRDefault="00860559" w:rsidP="001C1B07">
      <w:pPr>
        <w:pStyle w:val="Normal10"/>
        <w:widowControl w:val="0"/>
        <w:spacing w:after="240" w:line="480" w:lineRule="auto"/>
        <w:jc w:val="center"/>
        <w:rPr>
          <w:rFonts w:ascii="Times New Roman" w:hAnsi="Times New Roman" w:cs="Times New Roman"/>
        </w:rPr>
      </w:pPr>
      <w:r>
        <w:rPr>
          <w:rFonts w:ascii="Times New Roman" w:hAnsi="Times New Roman" w:cs="Times New Roman"/>
          <w:noProof/>
          <w:lang w:val="en-GB" w:eastAsia="en-GB"/>
        </w:rPr>
        <w:drawing>
          <wp:inline distT="0" distB="0" distL="0" distR="0" wp14:anchorId="1FD383EC" wp14:editId="1078A8E3">
            <wp:extent cx="4680585" cy="3037205"/>
            <wp:effectExtent l="0" t="0" r="0" b="10795"/>
            <wp:docPr id="2" name="image03.png" descr="Description: Macintosh HD:Users:sashaengelmann:Desktop:media.file.b3778cb2baccfd72.7365706172617465645f646f75626c655f62616e672e706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descr="Description: Macintosh HD:Users:sashaengelmann:Desktop:media.file.b3778cb2baccfd72.7365706172617465645f646f75626c655f62616e672e706e6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0585" cy="3037205"/>
                    </a:xfrm>
                    <a:prstGeom prst="rect">
                      <a:avLst/>
                    </a:prstGeom>
                    <a:noFill/>
                    <a:ln>
                      <a:noFill/>
                    </a:ln>
                  </pic:spPr>
                </pic:pic>
              </a:graphicData>
            </a:graphic>
          </wp:inline>
        </w:drawing>
      </w:r>
    </w:p>
    <w:p w14:paraId="5D02D901" w14:textId="7FF3D01F" w:rsidR="009179F6" w:rsidRPr="00465964" w:rsidRDefault="008A492E" w:rsidP="00465964">
      <w:pPr>
        <w:pStyle w:val="Normal1"/>
        <w:spacing w:after="240" w:line="480" w:lineRule="auto"/>
        <w:jc w:val="center"/>
      </w:pPr>
      <w:r>
        <w:rPr>
          <w:rFonts w:ascii="Times New Roman" w:eastAsia="Times New Roman" w:hAnsi="Times New Roman" w:cs="Times New Roman"/>
          <w:b/>
        </w:rPr>
        <w:t>Figure 2.</w:t>
      </w:r>
      <w:r>
        <w:rPr>
          <w:rFonts w:ascii="Times New Roman" w:eastAsia="Times New Roman" w:hAnsi="Times New Roman" w:cs="Times New Roman"/>
        </w:rPr>
        <w:t xml:space="preserve"> A “double bang” hadronic cascade. Source: IceCube collaboration.</w:t>
      </w:r>
      <w:r w:rsidR="001C1B07" w:rsidRPr="003C7F38">
        <w:rPr>
          <w:rFonts w:ascii="Times New Roman" w:eastAsia="Cambria" w:hAnsi="Times New Roman" w:cs="Times New Roman"/>
        </w:rPr>
        <w:t xml:space="preserve"> </w:t>
      </w:r>
    </w:p>
    <w:p w14:paraId="514BD1AE" w14:textId="77777777" w:rsidR="009179F6" w:rsidRDefault="008A492E">
      <w:pPr>
        <w:pStyle w:val="Normal1"/>
        <w:spacing w:after="240" w:line="480" w:lineRule="auto"/>
        <w:jc w:val="center"/>
      </w:pPr>
      <w:r>
        <w:rPr>
          <w:rFonts w:ascii="Times New Roman" w:eastAsia="Times New Roman" w:hAnsi="Times New Roman" w:cs="Times New Roman"/>
        </w:rPr>
        <w:t xml:space="preserve"> </w:t>
      </w:r>
    </w:p>
    <w:p w14:paraId="64B7E3A4" w14:textId="19264C8B" w:rsidR="009179F6" w:rsidRPr="00465964" w:rsidRDefault="008A492E" w:rsidP="00465964">
      <w:pPr>
        <w:pStyle w:val="Normal1"/>
        <w:spacing w:line="480" w:lineRule="auto"/>
      </w:pPr>
      <w:r>
        <w:rPr>
          <w:rFonts w:ascii="Times New Roman" w:eastAsia="Times New Roman" w:hAnsi="Times New Roman" w:cs="Times New Roman"/>
        </w:rPr>
        <w:t xml:space="preserve">        </w:t>
      </w:r>
      <w:r>
        <w:rPr>
          <w:rFonts w:ascii="Times New Roman" w:eastAsia="Times New Roman" w:hAnsi="Times New Roman" w:cs="Times New Roman"/>
        </w:rPr>
        <w:tab/>
        <w:t>Perhaps most strikingly, according to Dr. Halzen and the IceCube Collaboration, the qualities of neutrino cascade-measurements provide experimental evidence that the Standard Model of Particle Physics (SM) is flawed</w:t>
      </w:r>
      <w:r w:rsidR="004B0D14">
        <w:rPr>
          <w:rFonts w:ascii="Times New Roman" w:eastAsia="Times New Roman" w:hAnsi="Times New Roman" w:cs="Times New Roman"/>
        </w:rPr>
        <w:t xml:space="preserve"> (Halzen, interview with authors, 2015).  A</w:t>
      </w:r>
      <w:r>
        <w:rPr>
          <w:rFonts w:ascii="Times New Roman" w:eastAsia="Times New Roman" w:hAnsi="Times New Roman" w:cs="Times New Roman"/>
        </w:rPr>
        <w:t xml:space="preserve"> new, ‘exotic’ model is therefore glimpsed as necessary to the process of ‘meeting the Universe halfway’ (Fulton cited in Barad, 2007: 397). </w:t>
      </w:r>
      <w:r w:rsidR="00B7538A">
        <w:rPr>
          <w:rFonts w:ascii="Times New Roman" w:eastAsia="Times New Roman" w:hAnsi="Times New Roman" w:cs="Times New Roman"/>
        </w:rPr>
        <w:t xml:space="preserve"> </w:t>
      </w:r>
      <w:r>
        <w:rPr>
          <w:rFonts w:ascii="Times New Roman" w:eastAsia="Times New Roman" w:hAnsi="Times New Roman" w:cs="Times New Roman"/>
        </w:rPr>
        <w:t>It is not hyperbole to state that adjusting or revising the Standard Model to account for the</w:t>
      </w:r>
      <w:r w:rsidR="00B7538A">
        <w:rPr>
          <w:rFonts w:ascii="Times New Roman" w:eastAsia="Times New Roman" w:hAnsi="Times New Roman" w:cs="Times New Roman"/>
        </w:rPr>
        <w:t xml:space="preserve"> insights of these</w:t>
      </w:r>
      <w:r>
        <w:rPr>
          <w:rFonts w:ascii="Times New Roman" w:eastAsia="Times New Roman" w:hAnsi="Times New Roman" w:cs="Times New Roman"/>
        </w:rPr>
        <w:t xml:space="preserve"> experiments could embody a paradigm shift in proportion to that of the Copernican revolution.</w:t>
      </w:r>
      <w:r w:rsidRPr="00465964">
        <w:rPr>
          <w:rFonts w:ascii="Times New Roman" w:hAnsi="Times New Roman"/>
          <w:i/>
        </w:rPr>
        <w:t xml:space="preserve"> </w:t>
      </w:r>
      <w:r>
        <w:rPr>
          <w:rFonts w:ascii="Times New Roman" w:eastAsia="Times New Roman" w:hAnsi="Times New Roman" w:cs="Times New Roman"/>
        </w:rPr>
        <w:t xml:space="preserve"> </w:t>
      </w:r>
      <w:r w:rsidR="00377D90">
        <w:rPr>
          <w:rFonts w:ascii="Times New Roman" w:eastAsia="Times New Roman" w:hAnsi="Times New Roman" w:cs="Times New Roman"/>
        </w:rPr>
        <w:t>S</w:t>
      </w:r>
      <w:r w:rsidR="004B0D14">
        <w:rPr>
          <w:rFonts w:ascii="Times New Roman" w:eastAsia="Times New Roman" w:hAnsi="Times New Roman" w:cs="Times New Roman"/>
        </w:rPr>
        <w:t>uch a shift has interesting consequences for the expression of our planet’s technosphere</w:t>
      </w:r>
      <w:r w:rsidR="00377D90">
        <w:rPr>
          <w:rFonts w:ascii="Times New Roman" w:eastAsia="Times New Roman" w:hAnsi="Times New Roman" w:cs="Times New Roman"/>
        </w:rPr>
        <w:t xml:space="preserve"> insofar as it would shift access to the ‘quality energy’ that supports it</w:t>
      </w:r>
      <w:r w:rsidR="004B0D14">
        <w:rPr>
          <w:rFonts w:ascii="Times New Roman" w:eastAsia="Times New Roman" w:hAnsi="Times New Roman" w:cs="Times New Roman"/>
        </w:rPr>
        <w:t xml:space="preserve">.  </w:t>
      </w:r>
      <w:r w:rsidR="00377D90">
        <w:rPr>
          <w:rFonts w:ascii="Times New Roman" w:eastAsia="Times New Roman" w:hAnsi="Times New Roman" w:cs="Times New Roman"/>
        </w:rPr>
        <w:t>And it is precisely o</w:t>
      </w:r>
      <w:r>
        <w:rPr>
          <w:rFonts w:ascii="Times New Roman" w:eastAsia="Times New Roman" w:hAnsi="Times New Roman" w:cs="Times New Roman"/>
        </w:rPr>
        <w:t>ur ghost-like neutrino collaborators, their cascading intra-actions, and the entities constructed to detect them</w:t>
      </w:r>
      <w:r w:rsidR="00377D90">
        <w:rPr>
          <w:rFonts w:ascii="Times New Roman" w:eastAsia="Times New Roman" w:hAnsi="Times New Roman" w:cs="Times New Roman"/>
        </w:rPr>
        <w:t xml:space="preserve"> that </w:t>
      </w:r>
      <w:r>
        <w:rPr>
          <w:rFonts w:ascii="Times New Roman" w:eastAsia="Times New Roman" w:hAnsi="Times New Roman" w:cs="Times New Roman"/>
        </w:rPr>
        <w:t xml:space="preserve">are announcing </w:t>
      </w:r>
      <w:r>
        <w:rPr>
          <w:rFonts w:ascii="Times New Roman" w:eastAsia="Times New Roman" w:hAnsi="Times New Roman" w:cs="Times New Roman"/>
        </w:rPr>
        <w:lastRenderedPageBreak/>
        <w:t xml:space="preserve">new ways of thinking, doing, and engaging with </w:t>
      </w:r>
      <w:r w:rsidR="004B0D14">
        <w:rPr>
          <w:rFonts w:ascii="Times New Roman" w:eastAsia="Times New Roman" w:hAnsi="Times New Roman" w:cs="Times New Roman"/>
        </w:rPr>
        <w:t xml:space="preserve">dark and ‘exotic’ </w:t>
      </w:r>
      <w:r>
        <w:rPr>
          <w:rFonts w:ascii="Times New Roman" w:eastAsia="Times New Roman" w:hAnsi="Times New Roman" w:cs="Times New Roman"/>
        </w:rPr>
        <w:t xml:space="preserve">matters, energies and their compositions.   </w:t>
      </w:r>
    </w:p>
    <w:p w14:paraId="7DA4E5D6" w14:textId="77777777" w:rsidR="009179F6" w:rsidRPr="00465964" w:rsidRDefault="008A492E" w:rsidP="00465964">
      <w:pPr>
        <w:pStyle w:val="Normal1"/>
        <w:spacing w:after="240" w:line="480" w:lineRule="auto"/>
      </w:pPr>
      <w:r>
        <w:rPr>
          <w:rFonts w:ascii="Times New Roman" w:eastAsia="Times New Roman" w:hAnsi="Times New Roman" w:cs="Times New Roman"/>
        </w:rPr>
        <w:t xml:space="preserve"> </w:t>
      </w:r>
    </w:p>
    <w:p w14:paraId="3A124C16" w14:textId="77777777" w:rsidR="009179F6" w:rsidRDefault="008A492E">
      <w:pPr>
        <w:pStyle w:val="Normal1"/>
        <w:spacing w:after="240" w:line="480" w:lineRule="auto"/>
      </w:pPr>
      <w:r>
        <w:rPr>
          <w:rFonts w:ascii="Times New Roman" w:eastAsia="Times New Roman" w:hAnsi="Times New Roman" w:cs="Times New Roman"/>
        </w:rPr>
        <w:t>Escaping the Coarse Grain</w:t>
      </w:r>
    </w:p>
    <w:p w14:paraId="6AFDBFE1" w14:textId="2A4FD982" w:rsidR="009179F6" w:rsidRDefault="008A492E">
      <w:pPr>
        <w:pStyle w:val="Normal1"/>
        <w:spacing w:line="480" w:lineRule="auto"/>
      </w:pPr>
      <w:r>
        <w:rPr>
          <w:rFonts w:ascii="Times New Roman" w:eastAsia="Times New Roman" w:hAnsi="Times New Roman" w:cs="Times New Roman"/>
        </w:rPr>
        <w:t xml:space="preserve">As we have shown, there are several ways that static notions of scale limit the questions we can ask of technological infrastructures. </w:t>
      </w:r>
      <w:r w:rsidR="007E48D0">
        <w:rPr>
          <w:rFonts w:ascii="Times New Roman" w:eastAsia="Times New Roman" w:hAnsi="Times New Roman" w:cs="Times New Roman"/>
        </w:rPr>
        <w:t xml:space="preserve"> As we will elaborate further in the paper’s conclusion, </w:t>
      </w:r>
      <w:r w:rsidR="00BF71FA">
        <w:rPr>
          <w:rFonts w:ascii="Times New Roman" w:eastAsia="Times New Roman" w:hAnsi="Times New Roman" w:cs="Times New Roman"/>
        </w:rPr>
        <w:t xml:space="preserve">practices of scaling </w:t>
      </w:r>
      <w:r w:rsidR="007E48D0">
        <w:rPr>
          <w:rFonts w:ascii="Times New Roman" w:eastAsia="Times New Roman" w:hAnsi="Times New Roman" w:cs="Times New Roman"/>
        </w:rPr>
        <w:t xml:space="preserve">and distancing are symptomatic of forms of knowledge production </w:t>
      </w:r>
      <w:r w:rsidR="00BF71FA">
        <w:rPr>
          <w:rFonts w:ascii="Times New Roman" w:eastAsia="Times New Roman" w:hAnsi="Times New Roman" w:cs="Times New Roman"/>
        </w:rPr>
        <w:t>of the Earth System</w:t>
      </w:r>
      <w:r w:rsidR="007E48D0">
        <w:rPr>
          <w:rFonts w:ascii="Times New Roman" w:eastAsia="Times New Roman" w:hAnsi="Times New Roman" w:cs="Times New Roman"/>
        </w:rPr>
        <w:t>, and might be carefully and critically supplemented</w:t>
      </w:r>
      <w:r>
        <w:rPr>
          <w:rFonts w:ascii="Times New Roman" w:eastAsia="Times New Roman" w:hAnsi="Times New Roman" w:cs="Times New Roman"/>
        </w:rPr>
        <w:t xml:space="preserve">.  </w:t>
      </w:r>
      <w:r w:rsidR="007E48D0">
        <w:rPr>
          <w:rFonts w:ascii="Times New Roman" w:eastAsia="Times New Roman" w:hAnsi="Times New Roman" w:cs="Times New Roman"/>
        </w:rPr>
        <w:t xml:space="preserve">Some of these limitations to research questions are indicated in the way the technosphere has heretofore been articulated.  </w:t>
      </w:r>
      <w:r>
        <w:rPr>
          <w:rFonts w:ascii="Times New Roman" w:eastAsia="Times New Roman" w:hAnsi="Times New Roman" w:cs="Times New Roman"/>
        </w:rPr>
        <w:t xml:space="preserve">In a recent paper, Haff (2014b) proposes the technosphere is a geologic phenomenon by considering the ‘commonalities’ and ‘contrasts’ between it and other major planetary spheres like the hydrosphere, biosphere and lithosphere.  The technosphere is compared to its spherical relatives using data on terawatts of energy absorbed, appropriation of resources or quantity of waste produced. </w:t>
      </w:r>
      <w:r w:rsidRPr="00E82C5D">
        <w:rPr>
          <w:rFonts w:ascii="Times New Roman" w:hAnsi="Times New Roman"/>
        </w:rPr>
        <w:t xml:space="preserve"> The contribution to this special issue by Zalasiewicz et al. (2016) takes a similar approach by ‘weighing’ the technosphere.</w:t>
      </w:r>
      <w:r>
        <w:rPr>
          <w:rFonts w:ascii="Times New Roman" w:eastAsia="Times New Roman" w:hAnsi="Times New Roman" w:cs="Times New Roman"/>
        </w:rPr>
        <w:t xml:space="preserve">  While such measurement-based studies are intriguing, they also collapse myriad questions of the complex dynamics between the technosphere and other agencies of our planet into two main modes (</w:t>
      </w:r>
      <w:r>
        <w:rPr>
          <w:rFonts w:ascii="Times New Roman" w:eastAsia="Times New Roman" w:hAnsi="Times New Roman" w:cs="Times New Roman"/>
          <w:i/>
        </w:rPr>
        <w:t>either</w:t>
      </w:r>
      <w:r>
        <w:rPr>
          <w:rFonts w:ascii="Times New Roman" w:eastAsia="Times New Roman" w:hAnsi="Times New Roman" w:cs="Times New Roman"/>
        </w:rPr>
        <w:t xml:space="preserve"> commonalities </w:t>
      </w:r>
      <w:r>
        <w:rPr>
          <w:rFonts w:ascii="Times New Roman" w:eastAsia="Times New Roman" w:hAnsi="Times New Roman" w:cs="Times New Roman"/>
          <w:i/>
        </w:rPr>
        <w:t>or</w:t>
      </w:r>
      <w:r>
        <w:rPr>
          <w:rFonts w:ascii="Times New Roman" w:eastAsia="Times New Roman" w:hAnsi="Times New Roman" w:cs="Times New Roman"/>
        </w:rPr>
        <w:t xml:space="preserve"> contrasts) and into assertions of relative magnitude.  In this literature, relations between humans and the technosphere are often articulated as ‘small-scale’ and ‘large-scale’ components: as Haff (2014) writes, large-scale dynamics of a system appear ‘spontaneously’ and define, ‘an environment within which small system components must operate’ (Haff, 2014: 302).  However, a better question might be: what is lost in the gesture of ‘coarse graining’ the relations between humans, non-humans, and technical infrastructures using categories like </w:t>
      </w:r>
      <w:r>
        <w:rPr>
          <w:rFonts w:ascii="Times New Roman" w:eastAsia="Times New Roman" w:hAnsi="Times New Roman" w:cs="Times New Roman"/>
          <w:i/>
        </w:rPr>
        <w:t>large</w:t>
      </w:r>
      <w:r>
        <w:rPr>
          <w:rFonts w:ascii="Times New Roman" w:eastAsia="Times New Roman" w:hAnsi="Times New Roman" w:cs="Times New Roman"/>
        </w:rPr>
        <w:t xml:space="preserve"> and </w:t>
      </w:r>
      <w:r>
        <w:rPr>
          <w:rFonts w:ascii="Times New Roman" w:eastAsia="Times New Roman" w:hAnsi="Times New Roman" w:cs="Times New Roman"/>
          <w:i/>
        </w:rPr>
        <w:t xml:space="preserve">small? </w:t>
      </w:r>
    </w:p>
    <w:p w14:paraId="23B71D6A" w14:textId="34E5949C" w:rsidR="009179F6" w:rsidRDefault="008A492E">
      <w:pPr>
        <w:pStyle w:val="Normal1"/>
        <w:spacing w:line="480" w:lineRule="auto"/>
        <w:ind w:firstLine="720"/>
      </w:pPr>
      <w:r>
        <w:rPr>
          <w:rFonts w:ascii="Times New Roman" w:eastAsia="Times New Roman" w:hAnsi="Times New Roman" w:cs="Times New Roman"/>
        </w:rPr>
        <w:t xml:space="preserve">Inspired by Barad’s onto-epistemology, and taking cues from our engagement with the IceCube Neutrino Observatory, we might invent questions that do not establish </w:t>
      </w:r>
      <w:r w:rsidR="00B7538A">
        <w:rPr>
          <w:rFonts w:ascii="Times New Roman" w:eastAsia="Times New Roman" w:hAnsi="Times New Roman" w:cs="Times New Roman"/>
        </w:rPr>
        <w:t xml:space="preserve">scalar </w:t>
      </w:r>
      <w:r>
        <w:rPr>
          <w:rFonts w:ascii="Times New Roman" w:eastAsia="Times New Roman" w:hAnsi="Times New Roman" w:cs="Times New Roman"/>
        </w:rPr>
        <w:t xml:space="preserve">categories for worldly agencies.  These questions would not compare and contrast, count or weigh, as much as they would seek </w:t>
      </w:r>
      <w:r>
        <w:rPr>
          <w:rFonts w:ascii="Times New Roman" w:eastAsia="Times New Roman" w:hAnsi="Times New Roman" w:cs="Times New Roman"/>
        </w:rPr>
        <w:lastRenderedPageBreak/>
        <w:t>to understand the dynamics of sites in which matter, skilled creatures, institutions and technologies exert pressure on each other in mutual co-evolution.  In our research, for instance, we explored to what extent a single subatomic particle influences material, technical and scientific infrastructures.  We found that a neutrino, detected as a cascade in the ice of Antarctica, sends ripples and shock-waves through sensing devices, computational infrastructures, scientific collaborations, theories and imaginaries of the universe.</w:t>
      </w:r>
    </w:p>
    <w:p w14:paraId="42F03CF4" w14:textId="48D5E186" w:rsidR="009179F6" w:rsidRDefault="008A492E">
      <w:pPr>
        <w:pStyle w:val="Normal1"/>
        <w:spacing w:after="240" w:line="480" w:lineRule="auto"/>
        <w:ind w:firstLine="560"/>
      </w:pPr>
      <w:r>
        <w:rPr>
          <w:rFonts w:ascii="Times New Roman" w:eastAsia="Times New Roman" w:hAnsi="Times New Roman" w:cs="Times New Roman"/>
          <w:color w:val="4F81BD"/>
        </w:rPr>
        <w:t xml:space="preserve"> </w:t>
      </w:r>
      <w:r>
        <w:rPr>
          <w:rFonts w:ascii="Times New Roman" w:eastAsia="Times New Roman" w:hAnsi="Times New Roman" w:cs="Times New Roman"/>
        </w:rPr>
        <w:t xml:space="preserve">  </w:t>
      </w:r>
      <w:r>
        <w:rPr>
          <w:rFonts w:ascii="Times New Roman" w:eastAsia="Times New Roman" w:hAnsi="Times New Roman" w:cs="Times New Roman"/>
          <w:highlight w:val="white"/>
        </w:rPr>
        <w:t>While we recognize the usefulness of the ‘coarse-graining’ analysis favored by Haff (2014) and others in complex systems studies,</w:t>
      </w:r>
      <w:r>
        <w:rPr>
          <w:rFonts w:ascii="Times New Roman" w:eastAsia="Times New Roman" w:hAnsi="Times New Roman" w:cs="Times New Roman"/>
        </w:rPr>
        <w:t xml:space="preserve"> we feel such a scale-based approach does not fully account for technologies’ embeddedness in restless matter</w:t>
      </w:r>
      <w:r w:rsidR="007E48D0">
        <w:rPr>
          <w:rFonts w:ascii="Times New Roman" w:eastAsia="Times New Roman" w:hAnsi="Times New Roman" w:cs="Times New Roman"/>
        </w:rPr>
        <w:t>s</w:t>
      </w:r>
      <w:r>
        <w:rPr>
          <w:rFonts w:ascii="Times New Roman" w:eastAsia="Times New Roman" w:hAnsi="Times New Roman" w:cs="Times New Roman"/>
        </w:rPr>
        <w:t xml:space="preserve">, </w:t>
      </w:r>
      <w:r w:rsidR="007E48D0">
        <w:rPr>
          <w:rFonts w:ascii="Times New Roman" w:eastAsia="Times New Roman" w:hAnsi="Times New Roman" w:cs="Times New Roman"/>
        </w:rPr>
        <w:t>theories</w:t>
      </w:r>
      <w:r>
        <w:rPr>
          <w:rFonts w:ascii="Times New Roman" w:eastAsia="Times New Roman" w:hAnsi="Times New Roman" w:cs="Times New Roman"/>
        </w:rPr>
        <w:t>, practice</w:t>
      </w:r>
      <w:r w:rsidR="007E48D0">
        <w:rPr>
          <w:rFonts w:ascii="Times New Roman" w:eastAsia="Times New Roman" w:hAnsi="Times New Roman" w:cs="Times New Roman"/>
        </w:rPr>
        <w:t>s</w:t>
      </w:r>
      <w:r>
        <w:rPr>
          <w:rFonts w:ascii="Times New Roman" w:eastAsia="Times New Roman" w:hAnsi="Times New Roman" w:cs="Times New Roman"/>
        </w:rPr>
        <w:t xml:space="preserve"> and experiment</w:t>
      </w:r>
      <w:r w:rsidR="007E48D0">
        <w:rPr>
          <w:rFonts w:ascii="Times New Roman" w:eastAsia="Times New Roman" w:hAnsi="Times New Roman" w:cs="Times New Roman"/>
        </w:rPr>
        <w:t>s</w:t>
      </w:r>
      <w:r>
        <w:rPr>
          <w:rFonts w:ascii="Times New Roman" w:eastAsia="Times New Roman" w:hAnsi="Times New Roman" w:cs="Times New Roman"/>
        </w:rPr>
        <w:t xml:space="preserve"> </w:t>
      </w:r>
      <w:r w:rsidR="00BF71FA">
        <w:rPr>
          <w:rFonts w:ascii="Times New Roman" w:eastAsia="Times New Roman" w:hAnsi="Times New Roman" w:cs="Times New Roman"/>
        </w:rPr>
        <w:t xml:space="preserve">of </w:t>
      </w:r>
      <w:r>
        <w:rPr>
          <w:rFonts w:ascii="Times New Roman" w:eastAsia="Times New Roman" w:hAnsi="Times New Roman" w:cs="Times New Roman"/>
        </w:rPr>
        <w:t xml:space="preserve">the Anthropocene.  These are </w:t>
      </w:r>
      <w:r w:rsidR="007E48D0">
        <w:rPr>
          <w:rFonts w:ascii="Times New Roman" w:eastAsia="Times New Roman" w:hAnsi="Times New Roman" w:cs="Times New Roman"/>
        </w:rPr>
        <w:t xml:space="preserve">entities and </w:t>
      </w:r>
      <w:r>
        <w:rPr>
          <w:rFonts w:ascii="Times New Roman" w:eastAsia="Times New Roman" w:hAnsi="Times New Roman" w:cs="Times New Roman"/>
        </w:rPr>
        <w:t xml:space="preserve">processes that cannot be isolated nor abstracted into grains, coarse or otherwise.  (At which </w:t>
      </w:r>
      <w:r w:rsidR="00DE3B16">
        <w:rPr>
          <w:rFonts w:ascii="Times New Roman" w:eastAsia="Times New Roman" w:hAnsi="Times New Roman" w:cs="Times New Roman"/>
        </w:rPr>
        <w:t>‘</w:t>
      </w:r>
      <w:r>
        <w:rPr>
          <w:rFonts w:ascii="Times New Roman" w:eastAsia="Times New Roman" w:hAnsi="Times New Roman" w:cs="Times New Roman"/>
        </w:rPr>
        <w:t>grain</w:t>
      </w:r>
      <w:r w:rsidR="00DE3B16">
        <w:rPr>
          <w:rFonts w:ascii="Times New Roman" w:eastAsia="Times New Roman" w:hAnsi="Times New Roman" w:cs="Times New Roman"/>
        </w:rPr>
        <w:t>’</w:t>
      </w:r>
      <w:r>
        <w:rPr>
          <w:rFonts w:ascii="Times New Roman" w:eastAsia="Times New Roman" w:hAnsi="Times New Roman" w:cs="Times New Roman"/>
        </w:rPr>
        <w:t xml:space="preserve"> would one find the neutrino?) </w:t>
      </w:r>
      <w:r w:rsidR="004D32E0">
        <w:rPr>
          <w:rFonts w:ascii="Times New Roman" w:eastAsia="Times New Roman" w:hAnsi="Times New Roman" w:cs="Times New Roman"/>
        </w:rPr>
        <w:t xml:space="preserve"> </w:t>
      </w:r>
      <w:r w:rsidR="00DE3B16">
        <w:rPr>
          <w:rFonts w:ascii="Times New Roman" w:eastAsia="Times New Roman" w:hAnsi="Times New Roman" w:cs="Times New Roman"/>
        </w:rPr>
        <w:t xml:space="preserve">A </w:t>
      </w:r>
      <w:r w:rsidR="00BF71FA">
        <w:rPr>
          <w:rFonts w:ascii="Times New Roman" w:eastAsia="Times New Roman" w:hAnsi="Times New Roman" w:cs="Times New Roman"/>
        </w:rPr>
        <w:t xml:space="preserve">more </w:t>
      </w:r>
      <w:r w:rsidR="00DE3B16">
        <w:rPr>
          <w:rFonts w:ascii="Times New Roman" w:eastAsia="Times New Roman" w:hAnsi="Times New Roman" w:cs="Times New Roman"/>
        </w:rPr>
        <w:t xml:space="preserve">careful </w:t>
      </w:r>
      <w:r w:rsidR="00BF71FA">
        <w:rPr>
          <w:rFonts w:ascii="Times New Roman" w:eastAsia="Times New Roman" w:hAnsi="Times New Roman" w:cs="Times New Roman"/>
        </w:rPr>
        <w:t>consideration of</w:t>
      </w:r>
      <w:r w:rsidR="00DE3B16">
        <w:rPr>
          <w:rFonts w:ascii="Times New Roman" w:eastAsia="Times New Roman" w:hAnsi="Times New Roman" w:cs="Times New Roman"/>
        </w:rPr>
        <w:t xml:space="preserve"> notions of scale </w:t>
      </w:r>
      <w:r w:rsidR="00BF71FA">
        <w:rPr>
          <w:rFonts w:ascii="Times New Roman" w:eastAsia="Times New Roman" w:hAnsi="Times New Roman" w:cs="Times New Roman"/>
        </w:rPr>
        <w:t xml:space="preserve">is </w:t>
      </w:r>
      <w:r w:rsidR="00DE3B16">
        <w:rPr>
          <w:rFonts w:ascii="Times New Roman" w:eastAsia="Times New Roman" w:hAnsi="Times New Roman" w:cs="Times New Roman"/>
        </w:rPr>
        <w:t xml:space="preserve">generated by sensitivity to intra-action.  However it is necessary to emphasize that, like concepts of scale, intra-action cannot be taken for granted: it is emergent from the world, rather than an abstract lens we </w:t>
      </w:r>
      <w:r w:rsidR="004B0D14">
        <w:rPr>
          <w:rFonts w:ascii="Times New Roman" w:eastAsia="Times New Roman" w:hAnsi="Times New Roman" w:cs="Times New Roman"/>
        </w:rPr>
        <w:t xml:space="preserve">can </w:t>
      </w:r>
      <w:r w:rsidR="00DE3B16">
        <w:rPr>
          <w:rFonts w:ascii="Times New Roman" w:eastAsia="Times New Roman" w:hAnsi="Times New Roman" w:cs="Times New Roman"/>
        </w:rPr>
        <w:t xml:space="preserve">use to view and know the world.  </w:t>
      </w:r>
      <w:r w:rsidR="00BF71FA">
        <w:rPr>
          <w:rFonts w:ascii="Times New Roman" w:eastAsia="Times New Roman" w:hAnsi="Times New Roman" w:cs="Times New Roman"/>
        </w:rPr>
        <w:t>In this</w:t>
      </w:r>
      <w:r w:rsidR="00DE3B16">
        <w:rPr>
          <w:rFonts w:ascii="Times New Roman" w:eastAsia="Times New Roman" w:hAnsi="Times New Roman" w:cs="Times New Roman"/>
        </w:rPr>
        <w:t xml:space="preserve"> paper, the particular form and evidence of intra-action</w:t>
      </w:r>
      <w:r w:rsidR="00BF71FA">
        <w:rPr>
          <w:rFonts w:ascii="Times New Roman" w:eastAsia="Times New Roman" w:hAnsi="Times New Roman" w:cs="Times New Roman"/>
        </w:rPr>
        <w:t>, as well as the “spatial concept” performed in IceCube,</w:t>
      </w:r>
      <w:r w:rsidR="00DE3B16">
        <w:rPr>
          <w:rFonts w:ascii="Times New Roman" w:eastAsia="Times New Roman" w:hAnsi="Times New Roman" w:cs="Times New Roman"/>
        </w:rPr>
        <w:t xml:space="preserve"> is the neutrino cascade.  </w:t>
      </w:r>
      <w:r w:rsidR="00BF71FA">
        <w:rPr>
          <w:rFonts w:ascii="Times New Roman" w:eastAsia="Times New Roman" w:hAnsi="Times New Roman" w:cs="Times New Roman"/>
        </w:rPr>
        <w:t xml:space="preserve">Intra-action and spatial concepts might be linked and performed in myriad other situated styles and dimensions.  </w:t>
      </w:r>
      <w:r>
        <w:rPr>
          <w:rFonts w:ascii="Times New Roman" w:eastAsia="Times New Roman" w:hAnsi="Times New Roman" w:cs="Times New Roman"/>
        </w:rPr>
        <w:t>In light of these arguments</w:t>
      </w:r>
      <w:r w:rsidR="004B0D14">
        <w:rPr>
          <w:rFonts w:ascii="Times New Roman" w:eastAsia="Times New Roman" w:hAnsi="Times New Roman" w:cs="Times New Roman"/>
        </w:rPr>
        <w:t xml:space="preserve"> and insights</w:t>
      </w:r>
      <w:r>
        <w:rPr>
          <w:rFonts w:ascii="Times New Roman" w:eastAsia="Times New Roman" w:hAnsi="Times New Roman" w:cs="Times New Roman"/>
        </w:rPr>
        <w:t xml:space="preserve">, </w:t>
      </w:r>
      <w:r w:rsidR="00BF71FA">
        <w:rPr>
          <w:rFonts w:ascii="Times New Roman" w:eastAsia="Times New Roman" w:hAnsi="Times New Roman" w:cs="Times New Roman"/>
        </w:rPr>
        <w:t xml:space="preserve">we can now ask: </w:t>
      </w:r>
      <w:r>
        <w:rPr>
          <w:rFonts w:ascii="Times New Roman" w:eastAsia="Times New Roman" w:hAnsi="Times New Roman" w:cs="Times New Roman"/>
        </w:rPr>
        <w:t>are there ways to recuperate the technosphere concept?  Can the</w:t>
      </w:r>
      <w:r w:rsidR="00BF71FA">
        <w:rPr>
          <w:rFonts w:ascii="Times New Roman" w:eastAsia="Times New Roman" w:hAnsi="Times New Roman" w:cs="Times New Roman"/>
        </w:rPr>
        <w:t xml:space="preserve"> gestures of</w:t>
      </w:r>
      <w:r>
        <w:rPr>
          <w:rFonts w:ascii="Times New Roman" w:eastAsia="Times New Roman" w:hAnsi="Times New Roman" w:cs="Times New Roman"/>
        </w:rPr>
        <w:t xml:space="preserve"> </w:t>
      </w:r>
      <w:r w:rsidR="004D32E0">
        <w:rPr>
          <w:rFonts w:ascii="Times New Roman" w:eastAsia="Times New Roman" w:hAnsi="Times New Roman" w:cs="Times New Roman"/>
        </w:rPr>
        <w:t xml:space="preserve">‘graining’ and distancing underpinning the technosphere concept </w:t>
      </w:r>
      <w:r w:rsidR="004B7D48">
        <w:rPr>
          <w:rFonts w:ascii="Times New Roman" w:eastAsia="Times New Roman" w:hAnsi="Times New Roman" w:cs="Times New Roman"/>
        </w:rPr>
        <w:t xml:space="preserve">as it is conceived thus far </w:t>
      </w:r>
      <w:r w:rsidR="004D32E0">
        <w:rPr>
          <w:rFonts w:ascii="Times New Roman" w:eastAsia="Times New Roman" w:hAnsi="Times New Roman" w:cs="Times New Roman"/>
        </w:rPr>
        <w:t>be critically reassessed</w:t>
      </w:r>
      <w:r w:rsidR="00BF71FA">
        <w:rPr>
          <w:rFonts w:ascii="Times New Roman" w:eastAsia="Times New Roman" w:hAnsi="Times New Roman" w:cs="Times New Roman"/>
        </w:rPr>
        <w:t xml:space="preserve"> and complemented</w:t>
      </w:r>
      <w:r>
        <w:rPr>
          <w:rFonts w:ascii="Times New Roman" w:eastAsia="Times New Roman" w:hAnsi="Times New Roman" w:cs="Times New Roman"/>
        </w:rPr>
        <w:t xml:space="preserve">?   </w:t>
      </w:r>
      <w:r w:rsidR="00DE3B16">
        <w:rPr>
          <w:rFonts w:ascii="Times New Roman" w:eastAsia="Times New Roman" w:hAnsi="Times New Roman" w:cs="Times New Roman"/>
        </w:rPr>
        <w:t>In</w:t>
      </w:r>
      <w:r w:rsidR="004D32E0">
        <w:rPr>
          <w:rFonts w:ascii="Times New Roman" w:eastAsia="Times New Roman" w:hAnsi="Times New Roman" w:cs="Times New Roman"/>
        </w:rPr>
        <w:t xml:space="preserve"> other words: </w:t>
      </w:r>
      <w:r w:rsidR="00BF71FA">
        <w:rPr>
          <w:rFonts w:ascii="Times New Roman" w:eastAsia="Times New Roman" w:hAnsi="Times New Roman" w:cs="Times New Roman"/>
        </w:rPr>
        <w:t>are there</w:t>
      </w:r>
      <w:r>
        <w:rPr>
          <w:rFonts w:ascii="Times New Roman" w:eastAsia="Times New Roman" w:hAnsi="Times New Roman" w:cs="Times New Roman"/>
        </w:rPr>
        <w:t xml:space="preserve"> cascades in the technosphere?</w:t>
      </w:r>
    </w:p>
    <w:p w14:paraId="155F477E" w14:textId="77777777" w:rsidR="009179F6" w:rsidRDefault="009179F6">
      <w:pPr>
        <w:pStyle w:val="Normal1"/>
        <w:spacing w:line="480" w:lineRule="auto"/>
      </w:pPr>
    </w:p>
    <w:p w14:paraId="03466101" w14:textId="77777777" w:rsidR="009179F6" w:rsidRPr="00465964" w:rsidRDefault="008A492E" w:rsidP="00465964">
      <w:pPr>
        <w:pStyle w:val="Normal1"/>
        <w:spacing w:line="480" w:lineRule="auto"/>
      </w:pPr>
      <w:r>
        <w:rPr>
          <w:rFonts w:ascii="Times New Roman" w:eastAsia="Times New Roman" w:hAnsi="Times New Roman" w:cs="Times New Roman"/>
        </w:rPr>
        <w:t>The neutrino sky</w:t>
      </w:r>
    </w:p>
    <w:p w14:paraId="3E0407A1" w14:textId="751D5C23" w:rsidR="009179F6" w:rsidRPr="00465964" w:rsidRDefault="008A492E" w:rsidP="00465964">
      <w:pPr>
        <w:pStyle w:val="Normal1"/>
        <w:spacing w:line="480" w:lineRule="auto"/>
      </w:pPr>
      <w:r>
        <w:rPr>
          <w:rFonts w:ascii="Times New Roman" w:eastAsia="Times New Roman" w:hAnsi="Times New Roman" w:cs="Times New Roman"/>
        </w:rPr>
        <w:t xml:space="preserve">To address these questions, we return to the IceCube Neutrino Observatory to elaborate a few ways in which the technosphere concept might be brought into conversation with post-humanist thought.  Our aim is not to propose an alternative to the technosphere concept, as such a project would outrun the scope of this commentary paper.  However, we will put forward ideas for further critique and discussion that emerge from our engagement with IceCube.  First, the challenge with which we began this paper – of </w:t>
      </w:r>
      <w:r>
        <w:rPr>
          <w:rFonts w:ascii="Times New Roman" w:eastAsia="Times New Roman" w:hAnsi="Times New Roman" w:cs="Times New Roman"/>
        </w:rPr>
        <w:lastRenderedPageBreak/>
        <w:t xml:space="preserve">becoming adequate, in both thought and action, to the ‘escaped velocities’ of technological infrastructures – can best be achieved by a willingness to invent-with, and be affected-by, the expressiveness of sites and situated voices.  As IceCube renders spectacularly evident, the project of becoming-sensitive to the traces of </w:t>
      </w:r>
      <w:r w:rsidR="00EA4FA4">
        <w:rPr>
          <w:rFonts w:ascii="Times New Roman" w:eastAsia="Times New Roman" w:hAnsi="Times New Roman" w:cs="Times New Roman"/>
        </w:rPr>
        <w:t>‘</w:t>
      </w:r>
      <w:r>
        <w:rPr>
          <w:rFonts w:ascii="Times New Roman" w:eastAsia="Times New Roman" w:hAnsi="Times New Roman" w:cs="Times New Roman"/>
        </w:rPr>
        <w:t>cosmic messengers</w:t>
      </w:r>
      <w:r w:rsidR="00EA4FA4">
        <w:rPr>
          <w:rFonts w:ascii="Times New Roman" w:eastAsia="Times New Roman" w:hAnsi="Times New Roman" w:cs="Times New Roman"/>
        </w:rPr>
        <w:t xml:space="preserve">’ </w:t>
      </w:r>
      <w:r>
        <w:rPr>
          <w:rFonts w:ascii="Times New Roman" w:eastAsia="Times New Roman" w:hAnsi="Times New Roman" w:cs="Times New Roman"/>
        </w:rPr>
        <w:t xml:space="preserve">troubles all kinds of boundaries and boundary-making discourses that place technology on a different plane from ice sheets, rocks, humans or neutrinos.  Perhaps, if the technosphere were instead conceived of as multiple, as myriad spheres in constant formation, the specificity and expressiveness of sites could be recuperated.  However, we are skeptical that any project founded on the abstraction of a ‘sphere’ can truly capture the qualities of technical agencies (or any form of agency for that matter).  </w:t>
      </w:r>
    </w:p>
    <w:p w14:paraId="3BA58209" w14:textId="396ED730" w:rsidR="009179F6" w:rsidRPr="00465964" w:rsidRDefault="008A492E" w:rsidP="00465964">
      <w:pPr>
        <w:pStyle w:val="Normal1"/>
        <w:spacing w:line="480" w:lineRule="auto"/>
        <w:ind w:firstLine="720"/>
      </w:pPr>
      <w:r>
        <w:rPr>
          <w:rFonts w:ascii="Times New Roman" w:eastAsia="Times New Roman" w:hAnsi="Times New Roman" w:cs="Times New Roman"/>
        </w:rPr>
        <w:t xml:space="preserve">Second, our engagement with neutrinos via the IceCube </w:t>
      </w:r>
      <w:r w:rsidR="00B7538A">
        <w:rPr>
          <w:rFonts w:ascii="Times New Roman" w:eastAsia="Times New Roman" w:hAnsi="Times New Roman" w:cs="Times New Roman"/>
        </w:rPr>
        <w:t xml:space="preserve">Observatory </w:t>
      </w:r>
      <w:r>
        <w:rPr>
          <w:rFonts w:ascii="Times New Roman" w:eastAsia="Times New Roman" w:hAnsi="Times New Roman" w:cs="Times New Roman"/>
        </w:rPr>
        <w:t xml:space="preserve">points to the possibility that the assumptions underlying the technosphere’s search for </w:t>
      </w:r>
      <w:r w:rsidR="00EA4FA4">
        <w:rPr>
          <w:rFonts w:ascii="Times New Roman" w:eastAsia="Times New Roman" w:hAnsi="Times New Roman" w:cs="Times New Roman"/>
        </w:rPr>
        <w:t>‘</w:t>
      </w:r>
      <w:r>
        <w:rPr>
          <w:rFonts w:ascii="Times New Roman" w:eastAsia="Times New Roman" w:hAnsi="Times New Roman" w:cs="Times New Roman"/>
        </w:rPr>
        <w:t>quality energy</w:t>
      </w:r>
      <w:r w:rsidR="00EA4FA4">
        <w:rPr>
          <w:rFonts w:ascii="Times New Roman" w:eastAsia="Times New Roman" w:hAnsi="Times New Roman" w:cs="Times New Roman"/>
        </w:rPr>
        <w:t xml:space="preserve">’ </w:t>
      </w:r>
      <w:r>
        <w:rPr>
          <w:rFonts w:ascii="Times New Roman" w:eastAsia="Times New Roman" w:hAnsi="Times New Roman" w:cs="Times New Roman"/>
        </w:rPr>
        <w:t xml:space="preserve">might bear revision.  Since the technosphere (as described by Haff) </w:t>
      </w:r>
      <w:r w:rsidR="00E556A1">
        <w:rPr>
          <w:rFonts w:ascii="Times New Roman" w:eastAsia="Times New Roman" w:hAnsi="Times New Roman" w:cs="Times New Roman"/>
        </w:rPr>
        <w:t xml:space="preserve">ultimately </w:t>
      </w:r>
      <w:r>
        <w:rPr>
          <w:rFonts w:ascii="Times New Roman" w:eastAsia="Times New Roman" w:hAnsi="Times New Roman" w:cs="Times New Roman"/>
        </w:rPr>
        <w:t>seeks ‘quality energy’, and the Standard Model (SM) is the ‘rule book’ for how we understand energy and matter, a revision of SM could lay the foundation for the discovery of much more efficient energy sources.  If revising SM leads us one step closer to an identification of dark matter or energy, our planet’s material-energetic and technical constitution might be radically shifted.  Just as we must become adequate to the technical conditions with which we dwell, technology itself will undoubtedly be altered and challenged by a new horizon of scientific description of the universe.  Interestingly, and perhaps paradoxically, the phantom-like neutrino</w:t>
      </w:r>
      <w:r w:rsidR="004D32E0">
        <w:rPr>
          <w:rFonts w:ascii="Times New Roman" w:eastAsia="Times New Roman" w:hAnsi="Times New Roman" w:cs="Times New Roman"/>
        </w:rPr>
        <w:t xml:space="preserve"> </w:t>
      </w:r>
      <w:r>
        <w:rPr>
          <w:rFonts w:ascii="Times New Roman" w:eastAsia="Times New Roman" w:hAnsi="Times New Roman" w:cs="Times New Roman"/>
        </w:rPr>
        <w:t>is one of the ‘messengers’ of these earthly-cosmic horizons.  But perhaps this is not paradoxical at all: the gesture of reaching for the imperceptible, of sensing at, or across, the limit, generates methods and spaces of insight that are precluded by gestures of bracketing, framing or graining, however sophisticated the resolution may be.  We are aware that every scientific practice, even that of neutrino sensing, involves setting limitations that allow research questions to be posed.  However, the project of crafting a description of technical infrastructure that is sensitive to scale and agency in the Anthropocene is an ambitious and demanding task</w:t>
      </w:r>
      <w:r w:rsidR="003B1CD7">
        <w:rPr>
          <w:rFonts w:ascii="Times New Roman" w:eastAsia="Times New Roman" w:hAnsi="Times New Roman" w:cs="Times New Roman"/>
        </w:rPr>
        <w:t xml:space="preserve">: </w:t>
      </w:r>
      <w:r w:rsidR="007D4830">
        <w:rPr>
          <w:rFonts w:ascii="Times New Roman" w:eastAsia="Times New Roman" w:hAnsi="Times New Roman" w:cs="Times New Roman"/>
        </w:rPr>
        <w:t>one</w:t>
      </w:r>
      <w:r w:rsidR="003B1CD7">
        <w:rPr>
          <w:rFonts w:ascii="Times New Roman" w:eastAsia="Times New Roman" w:hAnsi="Times New Roman" w:cs="Times New Roman"/>
        </w:rPr>
        <w:t xml:space="preserve"> that does not belong to scientists alone.  And it is a task that should welcome those adventures in </w:t>
      </w:r>
      <w:r w:rsidR="007D4830">
        <w:rPr>
          <w:rFonts w:ascii="Times New Roman" w:eastAsia="Times New Roman" w:hAnsi="Times New Roman" w:cs="Times New Roman"/>
        </w:rPr>
        <w:t>research and detection</w:t>
      </w:r>
      <w:r w:rsidR="003B1CD7">
        <w:rPr>
          <w:rFonts w:ascii="Times New Roman" w:eastAsia="Times New Roman" w:hAnsi="Times New Roman" w:cs="Times New Roman"/>
        </w:rPr>
        <w:t xml:space="preserve"> that </w:t>
      </w:r>
      <w:r w:rsidR="007D4830">
        <w:rPr>
          <w:rFonts w:ascii="Times New Roman" w:eastAsia="Times New Roman" w:hAnsi="Times New Roman" w:cs="Times New Roman"/>
        </w:rPr>
        <w:t xml:space="preserve">extend bodies, matters and devices to the edges of their sensual </w:t>
      </w:r>
      <w:r w:rsidR="007D4830">
        <w:rPr>
          <w:rFonts w:ascii="Times New Roman" w:eastAsia="Times New Roman" w:hAnsi="Times New Roman" w:cs="Times New Roman"/>
        </w:rPr>
        <w:lastRenderedPageBreak/>
        <w:t xml:space="preserve">worlds, inviting unusual </w:t>
      </w:r>
      <w:r w:rsidR="0054145D">
        <w:rPr>
          <w:rFonts w:ascii="Times New Roman" w:eastAsia="Times New Roman" w:hAnsi="Times New Roman" w:cs="Times New Roman"/>
        </w:rPr>
        <w:t>insights and phenomena</w:t>
      </w:r>
      <w:r w:rsidR="007D4830">
        <w:rPr>
          <w:rFonts w:ascii="Times New Roman" w:eastAsia="Times New Roman" w:hAnsi="Times New Roman" w:cs="Times New Roman"/>
        </w:rPr>
        <w:t xml:space="preserve"> into the space of research</w:t>
      </w:r>
      <w:r w:rsidR="003B1CD7">
        <w:rPr>
          <w:rFonts w:ascii="Times New Roman" w:eastAsia="Times New Roman" w:hAnsi="Times New Roman" w:cs="Times New Roman"/>
        </w:rPr>
        <w:t xml:space="preserve">.  </w:t>
      </w:r>
      <w:r>
        <w:rPr>
          <w:rFonts w:ascii="Times New Roman" w:eastAsia="Times New Roman" w:hAnsi="Times New Roman" w:cs="Times New Roman"/>
        </w:rPr>
        <w:t xml:space="preserve">The boundary-making practices implicit in the technosphere concept require crucial adjustments to account for </w:t>
      </w:r>
      <w:r w:rsidR="004D32E0">
        <w:rPr>
          <w:rFonts w:ascii="Times New Roman" w:eastAsia="Times New Roman" w:hAnsi="Times New Roman" w:cs="Times New Roman"/>
        </w:rPr>
        <w:t>myriad phenomena operating across spaces and scales,</w:t>
      </w:r>
      <w:r w:rsidR="00E556A1">
        <w:rPr>
          <w:rFonts w:ascii="Times New Roman" w:eastAsia="Times New Roman" w:hAnsi="Times New Roman" w:cs="Times New Roman"/>
        </w:rPr>
        <w:t xml:space="preserve"> </w:t>
      </w:r>
      <w:r w:rsidR="007D4830">
        <w:rPr>
          <w:rFonts w:ascii="Times New Roman" w:eastAsia="Times New Roman" w:hAnsi="Times New Roman" w:cs="Times New Roman"/>
        </w:rPr>
        <w:t xml:space="preserve">especially </w:t>
      </w:r>
      <w:r w:rsidR="004D32E0">
        <w:rPr>
          <w:rFonts w:ascii="Times New Roman" w:eastAsia="Times New Roman" w:hAnsi="Times New Roman" w:cs="Times New Roman"/>
        </w:rPr>
        <w:t>evidenced</w:t>
      </w:r>
      <w:r w:rsidR="00E556A1">
        <w:rPr>
          <w:rFonts w:ascii="Times New Roman" w:eastAsia="Times New Roman" w:hAnsi="Times New Roman" w:cs="Times New Roman"/>
        </w:rPr>
        <w:t xml:space="preserve"> </w:t>
      </w:r>
      <w:r w:rsidR="0054145D">
        <w:rPr>
          <w:rFonts w:ascii="Times New Roman" w:eastAsia="Times New Roman" w:hAnsi="Times New Roman" w:cs="Times New Roman"/>
        </w:rPr>
        <w:t>here</w:t>
      </w:r>
      <w:r w:rsidR="00E556A1">
        <w:rPr>
          <w:rFonts w:ascii="Times New Roman" w:eastAsia="Times New Roman" w:hAnsi="Times New Roman" w:cs="Times New Roman"/>
        </w:rPr>
        <w:t xml:space="preserve"> in the </w:t>
      </w:r>
      <w:r w:rsidR="004D32E0">
        <w:rPr>
          <w:rFonts w:ascii="Times New Roman" w:eastAsia="Times New Roman" w:hAnsi="Times New Roman" w:cs="Times New Roman"/>
        </w:rPr>
        <w:t xml:space="preserve">neutrino </w:t>
      </w:r>
      <w:r w:rsidR="00E556A1">
        <w:rPr>
          <w:rFonts w:ascii="Times New Roman" w:eastAsia="Times New Roman" w:hAnsi="Times New Roman" w:cs="Times New Roman"/>
        </w:rPr>
        <w:t>cascade.</w:t>
      </w:r>
    </w:p>
    <w:p w14:paraId="615C8A20" w14:textId="7607200B" w:rsidR="00300369" w:rsidRDefault="008A492E">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Thirdly, we want to pose an open question about the kinds of knowledge production supporting the technosphere concept as it resonates within Earth System Science more generally.  As Clive Hamilton (2016) has articulated in this journal, Earth System Science marks a paradigm shift in scientific attention to our planet.  The Earth System is a new object: ‘a single, dynamic, integrated system’ (Hamilton, 2016: 94).  In its espousal of a systems-level ‘rupture’ in planetary history, this conception of the Earth System resonates with the claims of Haff’s technosphere concept.  Both concepts, however, are predicated on ways of knowing that pre-suppose an external viewpoint: a gesture of stepping outside of the system (or the technosphere) in order to observe the system itself. </w:t>
      </w:r>
      <w:r w:rsidR="007D4830">
        <w:rPr>
          <w:rFonts w:ascii="Times New Roman" w:eastAsia="Times New Roman" w:hAnsi="Times New Roman" w:cs="Times New Roman"/>
        </w:rPr>
        <w:t xml:space="preserve"> Once again, </w:t>
      </w:r>
      <w:r>
        <w:rPr>
          <w:rFonts w:ascii="Times New Roman" w:eastAsia="Times New Roman" w:hAnsi="Times New Roman" w:cs="Times New Roman"/>
        </w:rPr>
        <w:t xml:space="preserve">Barad’s </w:t>
      </w:r>
      <w:r w:rsidR="00E556A1">
        <w:rPr>
          <w:rFonts w:ascii="Times New Roman" w:eastAsia="Times New Roman" w:hAnsi="Times New Roman" w:cs="Times New Roman"/>
        </w:rPr>
        <w:t xml:space="preserve">words </w:t>
      </w:r>
      <w:r w:rsidR="007D4830">
        <w:rPr>
          <w:rFonts w:ascii="Times New Roman" w:eastAsia="Times New Roman" w:hAnsi="Times New Roman" w:cs="Times New Roman"/>
        </w:rPr>
        <w:t>offer</w:t>
      </w:r>
      <w:r w:rsidR="00E556A1">
        <w:rPr>
          <w:rFonts w:ascii="Times New Roman" w:eastAsia="Times New Roman" w:hAnsi="Times New Roman" w:cs="Times New Roman"/>
        </w:rPr>
        <w:t xml:space="preserve"> a radically different stance</w:t>
      </w:r>
      <w:r>
        <w:rPr>
          <w:rFonts w:ascii="Times New Roman" w:eastAsia="Times New Roman" w:hAnsi="Times New Roman" w:cs="Times New Roman"/>
        </w:rPr>
        <w:t xml:space="preserve">: ‘Knowing does not come from standing at a distance and representing, but from </w:t>
      </w:r>
      <w:r>
        <w:rPr>
          <w:rFonts w:ascii="Times New Roman" w:eastAsia="Times New Roman" w:hAnsi="Times New Roman" w:cs="Times New Roman"/>
          <w:i/>
        </w:rPr>
        <w:t xml:space="preserve">a direct material engagement with the world’ </w:t>
      </w:r>
      <w:r>
        <w:rPr>
          <w:rFonts w:ascii="Times New Roman" w:eastAsia="Times New Roman" w:hAnsi="Times New Roman" w:cs="Times New Roman"/>
        </w:rPr>
        <w:t>(Barad, 2007: 49)</w:t>
      </w:r>
      <w:r>
        <w:rPr>
          <w:rFonts w:ascii="Times New Roman" w:eastAsia="Times New Roman" w:hAnsi="Times New Roman" w:cs="Times New Roman"/>
          <w:i/>
        </w:rPr>
        <w:t xml:space="preserve">.  </w:t>
      </w:r>
      <w:r>
        <w:rPr>
          <w:rFonts w:ascii="Times New Roman" w:eastAsia="Times New Roman" w:hAnsi="Times New Roman" w:cs="Times New Roman"/>
        </w:rPr>
        <w:t xml:space="preserve">The principles of agential realism and intra-action hold firmly that a scientific description of the Earth System or technosphere changes the very assemblage it seeks to describe, and is itself mutually altered.  An interesting alternative proposal that avoids a distancing, representational stance is the </w:t>
      </w:r>
      <w:r>
        <w:rPr>
          <w:rFonts w:ascii="Times New Roman" w:eastAsia="Times New Roman" w:hAnsi="Times New Roman" w:cs="Times New Roman"/>
          <w:i/>
        </w:rPr>
        <w:t>critical zone</w:t>
      </w:r>
      <w:r>
        <w:rPr>
          <w:rFonts w:ascii="Times New Roman" w:eastAsia="Times New Roman" w:hAnsi="Times New Roman" w:cs="Times New Roman"/>
        </w:rPr>
        <w:t xml:space="preserve">: a concept that has also emerged from the earth sciences, especially from research on water catchments, to describe </w:t>
      </w:r>
      <w:r w:rsidR="00E556A1">
        <w:rPr>
          <w:rFonts w:ascii="Times New Roman" w:eastAsia="Times New Roman" w:hAnsi="Times New Roman" w:cs="Times New Roman"/>
        </w:rPr>
        <w:t xml:space="preserve">a </w:t>
      </w:r>
      <w:r>
        <w:rPr>
          <w:rFonts w:ascii="Times New Roman" w:eastAsia="Times New Roman" w:hAnsi="Times New Roman" w:cs="Times New Roman"/>
        </w:rPr>
        <w:t xml:space="preserve">trans-scalar and transdisciplinary focus on Earth’s “fragile envelope” (Brantley et al., 2007; Latour, 2014).  </w:t>
      </w:r>
      <w:r w:rsidR="007D4830">
        <w:rPr>
          <w:rFonts w:ascii="Times New Roman" w:eastAsia="Times New Roman" w:hAnsi="Times New Roman" w:cs="Times New Roman"/>
        </w:rPr>
        <w:t>The CZ is merely one proposition;</w:t>
      </w:r>
      <w:r>
        <w:rPr>
          <w:rFonts w:ascii="Times New Roman" w:eastAsia="Times New Roman" w:hAnsi="Times New Roman" w:cs="Times New Roman"/>
        </w:rPr>
        <w:t xml:space="preserve"> there are</w:t>
      </w:r>
      <w:r w:rsidR="007D4830">
        <w:rPr>
          <w:rFonts w:ascii="Times New Roman" w:eastAsia="Times New Roman" w:hAnsi="Times New Roman" w:cs="Times New Roman"/>
        </w:rPr>
        <w:t xml:space="preserve"> </w:t>
      </w:r>
      <w:r w:rsidR="00E556A1">
        <w:rPr>
          <w:rFonts w:ascii="Times New Roman" w:eastAsia="Times New Roman" w:hAnsi="Times New Roman" w:cs="Times New Roman"/>
        </w:rPr>
        <w:t xml:space="preserve">myriad </w:t>
      </w:r>
      <w:r>
        <w:rPr>
          <w:rFonts w:ascii="Times New Roman" w:eastAsia="Times New Roman" w:hAnsi="Times New Roman" w:cs="Times New Roman"/>
        </w:rPr>
        <w:t xml:space="preserve">other research frameworks that enable a Baradian situation in which scientists and practitioners are always already within the zone of study, rather than outside it.  </w:t>
      </w:r>
    </w:p>
    <w:p w14:paraId="13FBB0D8" w14:textId="7DAF7AE5" w:rsidR="00300369" w:rsidRPr="008E104A" w:rsidRDefault="00300369">
      <w:pPr>
        <w:pStyle w:val="Normal1"/>
        <w:spacing w:line="480" w:lineRule="auto"/>
        <w:rPr>
          <w:rFonts w:ascii="Times New Roman" w:eastAsia="Times New Roman" w:hAnsi="Times New Roman" w:cs="Times New Roman"/>
        </w:rPr>
      </w:pPr>
      <w:r>
        <w:rPr>
          <w:rFonts w:ascii="Times New Roman" w:eastAsia="Times New Roman" w:hAnsi="Times New Roman" w:cs="Times New Roman"/>
        </w:rPr>
        <w:tab/>
      </w:r>
      <w:r w:rsidR="00EA4FA4">
        <w:rPr>
          <w:rFonts w:ascii="Times New Roman" w:eastAsia="Times New Roman" w:hAnsi="Times New Roman" w:cs="Times New Roman"/>
        </w:rPr>
        <w:t xml:space="preserve">In this vein, </w:t>
      </w:r>
      <w:r w:rsidR="009A7EE9">
        <w:rPr>
          <w:rFonts w:ascii="Times New Roman" w:eastAsia="Times New Roman" w:hAnsi="Times New Roman" w:cs="Times New Roman"/>
        </w:rPr>
        <w:t xml:space="preserve">we must also summon </w:t>
      </w:r>
      <w:r w:rsidRPr="00300369">
        <w:rPr>
          <w:rFonts w:ascii="Times New Roman" w:eastAsia="Times New Roman" w:hAnsi="Times New Roman" w:cs="Times New Roman"/>
          <w:lang w:val="en-GB"/>
        </w:rPr>
        <w:t xml:space="preserve">Benjamin Bratton’s </w:t>
      </w:r>
      <w:r w:rsidRPr="00300369">
        <w:rPr>
          <w:rFonts w:ascii="Times New Roman" w:eastAsia="Times New Roman" w:hAnsi="Times New Roman" w:cs="Times New Roman"/>
          <w:i/>
          <w:lang w:val="en-GB"/>
        </w:rPr>
        <w:t>The Stack</w:t>
      </w:r>
      <w:r w:rsidRPr="00300369">
        <w:rPr>
          <w:rFonts w:ascii="Times New Roman" w:eastAsia="Times New Roman" w:hAnsi="Times New Roman" w:cs="Times New Roman"/>
          <w:lang w:val="en-GB"/>
        </w:rPr>
        <w:t xml:space="preserve">, </w:t>
      </w:r>
      <w:r w:rsidR="009A7EE9">
        <w:rPr>
          <w:rFonts w:ascii="Times New Roman" w:eastAsia="Times New Roman" w:hAnsi="Times New Roman" w:cs="Times New Roman"/>
          <w:lang w:val="en-GB"/>
        </w:rPr>
        <w:t>an ‘accidental megastructure’ that</w:t>
      </w:r>
      <w:r>
        <w:rPr>
          <w:rFonts w:ascii="Times New Roman" w:eastAsia="Times New Roman" w:hAnsi="Times New Roman" w:cs="Times New Roman"/>
          <w:lang w:val="en-GB"/>
        </w:rPr>
        <w:t xml:space="preserve"> </w:t>
      </w:r>
      <w:r w:rsidRPr="00300369">
        <w:rPr>
          <w:rFonts w:ascii="Times New Roman" w:eastAsia="Times New Roman" w:hAnsi="Times New Roman" w:cs="Times New Roman"/>
          <w:lang w:val="en-GB"/>
        </w:rPr>
        <w:t>offers valuable insights into the geo-political implications of ‘planetary scale computation’</w:t>
      </w:r>
      <w:r w:rsidR="009A7EE9">
        <w:rPr>
          <w:rFonts w:ascii="Times New Roman" w:eastAsia="Times New Roman" w:hAnsi="Times New Roman" w:cs="Times New Roman"/>
          <w:lang w:val="en-GB"/>
        </w:rPr>
        <w:t xml:space="preserve"> (Bratton, 2016)</w:t>
      </w:r>
      <w:r w:rsidRPr="00300369">
        <w:rPr>
          <w:rFonts w:ascii="Times New Roman" w:eastAsia="Times New Roman" w:hAnsi="Times New Roman" w:cs="Times New Roman"/>
          <w:lang w:val="en-GB"/>
        </w:rPr>
        <w:t xml:space="preserve">.  </w:t>
      </w:r>
      <w:r>
        <w:rPr>
          <w:rFonts w:ascii="Times New Roman" w:eastAsia="Times New Roman" w:hAnsi="Times New Roman" w:cs="Times New Roman"/>
          <w:lang w:val="en-GB"/>
        </w:rPr>
        <w:t>Bratton</w:t>
      </w:r>
      <w:r w:rsidRPr="00300369">
        <w:rPr>
          <w:rFonts w:ascii="Times New Roman" w:eastAsia="Times New Roman" w:hAnsi="Times New Roman" w:cs="Times New Roman"/>
          <w:lang w:val="en-GB"/>
        </w:rPr>
        <w:t xml:space="preserve"> </w:t>
      </w:r>
      <w:r w:rsidR="009A7EE9">
        <w:rPr>
          <w:rFonts w:ascii="Times New Roman" w:eastAsia="Times New Roman" w:hAnsi="Times New Roman" w:cs="Times New Roman"/>
          <w:lang w:val="en-GB"/>
        </w:rPr>
        <w:t>describes</w:t>
      </w:r>
      <w:r w:rsidR="00A94665">
        <w:rPr>
          <w:rFonts w:ascii="Times New Roman" w:eastAsia="Times New Roman" w:hAnsi="Times New Roman" w:cs="Times New Roman"/>
          <w:lang w:val="en-GB"/>
        </w:rPr>
        <w:t xml:space="preserve"> six trans-scalar </w:t>
      </w:r>
      <w:r>
        <w:rPr>
          <w:rFonts w:ascii="Times New Roman" w:eastAsia="Times New Roman" w:hAnsi="Times New Roman" w:cs="Times New Roman"/>
          <w:lang w:val="en-GB"/>
        </w:rPr>
        <w:t>‘</w:t>
      </w:r>
      <w:r w:rsidRPr="00300369">
        <w:rPr>
          <w:rFonts w:ascii="Times New Roman" w:eastAsia="Times New Roman" w:hAnsi="Times New Roman" w:cs="Times New Roman"/>
          <w:lang w:val="en-GB"/>
        </w:rPr>
        <w:t>layers</w:t>
      </w:r>
      <w:r>
        <w:rPr>
          <w:rFonts w:ascii="Times New Roman" w:eastAsia="Times New Roman" w:hAnsi="Times New Roman" w:cs="Times New Roman"/>
          <w:lang w:val="en-GB"/>
        </w:rPr>
        <w:t>’</w:t>
      </w:r>
      <w:r w:rsidRPr="00300369">
        <w:rPr>
          <w:rFonts w:ascii="Times New Roman" w:eastAsia="Times New Roman" w:hAnsi="Times New Roman" w:cs="Times New Roman"/>
          <w:lang w:val="en-GB"/>
        </w:rPr>
        <w:t xml:space="preserve"> that mutually reinforce each other.  Beginning with the </w:t>
      </w:r>
      <w:r w:rsidRPr="00300369">
        <w:rPr>
          <w:rFonts w:ascii="Times New Roman" w:eastAsia="Times New Roman" w:hAnsi="Times New Roman" w:cs="Times New Roman"/>
          <w:i/>
          <w:lang w:val="en-GB"/>
        </w:rPr>
        <w:t>Earth Layer</w:t>
      </w:r>
      <w:r w:rsidRPr="00300369">
        <w:rPr>
          <w:rFonts w:ascii="Times New Roman" w:eastAsia="Times New Roman" w:hAnsi="Times New Roman" w:cs="Times New Roman"/>
          <w:lang w:val="en-GB"/>
        </w:rPr>
        <w:t xml:space="preserve">, where ‘quality energy’ is extracted and processed, </w:t>
      </w:r>
      <w:r>
        <w:rPr>
          <w:rFonts w:ascii="Times New Roman" w:eastAsia="Times New Roman" w:hAnsi="Times New Roman" w:cs="Times New Roman"/>
          <w:lang w:val="en-GB"/>
        </w:rPr>
        <w:t xml:space="preserve">and moving </w:t>
      </w:r>
      <w:r w:rsidRPr="00300369">
        <w:rPr>
          <w:rFonts w:ascii="Times New Roman" w:eastAsia="Times New Roman" w:hAnsi="Times New Roman" w:cs="Times New Roman"/>
          <w:lang w:val="en-GB"/>
        </w:rPr>
        <w:t xml:space="preserve">to </w:t>
      </w:r>
      <w:r w:rsidRPr="00300369">
        <w:rPr>
          <w:rFonts w:ascii="Times New Roman" w:eastAsia="Times New Roman" w:hAnsi="Times New Roman" w:cs="Times New Roman"/>
          <w:i/>
          <w:lang w:val="en-GB"/>
        </w:rPr>
        <w:t>Cloud, City, Address, Interface</w:t>
      </w:r>
      <w:r w:rsidRPr="00300369">
        <w:rPr>
          <w:rFonts w:ascii="Times New Roman" w:eastAsia="Times New Roman" w:hAnsi="Times New Roman" w:cs="Times New Roman"/>
          <w:lang w:val="en-GB"/>
        </w:rPr>
        <w:t xml:space="preserve">, and </w:t>
      </w:r>
      <w:r w:rsidRPr="00300369">
        <w:rPr>
          <w:rFonts w:ascii="Times New Roman" w:eastAsia="Times New Roman" w:hAnsi="Times New Roman" w:cs="Times New Roman"/>
          <w:i/>
          <w:lang w:val="en-GB"/>
        </w:rPr>
        <w:t>User</w:t>
      </w:r>
      <w:r w:rsidRPr="00300369">
        <w:rPr>
          <w:rFonts w:ascii="Times New Roman" w:eastAsia="Times New Roman" w:hAnsi="Times New Roman" w:cs="Times New Roman"/>
          <w:lang w:val="en-GB"/>
        </w:rPr>
        <w:t xml:space="preserve">, Bratton addresses </w:t>
      </w:r>
      <w:r w:rsidR="009A7EE9">
        <w:rPr>
          <w:rFonts w:ascii="Times New Roman" w:eastAsia="Times New Roman" w:hAnsi="Times New Roman" w:cs="Times New Roman"/>
          <w:lang w:val="en-GB"/>
        </w:rPr>
        <w:t xml:space="preserve">the political </w:t>
      </w:r>
      <w:r>
        <w:rPr>
          <w:rFonts w:ascii="Times New Roman" w:eastAsia="Times New Roman" w:hAnsi="Times New Roman" w:cs="Times New Roman"/>
          <w:lang w:val="en-GB"/>
        </w:rPr>
        <w:t>geographies of, ‘</w:t>
      </w:r>
      <w:r w:rsidRPr="00300369">
        <w:rPr>
          <w:rFonts w:ascii="Times New Roman" w:eastAsia="Times New Roman" w:hAnsi="Times New Roman" w:cs="Times New Roman"/>
          <w:lang w:val="en-GB"/>
        </w:rPr>
        <w:t>the planet under an absolutist regime of algor</w:t>
      </w:r>
      <w:r>
        <w:rPr>
          <w:rFonts w:ascii="Times New Roman" w:eastAsia="Times New Roman" w:hAnsi="Times New Roman" w:cs="Times New Roman"/>
          <w:lang w:val="en-GB"/>
        </w:rPr>
        <w:t xml:space="preserve">ithmic capital’ </w:t>
      </w:r>
      <w:r w:rsidRPr="00300369">
        <w:rPr>
          <w:rFonts w:ascii="Times New Roman" w:eastAsia="Times New Roman" w:hAnsi="Times New Roman" w:cs="Times New Roman"/>
          <w:lang w:val="en-GB"/>
        </w:rPr>
        <w:t xml:space="preserve">(Bratton, 2016: 72). </w:t>
      </w:r>
      <w:r w:rsidR="009A4A85">
        <w:rPr>
          <w:rFonts w:ascii="Times New Roman" w:eastAsia="Times New Roman" w:hAnsi="Times New Roman" w:cs="Times New Roman"/>
          <w:lang w:val="en-GB"/>
        </w:rPr>
        <w:t xml:space="preserve">Crucially, </w:t>
      </w:r>
      <w:r>
        <w:rPr>
          <w:rFonts w:ascii="Times New Roman" w:eastAsia="Times New Roman" w:hAnsi="Times New Roman" w:cs="Times New Roman"/>
          <w:lang w:val="en-GB"/>
        </w:rPr>
        <w:t xml:space="preserve">Bratton </w:t>
      </w:r>
      <w:r w:rsidRPr="00300369">
        <w:rPr>
          <w:rFonts w:ascii="Times New Roman" w:eastAsia="Times New Roman" w:hAnsi="Times New Roman" w:cs="Times New Roman"/>
          <w:lang w:val="en-GB"/>
        </w:rPr>
        <w:t xml:space="preserve">describes this project as a design, both </w:t>
      </w:r>
      <w:r w:rsidRPr="00300369">
        <w:rPr>
          <w:rFonts w:ascii="Times New Roman" w:eastAsia="Times New Roman" w:hAnsi="Times New Roman" w:cs="Times New Roman"/>
          <w:lang w:val="en-GB"/>
        </w:rPr>
        <w:lastRenderedPageBreak/>
        <w:t>in</w:t>
      </w:r>
      <w:r w:rsidR="009A7EE9">
        <w:rPr>
          <w:rFonts w:ascii="Times New Roman" w:eastAsia="Times New Roman" w:hAnsi="Times New Roman" w:cs="Times New Roman"/>
          <w:lang w:val="en-GB"/>
        </w:rPr>
        <w:t>tentional and unintentional.</w:t>
      </w:r>
      <w:r>
        <w:rPr>
          <w:rFonts w:ascii="Times New Roman" w:eastAsia="Times New Roman" w:hAnsi="Times New Roman" w:cs="Times New Roman"/>
          <w:lang w:val="en-GB"/>
        </w:rPr>
        <w:t xml:space="preserve"> </w:t>
      </w:r>
      <w:r w:rsidRPr="008E104A">
        <w:rPr>
          <w:rFonts w:ascii="Times New Roman" w:eastAsia="Times New Roman" w:hAnsi="Times New Roman" w:cs="Times New Roman"/>
          <w:i/>
          <w:lang w:val="en-GB"/>
        </w:rPr>
        <w:t>The Stack</w:t>
      </w:r>
      <w:r>
        <w:rPr>
          <w:rFonts w:ascii="Times New Roman" w:eastAsia="Times New Roman" w:hAnsi="Times New Roman" w:cs="Times New Roman"/>
          <w:lang w:val="en-GB"/>
        </w:rPr>
        <w:t xml:space="preserve"> is a model </w:t>
      </w:r>
      <w:r w:rsidR="009A7EE9">
        <w:rPr>
          <w:rFonts w:ascii="Times New Roman" w:eastAsia="Times New Roman" w:hAnsi="Times New Roman" w:cs="Times New Roman"/>
          <w:lang w:val="en-GB"/>
        </w:rPr>
        <w:t>‘</w:t>
      </w:r>
      <w:r>
        <w:rPr>
          <w:rFonts w:ascii="Times New Roman" w:eastAsia="Times New Roman" w:hAnsi="Times New Roman" w:cs="Times New Roman"/>
          <w:lang w:val="en-GB"/>
        </w:rPr>
        <w:t>that both does and does not exist</w:t>
      </w:r>
      <w:r w:rsidR="009A7EE9">
        <w:rPr>
          <w:rFonts w:ascii="Times New Roman" w:eastAsia="Times New Roman" w:hAnsi="Times New Roman" w:cs="Times New Roman"/>
          <w:lang w:val="en-GB"/>
        </w:rPr>
        <w:t>’</w:t>
      </w:r>
      <w:r w:rsidR="00A94665">
        <w:rPr>
          <w:rFonts w:ascii="Times New Roman" w:eastAsia="Times New Roman" w:hAnsi="Times New Roman" w:cs="Times New Roman"/>
          <w:lang w:val="en-GB"/>
        </w:rPr>
        <w:t xml:space="preserve"> (Bratton, 2014</w:t>
      </w:r>
      <w:r w:rsidR="009A4A85">
        <w:rPr>
          <w:rFonts w:ascii="Times New Roman" w:eastAsia="Times New Roman" w:hAnsi="Times New Roman" w:cs="Times New Roman"/>
          <w:lang w:val="en-GB"/>
        </w:rPr>
        <w:t>: np</w:t>
      </w:r>
      <w:r w:rsidR="00A94665">
        <w:rPr>
          <w:rFonts w:ascii="Times New Roman" w:eastAsia="Times New Roman" w:hAnsi="Times New Roman" w:cs="Times New Roman"/>
          <w:lang w:val="en-GB"/>
        </w:rPr>
        <w:t>)</w:t>
      </w:r>
      <w:r>
        <w:rPr>
          <w:rFonts w:ascii="Times New Roman" w:eastAsia="Times New Roman" w:hAnsi="Times New Roman" w:cs="Times New Roman"/>
          <w:lang w:val="en-GB"/>
        </w:rPr>
        <w:t>. Moreover, he asserts</w:t>
      </w:r>
      <w:r w:rsidRPr="00300369">
        <w:rPr>
          <w:rFonts w:ascii="Times New Roman" w:eastAsia="Times New Roman" w:hAnsi="Times New Roman" w:cs="Times New Roman"/>
          <w:lang w:val="en-GB"/>
        </w:rPr>
        <w:t>, “[W]e become what we are by making that which in turn makes us”</w:t>
      </w:r>
      <w:r>
        <w:rPr>
          <w:rFonts w:ascii="Times New Roman" w:eastAsia="Times New Roman" w:hAnsi="Times New Roman" w:cs="Times New Roman"/>
          <w:lang w:val="en-GB"/>
        </w:rPr>
        <w:t xml:space="preserve"> (Bratton, 2016: </w:t>
      </w:r>
      <w:r w:rsidRPr="00300369">
        <w:rPr>
          <w:rFonts w:ascii="Times New Roman" w:eastAsia="Times New Roman" w:hAnsi="Times New Roman" w:cs="Times New Roman"/>
          <w:lang w:val="en-GB"/>
        </w:rPr>
        <w:t>xvii</w:t>
      </w:r>
      <w:r>
        <w:rPr>
          <w:rFonts w:ascii="Times New Roman" w:eastAsia="Times New Roman" w:hAnsi="Times New Roman" w:cs="Times New Roman"/>
          <w:lang w:val="en-GB"/>
        </w:rPr>
        <w:t xml:space="preserve">). Such an account is compelling not only for its </w:t>
      </w:r>
      <w:r w:rsidR="00A94665">
        <w:rPr>
          <w:rFonts w:ascii="Times New Roman" w:eastAsia="Times New Roman" w:hAnsi="Times New Roman" w:cs="Times New Roman"/>
          <w:lang w:val="en-GB"/>
        </w:rPr>
        <w:t>nuanced</w:t>
      </w:r>
      <w:r w:rsidR="009A4A85">
        <w:rPr>
          <w:rFonts w:ascii="Times New Roman" w:eastAsia="Times New Roman" w:hAnsi="Times New Roman" w:cs="Times New Roman"/>
          <w:lang w:val="en-GB"/>
        </w:rPr>
        <w:t xml:space="preserve"> </w:t>
      </w:r>
      <w:r w:rsidR="00A94665">
        <w:rPr>
          <w:rFonts w:ascii="Times New Roman" w:eastAsia="Times New Roman" w:hAnsi="Times New Roman" w:cs="Times New Roman"/>
          <w:lang w:val="en-GB"/>
        </w:rPr>
        <w:t>articulation of</w:t>
      </w:r>
      <w:r>
        <w:rPr>
          <w:rFonts w:ascii="Times New Roman" w:eastAsia="Times New Roman" w:hAnsi="Times New Roman" w:cs="Times New Roman"/>
          <w:lang w:val="en-GB"/>
        </w:rPr>
        <w:t xml:space="preserve"> categories</w:t>
      </w:r>
      <w:r w:rsidRPr="00300369">
        <w:rPr>
          <w:rFonts w:ascii="Times New Roman" w:eastAsia="Times New Roman" w:hAnsi="Times New Roman" w:cs="Times New Roman"/>
          <w:lang w:val="en-GB"/>
        </w:rPr>
        <w:t xml:space="preserve"> </w:t>
      </w:r>
      <w:r>
        <w:rPr>
          <w:rFonts w:ascii="Times New Roman" w:eastAsia="Times New Roman" w:hAnsi="Times New Roman" w:cs="Times New Roman"/>
          <w:lang w:val="en-GB"/>
        </w:rPr>
        <w:t>that</w:t>
      </w:r>
      <w:r w:rsidR="00EA4FA4">
        <w:rPr>
          <w:rFonts w:ascii="Times New Roman" w:eastAsia="Times New Roman" w:hAnsi="Times New Roman" w:cs="Times New Roman"/>
          <w:lang w:val="en-GB"/>
        </w:rPr>
        <w:t xml:space="preserve"> are porous, changing </w:t>
      </w:r>
      <w:r>
        <w:rPr>
          <w:rFonts w:ascii="Times New Roman" w:eastAsia="Times New Roman" w:hAnsi="Times New Roman" w:cs="Times New Roman"/>
          <w:lang w:val="en-GB"/>
        </w:rPr>
        <w:t>and reassembling</w:t>
      </w:r>
      <w:r w:rsidR="00A94665">
        <w:rPr>
          <w:rFonts w:ascii="Times New Roman" w:eastAsia="Times New Roman" w:hAnsi="Times New Roman" w:cs="Times New Roman"/>
          <w:lang w:val="en-GB"/>
        </w:rPr>
        <w:t xml:space="preserve">, but also since </w:t>
      </w:r>
      <w:r w:rsidR="00A94665" w:rsidRPr="008E104A">
        <w:rPr>
          <w:rFonts w:ascii="Times New Roman" w:eastAsia="Times New Roman" w:hAnsi="Times New Roman" w:cs="Times New Roman"/>
          <w:i/>
          <w:lang w:val="en-GB"/>
        </w:rPr>
        <w:t>The Stack</w:t>
      </w:r>
      <w:r w:rsidR="00A94665">
        <w:rPr>
          <w:rFonts w:ascii="Times New Roman" w:eastAsia="Times New Roman" w:hAnsi="Times New Roman" w:cs="Times New Roman"/>
          <w:lang w:val="en-GB"/>
        </w:rPr>
        <w:t xml:space="preserve"> is </w:t>
      </w:r>
      <w:r w:rsidR="009A7EE9">
        <w:rPr>
          <w:rFonts w:ascii="Times New Roman" w:eastAsia="Times New Roman" w:hAnsi="Times New Roman" w:cs="Times New Roman"/>
          <w:lang w:val="en-GB"/>
        </w:rPr>
        <w:t>continuously reconfigured</w:t>
      </w:r>
      <w:r w:rsidR="00A94665">
        <w:rPr>
          <w:rFonts w:ascii="Times New Roman" w:eastAsia="Times New Roman" w:hAnsi="Times New Roman" w:cs="Times New Roman"/>
          <w:lang w:val="en-GB"/>
        </w:rPr>
        <w:t xml:space="preserve"> (even</w:t>
      </w:r>
      <w:r w:rsidR="009A4A85">
        <w:rPr>
          <w:rFonts w:ascii="Times New Roman" w:eastAsia="Times New Roman" w:hAnsi="Times New Roman" w:cs="Times New Roman"/>
          <w:lang w:val="en-GB"/>
        </w:rPr>
        <w:t xml:space="preserve"> potentially</w:t>
      </w:r>
      <w:r w:rsidR="009A7EE9">
        <w:rPr>
          <w:rFonts w:ascii="Times New Roman" w:eastAsia="Times New Roman" w:hAnsi="Times New Roman" w:cs="Times New Roman"/>
          <w:lang w:val="en-GB"/>
        </w:rPr>
        <w:t xml:space="preserve"> </w:t>
      </w:r>
      <w:r w:rsidR="00A94665">
        <w:rPr>
          <w:rFonts w:ascii="Times New Roman" w:eastAsia="Times New Roman" w:hAnsi="Times New Roman" w:cs="Times New Roman"/>
          <w:lang w:val="en-GB"/>
        </w:rPr>
        <w:t>dissolved) by the agencies, politics and chemical elements that it renders increasingly legible.</w:t>
      </w:r>
    </w:p>
    <w:p w14:paraId="4317DE3F" w14:textId="6A82385B" w:rsidR="009A7EE9" w:rsidRDefault="009A4A85">
      <w:pPr>
        <w:pStyle w:val="Normal1"/>
        <w:spacing w:line="480" w:lineRule="auto"/>
        <w:ind w:firstLine="720"/>
      </w:pPr>
      <w:r>
        <w:rPr>
          <w:rFonts w:ascii="Times New Roman" w:eastAsia="Times New Roman" w:hAnsi="Times New Roman" w:cs="Times New Roman"/>
        </w:rPr>
        <w:t xml:space="preserve">In resonance with this thinking, our </w:t>
      </w:r>
      <w:r w:rsidR="008A492E">
        <w:rPr>
          <w:rFonts w:ascii="Times New Roman" w:eastAsia="Times New Roman" w:hAnsi="Times New Roman" w:cs="Times New Roman"/>
        </w:rPr>
        <w:t xml:space="preserve">in-depth engagement with one technical assemblage – the IceCube Neutrino Observatory – suggests to us that any concept of Earth’s technical capacity requires modes of analysis that transcend scale-based comparison and accommodate the redistribution of agency established in agential realism and posthumanism.  Echoing Barad, we find that profound ripples in technological infrastructures are triggered by the ‘very small,’ even the subatomic.  Consequently, </w:t>
      </w:r>
      <w:r>
        <w:rPr>
          <w:rFonts w:ascii="Times New Roman" w:eastAsia="Times New Roman" w:hAnsi="Times New Roman" w:cs="Times New Roman"/>
        </w:rPr>
        <w:t xml:space="preserve">as scholars like Bratton also emphasize, </w:t>
      </w:r>
      <w:r w:rsidR="008A492E">
        <w:rPr>
          <w:rFonts w:ascii="Times New Roman" w:eastAsia="Times New Roman" w:hAnsi="Times New Roman" w:cs="Times New Roman"/>
        </w:rPr>
        <w:t xml:space="preserve">assertions of boundedness between the spheres of the biological and the technical, or the Earth and its technosphere, belie only the nascent state of our knowledge of such assemblages.  Critical endeavors to understand the technical capacities of our planet require that we better attune to the intra-actions between the breathtakingly complex ecologies of technology, matter, and energy, and listen to the various ‘cosmic messengers’ along the way.  </w:t>
      </w:r>
    </w:p>
    <w:p w14:paraId="1352F548" w14:textId="77777777" w:rsidR="009A4A85" w:rsidRDefault="009A4A85" w:rsidP="008E104A">
      <w:pPr>
        <w:pStyle w:val="Normal1"/>
        <w:spacing w:line="480" w:lineRule="auto"/>
        <w:jc w:val="center"/>
      </w:pPr>
    </w:p>
    <w:p w14:paraId="7098958F" w14:textId="77777777" w:rsidR="009A4A85" w:rsidRDefault="009A4A85" w:rsidP="008E104A">
      <w:pPr>
        <w:pStyle w:val="Normal1"/>
        <w:spacing w:line="480" w:lineRule="auto"/>
        <w:jc w:val="center"/>
      </w:pPr>
    </w:p>
    <w:p w14:paraId="28AE76F4" w14:textId="77777777" w:rsidR="009A4A85" w:rsidRDefault="009A4A85" w:rsidP="008E104A">
      <w:pPr>
        <w:pStyle w:val="Normal1"/>
        <w:spacing w:line="480" w:lineRule="auto"/>
        <w:jc w:val="center"/>
      </w:pPr>
    </w:p>
    <w:p w14:paraId="4816269D" w14:textId="77777777" w:rsidR="009A4A85" w:rsidRDefault="009A4A85" w:rsidP="008E104A">
      <w:pPr>
        <w:pStyle w:val="Normal1"/>
        <w:spacing w:line="480" w:lineRule="auto"/>
        <w:jc w:val="center"/>
      </w:pPr>
    </w:p>
    <w:p w14:paraId="14D422D0" w14:textId="77777777" w:rsidR="009A4A85" w:rsidRDefault="009A4A85" w:rsidP="008E104A">
      <w:pPr>
        <w:pStyle w:val="Normal1"/>
        <w:spacing w:line="480" w:lineRule="auto"/>
        <w:jc w:val="center"/>
      </w:pPr>
    </w:p>
    <w:p w14:paraId="29484DDF" w14:textId="77777777" w:rsidR="009A4A85" w:rsidRDefault="009A4A85" w:rsidP="008E104A">
      <w:pPr>
        <w:pStyle w:val="Normal1"/>
        <w:spacing w:line="480" w:lineRule="auto"/>
        <w:jc w:val="center"/>
      </w:pPr>
    </w:p>
    <w:p w14:paraId="55E0225A" w14:textId="77777777" w:rsidR="009A4A85" w:rsidRDefault="009A4A85" w:rsidP="008E104A">
      <w:pPr>
        <w:pStyle w:val="Normal1"/>
        <w:spacing w:line="480" w:lineRule="auto"/>
        <w:jc w:val="center"/>
      </w:pPr>
    </w:p>
    <w:p w14:paraId="1292B555" w14:textId="77777777" w:rsidR="009A4A85" w:rsidRDefault="009A4A85" w:rsidP="008E104A">
      <w:pPr>
        <w:pStyle w:val="Normal1"/>
        <w:spacing w:line="480" w:lineRule="auto"/>
        <w:jc w:val="center"/>
      </w:pPr>
    </w:p>
    <w:p w14:paraId="2143412B" w14:textId="77777777" w:rsidR="009A4A85" w:rsidRDefault="009A4A85" w:rsidP="008E104A">
      <w:pPr>
        <w:pStyle w:val="Normal1"/>
        <w:spacing w:line="480" w:lineRule="auto"/>
        <w:jc w:val="center"/>
      </w:pPr>
    </w:p>
    <w:p w14:paraId="2C27C672" w14:textId="77777777" w:rsidR="009A4A85" w:rsidRDefault="009A4A85" w:rsidP="008E104A">
      <w:pPr>
        <w:pStyle w:val="Normal1"/>
        <w:spacing w:line="480" w:lineRule="auto"/>
        <w:jc w:val="center"/>
      </w:pPr>
    </w:p>
    <w:p w14:paraId="1C1C0391" w14:textId="77777777" w:rsidR="001539CB" w:rsidRDefault="001539CB" w:rsidP="008E104A">
      <w:pPr>
        <w:pStyle w:val="Normal1"/>
        <w:spacing w:line="480" w:lineRule="auto"/>
        <w:ind w:firstLine="720"/>
        <w:jc w:val="center"/>
      </w:pPr>
    </w:p>
    <w:p w14:paraId="084B7CB1" w14:textId="77777777" w:rsidR="009179F6" w:rsidRPr="00465964" w:rsidRDefault="008A492E" w:rsidP="008E104A">
      <w:pPr>
        <w:pStyle w:val="Normal1"/>
        <w:spacing w:line="480" w:lineRule="auto"/>
        <w:ind w:firstLine="720"/>
        <w:jc w:val="center"/>
      </w:pPr>
      <w:r>
        <w:rPr>
          <w:rFonts w:ascii="Times New Roman" w:eastAsia="Times New Roman" w:hAnsi="Times New Roman" w:cs="Times New Roman"/>
        </w:rPr>
        <w:lastRenderedPageBreak/>
        <w:t>References</w:t>
      </w:r>
    </w:p>
    <w:p w14:paraId="52FB58E2" w14:textId="77777777" w:rsidR="009179F6" w:rsidRPr="00465964" w:rsidRDefault="008A492E" w:rsidP="00465964">
      <w:pPr>
        <w:pStyle w:val="Normal1"/>
        <w:spacing w:line="480" w:lineRule="auto"/>
        <w:jc w:val="center"/>
      </w:pPr>
      <w:r>
        <w:rPr>
          <w:rFonts w:ascii="Times New Roman" w:eastAsia="Times New Roman" w:hAnsi="Times New Roman" w:cs="Times New Roman"/>
        </w:rPr>
        <w:t xml:space="preserve"> </w:t>
      </w:r>
    </w:p>
    <w:p w14:paraId="0F8DB3FD" w14:textId="13198CB8"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Barad K (2007) </w:t>
      </w:r>
      <w:r>
        <w:rPr>
          <w:rFonts w:ascii="Times New Roman" w:eastAsia="Times New Roman" w:hAnsi="Times New Roman" w:cs="Times New Roman"/>
          <w:i/>
        </w:rPr>
        <w:t>Meeting the universe halfway: Quantum physics and the entanglement of matter and meaning</w:t>
      </w:r>
      <w:r>
        <w:rPr>
          <w:rFonts w:ascii="Times New Roman" w:eastAsia="Times New Roman" w:hAnsi="Times New Roman" w:cs="Times New Roman"/>
        </w:rPr>
        <w:t>. London: Duke University Press.</w:t>
      </w:r>
    </w:p>
    <w:p w14:paraId="4A3EBB3D" w14:textId="563826F7"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Barad K (2014) Posthumanist performativity: Toward an understanding of how matter comes to matter. </w:t>
      </w:r>
      <w:r w:rsidRPr="00465964">
        <w:rPr>
          <w:rFonts w:ascii="Times New Roman" w:hAnsi="Times New Roman"/>
        </w:rPr>
        <w:t>Signs</w:t>
      </w:r>
      <w:r>
        <w:rPr>
          <w:rFonts w:ascii="Times New Roman" w:eastAsia="Times New Roman" w:hAnsi="Times New Roman" w:cs="Times New Roman"/>
        </w:rPr>
        <w:t xml:space="preserve"> </w:t>
      </w:r>
      <w:r w:rsidRPr="00465964">
        <w:rPr>
          <w:rFonts w:ascii="Times New Roman" w:hAnsi="Times New Roman"/>
        </w:rPr>
        <w:t>40</w:t>
      </w:r>
      <w:r>
        <w:rPr>
          <w:rFonts w:ascii="Times New Roman" w:eastAsia="Times New Roman" w:hAnsi="Times New Roman" w:cs="Times New Roman"/>
        </w:rPr>
        <w:t>(1).</w:t>
      </w:r>
    </w:p>
    <w:p w14:paraId="63A1F431" w14:textId="433BAD71"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Bennet J (2010) </w:t>
      </w:r>
      <w:r w:rsidRPr="00465964">
        <w:rPr>
          <w:rFonts w:ascii="Times New Roman" w:hAnsi="Times New Roman"/>
        </w:rPr>
        <w:t>Vibrant Matter: Towards a political ecology of things</w:t>
      </w:r>
      <w:r>
        <w:rPr>
          <w:rFonts w:ascii="Times New Roman" w:eastAsia="Times New Roman" w:hAnsi="Times New Roman" w:cs="Times New Roman"/>
        </w:rPr>
        <w:t>. London: Duke University Press.</w:t>
      </w:r>
    </w:p>
    <w:p w14:paraId="5721DE41" w14:textId="6379AE7A"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Braidotti R (2013) </w:t>
      </w:r>
      <w:r w:rsidRPr="00465964">
        <w:rPr>
          <w:rFonts w:ascii="Times New Roman" w:hAnsi="Times New Roman"/>
        </w:rPr>
        <w:t>The Posthuman</w:t>
      </w:r>
      <w:r>
        <w:rPr>
          <w:rFonts w:ascii="Times New Roman" w:eastAsia="Times New Roman" w:hAnsi="Times New Roman" w:cs="Times New Roman"/>
        </w:rPr>
        <w:t>. UK: Polity Press.</w:t>
      </w:r>
    </w:p>
    <w:p w14:paraId="49585761" w14:textId="77777777" w:rsidR="009179F6" w:rsidRDefault="008A492E">
      <w:pPr>
        <w:pStyle w:val="Normal1"/>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Brantley, S. L., Goldhaber, M. B., &amp; Ragnarsdottir, K. V. (2007) Crossing disciplines and scales to understand the critical zone. </w:t>
      </w:r>
      <w:r>
        <w:rPr>
          <w:rFonts w:ascii="Times New Roman" w:eastAsia="Times New Roman" w:hAnsi="Times New Roman" w:cs="Times New Roman"/>
          <w:i/>
        </w:rPr>
        <w:t>Elements</w:t>
      </w:r>
      <w:r>
        <w:rPr>
          <w:rFonts w:ascii="Times New Roman" w:eastAsia="Times New Roman" w:hAnsi="Times New Roman" w:cs="Times New Roman"/>
        </w:rPr>
        <w:t>, 3(5): 307-314.</w:t>
      </w:r>
    </w:p>
    <w:p w14:paraId="7514E6C1" w14:textId="1B4F5916" w:rsidR="00EA4FA4" w:rsidRDefault="00EA4FA4" w:rsidP="00EA4FA4">
      <w:pPr>
        <w:pStyle w:val="Normal1"/>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Bratton B (2014)</w:t>
      </w:r>
      <w:r w:rsidRPr="00EA4FA4">
        <w:rPr>
          <w:rFonts w:ascii="Times New Roman" w:eastAsia="Times New Roman" w:hAnsi="Times New Roman" w:cs="Times New Roman"/>
        </w:rPr>
        <w:t xml:space="preserve"> The Black Stack. </w:t>
      </w:r>
      <w:r w:rsidRPr="00EA4FA4">
        <w:rPr>
          <w:rFonts w:ascii="Times New Roman" w:eastAsia="Times New Roman" w:hAnsi="Times New Roman" w:cs="Times New Roman"/>
          <w:i/>
          <w:iCs/>
        </w:rPr>
        <w:t>E-Flux Journal</w:t>
      </w:r>
      <w:r w:rsidRPr="00EA4FA4">
        <w:rPr>
          <w:rFonts w:ascii="Times New Roman" w:eastAsia="Times New Roman" w:hAnsi="Times New Roman" w:cs="Times New Roman"/>
        </w:rPr>
        <w:t>, </w:t>
      </w:r>
      <w:r w:rsidRPr="008E104A">
        <w:rPr>
          <w:rFonts w:ascii="Times New Roman" w:eastAsia="Times New Roman" w:hAnsi="Times New Roman" w:cs="Times New Roman"/>
          <w:iCs/>
        </w:rPr>
        <w:t>53</w:t>
      </w:r>
      <w:r w:rsidRPr="001539CB">
        <w:rPr>
          <w:rFonts w:ascii="Times New Roman" w:eastAsia="Times New Roman" w:hAnsi="Times New Roman" w:cs="Times New Roman"/>
        </w:rPr>
        <w:t>.</w:t>
      </w:r>
    </w:p>
    <w:p w14:paraId="23BE135A" w14:textId="29C0020B" w:rsidR="00EA4FA4" w:rsidRPr="00EA4FA4" w:rsidRDefault="00EA4FA4" w:rsidP="00EA4FA4">
      <w:pPr>
        <w:pStyle w:val="Normal1"/>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Bratton B (2016)</w:t>
      </w:r>
      <w:r w:rsidRPr="00EA4FA4">
        <w:rPr>
          <w:rFonts w:ascii="Times New Roman" w:eastAsia="Times New Roman" w:hAnsi="Times New Roman" w:cs="Times New Roman"/>
        </w:rPr>
        <w:t> </w:t>
      </w:r>
      <w:r w:rsidRPr="00EA4FA4">
        <w:rPr>
          <w:rFonts w:ascii="Times New Roman" w:eastAsia="Times New Roman" w:hAnsi="Times New Roman" w:cs="Times New Roman"/>
          <w:i/>
          <w:iCs/>
        </w:rPr>
        <w:t>The stack: On software and sovereignty</w:t>
      </w:r>
      <w:r w:rsidRPr="00EA4FA4">
        <w:rPr>
          <w:rFonts w:ascii="Times New Roman" w:eastAsia="Times New Roman" w:hAnsi="Times New Roman" w:cs="Times New Roman"/>
        </w:rPr>
        <w:t xml:space="preserve">. </w:t>
      </w:r>
      <w:r>
        <w:rPr>
          <w:rFonts w:ascii="Times New Roman" w:eastAsia="Times New Roman" w:hAnsi="Times New Roman" w:cs="Times New Roman"/>
        </w:rPr>
        <w:t xml:space="preserve">Cambridge, MA: </w:t>
      </w:r>
      <w:r w:rsidRPr="00EA4FA4">
        <w:rPr>
          <w:rFonts w:ascii="Times New Roman" w:eastAsia="Times New Roman" w:hAnsi="Times New Roman" w:cs="Times New Roman"/>
        </w:rPr>
        <w:t>MIT Press.</w:t>
      </w:r>
    </w:p>
    <w:p w14:paraId="5D1CF010" w14:textId="77777777" w:rsidR="009179F6" w:rsidRPr="00465964" w:rsidRDefault="008A492E" w:rsidP="00465964">
      <w:pPr>
        <w:pStyle w:val="Normal1"/>
        <w:spacing w:line="480" w:lineRule="auto"/>
        <w:ind w:left="720" w:hanging="720"/>
      </w:pPr>
      <w:r>
        <w:rPr>
          <w:rFonts w:ascii="Times New Roman" w:eastAsia="Times New Roman" w:hAnsi="Times New Roman" w:cs="Times New Roman"/>
        </w:rPr>
        <w:t>Casey S and Ellis R (2015) Dark Matters Project. Presentation at RGS-IBG conference, Exeter University, 2-4 September 2015.</w:t>
      </w:r>
    </w:p>
    <w:p w14:paraId="3A328F1F" w14:textId="582B7A85" w:rsidR="009179F6" w:rsidRPr="00465964" w:rsidRDefault="008A492E" w:rsidP="00465964">
      <w:pPr>
        <w:pStyle w:val="Normal1"/>
        <w:spacing w:line="480" w:lineRule="auto"/>
        <w:ind w:left="720" w:hanging="720"/>
      </w:pPr>
      <w:r w:rsidRPr="00465964">
        <w:rPr>
          <w:rFonts w:ascii="Times New Roman" w:hAnsi="Times New Roman"/>
        </w:rPr>
        <w:t>Gaisser TK, Halzen F, and Stanev T (1995) Particle astrophysics with high energy neutrinos.</w:t>
      </w:r>
      <w:r>
        <w:rPr>
          <w:rFonts w:ascii="Times New Roman" w:eastAsia="Times New Roman" w:hAnsi="Times New Roman" w:cs="Times New Roman"/>
        </w:rPr>
        <w:t xml:space="preserve"> </w:t>
      </w:r>
      <w:r w:rsidRPr="00465964">
        <w:rPr>
          <w:rFonts w:ascii="Times New Roman" w:hAnsi="Times New Roman"/>
          <w:i/>
        </w:rPr>
        <w:t>Physics Reports</w:t>
      </w:r>
      <w:r>
        <w:rPr>
          <w:rFonts w:ascii="Times New Roman" w:eastAsia="Times New Roman" w:hAnsi="Times New Roman" w:cs="Times New Roman"/>
        </w:rPr>
        <w:t xml:space="preserve"> </w:t>
      </w:r>
      <w:r w:rsidRPr="00465964">
        <w:rPr>
          <w:rFonts w:ascii="Times New Roman" w:hAnsi="Times New Roman"/>
        </w:rPr>
        <w:t>258(3): 173-236.</w:t>
      </w:r>
    </w:p>
    <w:p w14:paraId="40A97506" w14:textId="2ED18BD5"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Haff P (2014a) Humans and technology in the Anthropocene: Six rules. </w:t>
      </w:r>
      <w:r>
        <w:rPr>
          <w:rFonts w:ascii="Times New Roman" w:eastAsia="Times New Roman" w:hAnsi="Times New Roman" w:cs="Times New Roman"/>
          <w:i/>
        </w:rPr>
        <w:t>The Anthropocene Review</w:t>
      </w:r>
      <w:r>
        <w:rPr>
          <w:rFonts w:ascii="Times New Roman" w:eastAsia="Times New Roman" w:hAnsi="Times New Roman" w:cs="Times New Roman"/>
        </w:rPr>
        <w:t xml:space="preserve"> 1(2): 126-136.</w:t>
      </w:r>
    </w:p>
    <w:p w14:paraId="3FFB3C13" w14:textId="77777777"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Haff P (2014b) Technology as a geological phenomenon: implications for human well-being. in Waters, C. N., Zalasiewicz, J. A., Williams, M., Ellis, M. A. &amp; Snelling, A. M. (eds) </w:t>
      </w:r>
      <w:r>
        <w:rPr>
          <w:rFonts w:ascii="Times New Roman" w:eastAsia="Times New Roman" w:hAnsi="Times New Roman" w:cs="Times New Roman"/>
          <w:i/>
        </w:rPr>
        <w:t>A Stratigraphical Basis for the Anthropocene</w:t>
      </w:r>
      <w:r>
        <w:rPr>
          <w:rFonts w:ascii="Times New Roman" w:eastAsia="Times New Roman" w:hAnsi="Times New Roman" w:cs="Times New Roman"/>
        </w:rPr>
        <w:t>. Geological Society, London: Special Publications, 301–309.</w:t>
      </w:r>
    </w:p>
    <w:p w14:paraId="243C7707" w14:textId="37EE2D5E"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Haff P (2015) Quantum mechanics as one of the key triggers of the technosphere. Public presentation in ‘Triggers: introducing the Technosphere’ </w:t>
      </w:r>
      <w:r>
        <w:rPr>
          <w:rFonts w:ascii="Times New Roman" w:eastAsia="Times New Roman" w:hAnsi="Times New Roman" w:cs="Times New Roman"/>
          <w:i/>
        </w:rPr>
        <w:t>100 Years of Now: The Opening</w:t>
      </w:r>
      <w:r>
        <w:rPr>
          <w:rFonts w:ascii="Times New Roman" w:eastAsia="Times New Roman" w:hAnsi="Times New Roman" w:cs="Times New Roman"/>
        </w:rPr>
        <w:t>. Haus der Kulturen der Welt, Berlin, September 30 – October 4.</w:t>
      </w:r>
    </w:p>
    <w:p w14:paraId="3EAEFE04" w14:textId="77777777" w:rsidR="009179F6" w:rsidRDefault="008A492E">
      <w:pPr>
        <w:pStyle w:val="Normal1"/>
        <w:spacing w:line="480" w:lineRule="auto"/>
        <w:ind w:left="720" w:hanging="720"/>
      </w:pPr>
      <w:r>
        <w:rPr>
          <w:rFonts w:ascii="Times New Roman" w:eastAsia="Times New Roman" w:hAnsi="Times New Roman" w:cs="Times New Roman"/>
        </w:rPr>
        <w:t xml:space="preserve">     </w:t>
      </w:r>
      <w:r>
        <w:rPr>
          <w:rFonts w:ascii="Times New Roman" w:eastAsia="Times New Roman" w:hAnsi="Times New Roman" w:cs="Times New Roman"/>
        </w:rPr>
        <w:tab/>
      </w:r>
      <w:hyperlink r:id="rId9">
        <w:r>
          <w:rPr>
            <w:rFonts w:ascii="Times New Roman" w:eastAsia="Times New Roman" w:hAnsi="Times New Roman" w:cs="Times New Roman"/>
            <w:color w:val="1155CC"/>
            <w:u w:val="single"/>
          </w:rPr>
          <w:t>https://www.hkw.de/en/app/mediathek/video/43982</w:t>
        </w:r>
      </w:hyperlink>
    </w:p>
    <w:p w14:paraId="5A53BB50" w14:textId="24ABF0E0"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Halzen F (1998) The AMANDA neutrino telescope. </w:t>
      </w:r>
      <w:r>
        <w:rPr>
          <w:rFonts w:ascii="Times New Roman" w:eastAsia="Times New Roman" w:hAnsi="Times New Roman" w:cs="Times New Roman"/>
          <w:i/>
        </w:rPr>
        <w:t>New Astronomy Reviews</w:t>
      </w:r>
      <w:r>
        <w:rPr>
          <w:rFonts w:ascii="Times New Roman" w:eastAsia="Times New Roman" w:hAnsi="Times New Roman" w:cs="Times New Roman"/>
        </w:rPr>
        <w:t xml:space="preserve"> 42(3): 289-299.</w:t>
      </w:r>
    </w:p>
    <w:p w14:paraId="5945E06D" w14:textId="73448688" w:rsidR="009179F6" w:rsidRPr="00465964" w:rsidRDefault="008A492E" w:rsidP="00465964">
      <w:pPr>
        <w:pStyle w:val="Normal1"/>
        <w:spacing w:line="480" w:lineRule="auto"/>
        <w:ind w:left="720" w:hanging="720"/>
      </w:pPr>
      <w:r>
        <w:rPr>
          <w:rFonts w:ascii="Times New Roman" w:eastAsia="Times New Roman" w:hAnsi="Times New Roman" w:cs="Times New Roman"/>
        </w:rPr>
        <w:lastRenderedPageBreak/>
        <w:t xml:space="preserve">Halzen F (2015) Interview with authors. August 7, 2015. </w:t>
      </w:r>
    </w:p>
    <w:p w14:paraId="68BF92CE" w14:textId="26EA0259"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Halzen F and Klein SR (2010) IceCube: An instrument for neutrino astronomy. </w:t>
      </w:r>
      <w:r>
        <w:rPr>
          <w:rFonts w:ascii="Times New Roman" w:eastAsia="Times New Roman" w:hAnsi="Times New Roman" w:cs="Times New Roman"/>
          <w:i/>
        </w:rPr>
        <w:t>Review of Scientific Instruments</w:t>
      </w:r>
      <w:r>
        <w:rPr>
          <w:rFonts w:ascii="Times New Roman" w:eastAsia="Times New Roman" w:hAnsi="Times New Roman" w:cs="Times New Roman"/>
        </w:rPr>
        <w:t xml:space="preserve"> 81(8): 081101.</w:t>
      </w:r>
    </w:p>
    <w:p w14:paraId="186FE78B" w14:textId="77777777" w:rsidR="009179F6" w:rsidRPr="003B1CD7" w:rsidRDefault="008A492E" w:rsidP="00465964">
      <w:pPr>
        <w:pStyle w:val="Normal1"/>
        <w:spacing w:line="480" w:lineRule="auto"/>
        <w:ind w:left="720" w:hanging="720"/>
        <w:rPr>
          <w:rFonts w:ascii="Times New Roman" w:eastAsia="Times New Roman" w:hAnsi="Times New Roman" w:cs="Times New Roman"/>
        </w:rPr>
      </w:pPr>
      <w:r w:rsidRPr="00CC15FF">
        <w:rPr>
          <w:rFonts w:ascii="Times New Roman" w:eastAsia="Times New Roman" w:hAnsi="Times New Roman" w:cs="Times New Roman"/>
        </w:rPr>
        <w:t xml:space="preserve">Haraway D (1997) </w:t>
      </w:r>
      <w:r w:rsidRPr="00CC15FF">
        <w:rPr>
          <w:rFonts w:ascii="Times New Roman" w:eastAsia="Times New Roman" w:hAnsi="Times New Roman" w:cs="Times New Roman"/>
          <w:i/>
        </w:rPr>
        <w:t xml:space="preserve">Modest_Witness@Second_Millenium.FemaleMan©_Meets_OncoMouse™: Feminism and Technoscience. </w:t>
      </w:r>
      <w:r w:rsidRPr="003B1CD7">
        <w:rPr>
          <w:rFonts w:ascii="Times New Roman" w:eastAsia="Times New Roman" w:hAnsi="Times New Roman" w:cs="Times New Roman"/>
        </w:rPr>
        <w:t>New York: Routledge.</w:t>
      </w:r>
    </w:p>
    <w:p w14:paraId="4FE05F95" w14:textId="01C0B069" w:rsidR="00CC15FF" w:rsidRPr="00CC15FF" w:rsidRDefault="00CC15FF" w:rsidP="00CC15FF">
      <w:pPr>
        <w:pStyle w:val="Normal1"/>
        <w:spacing w:line="480" w:lineRule="auto"/>
        <w:ind w:left="720" w:hanging="720"/>
        <w:rPr>
          <w:rFonts w:ascii="Times New Roman" w:hAnsi="Times New Roman" w:cs="Times New Roman"/>
        </w:rPr>
      </w:pPr>
      <w:r>
        <w:rPr>
          <w:rFonts w:ascii="Times New Roman" w:hAnsi="Times New Roman" w:cs="Times New Roman"/>
        </w:rPr>
        <w:t>Holmes D</w:t>
      </w:r>
      <w:r w:rsidRPr="00CC15FF">
        <w:rPr>
          <w:rFonts w:ascii="Times New Roman" w:hAnsi="Times New Roman" w:cs="Times New Roman"/>
        </w:rPr>
        <w:t xml:space="preserve"> </w:t>
      </w:r>
      <w:r>
        <w:rPr>
          <w:rFonts w:ascii="Times New Roman" w:hAnsi="Times New Roman" w:cs="Times New Roman"/>
        </w:rPr>
        <w:t>R, &amp; Marcus G E</w:t>
      </w:r>
      <w:r w:rsidRPr="00CC15FF">
        <w:rPr>
          <w:rFonts w:ascii="Times New Roman" w:hAnsi="Times New Roman" w:cs="Times New Roman"/>
        </w:rPr>
        <w:t xml:space="preserve"> (2008</w:t>
      </w:r>
      <w:r>
        <w:rPr>
          <w:rFonts w:ascii="Times New Roman" w:hAnsi="Times New Roman" w:cs="Times New Roman"/>
        </w:rPr>
        <w:t>)</w:t>
      </w:r>
      <w:r w:rsidRPr="00CC15FF">
        <w:rPr>
          <w:rFonts w:ascii="Times New Roman" w:hAnsi="Times New Roman" w:cs="Times New Roman"/>
        </w:rPr>
        <w:t xml:space="preserve"> Collaboration today and the re-imagination of the classic scene of fieldwork encounter. </w:t>
      </w:r>
      <w:r w:rsidRPr="00CC15FF">
        <w:rPr>
          <w:rFonts w:ascii="Times New Roman" w:hAnsi="Times New Roman" w:cs="Times New Roman"/>
          <w:i/>
          <w:iCs/>
        </w:rPr>
        <w:t>Collaborative anthropologies</w:t>
      </w:r>
      <w:r w:rsidRPr="00CC15FF">
        <w:rPr>
          <w:rFonts w:ascii="Times New Roman" w:hAnsi="Times New Roman" w:cs="Times New Roman"/>
        </w:rPr>
        <w:t> </w:t>
      </w:r>
      <w:r w:rsidRPr="00CC15FF">
        <w:rPr>
          <w:rFonts w:ascii="Times New Roman" w:hAnsi="Times New Roman" w:cs="Times New Roman"/>
          <w:iCs/>
        </w:rPr>
        <w:t>1</w:t>
      </w:r>
      <w:r>
        <w:rPr>
          <w:rFonts w:ascii="Times New Roman" w:hAnsi="Times New Roman" w:cs="Times New Roman"/>
        </w:rPr>
        <w:t>(1):</w:t>
      </w:r>
      <w:r w:rsidRPr="00CC15FF">
        <w:rPr>
          <w:rFonts w:ascii="Times New Roman" w:hAnsi="Times New Roman" w:cs="Times New Roman"/>
        </w:rPr>
        <w:t xml:space="preserve"> 81-101.</w:t>
      </w:r>
    </w:p>
    <w:p w14:paraId="181278E5" w14:textId="77777777" w:rsidR="009179F6" w:rsidRPr="008E104A" w:rsidRDefault="008A492E">
      <w:pPr>
        <w:pStyle w:val="Normal1"/>
        <w:spacing w:line="480" w:lineRule="auto"/>
        <w:ind w:left="720" w:hanging="720"/>
        <w:rPr>
          <w:rFonts w:ascii="Times New Roman" w:hAnsi="Times New Roman" w:cs="Times New Roman"/>
        </w:rPr>
      </w:pPr>
      <w:r w:rsidRPr="00CC15FF">
        <w:rPr>
          <w:rFonts w:ascii="Times New Roman" w:eastAsia="Times New Roman" w:hAnsi="Times New Roman" w:cs="Times New Roman"/>
          <w:color w:val="222222"/>
          <w:highlight w:val="white"/>
        </w:rPr>
        <w:t xml:space="preserve">Latour B (2014) Some advantages of the notion of “Critical Zone” for geopolitics. </w:t>
      </w:r>
      <w:r w:rsidRPr="00CC15FF">
        <w:rPr>
          <w:rFonts w:ascii="Times New Roman" w:eastAsia="Times New Roman" w:hAnsi="Times New Roman" w:cs="Times New Roman"/>
          <w:i/>
          <w:color w:val="222222"/>
          <w:highlight w:val="white"/>
        </w:rPr>
        <w:t>Procedia Earth and Planetary Science</w:t>
      </w:r>
      <w:r w:rsidRPr="00CC15FF">
        <w:rPr>
          <w:rFonts w:ascii="Times New Roman" w:eastAsia="Times New Roman" w:hAnsi="Times New Roman" w:cs="Times New Roman"/>
          <w:color w:val="222222"/>
          <w:highlight w:val="white"/>
        </w:rPr>
        <w:t xml:space="preserve">, </w:t>
      </w:r>
      <w:r w:rsidRPr="00CC15FF">
        <w:rPr>
          <w:rFonts w:ascii="Times New Roman" w:eastAsia="Times New Roman" w:hAnsi="Times New Roman" w:cs="Times New Roman"/>
          <w:i/>
          <w:color w:val="222222"/>
          <w:highlight w:val="white"/>
        </w:rPr>
        <w:t>10</w:t>
      </w:r>
      <w:r w:rsidRPr="00CC15FF">
        <w:rPr>
          <w:rFonts w:ascii="Times New Roman" w:eastAsia="Times New Roman" w:hAnsi="Times New Roman" w:cs="Times New Roman"/>
          <w:color w:val="222222"/>
          <w:highlight w:val="white"/>
        </w:rPr>
        <w:t>, 3-6.</w:t>
      </w:r>
    </w:p>
    <w:p w14:paraId="17B4A1EA" w14:textId="2C82F682" w:rsidR="009179F6" w:rsidRPr="00465964" w:rsidRDefault="008A492E" w:rsidP="00465964">
      <w:pPr>
        <w:pStyle w:val="Normal1"/>
        <w:spacing w:line="480" w:lineRule="auto"/>
        <w:ind w:left="720" w:hanging="720"/>
      </w:pPr>
      <w:r w:rsidRPr="00CC15FF">
        <w:rPr>
          <w:rFonts w:ascii="Times New Roman" w:eastAsia="Times New Roman" w:hAnsi="Times New Roman" w:cs="Times New Roman"/>
        </w:rPr>
        <w:t>Marston SA, Jones</w:t>
      </w:r>
      <w:r>
        <w:rPr>
          <w:rFonts w:ascii="Times New Roman" w:eastAsia="Times New Roman" w:hAnsi="Times New Roman" w:cs="Times New Roman"/>
        </w:rPr>
        <w:t xml:space="preserve"> JP, and Woodward K (2005) Human geography without scale. </w:t>
      </w:r>
      <w:r>
        <w:rPr>
          <w:rFonts w:ascii="Times New Roman" w:eastAsia="Times New Roman" w:hAnsi="Times New Roman" w:cs="Times New Roman"/>
          <w:i/>
        </w:rPr>
        <w:t>Transactions of the Institute of British Geographers</w:t>
      </w:r>
      <w:r>
        <w:rPr>
          <w:rFonts w:ascii="Times New Roman" w:eastAsia="Times New Roman" w:hAnsi="Times New Roman" w:cs="Times New Roman"/>
        </w:rPr>
        <w:t xml:space="preserve"> 30(4): 416-432.</w:t>
      </w:r>
    </w:p>
    <w:p w14:paraId="07B454BE" w14:textId="77777777"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Massumi B (2002) </w:t>
      </w:r>
      <w:r>
        <w:rPr>
          <w:rFonts w:ascii="Times New Roman" w:eastAsia="Times New Roman" w:hAnsi="Times New Roman" w:cs="Times New Roman"/>
          <w:i/>
        </w:rPr>
        <w:t>A shock to thought: Expression after Deleuze and Guattari</w:t>
      </w:r>
      <w:r>
        <w:rPr>
          <w:rFonts w:ascii="Times New Roman" w:eastAsia="Times New Roman" w:hAnsi="Times New Roman" w:cs="Times New Roman"/>
        </w:rPr>
        <w:t>. New York: Routledge.</w:t>
      </w:r>
    </w:p>
    <w:p w14:paraId="2C23C27C" w14:textId="3737A9B3"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Nancy JL (2000) </w:t>
      </w:r>
      <w:r>
        <w:rPr>
          <w:rFonts w:ascii="Times New Roman" w:eastAsia="Times New Roman" w:hAnsi="Times New Roman" w:cs="Times New Roman"/>
          <w:i/>
        </w:rPr>
        <w:t>Being singular plural</w:t>
      </w:r>
      <w:r>
        <w:rPr>
          <w:rFonts w:ascii="Times New Roman" w:eastAsia="Times New Roman" w:hAnsi="Times New Roman" w:cs="Times New Roman"/>
        </w:rPr>
        <w:t>. Trans. Richardson, R. &amp; O’Byrne A. Stanford: Stanford University Press.</w:t>
      </w:r>
    </w:p>
    <w:p w14:paraId="72E8D121" w14:textId="77777777"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Nancy JL (2008) </w:t>
      </w:r>
      <w:r>
        <w:rPr>
          <w:rFonts w:ascii="Times New Roman" w:eastAsia="Times New Roman" w:hAnsi="Times New Roman" w:cs="Times New Roman"/>
          <w:i/>
        </w:rPr>
        <w:t xml:space="preserve">Corpus. </w:t>
      </w:r>
      <w:r>
        <w:rPr>
          <w:rFonts w:ascii="Times New Roman" w:eastAsia="Times New Roman" w:hAnsi="Times New Roman" w:cs="Times New Roman"/>
        </w:rPr>
        <w:t>Trans. Rand R. New York: Fordham University Press.</w:t>
      </w:r>
    </w:p>
    <w:p w14:paraId="68ABE721" w14:textId="100C8C71" w:rsidR="009179F6" w:rsidRPr="00465964" w:rsidRDefault="008A492E" w:rsidP="00465964">
      <w:pPr>
        <w:pStyle w:val="Normal1"/>
        <w:spacing w:line="480" w:lineRule="auto"/>
        <w:ind w:left="720" w:hanging="720"/>
      </w:pPr>
      <w:r w:rsidRPr="00465964">
        <w:rPr>
          <w:rFonts w:ascii="Times New Roman" w:hAnsi="Times New Roman"/>
          <w:color w:val="222222"/>
          <w:highlight w:val="white"/>
        </w:rPr>
        <w:t>Rooney K (2004) Review of</w:t>
      </w:r>
      <w:r>
        <w:rPr>
          <w:rFonts w:ascii="Times New Roman" w:eastAsia="Times New Roman" w:hAnsi="Times New Roman" w:cs="Times New Roman"/>
          <w:color w:val="222222"/>
          <w:highlight w:val="white"/>
        </w:rPr>
        <w:t xml:space="preserve"> </w:t>
      </w:r>
      <w:r w:rsidRPr="00465964">
        <w:rPr>
          <w:rFonts w:ascii="Times New Roman" w:hAnsi="Times New Roman"/>
          <w:i/>
          <w:color w:val="222222"/>
          <w:highlight w:val="white"/>
        </w:rPr>
        <w:t>Cascade Experiment: Selected Poems</w:t>
      </w:r>
      <w:r w:rsidRPr="00465964">
        <w:rPr>
          <w:rFonts w:ascii="Times New Roman" w:hAnsi="Times New Roman"/>
          <w:color w:val="222222"/>
          <w:highlight w:val="white"/>
        </w:rPr>
        <w:t>.</w:t>
      </w:r>
      <w:r>
        <w:rPr>
          <w:rFonts w:ascii="Times New Roman" w:eastAsia="Times New Roman" w:hAnsi="Times New Roman" w:cs="Times New Roman"/>
          <w:color w:val="222222"/>
          <w:highlight w:val="white"/>
        </w:rPr>
        <w:t xml:space="preserve"> </w:t>
      </w:r>
      <w:r w:rsidRPr="00465964">
        <w:rPr>
          <w:rFonts w:ascii="Times New Roman" w:hAnsi="Times New Roman"/>
          <w:i/>
          <w:color w:val="222222"/>
          <w:highlight w:val="white"/>
        </w:rPr>
        <w:t>Harvard Review</w:t>
      </w:r>
      <w:r w:rsidRPr="00465964">
        <w:rPr>
          <w:rFonts w:ascii="Times New Roman" w:hAnsi="Times New Roman"/>
          <w:color w:val="222222"/>
          <w:highlight w:val="white"/>
        </w:rPr>
        <w:t xml:space="preserve"> (27): 176–178. Retrieved from</w:t>
      </w:r>
      <w:hyperlink r:id="rId10">
        <w:r>
          <w:rPr>
            <w:rFonts w:ascii="Times New Roman" w:eastAsia="Times New Roman" w:hAnsi="Times New Roman" w:cs="Times New Roman"/>
            <w:color w:val="222222"/>
            <w:highlight w:val="white"/>
          </w:rPr>
          <w:t xml:space="preserve"> </w:t>
        </w:r>
      </w:hyperlink>
      <w:hyperlink r:id="rId11">
        <w:r>
          <w:rPr>
            <w:rFonts w:ascii="Times New Roman" w:eastAsia="Times New Roman" w:hAnsi="Times New Roman" w:cs="Times New Roman"/>
            <w:color w:val="1155CC"/>
            <w:highlight w:val="white"/>
            <w:u w:val="single"/>
          </w:rPr>
          <w:t>http://www.jstor.org/stable/27568963</w:t>
        </w:r>
      </w:hyperlink>
    </w:p>
    <w:p w14:paraId="25CEDED7" w14:textId="199D0869"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Swyngedouw E (2004) Scaled geographies: Nature, place, and the politics of scale. </w:t>
      </w:r>
      <w:r>
        <w:rPr>
          <w:rFonts w:ascii="Times New Roman" w:eastAsia="Times New Roman" w:hAnsi="Times New Roman" w:cs="Times New Roman"/>
          <w:i/>
        </w:rPr>
        <w:t>Scale and geographic inquiry: Nature, society, and method</w:t>
      </w:r>
      <w:r>
        <w:rPr>
          <w:rFonts w:ascii="Times New Roman" w:eastAsia="Times New Roman" w:hAnsi="Times New Roman" w:cs="Times New Roman"/>
        </w:rPr>
        <w:t>. Oxford: Blackwell, 129-153.</w:t>
      </w:r>
    </w:p>
    <w:p w14:paraId="0C47AFA2" w14:textId="77777777" w:rsidR="009179F6" w:rsidRPr="00465964" w:rsidRDefault="008A492E" w:rsidP="00465964">
      <w:pPr>
        <w:pStyle w:val="Normal1"/>
        <w:spacing w:line="480" w:lineRule="auto"/>
        <w:ind w:left="720" w:hanging="720"/>
      </w:pPr>
      <w:r>
        <w:rPr>
          <w:rFonts w:ascii="Times New Roman" w:eastAsia="Times New Roman" w:hAnsi="Times New Roman" w:cs="Times New Roman"/>
        </w:rPr>
        <w:t xml:space="preserve">Szerszynski B (2014) </w:t>
      </w:r>
      <w:r>
        <w:rPr>
          <w:rFonts w:ascii="Times New Roman" w:eastAsia="Times New Roman" w:hAnsi="Times New Roman" w:cs="Times New Roman"/>
          <w:i/>
        </w:rPr>
        <w:t xml:space="preserve">The Onomatophore of the Anthropocene. </w:t>
      </w:r>
      <w:r>
        <w:rPr>
          <w:rFonts w:ascii="Times New Roman" w:eastAsia="Times New Roman" w:hAnsi="Times New Roman" w:cs="Times New Roman"/>
        </w:rPr>
        <w:t>Presentation at EmbraceConfusion Project Space, Berlin, August 20, 2014.</w:t>
      </w:r>
    </w:p>
    <w:p w14:paraId="35297EF1" w14:textId="38585719" w:rsidR="009179F6" w:rsidRDefault="008A492E" w:rsidP="00465964">
      <w:pPr>
        <w:pStyle w:val="Normal1"/>
        <w:spacing w:line="480" w:lineRule="auto"/>
        <w:ind w:left="720" w:hanging="720"/>
        <w:rPr>
          <w:rFonts w:ascii="Times New Roman" w:eastAsia="Times New Roman" w:hAnsi="Times New Roman" w:cs="Times New Roman"/>
        </w:rPr>
      </w:pPr>
      <w:r>
        <w:rPr>
          <w:rFonts w:ascii="Times New Roman" w:eastAsia="Times New Roman" w:hAnsi="Times New Roman" w:cs="Times New Roman"/>
        </w:rPr>
        <w:t xml:space="preserve">Taboada I (2013) Neutrino astrophysics with IceCube. </w:t>
      </w:r>
      <w:r>
        <w:rPr>
          <w:rFonts w:ascii="Times New Roman" w:eastAsia="Times New Roman" w:hAnsi="Times New Roman" w:cs="Times New Roman"/>
          <w:i/>
        </w:rPr>
        <w:t xml:space="preserve">Neutrino Instruments and Methods in Physics Research A </w:t>
      </w:r>
      <w:r>
        <w:rPr>
          <w:rFonts w:ascii="Times New Roman" w:eastAsia="Times New Roman" w:hAnsi="Times New Roman" w:cs="Times New Roman"/>
        </w:rPr>
        <w:t xml:space="preserve">A (742): 71-76. </w:t>
      </w:r>
    </w:p>
    <w:p w14:paraId="13F7BA05" w14:textId="77777777" w:rsidR="009179F6" w:rsidRPr="00465964" w:rsidRDefault="009179F6" w:rsidP="00465964">
      <w:pPr>
        <w:pStyle w:val="Normal1"/>
        <w:spacing w:line="480" w:lineRule="auto"/>
      </w:pPr>
    </w:p>
    <w:p w14:paraId="21A81CD2" w14:textId="77777777" w:rsidR="009179F6" w:rsidRDefault="009179F6">
      <w:pPr>
        <w:pStyle w:val="Normal1"/>
      </w:pPr>
    </w:p>
    <w:sectPr w:rsidR="009179F6">
      <w:headerReference w:type="default" r:id="rId12"/>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4CF74" w14:textId="77777777" w:rsidR="006B3CBE" w:rsidRDefault="006B3CBE">
      <w:pPr>
        <w:spacing w:line="240" w:lineRule="auto"/>
      </w:pPr>
      <w:r>
        <w:separator/>
      </w:r>
    </w:p>
  </w:endnote>
  <w:endnote w:type="continuationSeparator" w:id="0">
    <w:p w14:paraId="04347884" w14:textId="77777777" w:rsidR="006B3CBE" w:rsidRDefault="006B3CBE">
      <w:pPr>
        <w:spacing w:line="240" w:lineRule="auto"/>
      </w:pPr>
      <w:r>
        <w:continuationSeparator/>
      </w:r>
    </w:p>
  </w:endnote>
  <w:endnote w:type="continuationNotice" w:id="1">
    <w:p w14:paraId="5BC7DFAE" w14:textId="77777777" w:rsidR="006B3CBE" w:rsidRDefault="006B3CB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4D"/>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8F21B" w14:textId="77777777" w:rsidR="001539CB" w:rsidRDefault="00153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C6951C" w14:textId="77777777" w:rsidR="006B3CBE" w:rsidRDefault="006B3CBE">
      <w:pPr>
        <w:spacing w:line="240" w:lineRule="auto"/>
      </w:pPr>
      <w:r>
        <w:separator/>
      </w:r>
    </w:p>
  </w:footnote>
  <w:footnote w:type="continuationSeparator" w:id="0">
    <w:p w14:paraId="6954DBE4" w14:textId="77777777" w:rsidR="006B3CBE" w:rsidRDefault="006B3CBE">
      <w:pPr>
        <w:spacing w:line="240" w:lineRule="auto"/>
      </w:pPr>
      <w:r>
        <w:continuationSeparator/>
      </w:r>
    </w:p>
  </w:footnote>
  <w:footnote w:type="continuationNotice" w:id="1">
    <w:p w14:paraId="39FB756A" w14:textId="77777777" w:rsidR="006B3CBE" w:rsidRDefault="006B3CBE">
      <w:pPr>
        <w:spacing w:line="240" w:lineRule="auto"/>
      </w:pPr>
    </w:p>
  </w:footnote>
  <w:footnote w:id="2">
    <w:p w14:paraId="6080DB2E" w14:textId="7585E2A2" w:rsidR="001539CB" w:rsidRPr="008E104A" w:rsidRDefault="001539CB">
      <w:pPr>
        <w:pStyle w:val="FootnoteText"/>
        <w:rPr>
          <w:rFonts w:ascii="Times New Roman" w:hAnsi="Times New Roman" w:cs="Times New Roman"/>
          <w:sz w:val="20"/>
          <w:szCs w:val="20"/>
        </w:rPr>
      </w:pPr>
      <w:r w:rsidRPr="008E104A">
        <w:rPr>
          <w:rStyle w:val="FootnoteReference"/>
          <w:rFonts w:ascii="Times New Roman" w:hAnsi="Times New Roman" w:cs="Times New Roman"/>
          <w:sz w:val="20"/>
          <w:szCs w:val="20"/>
        </w:rPr>
        <w:footnoteRef/>
      </w:r>
      <w:r w:rsidRPr="008E104A">
        <w:rPr>
          <w:rFonts w:ascii="Times New Roman" w:hAnsi="Times New Roman" w:cs="Times New Roman"/>
          <w:sz w:val="20"/>
          <w:szCs w:val="20"/>
        </w:rPr>
        <w:t xml:space="preserve"> </w:t>
      </w:r>
      <w:r>
        <w:rPr>
          <w:rFonts w:ascii="Times New Roman" w:hAnsi="Times New Roman" w:cs="Times New Roman"/>
          <w:sz w:val="20"/>
          <w:szCs w:val="20"/>
        </w:rPr>
        <w:t xml:space="preserve">This paper emerges out of a multi-sited para-ethnography (Holmes and Marcus, 2006) that is not limited to academic work; it has also inspired artworks made in collaboration with neutrino sensing experiments.  </w:t>
      </w:r>
      <w:r w:rsidRPr="00AC0B62">
        <w:rPr>
          <w:rFonts w:ascii="Times New Roman" w:hAnsi="Times New Roman" w:cs="Times New Roman"/>
          <w:sz w:val="20"/>
          <w:szCs w:val="20"/>
        </w:rPr>
        <w:t>In particular, o</w:t>
      </w:r>
      <w:r w:rsidRPr="008E104A">
        <w:rPr>
          <w:rFonts w:ascii="Times New Roman" w:hAnsi="Times New Roman" w:cs="Times New Roman"/>
          <w:sz w:val="20"/>
          <w:szCs w:val="20"/>
        </w:rPr>
        <w:t xml:space="preserve">ur visit to </w:t>
      </w:r>
      <w:r>
        <w:rPr>
          <w:rFonts w:ascii="Times New Roman" w:hAnsi="Times New Roman" w:cs="Times New Roman"/>
          <w:sz w:val="20"/>
          <w:szCs w:val="20"/>
        </w:rPr>
        <w:t>the Cryogenic Underground Observatory for Rare Events (CUORE)</w:t>
      </w:r>
      <w:r w:rsidRPr="008E104A">
        <w:rPr>
          <w:rFonts w:ascii="Times New Roman" w:hAnsi="Times New Roman" w:cs="Times New Roman"/>
          <w:sz w:val="20"/>
          <w:szCs w:val="20"/>
        </w:rPr>
        <w:t xml:space="preserve"> </w:t>
      </w:r>
      <w:r>
        <w:rPr>
          <w:rFonts w:ascii="Times New Roman" w:hAnsi="Times New Roman" w:cs="Times New Roman"/>
          <w:sz w:val="20"/>
          <w:szCs w:val="20"/>
        </w:rPr>
        <w:t xml:space="preserve">where physicists study </w:t>
      </w:r>
      <w:r w:rsidR="00AC0B62">
        <w:rPr>
          <w:rFonts w:ascii="Times New Roman" w:hAnsi="Times New Roman" w:cs="Times New Roman"/>
          <w:sz w:val="20"/>
          <w:szCs w:val="20"/>
        </w:rPr>
        <w:t>‘</w:t>
      </w:r>
      <w:r>
        <w:rPr>
          <w:rFonts w:ascii="Times New Roman" w:hAnsi="Times New Roman" w:cs="Times New Roman"/>
          <w:sz w:val="20"/>
          <w:szCs w:val="20"/>
        </w:rPr>
        <w:t>neutrinoless double beta decay</w:t>
      </w:r>
      <w:r w:rsidR="00AC0B62">
        <w:rPr>
          <w:rFonts w:ascii="Times New Roman" w:hAnsi="Times New Roman" w:cs="Times New Roman"/>
          <w:sz w:val="20"/>
          <w:szCs w:val="20"/>
        </w:rPr>
        <w:t>’</w:t>
      </w:r>
      <w:r>
        <w:rPr>
          <w:rFonts w:ascii="Times New Roman" w:hAnsi="Times New Roman" w:cs="Times New Roman"/>
          <w:sz w:val="20"/>
          <w:szCs w:val="20"/>
        </w:rPr>
        <w:t xml:space="preserve"> </w:t>
      </w:r>
      <w:r w:rsidRPr="008E104A">
        <w:rPr>
          <w:rFonts w:ascii="Times New Roman" w:hAnsi="Times New Roman" w:cs="Times New Roman"/>
          <w:sz w:val="20"/>
          <w:szCs w:val="20"/>
        </w:rPr>
        <w:t>w</w:t>
      </w:r>
      <w:r w:rsidRPr="00CC15FF">
        <w:rPr>
          <w:rFonts w:ascii="Times New Roman" w:hAnsi="Times New Roman" w:cs="Times New Roman"/>
          <w:sz w:val="20"/>
          <w:szCs w:val="20"/>
        </w:rPr>
        <w:t>as part of the research phase for</w:t>
      </w:r>
      <w:r w:rsidRPr="008E104A">
        <w:rPr>
          <w:rFonts w:ascii="Times New Roman" w:hAnsi="Times New Roman" w:cs="Times New Roman"/>
          <w:sz w:val="20"/>
          <w:szCs w:val="20"/>
        </w:rPr>
        <w:t xml:space="preserve"> a video art project </w:t>
      </w:r>
      <w:r>
        <w:rPr>
          <w:rFonts w:ascii="Times New Roman" w:hAnsi="Times New Roman" w:cs="Times New Roman"/>
          <w:sz w:val="20"/>
          <w:szCs w:val="20"/>
        </w:rPr>
        <w:t>produced by</w:t>
      </w:r>
      <w:r w:rsidRPr="00CC15FF">
        <w:rPr>
          <w:rFonts w:ascii="Times New Roman" w:hAnsi="Times New Roman" w:cs="Times New Roman"/>
          <w:sz w:val="20"/>
          <w:szCs w:val="20"/>
        </w:rPr>
        <w:t xml:space="preserve"> one of this paper</w:t>
      </w:r>
      <w:r>
        <w:rPr>
          <w:rFonts w:ascii="Times New Roman" w:hAnsi="Times New Roman" w:cs="Times New Roman"/>
          <w:sz w:val="20"/>
          <w:szCs w:val="20"/>
        </w:rPr>
        <w:t>’s</w:t>
      </w:r>
      <w:r w:rsidRPr="008E104A">
        <w:rPr>
          <w:rFonts w:ascii="Times New Roman" w:hAnsi="Times New Roman" w:cs="Times New Roman"/>
          <w:sz w:val="20"/>
          <w:szCs w:val="20"/>
        </w:rPr>
        <w:t xml:space="preserve"> authors.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58FDF3" w14:textId="77777777" w:rsidR="001539CB" w:rsidRDefault="001539C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9F6"/>
    <w:rsid w:val="001539CB"/>
    <w:rsid w:val="001C1B07"/>
    <w:rsid w:val="00252C9C"/>
    <w:rsid w:val="002A448A"/>
    <w:rsid w:val="002D0ECB"/>
    <w:rsid w:val="002E7A3E"/>
    <w:rsid w:val="00300369"/>
    <w:rsid w:val="00375B6E"/>
    <w:rsid w:val="00377D90"/>
    <w:rsid w:val="0039517F"/>
    <w:rsid w:val="003B1CD7"/>
    <w:rsid w:val="003C5281"/>
    <w:rsid w:val="003D1A15"/>
    <w:rsid w:val="00433DCD"/>
    <w:rsid w:val="00465964"/>
    <w:rsid w:val="004B0D14"/>
    <w:rsid w:val="004B7D48"/>
    <w:rsid w:val="004D32E0"/>
    <w:rsid w:val="004F24DA"/>
    <w:rsid w:val="0054145D"/>
    <w:rsid w:val="0056354D"/>
    <w:rsid w:val="005F2602"/>
    <w:rsid w:val="00615AAA"/>
    <w:rsid w:val="006B3CBE"/>
    <w:rsid w:val="007D4830"/>
    <w:rsid w:val="007D50E6"/>
    <w:rsid w:val="007E334A"/>
    <w:rsid w:val="007E48D0"/>
    <w:rsid w:val="00860559"/>
    <w:rsid w:val="008A492E"/>
    <w:rsid w:val="008E104A"/>
    <w:rsid w:val="008E587D"/>
    <w:rsid w:val="00915BEB"/>
    <w:rsid w:val="009179F6"/>
    <w:rsid w:val="009A4A85"/>
    <w:rsid w:val="009A7EE9"/>
    <w:rsid w:val="00A524A5"/>
    <w:rsid w:val="00A67AE1"/>
    <w:rsid w:val="00A94665"/>
    <w:rsid w:val="00AC0B62"/>
    <w:rsid w:val="00B7538A"/>
    <w:rsid w:val="00BE3719"/>
    <w:rsid w:val="00BF71FA"/>
    <w:rsid w:val="00CC15FF"/>
    <w:rsid w:val="00CF0A42"/>
    <w:rsid w:val="00DE3B16"/>
    <w:rsid w:val="00E31198"/>
    <w:rsid w:val="00E556A1"/>
    <w:rsid w:val="00E57119"/>
    <w:rsid w:val="00E82C5D"/>
    <w:rsid w:val="00EA4FA4"/>
    <w:rsid w:val="00F34EB5"/>
    <w:rsid w:val="00FD2C74"/>
    <w:rsid w:val="00FF1F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D9D0620E-F3D0-49AF-AEC8-4E297702C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00" w:after="120"/>
      <w:contextualSpacing/>
      <w:outlineLvl w:val="0"/>
    </w:pPr>
    <w:rPr>
      <w:sz w:val="40"/>
      <w:szCs w:val="40"/>
    </w:rPr>
  </w:style>
  <w:style w:type="paragraph" w:styleId="Heading2">
    <w:name w:val="heading 2"/>
    <w:basedOn w:val="Normal1"/>
    <w:next w:val="Normal1"/>
    <w:pPr>
      <w:keepNext/>
      <w:keepLines/>
      <w:spacing w:before="360" w:after="120"/>
      <w:contextualSpacing/>
      <w:outlineLvl w:val="1"/>
    </w:pPr>
    <w:rPr>
      <w:sz w:val="32"/>
      <w:szCs w:val="32"/>
    </w:rPr>
  </w:style>
  <w:style w:type="paragraph" w:styleId="Heading3">
    <w:name w:val="heading 3"/>
    <w:basedOn w:val="Normal1"/>
    <w:next w:val="Normal1"/>
    <w:pPr>
      <w:keepNext/>
      <w:keepLines/>
      <w:spacing w:before="320" w:after="80"/>
      <w:contextualSpacing/>
      <w:outlineLvl w:val="2"/>
    </w:pPr>
    <w:rPr>
      <w:color w:val="434343"/>
      <w:sz w:val="28"/>
      <w:szCs w:val="28"/>
    </w:rPr>
  </w:style>
  <w:style w:type="paragraph" w:styleId="Heading4">
    <w:name w:val="heading 4"/>
    <w:basedOn w:val="Normal1"/>
    <w:next w:val="Normal1"/>
    <w:pPr>
      <w:keepNext/>
      <w:keepLines/>
      <w:spacing w:before="280" w:after="80"/>
      <w:contextualSpacing/>
      <w:outlineLvl w:val="3"/>
    </w:pPr>
    <w:rPr>
      <w:color w:val="666666"/>
      <w:sz w:val="24"/>
      <w:szCs w:val="24"/>
    </w:rPr>
  </w:style>
  <w:style w:type="paragraph" w:styleId="Heading5">
    <w:name w:val="heading 5"/>
    <w:basedOn w:val="Normal1"/>
    <w:next w:val="Normal1"/>
    <w:pPr>
      <w:keepNext/>
      <w:keepLines/>
      <w:spacing w:before="240" w:after="80"/>
      <w:contextualSpacing/>
      <w:outlineLvl w:val="4"/>
    </w:pPr>
    <w:rPr>
      <w:color w:val="666666"/>
    </w:rPr>
  </w:style>
  <w:style w:type="paragraph" w:styleId="Heading6">
    <w:name w:val="heading 6"/>
    <w:basedOn w:val="Normal1"/>
    <w:next w:val="Normal1"/>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after="60"/>
      <w:contextualSpacing/>
    </w:pPr>
    <w:rPr>
      <w:sz w:val="52"/>
      <w:szCs w:val="52"/>
    </w:rPr>
  </w:style>
  <w:style w:type="paragraph" w:styleId="Subtitle">
    <w:name w:val="Subtitle"/>
    <w:basedOn w:val="Normal1"/>
    <w:next w:val="Normal1"/>
    <w:pPr>
      <w:keepNext/>
      <w:keepLines/>
      <w:spacing w:after="320"/>
      <w:contextualSpacing/>
    </w:pPr>
    <w:rPr>
      <w:color w:val="666666"/>
      <w:sz w:val="30"/>
      <w:szCs w:val="30"/>
    </w:rPr>
  </w:style>
  <w:style w:type="paragraph" w:customStyle="1" w:styleId="Normal10">
    <w:name w:val="Normal1"/>
    <w:rsid w:val="00E82C5D"/>
  </w:style>
  <w:style w:type="paragraph" w:styleId="BalloonText">
    <w:name w:val="Balloon Text"/>
    <w:basedOn w:val="Normal"/>
    <w:link w:val="BalloonTextChar"/>
    <w:uiPriority w:val="99"/>
    <w:semiHidden/>
    <w:unhideWhenUsed/>
    <w:rsid w:val="00E82C5D"/>
    <w:pPr>
      <w:spacing w:line="240" w:lineRule="auto"/>
    </w:pPr>
    <w:rPr>
      <w:rFonts w:ascii="Lucida Grande" w:hAnsi="Lucida Grande" w:cs="Times New Roman"/>
      <w:sz w:val="18"/>
      <w:szCs w:val="18"/>
      <w:lang w:val="x-none" w:eastAsia="x-none"/>
    </w:rPr>
  </w:style>
  <w:style w:type="character" w:customStyle="1" w:styleId="BalloonTextChar">
    <w:name w:val="Balloon Text Char"/>
    <w:basedOn w:val="DefaultParagraphFont"/>
    <w:link w:val="BalloonText"/>
    <w:uiPriority w:val="99"/>
    <w:semiHidden/>
    <w:rsid w:val="00E82C5D"/>
    <w:rPr>
      <w:rFonts w:ascii="Lucida Grande" w:hAnsi="Lucida Grande" w:cs="Times New Roman"/>
      <w:sz w:val="18"/>
      <w:szCs w:val="18"/>
      <w:lang w:val="x-none" w:eastAsia="x-none"/>
    </w:rPr>
  </w:style>
  <w:style w:type="character" w:customStyle="1" w:styleId="apple-converted-space">
    <w:name w:val="apple-converted-space"/>
    <w:basedOn w:val="DefaultParagraphFont"/>
    <w:rsid w:val="00E82C5D"/>
  </w:style>
  <w:style w:type="character" w:styleId="CommentReference">
    <w:name w:val="annotation reference"/>
    <w:uiPriority w:val="99"/>
    <w:semiHidden/>
    <w:unhideWhenUsed/>
    <w:rsid w:val="00E82C5D"/>
    <w:rPr>
      <w:sz w:val="18"/>
      <w:szCs w:val="18"/>
    </w:rPr>
  </w:style>
  <w:style w:type="paragraph" w:styleId="CommentText">
    <w:name w:val="annotation text"/>
    <w:basedOn w:val="Normal"/>
    <w:link w:val="CommentTextChar"/>
    <w:uiPriority w:val="99"/>
    <w:semiHidden/>
    <w:unhideWhenUsed/>
    <w:rsid w:val="00E82C5D"/>
    <w:pPr>
      <w:spacing w:line="240" w:lineRule="auto"/>
    </w:pPr>
    <w:rPr>
      <w:rFonts w:cs="Times New Roman"/>
      <w:sz w:val="24"/>
      <w:szCs w:val="24"/>
      <w:lang w:val="x-none" w:eastAsia="x-none"/>
    </w:rPr>
  </w:style>
  <w:style w:type="character" w:customStyle="1" w:styleId="CommentTextChar">
    <w:name w:val="Comment Text Char"/>
    <w:basedOn w:val="DefaultParagraphFont"/>
    <w:link w:val="CommentText"/>
    <w:uiPriority w:val="99"/>
    <w:semiHidden/>
    <w:rsid w:val="00E82C5D"/>
    <w:rPr>
      <w:rFonts w:cs="Times New Roman"/>
      <w:sz w:val="24"/>
      <w:szCs w:val="24"/>
      <w:lang w:val="x-none" w:eastAsia="x-none"/>
    </w:rPr>
  </w:style>
  <w:style w:type="paragraph" w:styleId="CommentSubject">
    <w:name w:val="annotation subject"/>
    <w:basedOn w:val="CommentText"/>
    <w:next w:val="CommentText"/>
    <w:link w:val="CommentSubjectChar"/>
    <w:uiPriority w:val="99"/>
    <w:semiHidden/>
    <w:unhideWhenUsed/>
    <w:rsid w:val="00E82C5D"/>
    <w:rPr>
      <w:b/>
      <w:bCs/>
      <w:sz w:val="20"/>
      <w:szCs w:val="20"/>
    </w:rPr>
  </w:style>
  <w:style w:type="character" w:customStyle="1" w:styleId="CommentSubjectChar">
    <w:name w:val="Comment Subject Char"/>
    <w:basedOn w:val="CommentTextChar"/>
    <w:link w:val="CommentSubject"/>
    <w:uiPriority w:val="99"/>
    <w:semiHidden/>
    <w:rsid w:val="00E82C5D"/>
    <w:rPr>
      <w:rFonts w:cs="Times New Roman"/>
      <w:b/>
      <w:bCs/>
      <w:sz w:val="20"/>
      <w:szCs w:val="20"/>
      <w:lang w:val="x-none" w:eastAsia="x-none"/>
    </w:rPr>
  </w:style>
  <w:style w:type="character" w:customStyle="1" w:styleId="A1">
    <w:name w:val="A1"/>
    <w:uiPriority w:val="99"/>
    <w:rsid w:val="00E82C5D"/>
    <w:rPr>
      <w:rFonts w:cs="Times"/>
      <w:color w:val="000000"/>
      <w:sz w:val="18"/>
      <w:szCs w:val="18"/>
    </w:rPr>
  </w:style>
  <w:style w:type="paragraph" w:styleId="EndnoteText">
    <w:name w:val="endnote text"/>
    <w:basedOn w:val="Normal"/>
    <w:link w:val="EndnoteTextChar"/>
    <w:uiPriority w:val="99"/>
    <w:unhideWhenUsed/>
    <w:rsid w:val="00E82C5D"/>
    <w:pPr>
      <w:spacing w:line="240" w:lineRule="auto"/>
    </w:pPr>
    <w:rPr>
      <w:rFonts w:cs="Times New Roman"/>
      <w:sz w:val="24"/>
      <w:szCs w:val="24"/>
      <w:lang w:val="x-none" w:eastAsia="x-none"/>
    </w:rPr>
  </w:style>
  <w:style w:type="character" w:customStyle="1" w:styleId="EndnoteTextChar">
    <w:name w:val="Endnote Text Char"/>
    <w:basedOn w:val="DefaultParagraphFont"/>
    <w:link w:val="EndnoteText"/>
    <w:uiPriority w:val="99"/>
    <w:rsid w:val="00E82C5D"/>
    <w:rPr>
      <w:rFonts w:cs="Times New Roman"/>
      <w:sz w:val="24"/>
      <w:szCs w:val="24"/>
      <w:lang w:val="x-none" w:eastAsia="x-none"/>
    </w:rPr>
  </w:style>
  <w:style w:type="character" w:styleId="EndnoteReference">
    <w:name w:val="endnote reference"/>
    <w:uiPriority w:val="99"/>
    <w:semiHidden/>
    <w:unhideWhenUsed/>
    <w:rsid w:val="00E82C5D"/>
    <w:rPr>
      <w:vertAlign w:val="superscript"/>
    </w:rPr>
  </w:style>
  <w:style w:type="paragraph" w:styleId="Revision">
    <w:name w:val="Revision"/>
    <w:hidden/>
    <w:uiPriority w:val="99"/>
    <w:semiHidden/>
    <w:rsid w:val="00E82C5D"/>
    <w:pPr>
      <w:spacing w:line="240" w:lineRule="auto"/>
    </w:pPr>
  </w:style>
  <w:style w:type="paragraph" w:styleId="NormalWeb">
    <w:name w:val="Normal (Web)"/>
    <w:basedOn w:val="Normal"/>
    <w:uiPriority w:val="99"/>
    <w:rsid w:val="00E82C5D"/>
    <w:pPr>
      <w:spacing w:beforeLines="1" w:afterLines="1" w:line="240" w:lineRule="auto"/>
    </w:pPr>
    <w:rPr>
      <w:rFonts w:ascii="Times" w:eastAsia="MS Mincho" w:hAnsi="Times" w:cs="Times New Roman"/>
      <w:color w:val="auto"/>
      <w:sz w:val="20"/>
      <w:szCs w:val="20"/>
      <w:lang w:val="en-GB"/>
    </w:rPr>
  </w:style>
  <w:style w:type="character" w:styleId="Hyperlink">
    <w:name w:val="Hyperlink"/>
    <w:uiPriority w:val="99"/>
    <w:unhideWhenUsed/>
    <w:rsid w:val="00E82C5D"/>
    <w:rPr>
      <w:color w:val="0000FF"/>
      <w:u w:val="single"/>
    </w:rPr>
  </w:style>
  <w:style w:type="paragraph" w:customStyle="1" w:styleId="Default">
    <w:name w:val="Default"/>
    <w:rsid w:val="00E82C5D"/>
    <w:pPr>
      <w:widowControl w:val="0"/>
      <w:autoSpaceDE w:val="0"/>
      <w:autoSpaceDN w:val="0"/>
      <w:adjustRightInd w:val="0"/>
      <w:spacing w:line="240" w:lineRule="auto"/>
    </w:pPr>
    <w:rPr>
      <w:rFonts w:ascii="Times" w:eastAsia="MS Mincho" w:hAnsi="Times" w:cs="Times"/>
      <w:sz w:val="24"/>
      <w:szCs w:val="24"/>
    </w:rPr>
  </w:style>
  <w:style w:type="paragraph" w:customStyle="1" w:styleId="Pa5">
    <w:name w:val="Pa5"/>
    <w:basedOn w:val="Default"/>
    <w:next w:val="Default"/>
    <w:uiPriority w:val="99"/>
    <w:rsid w:val="00E82C5D"/>
    <w:pPr>
      <w:spacing w:line="241" w:lineRule="atLeast"/>
    </w:pPr>
    <w:rPr>
      <w:rFonts w:cs="Times New Roman"/>
      <w:color w:val="auto"/>
    </w:rPr>
  </w:style>
  <w:style w:type="character" w:customStyle="1" w:styleId="A4">
    <w:name w:val="A4"/>
    <w:uiPriority w:val="99"/>
    <w:rsid w:val="00E82C5D"/>
    <w:rPr>
      <w:rFonts w:cs="Times"/>
      <w:color w:val="000000"/>
      <w:sz w:val="28"/>
      <w:szCs w:val="28"/>
    </w:rPr>
  </w:style>
  <w:style w:type="paragraph" w:styleId="Header">
    <w:name w:val="header"/>
    <w:basedOn w:val="Normal"/>
    <w:link w:val="HeaderChar"/>
    <w:uiPriority w:val="99"/>
    <w:unhideWhenUsed/>
    <w:rsid w:val="00E82C5D"/>
    <w:pPr>
      <w:tabs>
        <w:tab w:val="center" w:pos="4320"/>
        <w:tab w:val="right" w:pos="8640"/>
      </w:tabs>
      <w:spacing w:line="240" w:lineRule="auto"/>
    </w:pPr>
  </w:style>
  <w:style w:type="character" w:customStyle="1" w:styleId="HeaderChar">
    <w:name w:val="Header Char"/>
    <w:basedOn w:val="DefaultParagraphFont"/>
    <w:link w:val="Header"/>
    <w:uiPriority w:val="99"/>
    <w:rsid w:val="00E82C5D"/>
  </w:style>
  <w:style w:type="paragraph" w:styleId="Footer">
    <w:name w:val="footer"/>
    <w:basedOn w:val="Normal"/>
    <w:link w:val="FooterChar"/>
    <w:uiPriority w:val="99"/>
    <w:unhideWhenUsed/>
    <w:rsid w:val="00E82C5D"/>
    <w:pPr>
      <w:tabs>
        <w:tab w:val="center" w:pos="4320"/>
        <w:tab w:val="right" w:pos="8640"/>
      </w:tabs>
      <w:spacing w:line="240" w:lineRule="auto"/>
    </w:pPr>
  </w:style>
  <w:style w:type="character" w:customStyle="1" w:styleId="FooterChar">
    <w:name w:val="Footer Char"/>
    <w:basedOn w:val="DefaultParagraphFont"/>
    <w:link w:val="Footer"/>
    <w:uiPriority w:val="99"/>
    <w:rsid w:val="00E82C5D"/>
  </w:style>
  <w:style w:type="paragraph" w:styleId="FootnoteText">
    <w:name w:val="footnote text"/>
    <w:basedOn w:val="Normal"/>
    <w:link w:val="FootnoteTextChar"/>
    <w:uiPriority w:val="99"/>
    <w:unhideWhenUsed/>
    <w:rsid w:val="00FF1F23"/>
    <w:pPr>
      <w:spacing w:line="240" w:lineRule="auto"/>
    </w:pPr>
    <w:rPr>
      <w:sz w:val="24"/>
      <w:szCs w:val="24"/>
    </w:rPr>
  </w:style>
  <w:style w:type="character" w:customStyle="1" w:styleId="FootnoteTextChar">
    <w:name w:val="Footnote Text Char"/>
    <w:basedOn w:val="DefaultParagraphFont"/>
    <w:link w:val="FootnoteText"/>
    <w:uiPriority w:val="99"/>
    <w:rsid w:val="00FF1F23"/>
    <w:rPr>
      <w:sz w:val="24"/>
      <w:szCs w:val="24"/>
    </w:rPr>
  </w:style>
  <w:style w:type="character" w:styleId="FootnoteReference">
    <w:name w:val="footnote reference"/>
    <w:basedOn w:val="DefaultParagraphFont"/>
    <w:uiPriority w:val="99"/>
    <w:unhideWhenUsed/>
    <w:rsid w:val="00FF1F2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178510">
      <w:bodyDiv w:val="1"/>
      <w:marLeft w:val="0"/>
      <w:marRight w:val="0"/>
      <w:marTop w:val="0"/>
      <w:marBottom w:val="0"/>
      <w:divBdr>
        <w:top w:val="none" w:sz="0" w:space="0" w:color="auto"/>
        <w:left w:val="none" w:sz="0" w:space="0" w:color="auto"/>
        <w:bottom w:val="none" w:sz="0" w:space="0" w:color="auto"/>
        <w:right w:val="none" w:sz="0" w:space="0" w:color="auto"/>
      </w:divBdr>
    </w:div>
    <w:div w:id="458456174">
      <w:bodyDiv w:val="1"/>
      <w:marLeft w:val="0"/>
      <w:marRight w:val="0"/>
      <w:marTop w:val="0"/>
      <w:marBottom w:val="0"/>
      <w:divBdr>
        <w:top w:val="none" w:sz="0" w:space="0" w:color="auto"/>
        <w:left w:val="none" w:sz="0" w:space="0" w:color="auto"/>
        <w:bottom w:val="none" w:sz="0" w:space="0" w:color="auto"/>
        <w:right w:val="none" w:sz="0" w:space="0" w:color="auto"/>
      </w:divBdr>
    </w:div>
    <w:div w:id="675495245">
      <w:bodyDiv w:val="1"/>
      <w:marLeft w:val="0"/>
      <w:marRight w:val="0"/>
      <w:marTop w:val="0"/>
      <w:marBottom w:val="0"/>
      <w:divBdr>
        <w:top w:val="none" w:sz="0" w:space="0" w:color="auto"/>
        <w:left w:val="none" w:sz="0" w:space="0" w:color="auto"/>
        <w:bottom w:val="none" w:sz="0" w:space="0" w:color="auto"/>
        <w:right w:val="none" w:sz="0" w:space="0" w:color="auto"/>
      </w:divBdr>
    </w:div>
    <w:div w:id="793913915">
      <w:bodyDiv w:val="1"/>
      <w:marLeft w:val="0"/>
      <w:marRight w:val="0"/>
      <w:marTop w:val="0"/>
      <w:marBottom w:val="0"/>
      <w:divBdr>
        <w:top w:val="none" w:sz="0" w:space="0" w:color="auto"/>
        <w:left w:val="none" w:sz="0" w:space="0" w:color="auto"/>
        <w:bottom w:val="none" w:sz="0" w:space="0" w:color="auto"/>
        <w:right w:val="none" w:sz="0" w:space="0" w:color="auto"/>
      </w:divBdr>
    </w:div>
    <w:div w:id="794326964">
      <w:bodyDiv w:val="1"/>
      <w:marLeft w:val="0"/>
      <w:marRight w:val="0"/>
      <w:marTop w:val="0"/>
      <w:marBottom w:val="0"/>
      <w:divBdr>
        <w:top w:val="none" w:sz="0" w:space="0" w:color="auto"/>
        <w:left w:val="none" w:sz="0" w:space="0" w:color="auto"/>
        <w:bottom w:val="none" w:sz="0" w:space="0" w:color="auto"/>
        <w:right w:val="none" w:sz="0" w:space="0" w:color="auto"/>
      </w:divBdr>
    </w:div>
    <w:div w:id="970785211">
      <w:bodyDiv w:val="1"/>
      <w:marLeft w:val="0"/>
      <w:marRight w:val="0"/>
      <w:marTop w:val="0"/>
      <w:marBottom w:val="0"/>
      <w:divBdr>
        <w:top w:val="none" w:sz="0" w:space="0" w:color="auto"/>
        <w:left w:val="none" w:sz="0" w:space="0" w:color="auto"/>
        <w:bottom w:val="none" w:sz="0" w:space="0" w:color="auto"/>
        <w:right w:val="none" w:sz="0" w:space="0" w:color="auto"/>
      </w:divBdr>
    </w:div>
    <w:div w:id="1200124430">
      <w:bodyDiv w:val="1"/>
      <w:marLeft w:val="0"/>
      <w:marRight w:val="0"/>
      <w:marTop w:val="0"/>
      <w:marBottom w:val="0"/>
      <w:divBdr>
        <w:top w:val="none" w:sz="0" w:space="0" w:color="auto"/>
        <w:left w:val="none" w:sz="0" w:space="0" w:color="auto"/>
        <w:bottom w:val="none" w:sz="0" w:space="0" w:color="auto"/>
        <w:right w:val="none" w:sz="0" w:space="0" w:color="auto"/>
      </w:divBdr>
    </w:div>
    <w:div w:id="1305542898">
      <w:bodyDiv w:val="1"/>
      <w:marLeft w:val="0"/>
      <w:marRight w:val="0"/>
      <w:marTop w:val="0"/>
      <w:marBottom w:val="0"/>
      <w:divBdr>
        <w:top w:val="none" w:sz="0" w:space="0" w:color="auto"/>
        <w:left w:val="none" w:sz="0" w:space="0" w:color="auto"/>
        <w:bottom w:val="none" w:sz="0" w:space="0" w:color="auto"/>
        <w:right w:val="none" w:sz="0" w:space="0" w:color="auto"/>
      </w:divBdr>
    </w:div>
    <w:div w:id="1552040051">
      <w:bodyDiv w:val="1"/>
      <w:marLeft w:val="0"/>
      <w:marRight w:val="0"/>
      <w:marTop w:val="0"/>
      <w:marBottom w:val="0"/>
      <w:divBdr>
        <w:top w:val="none" w:sz="0" w:space="0" w:color="auto"/>
        <w:left w:val="none" w:sz="0" w:space="0" w:color="auto"/>
        <w:bottom w:val="none" w:sz="0" w:space="0" w:color="auto"/>
        <w:right w:val="none" w:sz="0" w:space="0" w:color="auto"/>
      </w:divBdr>
    </w:div>
    <w:div w:id="1589535192">
      <w:bodyDiv w:val="1"/>
      <w:marLeft w:val="0"/>
      <w:marRight w:val="0"/>
      <w:marTop w:val="0"/>
      <w:marBottom w:val="0"/>
      <w:divBdr>
        <w:top w:val="none" w:sz="0" w:space="0" w:color="auto"/>
        <w:left w:val="none" w:sz="0" w:space="0" w:color="auto"/>
        <w:bottom w:val="none" w:sz="0" w:space="0" w:color="auto"/>
        <w:right w:val="none" w:sz="0" w:space="0" w:color="auto"/>
      </w:divBdr>
    </w:div>
    <w:div w:id="1859734663">
      <w:bodyDiv w:val="1"/>
      <w:marLeft w:val="0"/>
      <w:marRight w:val="0"/>
      <w:marTop w:val="0"/>
      <w:marBottom w:val="0"/>
      <w:divBdr>
        <w:top w:val="none" w:sz="0" w:space="0" w:color="auto"/>
        <w:left w:val="none" w:sz="0" w:space="0" w:color="auto"/>
        <w:bottom w:val="none" w:sz="0" w:space="0" w:color="auto"/>
        <w:right w:val="none" w:sz="0" w:space="0" w:color="auto"/>
      </w:divBdr>
    </w:div>
    <w:div w:id="1863279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jstor.org/stable/27568963"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jstor.org/stable/27568963" TargetMode="External"/><Relationship Id="rId4" Type="http://schemas.openxmlformats.org/officeDocument/2006/relationships/webSettings" Target="webSettings.xml"/><Relationship Id="rId9" Type="http://schemas.openxmlformats.org/officeDocument/2006/relationships/hyperlink" Target="https://www.hkw.de/en/app/mediathek/video/43982"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EFDE8-4FB8-47FA-AC59-9E38E4300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5347</Words>
  <Characters>30481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Brzozowska-Szczecina, Emilia</dc:creator>
  <cp:lastModifiedBy>Brzozowska-Szczecina, Emilia</cp:lastModifiedBy>
  <cp:revision>2</cp:revision>
  <dcterms:created xsi:type="dcterms:W3CDTF">2017-01-23T08:19:00Z</dcterms:created>
  <dcterms:modified xsi:type="dcterms:W3CDTF">2017-01-23T08:19:00Z</dcterms:modified>
</cp:coreProperties>
</file>