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5CE32F" w14:textId="3FBEDA31" w:rsidR="00DD3C83" w:rsidRPr="00BE1403" w:rsidRDefault="00A20C31" w:rsidP="00BB151F">
      <w:pPr>
        <w:spacing w:line="480" w:lineRule="auto"/>
        <w:rPr>
          <w:b/>
        </w:rPr>
      </w:pPr>
      <w:r w:rsidRPr="00BE1403">
        <w:rPr>
          <w:b/>
        </w:rPr>
        <w:t xml:space="preserve">The </w:t>
      </w:r>
      <w:r w:rsidR="0016748D" w:rsidRPr="00BE1403">
        <w:rPr>
          <w:b/>
        </w:rPr>
        <w:t>Intervention</w:t>
      </w:r>
      <w:r w:rsidR="001152EC" w:rsidRPr="00BE1403">
        <w:rPr>
          <w:b/>
        </w:rPr>
        <w:t xml:space="preserve"> Taboo(s)</w:t>
      </w:r>
      <w:r w:rsidR="0038579A">
        <w:rPr>
          <w:b/>
        </w:rPr>
        <w:t>: Strategy</w:t>
      </w:r>
      <w:r w:rsidR="00AD0D85" w:rsidRPr="00BE1403">
        <w:rPr>
          <w:b/>
        </w:rPr>
        <w:t xml:space="preserve"> and Norm</w:t>
      </w:r>
      <w:r w:rsidR="005050FC" w:rsidRPr="00BE1403">
        <w:rPr>
          <w:b/>
        </w:rPr>
        <w:t>ative</w:t>
      </w:r>
      <w:r w:rsidR="002D0626" w:rsidRPr="00BE1403">
        <w:rPr>
          <w:b/>
        </w:rPr>
        <w:t xml:space="preserve"> Invalidation</w:t>
      </w:r>
    </w:p>
    <w:p w14:paraId="27843806" w14:textId="4842D73F" w:rsidR="00961EAB" w:rsidRPr="00BE1403" w:rsidRDefault="00B1690D" w:rsidP="00BB151F">
      <w:pPr>
        <w:spacing w:line="480" w:lineRule="auto"/>
      </w:pPr>
      <w:r>
        <w:t>Article accepted for publication in</w:t>
      </w:r>
      <w:r w:rsidR="0080428A">
        <w:t xml:space="preserve">: </w:t>
      </w:r>
      <w:r w:rsidR="0080428A" w:rsidRPr="00B1690D">
        <w:rPr>
          <w:i/>
        </w:rPr>
        <w:t>Review of International Studies,</w:t>
      </w:r>
      <w:r w:rsidR="0080428A">
        <w:t xml:space="preserve"> 4 January 2017</w:t>
      </w:r>
    </w:p>
    <w:p w14:paraId="535E6C05" w14:textId="77777777" w:rsidR="00F41A27" w:rsidRPr="00BE1403" w:rsidRDefault="00F41A27" w:rsidP="00BB151F">
      <w:pPr>
        <w:spacing w:line="480" w:lineRule="auto"/>
      </w:pPr>
    </w:p>
    <w:p w14:paraId="42709BB2" w14:textId="77777777" w:rsidR="004D7A98" w:rsidRPr="00BE1403" w:rsidRDefault="004D7A98" w:rsidP="00BB151F">
      <w:pPr>
        <w:spacing w:line="480" w:lineRule="auto"/>
      </w:pPr>
    </w:p>
    <w:p w14:paraId="69DF48E7" w14:textId="77777777" w:rsidR="000F1456" w:rsidRPr="00BE1403" w:rsidRDefault="000F1456" w:rsidP="00BB151F">
      <w:pPr>
        <w:spacing w:line="480" w:lineRule="auto"/>
      </w:pPr>
    </w:p>
    <w:p w14:paraId="4912FDB5" w14:textId="06CBD93E" w:rsidR="004D7A98" w:rsidRDefault="004D7A98" w:rsidP="00BB151F">
      <w:pPr>
        <w:spacing w:line="480" w:lineRule="auto"/>
        <w:ind w:left="567" w:right="567"/>
        <w:rPr>
          <w:i/>
        </w:rPr>
      </w:pPr>
      <w:r w:rsidRPr="00BE1403">
        <w:rPr>
          <w:i/>
        </w:rPr>
        <w:t>Intervention comprises one of the most contentious issues</w:t>
      </w:r>
      <w:r w:rsidR="009E0B89">
        <w:rPr>
          <w:i/>
        </w:rPr>
        <w:t xml:space="preserve"> in International Relations</w:t>
      </w:r>
      <w:r w:rsidRPr="00BE1403">
        <w:rPr>
          <w:i/>
        </w:rPr>
        <w:t xml:space="preserve">. This controversy results from the way normative understanding is </w:t>
      </w:r>
      <w:r w:rsidR="0061633F" w:rsidRPr="00BE1403">
        <w:rPr>
          <w:i/>
        </w:rPr>
        <w:t>structured</w:t>
      </w:r>
      <w:r w:rsidRPr="00BE1403">
        <w:rPr>
          <w:i/>
        </w:rPr>
        <w:t xml:space="preserve"> around two key, but mutually exclusive, taboos: the</w:t>
      </w:r>
      <w:r w:rsidR="004002A1" w:rsidRPr="00BE1403">
        <w:rPr>
          <w:i/>
        </w:rPr>
        <w:t xml:space="preserve"> moral expectation to respond in</w:t>
      </w:r>
      <w:r w:rsidRPr="00BE1403">
        <w:rPr>
          <w:i/>
        </w:rPr>
        <w:t xml:space="preserve"> cases of humanitarian need and the protection of state sovereignty. In examining this dilemma, this article asks: what happens to the construction of rhetorical strategy, where that</w:t>
      </w:r>
      <w:r w:rsidR="0061633F" w:rsidRPr="00BE1403">
        <w:rPr>
          <w:i/>
        </w:rPr>
        <w:t xml:space="preserve"> strategy</w:t>
      </w:r>
      <w:r w:rsidRPr="00BE1403">
        <w:rPr>
          <w:i/>
        </w:rPr>
        <w:t xml:space="preserve"> </w:t>
      </w:r>
      <w:r w:rsidR="0061633F" w:rsidRPr="00BE1403">
        <w:rPr>
          <w:i/>
        </w:rPr>
        <w:t>seeks to justify intervention</w:t>
      </w:r>
      <w:r w:rsidRPr="00BE1403">
        <w:rPr>
          <w:i/>
        </w:rPr>
        <w:t xml:space="preserve"> </w:t>
      </w:r>
      <w:r w:rsidR="0061633F" w:rsidRPr="00BE1403">
        <w:rPr>
          <w:i/>
        </w:rPr>
        <w:t>(</w:t>
      </w:r>
      <w:r w:rsidRPr="00BE1403">
        <w:rPr>
          <w:i/>
        </w:rPr>
        <w:t>or not</w:t>
      </w:r>
      <w:r w:rsidR="0061633F" w:rsidRPr="00BE1403">
        <w:rPr>
          <w:i/>
        </w:rPr>
        <w:t>)</w:t>
      </w:r>
      <w:r w:rsidR="00C70AA5">
        <w:rPr>
          <w:i/>
        </w:rPr>
        <w:t>,</w:t>
      </w:r>
      <w:r w:rsidR="0027206C" w:rsidRPr="00BE1403">
        <w:rPr>
          <w:i/>
        </w:rPr>
        <w:t xml:space="preserve"> with</w:t>
      </w:r>
      <w:r w:rsidR="005304F4" w:rsidRPr="00BE1403">
        <w:rPr>
          <w:i/>
        </w:rPr>
        <w:t>in</w:t>
      </w:r>
      <w:r w:rsidRPr="00BE1403">
        <w:rPr>
          <w:i/>
        </w:rPr>
        <w:t xml:space="preserve"> </w:t>
      </w:r>
      <w:r w:rsidR="005304F4" w:rsidRPr="00BE1403">
        <w:rPr>
          <w:i/>
        </w:rPr>
        <w:t>a</w:t>
      </w:r>
      <w:r w:rsidRPr="00BE1403">
        <w:rPr>
          <w:i/>
        </w:rPr>
        <w:t xml:space="preserve"> binary normative environment? It is argued that actors can only successfully construct a rhetorical </w:t>
      </w:r>
      <w:r w:rsidR="005304F4" w:rsidRPr="00BE1403">
        <w:rPr>
          <w:i/>
        </w:rPr>
        <w:t>case by engaging in</w:t>
      </w:r>
      <w:r w:rsidR="007150AB" w:rsidRPr="00BE1403">
        <w:rPr>
          <w:i/>
        </w:rPr>
        <w:t>, what is termed here,</w:t>
      </w:r>
      <w:r w:rsidR="00465B12" w:rsidRPr="00BE1403">
        <w:rPr>
          <w:i/>
        </w:rPr>
        <w:t xml:space="preserve"> </w:t>
      </w:r>
      <w:r w:rsidR="00465B12" w:rsidRPr="00FF1457">
        <w:t>normative invalidation</w:t>
      </w:r>
      <w:r w:rsidR="00465B12" w:rsidRPr="00BE1403">
        <w:rPr>
          <w:i/>
        </w:rPr>
        <w:t>. I</w:t>
      </w:r>
      <w:r w:rsidR="002C136A" w:rsidRPr="00BE1403">
        <w:rPr>
          <w:i/>
        </w:rPr>
        <w:t>n a binary situation, actors</w:t>
      </w:r>
      <w:r w:rsidR="001035B3" w:rsidRPr="00BE1403">
        <w:rPr>
          <w:i/>
        </w:rPr>
        <w:t xml:space="preserve"> cannot adhere to both</w:t>
      </w:r>
      <w:r w:rsidRPr="00BE1403">
        <w:rPr>
          <w:i/>
        </w:rPr>
        <w:t xml:space="preserve"> taboos. The</w:t>
      </w:r>
      <w:r w:rsidR="002C136A" w:rsidRPr="00BE1403">
        <w:rPr>
          <w:i/>
        </w:rPr>
        <w:t>se</w:t>
      </w:r>
      <w:r w:rsidRPr="00BE1403">
        <w:rPr>
          <w:i/>
        </w:rPr>
        <w:t xml:space="preserve"> taboos are so</w:t>
      </w:r>
      <w:r w:rsidR="005304F4" w:rsidRPr="00BE1403">
        <w:rPr>
          <w:i/>
        </w:rPr>
        <w:t xml:space="preserve"> compelling, however, that actors</w:t>
      </w:r>
      <w:r w:rsidRPr="00BE1403">
        <w:rPr>
          <w:i/>
        </w:rPr>
        <w:t xml:space="preserve"> must </w:t>
      </w:r>
      <w:r w:rsidR="001035B3" w:rsidRPr="00BE1403">
        <w:rPr>
          <w:i/>
        </w:rPr>
        <w:t>necessarily</w:t>
      </w:r>
      <w:r w:rsidR="005304F4" w:rsidRPr="00BE1403">
        <w:rPr>
          <w:i/>
        </w:rPr>
        <w:t xml:space="preserve"> </w:t>
      </w:r>
      <w:r w:rsidRPr="00BE1403">
        <w:rPr>
          <w:i/>
        </w:rPr>
        <w:t xml:space="preserve">invalidate </w:t>
      </w:r>
      <w:r w:rsidR="005304F4" w:rsidRPr="00BE1403">
        <w:rPr>
          <w:i/>
        </w:rPr>
        <w:t xml:space="preserve">or neutralise any taboo </w:t>
      </w:r>
      <w:r w:rsidRPr="00BE1403">
        <w:rPr>
          <w:i/>
        </w:rPr>
        <w:t>not adhered to</w:t>
      </w:r>
      <w:r w:rsidR="005304F4" w:rsidRPr="00BE1403">
        <w:rPr>
          <w:i/>
        </w:rPr>
        <w:t>. This is</w:t>
      </w:r>
      <w:r w:rsidRPr="00BE1403">
        <w:rPr>
          <w:i/>
        </w:rPr>
        <w:t xml:space="preserve"> discussed in relation to th</w:t>
      </w:r>
      <w:r w:rsidR="002C136A" w:rsidRPr="00BE1403">
        <w:rPr>
          <w:i/>
        </w:rPr>
        <w:t>e Strategic Narratives paradigm and comparative case studies on the presidential rhetoric of Bill Clinton and Barack Obama.</w:t>
      </w:r>
    </w:p>
    <w:p w14:paraId="36C65D30" w14:textId="77777777" w:rsidR="00C6612E" w:rsidRDefault="00C6612E" w:rsidP="00BB151F">
      <w:pPr>
        <w:spacing w:line="480" w:lineRule="auto"/>
        <w:ind w:left="567" w:right="567"/>
      </w:pPr>
    </w:p>
    <w:p w14:paraId="72F1D579" w14:textId="55AE11ED" w:rsidR="00C6612E" w:rsidRPr="00C6612E" w:rsidRDefault="00C6612E" w:rsidP="00BB151F">
      <w:pPr>
        <w:spacing w:line="480" w:lineRule="auto"/>
        <w:ind w:left="567" w:right="567"/>
      </w:pPr>
      <w:r w:rsidRPr="00C6612E">
        <w:rPr>
          <w:b/>
        </w:rPr>
        <w:t>Keywords:</w:t>
      </w:r>
      <w:r>
        <w:t xml:space="preserve"> Normative Theory; Strategic Narratives; Intervention; US Foreign Policy</w:t>
      </w:r>
    </w:p>
    <w:p w14:paraId="7511DB32" w14:textId="77777777" w:rsidR="004D7A98" w:rsidRPr="00BE1403" w:rsidRDefault="004D7A98" w:rsidP="00BB151F">
      <w:pPr>
        <w:spacing w:line="480" w:lineRule="auto"/>
      </w:pPr>
    </w:p>
    <w:p w14:paraId="789BDBFF" w14:textId="77777777" w:rsidR="004D7A98" w:rsidRPr="00BE1403" w:rsidRDefault="004D7A98" w:rsidP="00BB151F">
      <w:pPr>
        <w:spacing w:line="480" w:lineRule="auto"/>
      </w:pPr>
    </w:p>
    <w:p w14:paraId="1161616B" w14:textId="77777777" w:rsidR="003E462C" w:rsidRDefault="003E462C" w:rsidP="00BB151F">
      <w:pPr>
        <w:spacing w:line="480" w:lineRule="auto"/>
      </w:pPr>
      <w:bookmarkStart w:id="0" w:name="_GoBack"/>
      <w:bookmarkEnd w:id="0"/>
    </w:p>
    <w:p w14:paraId="3ADFE7B3" w14:textId="77777777" w:rsidR="00C6612E" w:rsidRPr="00C6612E" w:rsidRDefault="00C6612E" w:rsidP="00BB151F">
      <w:pPr>
        <w:spacing w:line="480" w:lineRule="auto"/>
        <w:rPr>
          <w:b/>
        </w:rPr>
      </w:pPr>
      <w:r w:rsidRPr="00C6612E">
        <w:rPr>
          <w:b/>
        </w:rPr>
        <w:lastRenderedPageBreak/>
        <w:t xml:space="preserve">Bio: </w:t>
      </w:r>
    </w:p>
    <w:p w14:paraId="7D5B3B63" w14:textId="57D76738" w:rsidR="00C6612E" w:rsidRDefault="00C6612E" w:rsidP="00BB151F">
      <w:pPr>
        <w:spacing w:line="480" w:lineRule="auto"/>
      </w:pPr>
      <w:r>
        <w:t xml:space="preserve">Dr Michelle Bentley is Senior Lecturer in International Relations at Royal Holloway, University of London. Her research specialises in US foreign policy and strategic </w:t>
      </w:r>
      <w:r w:rsidR="002D5375">
        <w:t>rhetoric</w:t>
      </w:r>
      <w:r>
        <w:t>. She is author of two monographs:</w:t>
      </w:r>
      <w:r w:rsidRPr="00C6612E">
        <w:rPr>
          <w:rFonts w:eastAsia="Times New Roman"/>
        </w:rPr>
        <w:t xml:space="preserve"> </w:t>
      </w:r>
      <w:r>
        <w:rPr>
          <w:rFonts w:eastAsia="Times New Roman"/>
          <w:i/>
        </w:rPr>
        <w:t>Weapons of Mass Destruction and US Foreign Policy: The Strategic Use of a Concept</w:t>
      </w:r>
      <w:r>
        <w:rPr>
          <w:rFonts w:eastAsia="Times New Roman"/>
        </w:rPr>
        <w:t xml:space="preserve"> (</w:t>
      </w:r>
      <w:r w:rsidR="002D5375">
        <w:rPr>
          <w:rFonts w:eastAsia="Times New Roman"/>
        </w:rPr>
        <w:t xml:space="preserve">2014; </w:t>
      </w:r>
      <w:r>
        <w:rPr>
          <w:rFonts w:eastAsia="Times New Roman"/>
        </w:rPr>
        <w:t>a</w:t>
      </w:r>
      <w:r w:rsidR="002D5375">
        <w:rPr>
          <w:rFonts w:eastAsia="Times New Roman"/>
        </w:rPr>
        <w:t>nalysing WMD and their rhetorical construction in policy discourses</w:t>
      </w:r>
      <w:r>
        <w:rPr>
          <w:rFonts w:eastAsia="Times New Roman"/>
        </w:rPr>
        <w:t xml:space="preserve">) and </w:t>
      </w:r>
      <w:r>
        <w:rPr>
          <w:rStyle w:val="Emphasis"/>
          <w:rFonts w:eastAsia="Times New Roman"/>
        </w:rPr>
        <w:t>Syria and the Chemical Weapons Taboo: Exploiting the Forbidden</w:t>
      </w:r>
      <w:r>
        <w:rPr>
          <w:rFonts w:eastAsia="Times New Roman"/>
        </w:rPr>
        <w:t xml:space="preserve"> (</w:t>
      </w:r>
      <w:r w:rsidR="002D5375">
        <w:rPr>
          <w:rFonts w:eastAsia="Times New Roman"/>
        </w:rPr>
        <w:t xml:space="preserve">2016; </w:t>
      </w:r>
      <w:r>
        <w:rPr>
          <w:rFonts w:eastAsia="Times New Roman"/>
        </w:rPr>
        <w:t>looking at US foreign policy on the Syrian crisis</w:t>
      </w:r>
      <w:r w:rsidR="002D5375">
        <w:rPr>
          <w:rFonts w:eastAsia="Times New Roman"/>
        </w:rPr>
        <w:t xml:space="preserve"> in relation to chemical warfare</w:t>
      </w:r>
      <w:r>
        <w:rPr>
          <w:rFonts w:eastAsia="Times New Roman"/>
        </w:rPr>
        <w:t xml:space="preserve">). She has also co-edited two </w:t>
      </w:r>
      <w:r w:rsidR="002D5375">
        <w:rPr>
          <w:rFonts w:eastAsia="Times New Roman"/>
        </w:rPr>
        <w:t>volumes on President Barack</w:t>
      </w:r>
      <w:r>
        <w:rPr>
          <w:rFonts w:eastAsia="Times New Roman"/>
        </w:rPr>
        <w:t xml:space="preserve"> Obama</w:t>
      </w:r>
      <w:r w:rsidR="002D5375">
        <w:rPr>
          <w:rFonts w:eastAsia="Times New Roman"/>
        </w:rPr>
        <w:t>’s</w:t>
      </w:r>
      <w:r>
        <w:rPr>
          <w:rFonts w:eastAsia="Times New Roman"/>
        </w:rPr>
        <w:t xml:space="preserve"> administration and continuity in US foreign policy. </w:t>
      </w:r>
    </w:p>
    <w:p w14:paraId="11F29FB2" w14:textId="77777777" w:rsidR="00C6612E" w:rsidRDefault="00C6612E" w:rsidP="00BB151F">
      <w:pPr>
        <w:spacing w:line="480" w:lineRule="auto"/>
      </w:pPr>
    </w:p>
    <w:p w14:paraId="69741D43" w14:textId="77777777" w:rsidR="00C6612E" w:rsidRDefault="00C6612E" w:rsidP="00BB151F">
      <w:pPr>
        <w:spacing w:line="480" w:lineRule="auto"/>
      </w:pPr>
    </w:p>
    <w:p w14:paraId="4B75D834" w14:textId="77777777" w:rsidR="00C6612E" w:rsidRPr="00C6612E" w:rsidRDefault="00C6612E" w:rsidP="00BB151F">
      <w:pPr>
        <w:spacing w:line="480" w:lineRule="auto"/>
        <w:rPr>
          <w:b/>
        </w:rPr>
      </w:pPr>
      <w:r w:rsidRPr="00C6612E">
        <w:rPr>
          <w:b/>
        </w:rPr>
        <w:t xml:space="preserve">Institutional Address: </w:t>
      </w:r>
    </w:p>
    <w:p w14:paraId="058A78F1" w14:textId="02F412C5" w:rsidR="00C6612E" w:rsidRDefault="00C6612E" w:rsidP="00BB151F">
      <w:pPr>
        <w:spacing w:line="480" w:lineRule="auto"/>
      </w:pPr>
      <w:r>
        <w:t>Department of Politics and International Relations</w:t>
      </w:r>
    </w:p>
    <w:p w14:paraId="6880B4CE" w14:textId="56DF4F49" w:rsidR="00C6612E" w:rsidRDefault="00C6612E" w:rsidP="00BB151F">
      <w:pPr>
        <w:spacing w:line="480" w:lineRule="auto"/>
      </w:pPr>
      <w:r>
        <w:t>Royal Holloway, University of London</w:t>
      </w:r>
    </w:p>
    <w:p w14:paraId="4FF19496" w14:textId="18C3D609" w:rsidR="00C6612E" w:rsidRDefault="00C6612E" w:rsidP="00BB151F">
      <w:pPr>
        <w:spacing w:line="480" w:lineRule="auto"/>
      </w:pPr>
      <w:r>
        <w:t>Egham</w:t>
      </w:r>
    </w:p>
    <w:p w14:paraId="231286A3" w14:textId="2BF6E14D" w:rsidR="00C6612E" w:rsidRDefault="00C6612E" w:rsidP="00BB151F">
      <w:pPr>
        <w:spacing w:line="480" w:lineRule="auto"/>
      </w:pPr>
      <w:r>
        <w:t>TW20 0EX</w:t>
      </w:r>
    </w:p>
    <w:p w14:paraId="392E0C22" w14:textId="77777777" w:rsidR="00C6612E" w:rsidRDefault="00C6612E" w:rsidP="00BB151F">
      <w:pPr>
        <w:spacing w:line="480" w:lineRule="auto"/>
      </w:pPr>
    </w:p>
    <w:p w14:paraId="04AD92EA" w14:textId="77777777" w:rsidR="00C6612E" w:rsidRDefault="00C6612E" w:rsidP="00BB151F">
      <w:pPr>
        <w:spacing w:line="480" w:lineRule="auto"/>
      </w:pPr>
    </w:p>
    <w:p w14:paraId="369440EE" w14:textId="708BB65C" w:rsidR="00C6612E" w:rsidRDefault="00C6612E" w:rsidP="00BB151F">
      <w:pPr>
        <w:spacing w:line="480" w:lineRule="auto"/>
      </w:pPr>
      <w:r w:rsidRPr="00C6612E">
        <w:rPr>
          <w:b/>
        </w:rPr>
        <w:t>E-mail:</w:t>
      </w:r>
      <w:r>
        <w:t xml:space="preserve"> Michelle.Bentley@rhul.ac.uk</w:t>
      </w:r>
    </w:p>
    <w:p w14:paraId="635506A8" w14:textId="77777777" w:rsidR="00C6612E" w:rsidRDefault="00C6612E" w:rsidP="00BB151F">
      <w:pPr>
        <w:spacing w:line="480" w:lineRule="auto"/>
      </w:pPr>
    </w:p>
    <w:p w14:paraId="5E92CCD3" w14:textId="77777777" w:rsidR="00C6612E" w:rsidRDefault="00C6612E" w:rsidP="00BB151F">
      <w:pPr>
        <w:spacing w:line="480" w:lineRule="auto"/>
      </w:pPr>
    </w:p>
    <w:p w14:paraId="40C8911F" w14:textId="77777777" w:rsidR="00C6612E" w:rsidRDefault="00C6612E" w:rsidP="00BB151F">
      <w:pPr>
        <w:spacing w:line="480" w:lineRule="auto"/>
      </w:pPr>
    </w:p>
    <w:p w14:paraId="30024D1C" w14:textId="77777777" w:rsidR="00C6612E" w:rsidRPr="00BE1403" w:rsidRDefault="00C6612E" w:rsidP="00BB151F">
      <w:pPr>
        <w:spacing w:line="480" w:lineRule="auto"/>
      </w:pPr>
    </w:p>
    <w:p w14:paraId="5FE3099B" w14:textId="31D2B9B5" w:rsidR="003E462C" w:rsidRPr="00BE1403" w:rsidRDefault="00237AF4" w:rsidP="00BB151F">
      <w:pPr>
        <w:spacing w:line="480" w:lineRule="auto"/>
      </w:pPr>
      <w:r w:rsidRPr="00BE1403">
        <w:t>‘</w:t>
      </w:r>
      <w:r w:rsidR="003E462C" w:rsidRPr="00BE1403">
        <w:t>To i</w:t>
      </w:r>
      <w:r w:rsidR="00146F5E" w:rsidRPr="00BE1403">
        <w:t>ntervene, or not to intervene,</w:t>
      </w:r>
      <w:r w:rsidRPr="00BE1403">
        <w:t>’</w:t>
      </w:r>
      <w:r w:rsidR="00146F5E" w:rsidRPr="00BE1403">
        <w:t xml:space="preserve"> Hans Morgenthau once asked.</w:t>
      </w:r>
      <w:r w:rsidRPr="00BE1403">
        <w:rPr>
          <w:rStyle w:val="FootnoteReference"/>
        </w:rPr>
        <w:footnoteReference w:id="1"/>
      </w:r>
      <w:r w:rsidRPr="00BE1403">
        <w:t xml:space="preserve"> T</w:t>
      </w:r>
      <w:r w:rsidR="003E462C" w:rsidRPr="00BE1403">
        <w:t>hat is the question.</w:t>
      </w:r>
      <w:r w:rsidR="00FB0CF2" w:rsidRPr="00BE1403">
        <w:t xml:space="preserve"> Specifically, </w:t>
      </w:r>
      <w:r w:rsidR="00146F5E" w:rsidRPr="00BE1403">
        <w:t xml:space="preserve">this comprises one of the most controversial, contentious, and contested questions within International Relations (IR). While IR is replete with difficult decisions, few attract more passion and criticism than </w:t>
      </w:r>
      <w:r w:rsidR="00366FA5" w:rsidRPr="00BE1403">
        <w:t>that</w:t>
      </w:r>
      <w:r w:rsidR="00146F5E" w:rsidRPr="00BE1403">
        <w:t xml:space="preserve"> of intervention, </w:t>
      </w:r>
      <w:r w:rsidR="0079115B" w:rsidRPr="00BE1403">
        <w:t>especially</w:t>
      </w:r>
      <w:r w:rsidR="00146F5E" w:rsidRPr="00BE1403">
        <w:t xml:space="preserve"> humanitar</w:t>
      </w:r>
      <w:r w:rsidR="00366FA5" w:rsidRPr="00BE1403">
        <w:t>ian intervention. No other issue</w:t>
      </w:r>
      <w:r w:rsidR="008964DC">
        <w:t xml:space="preserve"> has </w:t>
      </w:r>
      <w:r w:rsidR="00146F5E" w:rsidRPr="00BE1403">
        <w:t xml:space="preserve">the capacity to turn foreign policy-makers into gallant </w:t>
      </w:r>
      <w:r w:rsidR="008D45F8" w:rsidRPr="00BE1403">
        <w:t xml:space="preserve">knights in shining armour, or </w:t>
      </w:r>
      <w:r w:rsidR="00146F5E" w:rsidRPr="00BE1403">
        <w:t>to murderous devils wi</w:t>
      </w:r>
      <w:r w:rsidR="00F31384" w:rsidRPr="00BE1403">
        <w:t>th blood on their hands</w:t>
      </w:r>
      <w:r w:rsidR="00146F5E" w:rsidRPr="00BE1403">
        <w:t>. The reason for</w:t>
      </w:r>
      <w:r w:rsidR="006879C1" w:rsidRPr="00BE1403">
        <w:t xml:space="preserve"> this controversy is that the</w:t>
      </w:r>
      <w:r w:rsidR="00146F5E" w:rsidRPr="00BE1403">
        <w:t xml:space="preserve"> intervention </w:t>
      </w:r>
      <w:r w:rsidR="006879C1" w:rsidRPr="00BE1403">
        <w:t xml:space="preserve">debate </w:t>
      </w:r>
      <w:r w:rsidR="008D45F8" w:rsidRPr="00BE1403">
        <w:t>is</w:t>
      </w:r>
      <w:r w:rsidR="00146F5E" w:rsidRPr="00BE1403">
        <w:t xml:space="preserve"> characterised by two key</w:t>
      </w:r>
      <w:r w:rsidR="00AC4A8E" w:rsidRPr="00BE1403">
        <w:t>, but mutually exclusive,</w:t>
      </w:r>
      <w:r w:rsidR="00146F5E" w:rsidRPr="00BE1403">
        <w:t xml:space="preserve"> taboos: a</w:t>
      </w:r>
      <w:r w:rsidR="003227FC" w:rsidRPr="00BE1403">
        <w:t xml:space="preserve"> moral</w:t>
      </w:r>
      <w:r w:rsidR="00146F5E" w:rsidRPr="00BE1403">
        <w:t xml:space="preserve"> </w:t>
      </w:r>
      <w:r w:rsidR="001A3770" w:rsidRPr="00BE1403">
        <w:t>expectation</w:t>
      </w:r>
      <w:r w:rsidR="00146F5E" w:rsidRPr="00BE1403">
        <w:t xml:space="preserve"> to </w:t>
      </w:r>
      <w:r w:rsidR="004051DF" w:rsidRPr="00BE1403">
        <w:t>respond</w:t>
      </w:r>
      <w:r w:rsidR="003A55EF" w:rsidRPr="00BE1403">
        <w:t xml:space="preserve"> in cases of </w:t>
      </w:r>
      <w:r w:rsidR="00146F5E" w:rsidRPr="00BE1403">
        <w:t>humanitarian need; and the protection of state sovereignty</w:t>
      </w:r>
      <w:r w:rsidR="00F13BBF" w:rsidRPr="00BE1403">
        <w:t>,</w:t>
      </w:r>
      <w:r w:rsidR="00146F5E" w:rsidRPr="00BE1403">
        <w:t xml:space="preserve"> which precludes </w:t>
      </w:r>
      <w:r w:rsidR="003A55EF" w:rsidRPr="00BE1403">
        <w:t>external</w:t>
      </w:r>
      <w:r w:rsidR="00AC4A8E" w:rsidRPr="00BE1403">
        <w:t xml:space="preserve"> </w:t>
      </w:r>
      <w:r w:rsidR="00A23D4E" w:rsidRPr="00BE1403">
        <w:t>intercession</w:t>
      </w:r>
      <w:r w:rsidR="00146F5E" w:rsidRPr="00BE1403">
        <w:t xml:space="preserve"> </w:t>
      </w:r>
      <w:r w:rsidR="00F13BBF" w:rsidRPr="00BE1403">
        <w:t xml:space="preserve">within another state’s </w:t>
      </w:r>
      <w:r w:rsidR="00AC4A8E" w:rsidRPr="00BE1403">
        <w:t>territory.</w:t>
      </w:r>
      <w:r w:rsidR="007E089D" w:rsidRPr="00BE1403">
        <w:t xml:space="preserve"> The inherent conflict between these two positions has created a normative dilemma. In terms of understanding how this dilemma is </w:t>
      </w:r>
      <w:r w:rsidR="006879C1" w:rsidRPr="00BE1403">
        <w:t xml:space="preserve">to be </w:t>
      </w:r>
      <w:r w:rsidR="007E089D" w:rsidRPr="00BE1403">
        <w:t>resolved, analys</w:t>
      </w:r>
      <w:r w:rsidR="006879C1" w:rsidRPr="00BE1403">
        <w:t>is has focused on unpa</w:t>
      </w:r>
      <w:r w:rsidR="007E089D" w:rsidRPr="00BE1403">
        <w:t>ck</w:t>
      </w:r>
      <w:r w:rsidR="006879C1" w:rsidRPr="00BE1403">
        <w:t>ing</w:t>
      </w:r>
      <w:r w:rsidR="007E089D" w:rsidRPr="00BE1403">
        <w:t xml:space="preserve"> how actors deal with two equally persistent normative demands: how does an</w:t>
      </w:r>
      <w:r w:rsidR="009E09E4" w:rsidRPr="00BE1403">
        <w:t xml:space="preserve"> actor decide between multiple</w:t>
      </w:r>
      <w:r w:rsidR="00C77F4D" w:rsidRPr="00BE1403">
        <w:t xml:space="preserve"> </w:t>
      </w:r>
      <w:r w:rsidR="00D41E77" w:rsidRPr="00BE1403">
        <w:t xml:space="preserve">ideational </w:t>
      </w:r>
      <w:r w:rsidR="00441A80" w:rsidRPr="00BE1403">
        <w:t>standpoints</w:t>
      </w:r>
      <w:r w:rsidR="00C44027">
        <w:t xml:space="preserve"> when they</w:t>
      </w:r>
      <w:r w:rsidR="00C77F4D" w:rsidRPr="00BE1403">
        <w:t xml:space="preserve"> are</w:t>
      </w:r>
      <w:r w:rsidR="007E089D" w:rsidRPr="00BE1403">
        <w:t xml:space="preserve"> </w:t>
      </w:r>
      <w:r w:rsidR="00C77F4D" w:rsidRPr="00BE1403">
        <w:t>similarly</w:t>
      </w:r>
      <w:r w:rsidR="007E089D" w:rsidRPr="00BE1403">
        <w:t xml:space="preserve"> compelling in respect of normative expectation? </w:t>
      </w:r>
      <w:r w:rsidR="00D41E77" w:rsidRPr="00BE1403">
        <w:t xml:space="preserve">How does decision-making function </w:t>
      </w:r>
      <w:r w:rsidR="00F31CBB" w:rsidRPr="00BE1403">
        <w:t>with</w:t>
      </w:r>
      <w:r w:rsidR="00D41E77" w:rsidRPr="00BE1403">
        <w:t>in a binary normati</w:t>
      </w:r>
      <w:r w:rsidR="00F31CBB" w:rsidRPr="00BE1403">
        <w:t>ve environment? Yet this approach overlooks</w:t>
      </w:r>
      <w:r w:rsidR="00D41E77" w:rsidRPr="00BE1403">
        <w:t xml:space="preserve"> a core</w:t>
      </w:r>
      <w:r w:rsidR="007E089D" w:rsidRPr="00BE1403">
        <w:t xml:space="preserve"> aspect of </w:t>
      </w:r>
      <w:r w:rsidR="006879C1" w:rsidRPr="00BE1403">
        <w:t>normative behaviour</w:t>
      </w:r>
      <w:r w:rsidR="00D41E77" w:rsidRPr="00BE1403">
        <w:t xml:space="preserve"> in respect to coping with dilemma</w:t>
      </w:r>
      <w:r w:rsidR="00BD731B" w:rsidRPr="00BE1403">
        <w:t>: the</w:t>
      </w:r>
      <w:r w:rsidR="0018145F" w:rsidRPr="00BE1403">
        <w:t xml:space="preserve"> rhetorical construction of </w:t>
      </w:r>
      <w:r w:rsidR="00BD731B" w:rsidRPr="00BE1403">
        <w:t>decision.</w:t>
      </w:r>
      <w:r w:rsidR="002A1D3E" w:rsidRPr="00BE1403">
        <w:t xml:space="preserve"> </w:t>
      </w:r>
      <w:r w:rsidR="007E089D" w:rsidRPr="00BE1403">
        <w:t>Regardl</w:t>
      </w:r>
      <w:r w:rsidR="00F31CBB" w:rsidRPr="00BE1403">
        <w:t>ess of the motivation behind a</w:t>
      </w:r>
      <w:r w:rsidR="008964DC">
        <w:t xml:space="preserve"> decision </w:t>
      </w:r>
      <w:r w:rsidR="00F31CBB" w:rsidRPr="00BE1403">
        <w:t>concerning intervention</w:t>
      </w:r>
      <w:r w:rsidR="007E089D" w:rsidRPr="00BE1403">
        <w:t xml:space="preserve"> – whe</w:t>
      </w:r>
      <w:r w:rsidR="0069731C" w:rsidRPr="00BE1403">
        <w:t>ther this is the product of a</w:t>
      </w:r>
      <w:r w:rsidR="007E089D" w:rsidRPr="00BE1403">
        <w:t xml:space="preserve"> complex normative </w:t>
      </w:r>
      <w:r w:rsidR="002A1D3E" w:rsidRPr="00BE1403">
        <w:t>trade-off</w:t>
      </w:r>
      <w:r w:rsidR="006A44F7">
        <w:t xml:space="preserve"> or a</w:t>
      </w:r>
      <w:r w:rsidR="007E089D" w:rsidRPr="00BE1403">
        <w:t xml:space="preserve"> </w:t>
      </w:r>
      <w:r w:rsidR="0069731C" w:rsidRPr="00BE1403">
        <w:t xml:space="preserve">more simplistic </w:t>
      </w:r>
      <w:r w:rsidR="007E089D" w:rsidRPr="00BE1403">
        <w:t>assertion of real</w:t>
      </w:r>
      <w:r w:rsidR="00EF152D" w:rsidRPr="00BE1403">
        <w:t>ist self-interest – what occurs</w:t>
      </w:r>
      <w:r w:rsidR="007E089D" w:rsidRPr="00BE1403">
        <w:t xml:space="preserve"> when that decision is communicated? This will</w:t>
      </w:r>
      <w:r w:rsidR="00866A90" w:rsidRPr="00BE1403">
        <w:t xml:space="preserve"> necessarily</w:t>
      </w:r>
      <w:r w:rsidR="007E089D" w:rsidRPr="00BE1403">
        <w:t xml:space="preserve"> involve the construction of a rhetorical strategy</w:t>
      </w:r>
      <w:r w:rsidR="00664D63" w:rsidRPr="00BE1403">
        <w:rPr>
          <w:rStyle w:val="FootnoteReference"/>
        </w:rPr>
        <w:footnoteReference w:id="2"/>
      </w:r>
      <w:r w:rsidR="00D02B39" w:rsidRPr="00BE1403">
        <w:t xml:space="preserve"> that justifies</w:t>
      </w:r>
      <w:r w:rsidR="005C6897" w:rsidRPr="00BE1403">
        <w:t xml:space="preserve"> and promotes</w:t>
      </w:r>
      <w:r w:rsidR="00D02B39" w:rsidRPr="00BE1403">
        <w:t xml:space="preserve"> </w:t>
      </w:r>
      <w:r w:rsidR="005C6897" w:rsidRPr="00BE1403">
        <w:t>the decision to intervene or not</w:t>
      </w:r>
      <w:r w:rsidR="00D02B39" w:rsidRPr="00BE1403">
        <w:t xml:space="preserve">; but what does </w:t>
      </w:r>
      <w:r w:rsidR="00866A90" w:rsidRPr="00BE1403">
        <w:t>that process</w:t>
      </w:r>
      <w:r w:rsidR="00D819E2">
        <w:t xml:space="preserve"> </w:t>
      </w:r>
      <w:r w:rsidR="00F47DD5" w:rsidRPr="00BE1403">
        <w:t>entail</w:t>
      </w:r>
      <w:r w:rsidR="00866A90" w:rsidRPr="00BE1403">
        <w:t xml:space="preserve"> </w:t>
      </w:r>
      <w:r w:rsidR="00F47DD5" w:rsidRPr="00BE1403">
        <w:t>with</w:t>
      </w:r>
      <w:r w:rsidR="00866A90" w:rsidRPr="00BE1403">
        <w:t>in</w:t>
      </w:r>
      <w:r w:rsidR="007E089D" w:rsidRPr="00BE1403">
        <w:t xml:space="preserve"> a binary conceptual </w:t>
      </w:r>
      <w:r w:rsidR="009C6067" w:rsidRPr="00BE1403">
        <w:t>condition</w:t>
      </w:r>
      <w:r w:rsidR="007E089D" w:rsidRPr="00BE1403">
        <w:t>?</w:t>
      </w:r>
    </w:p>
    <w:p w14:paraId="4FB0A615" w14:textId="77777777" w:rsidR="00D02B39" w:rsidRPr="00BE1403" w:rsidRDefault="00D02B39" w:rsidP="00BB151F">
      <w:pPr>
        <w:spacing w:line="480" w:lineRule="auto"/>
      </w:pPr>
    </w:p>
    <w:p w14:paraId="50F13DE1" w14:textId="74D08426" w:rsidR="00D557BA" w:rsidRPr="00BE1403" w:rsidRDefault="00FC6D48" w:rsidP="00BB151F">
      <w:pPr>
        <w:spacing w:line="480" w:lineRule="auto"/>
      </w:pPr>
      <w:r>
        <w:t xml:space="preserve">It is argued </w:t>
      </w:r>
      <w:r w:rsidR="007E089D" w:rsidRPr="00BE1403">
        <w:t xml:space="preserve">that actors are forced to engage in a process of, what is termed here, </w:t>
      </w:r>
      <w:r w:rsidR="007E089D" w:rsidRPr="00BE1403">
        <w:rPr>
          <w:i/>
        </w:rPr>
        <w:t>normative invalidation</w:t>
      </w:r>
      <w:r w:rsidR="007E089D" w:rsidRPr="00BE1403">
        <w:t>.</w:t>
      </w:r>
      <w:r w:rsidR="000F6D0B" w:rsidRPr="00BE1403">
        <w:t xml:space="preserve"> </w:t>
      </w:r>
      <w:r w:rsidR="005A7BFE" w:rsidRPr="00BE1403">
        <w:t>Within this</w:t>
      </w:r>
      <w:r w:rsidR="00460975" w:rsidRPr="00BE1403">
        <w:t xml:space="preserve"> binary </w:t>
      </w:r>
      <w:r w:rsidR="00FD2655" w:rsidRPr="00BE1403">
        <w:t>normative framework</w:t>
      </w:r>
      <w:r w:rsidR="00460975" w:rsidRPr="00BE1403">
        <w:t xml:space="preserve">, an actor </w:t>
      </w:r>
      <w:r w:rsidR="00FD2655" w:rsidRPr="00BE1403">
        <w:t>can obviously not adhere to two oppositional</w:t>
      </w:r>
      <w:r w:rsidR="00460975" w:rsidRPr="00BE1403">
        <w:t xml:space="preserve"> taboos in terms of the construction of a rhetorical strategy; nor indeed, are they required to adhere to either, should they wish to pursue an alternative narrative</w:t>
      </w:r>
      <w:r>
        <w:t xml:space="preserve">. </w:t>
      </w:r>
      <w:r w:rsidR="00FD2655" w:rsidRPr="00BE1403">
        <w:t>Yet, while</w:t>
      </w:r>
      <w:r w:rsidR="000A75E1" w:rsidRPr="00BE1403">
        <w:t xml:space="preserve"> an actor </w:t>
      </w:r>
      <w:r w:rsidR="00EA7D0C">
        <w:t>can</w:t>
      </w:r>
      <w:r w:rsidR="000A75E1" w:rsidRPr="00BE1403">
        <w:t xml:space="preserve"> adopt either taboo as the basis</w:t>
      </w:r>
      <w:r w:rsidR="00FD2655" w:rsidRPr="00BE1403">
        <w:t xml:space="preserve"> of their policy narrative, </w:t>
      </w:r>
      <w:r w:rsidR="000A75E1" w:rsidRPr="00BE1403">
        <w:t xml:space="preserve">this does not automatically </w:t>
      </w:r>
      <w:r w:rsidR="00FD2655" w:rsidRPr="00BE1403">
        <w:t xml:space="preserve">‘get rid’ of the </w:t>
      </w:r>
      <w:r w:rsidR="000A75E1" w:rsidRPr="00BE1403">
        <w:t>taboo(s)</w:t>
      </w:r>
      <w:r w:rsidR="00FD2655" w:rsidRPr="00BE1403">
        <w:t xml:space="preserve"> not adopted. In this case, the other</w:t>
      </w:r>
      <w:r w:rsidR="00FB1EDE" w:rsidRPr="00BE1403">
        <w:t xml:space="preserve"> taboo still exerts normative</w:t>
      </w:r>
      <w:r w:rsidR="000A75E1" w:rsidRPr="00BE1403">
        <w:t xml:space="preserve"> influence, and – if not dealt with – </w:t>
      </w:r>
      <w:r w:rsidR="00FD2655" w:rsidRPr="00BE1403">
        <w:t>will threaten the success of the</w:t>
      </w:r>
      <w:r w:rsidR="000A75E1" w:rsidRPr="00BE1403">
        <w:t xml:space="preserve"> rhetorical strategy</w:t>
      </w:r>
      <w:r w:rsidR="00FD2655" w:rsidRPr="00BE1403">
        <w:t xml:space="preserve"> in question</w:t>
      </w:r>
      <w:r w:rsidR="000A75E1" w:rsidRPr="00BE1403">
        <w:t>, not least where it provides a</w:t>
      </w:r>
      <w:r w:rsidR="00FD2655" w:rsidRPr="00BE1403">
        <w:t>n ideal conceptual foundation</w:t>
      </w:r>
      <w:r w:rsidR="000A75E1" w:rsidRPr="00BE1403">
        <w:t xml:space="preserve"> on which critics can mount an opposition to </w:t>
      </w:r>
      <w:r w:rsidR="00AB2972" w:rsidRPr="00BE1403">
        <w:t>a given decision</w:t>
      </w:r>
      <w:r w:rsidR="000A75E1" w:rsidRPr="00BE1403">
        <w:t>. The actor, therefore, must develop a rhetorical strategy that actively invalidate</w:t>
      </w:r>
      <w:r w:rsidR="00FD2655" w:rsidRPr="00BE1403">
        <w:t xml:space="preserve">s and neutralises the relevance and/or </w:t>
      </w:r>
      <w:r w:rsidR="000A75E1" w:rsidRPr="00BE1403">
        <w:t>meaning of the ‘rejected’ taboo</w:t>
      </w:r>
      <w:r w:rsidR="0092675D" w:rsidRPr="00BE1403">
        <w:t>, where this constitutes</w:t>
      </w:r>
      <w:r w:rsidR="00AB2972" w:rsidRPr="00BE1403">
        <w:t xml:space="preserve"> a </w:t>
      </w:r>
      <w:r w:rsidR="00AB2972" w:rsidRPr="00BE1403">
        <w:rPr>
          <w:i/>
        </w:rPr>
        <w:t xml:space="preserve">necessary </w:t>
      </w:r>
      <w:r w:rsidR="00AB2972" w:rsidRPr="00BE1403">
        <w:t>aspect of their rhetoric</w:t>
      </w:r>
      <w:r w:rsidR="000A75E1" w:rsidRPr="00BE1403">
        <w:t>.</w:t>
      </w:r>
      <w:r w:rsidR="00451F27" w:rsidRPr="00BE1403">
        <w:t xml:space="preserve"> </w:t>
      </w:r>
      <w:r w:rsidR="00D557BA" w:rsidRPr="00BE1403">
        <w:t>This is discussed in relation to th</w:t>
      </w:r>
      <w:r w:rsidR="002F7D80">
        <w:t xml:space="preserve">e Strategic Narratives paradigm, specifically as an original model </w:t>
      </w:r>
      <w:r w:rsidR="00FE066D">
        <w:t>of</w:t>
      </w:r>
      <w:r w:rsidR="002F7D80">
        <w:t xml:space="preserve"> norms and norm usage </w:t>
      </w:r>
      <w:r w:rsidR="007D5804">
        <w:t>with</w:t>
      </w:r>
      <w:r w:rsidR="002F7D80">
        <w:t>in IR</w:t>
      </w:r>
      <w:r w:rsidR="00A712BF">
        <w:t xml:space="preserve"> based on actor agency</w:t>
      </w:r>
      <w:r w:rsidR="002F7D80">
        <w:t>.</w:t>
      </w:r>
    </w:p>
    <w:p w14:paraId="6395D0B3" w14:textId="77777777" w:rsidR="00451F27" w:rsidRPr="00BE1403" w:rsidRDefault="00451F27" w:rsidP="00BB151F">
      <w:pPr>
        <w:spacing w:line="480" w:lineRule="auto"/>
      </w:pPr>
    </w:p>
    <w:p w14:paraId="467FC0C1" w14:textId="65727ECF" w:rsidR="00DF3F2E" w:rsidRPr="00BE1403" w:rsidRDefault="00A92A18" w:rsidP="00BB151F">
      <w:pPr>
        <w:spacing w:line="480" w:lineRule="auto"/>
      </w:pPr>
      <w:r w:rsidRPr="00BE1403">
        <w:t>In demonstrating this, the article examines</w:t>
      </w:r>
      <w:r w:rsidR="00D66D10" w:rsidRPr="00BE1403">
        <w:t xml:space="preserve"> </w:t>
      </w:r>
      <w:r w:rsidRPr="00BE1403">
        <w:t>three case studies in</w:t>
      </w:r>
      <w:r w:rsidR="00D66D10" w:rsidRPr="00BE1403">
        <w:t xml:space="preserve"> US foreign policy rhetoric. Where the US is typically the focus of interventionist behaviour, given its position as the hegemon, this is why </w:t>
      </w:r>
      <w:r w:rsidR="004D6050">
        <w:t>it</w:t>
      </w:r>
      <w:r w:rsidR="00D66D10" w:rsidRPr="00BE1403">
        <w:t xml:space="preserve"> has been chosen. </w:t>
      </w:r>
      <w:r w:rsidR="00DF3F2E" w:rsidRPr="00BE1403">
        <w:t>Tw</w:t>
      </w:r>
      <w:r w:rsidR="00694D91" w:rsidRPr="00BE1403">
        <w:t>o presidents – President Bill</w:t>
      </w:r>
      <w:r w:rsidR="00DF3F2E" w:rsidRPr="00BE1403">
        <w:t xml:space="preserve"> Clinton and President Barack Obama – are analysed.</w:t>
      </w:r>
      <w:r w:rsidR="009406E2" w:rsidRPr="00BE1403">
        <w:t xml:space="preserve"> This is designed to </w:t>
      </w:r>
      <w:r w:rsidR="00DF3F2E" w:rsidRPr="00BE1403">
        <w:t>cou</w:t>
      </w:r>
      <w:r w:rsidR="0025132F" w:rsidRPr="00BE1403">
        <w:t>nter two potential arguments against the claims</w:t>
      </w:r>
      <w:r w:rsidR="00DF3F2E" w:rsidRPr="00BE1403">
        <w:t xml:space="preserve"> put forward. First, it demonstrates that the stra</w:t>
      </w:r>
      <w:r w:rsidR="0025132F" w:rsidRPr="00BE1403">
        <w:t xml:space="preserve">tegic trends identified </w:t>
      </w:r>
      <w:r w:rsidR="00DF3F2E" w:rsidRPr="00BE1403">
        <w:t>are not exclusive to one actor, but apply at the normative-systemic level</w:t>
      </w:r>
      <w:r w:rsidR="003638E3">
        <w:t>. Normative invalidation</w:t>
      </w:r>
      <w:r w:rsidR="00DF3F2E" w:rsidRPr="00BE1403">
        <w:t xml:space="preserve"> is not merely an individual stra</w:t>
      </w:r>
      <w:r w:rsidR="00B22BB7" w:rsidRPr="00BE1403">
        <w:t>tegy, adopted on the basis of one</w:t>
      </w:r>
      <w:r w:rsidR="00DF3F2E" w:rsidRPr="00BE1403">
        <w:t xml:space="preserve"> actor’s own personal brand of rhetorical construction. Second,</w:t>
      </w:r>
      <w:r w:rsidR="009406E2" w:rsidRPr="00BE1403">
        <w:t xml:space="preserve"> </w:t>
      </w:r>
      <w:r w:rsidR="0025132F" w:rsidRPr="00BE1403">
        <w:t>this is not simply an expression of an actor’</w:t>
      </w:r>
      <w:r w:rsidR="009406E2" w:rsidRPr="00BE1403">
        <w:t>s normative preference</w:t>
      </w:r>
      <w:r w:rsidR="0025132F" w:rsidRPr="00BE1403">
        <w:t>, but a strategic process. By analysing two case studies in relation to one president (Clinton)</w:t>
      </w:r>
      <w:r w:rsidR="009406E2" w:rsidRPr="00BE1403">
        <w:t>, so</w:t>
      </w:r>
      <w:r w:rsidR="0093020A" w:rsidRPr="00BE1403">
        <w:t xml:space="preserve"> this proves</w:t>
      </w:r>
      <w:r w:rsidR="009406E2" w:rsidRPr="00BE1403">
        <w:t xml:space="preserve"> that</w:t>
      </w:r>
      <w:r w:rsidR="0025132F" w:rsidRPr="00BE1403">
        <w:t xml:space="preserve"> different scenarios </w:t>
      </w:r>
      <w:r w:rsidR="00FD225D" w:rsidRPr="00BE1403">
        <w:t>can produce different outcomes of rhetorical construction</w:t>
      </w:r>
      <w:r w:rsidR="0025132F" w:rsidRPr="00BE1403">
        <w:t>, even by the same actor.</w:t>
      </w:r>
      <w:r w:rsidR="00FD225D" w:rsidRPr="00BE1403">
        <w:t xml:space="preserve"> </w:t>
      </w:r>
      <w:r w:rsidR="0093020A" w:rsidRPr="00BE1403">
        <w:t>The supporting d</w:t>
      </w:r>
      <w:r w:rsidR="00404AE7" w:rsidRPr="00BE1403">
        <w:t xml:space="preserve">ata, </w:t>
      </w:r>
      <w:r w:rsidR="005D7BF9" w:rsidRPr="00BE1403">
        <w:t xml:space="preserve">comprising an assessment of presidential </w:t>
      </w:r>
      <w:r w:rsidR="003433E9" w:rsidRPr="00BE1403">
        <w:t>speeches</w:t>
      </w:r>
      <w:r w:rsidR="00404AE7" w:rsidRPr="00BE1403">
        <w:t>,</w:t>
      </w:r>
      <w:r w:rsidR="005D7BF9" w:rsidRPr="00BE1403">
        <w:t xml:space="preserve"> was collected</w:t>
      </w:r>
      <w:r w:rsidR="00FD1337" w:rsidRPr="00BE1403">
        <w:t xml:space="preserve"> primarily</w:t>
      </w:r>
      <w:r w:rsidR="005D7BF9" w:rsidRPr="00BE1403">
        <w:t xml:space="preserve"> through searches of two key US government archives: the </w:t>
      </w:r>
      <w:r w:rsidR="005D7BF9" w:rsidRPr="00BE1403">
        <w:rPr>
          <w:i/>
        </w:rPr>
        <w:t>Public Papers of the Presidents of the United States</w:t>
      </w:r>
      <w:r w:rsidR="005D7BF9" w:rsidRPr="00BE1403">
        <w:t xml:space="preserve"> and the </w:t>
      </w:r>
      <w:r w:rsidR="005D7BF9" w:rsidRPr="00BE1403">
        <w:rPr>
          <w:i/>
        </w:rPr>
        <w:t>Compilation of Presidential Documents</w:t>
      </w:r>
      <w:r w:rsidR="005D7BF9" w:rsidRPr="00BE1403">
        <w:t>.</w:t>
      </w:r>
    </w:p>
    <w:p w14:paraId="69E001A4" w14:textId="77777777" w:rsidR="00666D83" w:rsidRPr="00BE1403" w:rsidRDefault="00666D83" w:rsidP="00BB151F">
      <w:pPr>
        <w:spacing w:line="480" w:lineRule="auto"/>
      </w:pPr>
    </w:p>
    <w:p w14:paraId="794B26CB" w14:textId="77777777" w:rsidR="00C075B2" w:rsidRPr="00BE1403" w:rsidRDefault="00C075B2" w:rsidP="00BB151F">
      <w:pPr>
        <w:spacing w:line="480" w:lineRule="auto"/>
      </w:pPr>
    </w:p>
    <w:p w14:paraId="34EC719D" w14:textId="77777777" w:rsidR="00BE7F37" w:rsidRPr="00BE1403" w:rsidRDefault="00BE7F37" w:rsidP="00BB151F">
      <w:pPr>
        <w:spacing w:line="480" w:lineRule="auto"/>
      </w:pPr>
    </w:p>
    <w:p w14:paraId="3B79A5B3" w14:textId="3D4464A1" w:rsidR="004B4F6A" w:rsidRPr="00BE1403" w:rsidRDefault="005140F8" w:rsidP="00BB151F">
      <w:pPr>
        <w:spacing w:line="480" w:lineRule="auto"/>
        <w:rPr>
          <w:b/>
        </w:rPr>
      </w:pPr>
      <w:r w:rsidRPr="00BE1403">
        <w:rPr>
          <w:b/>
        </w:rPr>
        <w:t xml:space="preserve">Intervention </w:t>
      </w:r>
      <w:r w:rsidR="00115C97">
        <w:rPr>
          <w:b/>
        </w:rPr>
        <w:t>as t</w:t>
      </w:r>
      <w:r w:rsidR="000F6E91" w:rsidRPr="00BE1403">
        <w:rPr>
          <w:b/>
        </w:rPr>
        <w:t>aboo</w:t>
      </w:r>
    </w:p>
    <w:p w14:paraId="44D69806" w14:textId="77777777" w:rsidR="004B4F6A" w:rsidRPr="00BE1403" w:rsidRDefault="004B4F6A" w:rsidP="00BB151F">
      <w:pPr>
        <w:spacing w:line="480" w:lineRule="auto"/>
      </w:pPr>
    </w:p>
    <w:p w14:paraId="7CB0C170" w14:textId="6AD07FDC" w:rsidR="00E61598" w:rsidRPr="00BE1403" w:rsidRDefault="00DB4845" w:rsidP="00BB151F">
      <w:pPr>
        <w:spacing w:line="480" w:lineRule="auto"/>
      </w:pPr>
      <w:r w:rsidRPr="00BE1403">
        <w:t>Taboos are what you are not supposed to do. They exist as socially constructed expectations that actors should not engage in, permit, and in some cases even acknowledge, certain behaviours deemed prohibitively unacceptable. To quo</w:t>
      </w:r>
      <w:r w:rsidR="008277DB" w:rsidRPr="00BE1403">
        <w:t>te Hutton Webster</w:t>
      </w:r>
      <w:r w:rsidRPr="00BE1403">
        <w:t>, taboos are ‘prohibitions observed as customs;’ ‘an imperative thou-shalt-not in the pre</w:t>
      </w:r>
      <w:r w:rsidR="008277DB" w:rsidRPr="00BE1403">
        <w:t>sence of the danger apprehended</w:t>
      </w:r>
      <w:r w:rsidRPr="00BE1403">
        <w:t>’</w:t>
      </w:r>
      <w:r w:rsidR="008277DB" w:rsidRPr="00BE1403">
        <w:rPr>
          <w:rStyle w:val="FootnoteReference"/>
        </w:rPr>
        <w:footnoteReference w:id="3"/>
      </w:r>
      <w:r w:rsidR="008277DB" w:rsidRPr="00BE1403">
        <w:t>.</w:t>
      </w:r>
      <w:r w:rsidRPr="00BE1403">
        <w:t xml:space="preserve"> They are the intrinsic ‘don’ts’ of soc</w:t>
      </w:r>
      <w:r w:rsidR="0081186A" w:rsidRPr="00BE1403">
        <w:t xml:space="preserve">iety, where these are </w:t>
      </w:r>
      <w:r w:rsidRPr="00BE1403">
        <w:t>attached to the hypothetical or actual violation of some moral, ethical, and/or social measure – a measure that obliges to be respected and upheld</w:t>
      </w:r>
      <w:r w:rsidR="008277DB" w:rsidRPr="00BE1403">
        <w:rPr>
          <w:rStyle w:val="FootnoteReference"/>
        </w:rPr>
        <w:footnoteReference w:id="4"/>
      </w:r>
      <w:r w:rsidRPr="00BE1403">
        <w:t>. Consequently, the socially integrated nature and ‘taken-for-</w:t>
      </w:r>
      <w:proofErr w:type="spellStart"/>
      <w:r w:rsidRPr="00BE1403">
        <w:t>grantedness</w:t>
      </w:r>
      <w:proofErr w:type="spellEnd"/>
      <w:r w:rsidRPr="00BE1403">
        <w:t>’ of this conceptualisation has seen taboos classified as a type of norm</w:t>
      </w:r>
      <w:r w:rsidR="008277DB" w:rsidRPr="00BE1403">
        <w:rPr>
          <w:rStyle w:val="FootnoteReference"/>
        </w:rPr>
        <w:footnoteReference w:id="5"/>
      </w:r>
      <w:r w:rsidRPr="00BE1403">
        <w:t>. To add in yet another definition: ‘Norms are regarded as standards of behaviour, defined in terms of rights and obligations. In this sense norms are general prescriptions of behaviour that regulate intentions and effects</w:t>
      </w:r>
      <w:r w:rsidR="008277DB" w:rsidRPr="00BE1403">
        <w:t>.</w:t>
      </w:r>
      <w:r w:rsidRPr="00BE1403">
        <w:t>’</w:t>
      </w:r>
      <w:r w:rsidR="008277DB" w:rsidRPr="00BE1403">
        <w:rPr>
          <w:rStyle w:val="FootnoteReference"/>
        </w:rPr>
        <w:footnoteReference w:id="6"/>
      </w:r>
      <w:r w:rsidR="00E72AF3" w:rsidRPr="00BE1403">
        <w:t xml:space="preserve"> S</w:t>
      </w:r>
      <w:r w:rsidRPr="00BE1403">
        <w:t>uch behaviour can be comprehended within the terms o</w:t>
      </w:r>
      <w:r w:rsidR="008277DB" w:rsidRPr="00BE1403">
        <w:t xml:space="preserve">f Peter </w:t>
      </w:r>
      <w:proofErr w:type="spellStart"/>
      <w:r w:rsidR="008277DB" w:rsidRPr="00BE1403">
        <w:t>Katzenstein’s</w:t>
      </w:r>
      <w:proofErr w:type="spellEnd"/>
      <w:r w:rsidR="008277DB" w:rsidRPr="00BE1403">
        <w:t xml:space="preserve"> </w:t>
      </w:r>
      <w:r w:rsidR="007818BF" w:rsidRPr="00BE1403">
        <w:t xml:space="preserve">well-used </w:t>
      </w:r>
      <w:r w:rsidRPr="00BE1403">
        <w:t>conception of ‘the proper behaviour of actors within a giv</w:t>
      </w:r>
      <w:r w:rsidR="00341DA1" w:rsidRPr="00BE1403">
        <w:t>en identity.’</w:t>
      </w:r>
      <w:r w:rsidR="008277DB" w:rsidRPr="00BE1403">
        <w:rPr>
          <w:rStyle w:val="FootnoteReference"/>
        </w:rPr>
        <w:footnoteReference w:id="7"/>
      </w:r>
      <w:r w:rsidRPr="00BE1403">
        <w:t xml:space="preserve"> Yet in the case of the taboo, action is not simply governed by normative expectation, but </w:t>
      </w:r>
      <w:r w:rsidR="00341DA1" w:rsidRPr="00BE1403">
        <w:t>also</w:t>
      </w:r>
      <w:r w:rsidRPr="00BE1403">
        <w:t xml:space="preserve"> </w:t>
      </w:r>
      <w:r w:rsidR="00886CDE" w:rsidRPr="00BE1403">
        <w:t>a belief</w:t>
      </w:r>
      <w:r w:rsidR="00B32087" w:rsidRPr="00BE1403">
        <w:t xml:space="preserve"> that identifies</w:t>
      </w:r>
      <w:r w:rsidR="000B5634" w:rsidRPr="00BE1403">
        <w:t xml:space="preserve"> specific acts</w:t>
      </w:r>
      <w:r w:rsidRPr="00BE1403">
        <w:t xml:space="preserve"> as intolerable, whereby these constitute ‘a particularly forceful kind of normative prohibition’ based on ‘prescriptions or proscriptions for behaviour</w:t>
      </w:r>
      <w:r w:rsidR="008277DB" w:rsidRPr="00BE1403">
        <w:t>.</w:t>
      </w:r>
      <w:r w:rsidRPr="00BE1403">
        <w:t>’</w:t>
      </w:r>
      <w:r w:rsidR="008277DB" w:rsidRPr="00BE1403">
        <w:rPr>
          <w:rStyle w:val="FootnoteReference"/>
        </w:rPr>
        <w:footnoteReference w:id="8"/>
      </w:r>
      <w:r w:rsidRPr="00BE1403">
        <w:t xml:space="preserve"> Indeed, proscription is elemental to</w:t>
      </w:r>
      <w:r w:rsidR="0072626E" w:rsidRPr="00BE1403">
        <w:t xml:space="preserve"> the concept of the taboo</w:t>
      </w:r>
      <w:r w:rsidRPr="00BE1403">
        <w:t xml:space="preserve">. Any violation is intrinsically connected to its own preclusion and/or sanction. Gary </w:t>
      </w:r>
      <w:proofErr w:type="spellStart"/>
      <w:r w:rsidRPr="00BE1403">
        <w:t>G</w:t>
      </w:r>
      <w:r w:rsidR="008277DB" w:rsidRPr="00BE1403">
        <w:t>oertz</w:t>
      </w:r>
      <w:proofErr w:type="spellEnd"/>
      <w:r w:rsidR="008277DB" w:rsidRPr="00BE1403">
        <w:t xml:space="preserve"> and Paul Diehl t</w:t>
      </w:r>
      <w:r w:rsidR="001823B3" w:rsidRPr="00BE1403">
        <w:t>ake this so far as to</w:t>
      </w:r>
      <w:r w:rsidRPr="00BE1403">
        <w:t xml:space="preserve"> insist that the punishment of violation is inseparable to the construction and exercise</w:t>
      </w:r>
      <w:r w:rsidR="001823B3" w:rsidRPr="00BE1403">
        <w:t xml:space="preserve"> of taboos</w:t>
      </w:r>
      <w:r w:rsidR="008277DB" w:rsidRPr="00BE1403">
        <w:rPr>
          <w:rStyle w:val="FootnoteReference"/>
        </w:rPr>
        <w:footnoteReference w:id="9"/>
      </w:r>
      <w:r w:rsidR="001823B3" w:rsidRPr="00BE1403">
        <w:t>. T</w:t>
      </w:r>
      <w:r w:rsidRPr="00BE1403">
        <w:t xml:space="preserve">hat is, expectations of non-transgression cannot exist irrespective of their coercive enforcement. </w:t>
      </w:r>
    </w:p>
    <w:p w14:paraId="465C7D56" w14:textId="77777777" w:rsidR="00E61598" w:rsidRPr="00BE1403" w:rsidRDefault="00E61598" w:rsidP="00BB151F">
      <w:pPr>
        <w:spacing w:line="480" w:lineRule="auto"/>
      </w:pPr>
    </w:p>
    <w:p w14:paraId="58C31482" w14:textId="552A5A21" w:rsidR="000010B3" w:rsidRPr="00BE1403" w:rsidRDefault="00BB4147" w:rsidP="00BB151F">
      <w:pPr>
        <w:spacing w:line="480" w:lineRule="auto"/>
      </w:pPr>
      <w:r w:rsidRPr="00BE1403">
        <w:t>The</w:t>
      </w:r>
      <w:r w:rsidR="00DB4845" w:rsidRPr="00BE1403">
        <w:t xml:space="preserve"> concept </w:t>
      </w:r>
      <w:r w:rsidR="00E61598" w:rsidRPr="00BE1403">
        <w:t xml:space="preserve">of the taboo </w:t>
      </w:r>
      <w:r w:rsidR="00DB4845" w:rsidRPr="00BE1403">
        <w:t xml:space="preserve">has been employed </w:t>
      </w:r>
      <w:r w:rsidR="00A920B8" w:rsidRPr="00BE1403">
        <w:t xml:space="preserve">widely </w:t>
      </w:r>
      <w:r w:rsidR="00B07B68">
        <w:t>within IR,</w:t>
      </w:r>
      <w:r w:rsidR="00DB4845" w:rsidRPr="00BE1403">
        <w:t xml:space="preserve"> for example</w:t>
      </w:r>
      <w:r w:rsidR="000E7308" w:rsidRPr="00BE1403">
        <w:t xml:space="preserve"> in relation to</w:t>
      </w:r>
      <w:r w:rsidR="00DB4845" w:rsidRPr="00BE1403">
        <w:t xml:space="preserve"> the: killing of civilians</w:t>
      </w:r>
      <w:r w:rsidR="00AD053C" w:rsidRPr="00BE1403">
        <w:rPr>
          <w:rStyle w:val="FootnoteReference"/>
        </w:rPr>
        <w:footnoteReference w:id="10"/>
      </w:r>
      <w:r w:rsidR="00DB4845" w:rsidRPr="00BE1403">
        <w:t>; creation of security regimes</w:t>
      </w:r>
      <w:r w:rsidR="00AD053C" w:rsidRPr="00BE1403">
        <w:rPr>
          <w:rStyle w:val="FootnoteReference"/>
        </w:rPr>
        <w:footnoteReference w:id="11"/>
      </w:r>
      <w:r w:rsidR="00DB4845" w:rsidRPr="00BE1403">
        <w:t>; use of torture</w:t>
      </w:r>
      <w:r w:rsidR="00AD053C" w:rsidRPr="00BE1403">
        <w:rPr>
          <w:rStyle w:val="FootnoteReference"/>
        </w:rPr>
        <w:footnoteReference w:id="12"/>
      </w:r>
      <w:r w:rsidR="00DB4845" w:rsidRPr="00BE1403">
        <w:t xml:space="preserve">; and prohibitions on the possession and/or use of </w:t>
      </w:r>
      <w:r w:rsidR="009A2BB9" w:rsidRPr="00BE1403">
        <w:t>certain types</w:t>
      </w:r>
      <w:r w:rsidR="00DB4845" w:rsidRPr="00BE1403">
        <w:t xml:space="preserve"> of </w:t>
      </w:r>
      <w:r w:rsidR="009A2BB9" w:rsidRPr="00BE1403">
        <w:t>weapon</w:t>
      </w:r>
      <w:r w:rsidR="00AD053C" w:rsidRPr="00BE1403">
        <w:rPr>
          <w:rStyle w:val="FootnoteReference"/>
        </w:rPr>
        <w:footnoteReference w:id="13"/>
      </w:r>
      <w:r w:rsidR="00DC46D9" w:rsidRPr="00BE1403">
        <w:t xml:space="preserve">. </w:t>
      </w:r>
      <w:r w:rsidR="00C421C7" w:rsidRPr="00BE1403">
        <w:t>This</w:t>
      </w:r>
      <w:r w:rsidR="0087440C" w:rsidRPr="00BE1403">
        <w:t xml:space="preserve"> </w:t>
      </w:r>
      <w:r w:rsidR="00BA3CE9" w:rsidRPr="00BE1403">
        <w:t xml:space="preserve">also </w:t>
      </w:r>
      <w:r w:rsidR="00FA7C88" w:rsidRPr="00BE1403">
        <w:t>relates to</w:t>
      </w:r>
      <w:r w:rsidR="00E516E1" w:rsidRPr="00BE1403">
        <w:t xml:space="preserve"> </w:t>
      </w:r>
      <w:r w:rsidR="007B4CBB" w:rsidRPr="00BE1403">
        <w:t>intervention,</w:t>
      </w:r>
      <w:r w:rsidR="0074197A" w:rsidRPr="00BE1403">
        <w:t xml:space="preserve"> especially</w:t>
      </w:r>
      <w:r w:rsidR="004E527F" w:rsidRPr="00BE1403">
        <w:t xml:space="preserve"> where</w:t>
      </w:r>
      <w:r w:rsidR="005353EA" w:rsidRPr="00BE1403">
        <w:t xml:space="preserve"> this is enacted (or not</w:t>
      </w:r>
      <w:r w:rsidR="0045589A" w:rsidRPr="00BE1403">
        <w:t>) on humanitarian grounds.</w:t>
      </w:r>
      <w:r w:rsidR="004E6D78" w:rsidRPr="00BE1403">
        <w:t xml:space="preserve"> </w:t>
      </w:r>
      <w:r w:rsidR="00CD5B5B" w:rsidRPr="00BE1403">
        <w:t>U</w:t>
      </w:r>
      <w:r w:rsidR="00EE4B17" w:rsidRPr="00BE1403">
        <w:t>nderstanding the intervention question as taboo – as opposed to within a more generalise</w:t>
      </w:r>
      <w:r w:rsidR="00BF68DF" w:rsidRPr="00BE1403">
        <w:t>d normative frame – is critical</w:t>
      </w:r>
      <w:r w:rsidR="00EE4B17" w:rsidRPr="00BE1403">
        <w:t xml:space="preserve"> in that this recognises the </w:t>
      </w:r>
      <w:r w:rsidR="00E048BE" w:rsidRPr="00BE1403">
        <w:t>emotive</w:t>
      </w:r>
      <w:r w:rsidR="00EE4B17" w:rsidRPr="00BE1403">
        <w:t xml:space="preserve"> and </w:t>
      </w:r>
      <w:r w:rsidR="00E048BE" w:rsidRPr="00BE1403">
        <w:t xml:space="preserve">often </w:t>
      </w:r>
      <w:r w:rsidR="009336A0" w:rsidRPr="00BE1403">
        <w:t>moral expectation</w:t>
      </w:r>
      <w:r w:rsidR="006C7D9A" w:rsidRPr="00BE1403">
        <w:t>s</w:t>
      </w:r>
      <w:r w:rsidR="009336A0" w:rsidRPr="00BE1403">
        <w:t xml:space="preserve"> characterising</w:t>
      </w:r>
      <w:r w:rsidR="00EE4B17" w:rsidRPr="00BE1403">
        <w:t xml:space="preserve"> this issue.</w:t>
      </w:r>
      <w:r w:rsidR="003F2D09">
        <w:t xml:space="preserve"> Intervention is </w:t>
      </w:r>
      <w:r w:rsidR="002E3813" w:rsidRPr="00BE1403">
        <w:t>highl</w:t>
      </w:r>
      <w:r w:rsidR="003F2D09">
        <w:t>y controversial</w:t>
      </w:r>
      <w:r w:rsidR="002C4DBD">
        <w:t>. It is a debate</w:t>
      </w:r>
      <w:r w:rsidR="002E3813" w:rsidRPr="00BE1403">
        <w:t xml:space="preserve"> that plays into deep-felt </w:t>
      </w:r>
      <w:r w:rsidR="00286B54" w:rsidRPr="00286B54">
        <w:t>disputes</w:t>
      </w:r>
      <w:r w:rsidR="002E3813" w:rsidRPr="00BE1403">
        <w:t xml:space="preserve"> concerning proper conduct within the international system</w:t>
      </w:r>
      <w:r w:rsidR="00280756" w:rsidRPr="00BE1403">
        <w:t xml:space="preserve"> and</w:t>
      </w:r>
      <w:r w:rsidR="00295543" w:rsidRPr="00BE1403">
        <w:t xml:space="preserve"> of ‘doing the right thing.’ </w:t>
      </w:r>
      <w:r w:rsidR="00DC4403">
        <w:t>Existing normative frameworks cannot necessarily capture this</w:t>
      </w:r>
      <w:r w:rsidR="00831C14">
        <w:t xml:space="preserve"> tension</w:t>
      </w:r>
      <w:r w:rsidR="003A4490">
        <w:t>, whereas the concept</w:t>
      </w:r>
      <w:r w:rsidR="00DC4403">
        <w:t xml:space="preserve"> of the tabo</w:t>
      </w:r>
      <w:r w:rsidR="003A4490">
        <w:t>o opens up understanding of the</w:t>
      </w:r>
      <w:r w:rsidR="00DC4403">
        <w:t xml:space="preserve"> difficult relationship</w:t>
      </w:r>
      <w:r w:rsidR="003A4490">
        <w:t xml:space="preserve"> of ideas within the intervention debate</w:t>
      </w:r>
      <w:r w:rsidR="00EB4626">
        <w:t xml:space="preserve"> by establishing the oppositional but </w:t>
      </w:r>
      <w:r w:rsidR="00B342F6" w:rsidRPr="00B342F6">
        <w:t>simultaneous</w:t>
      </w:r>
      <w:r w:rsidR="00EB4626">
        <w:t xml:space="preserve"> nature of </w:t>
      </w:r>
      <w:r w:rsidR="003A4490">
        <w:t>different viewpoints. A</w:t>
      </w:r>
      <w:r w:rsidR="00E07A92">
        <w:t>nalysis can</w:t>
      </w:r>
      <w:r w:rsidR="00B342F6">
        <w:t xml:space="preserve"> more fully</w:t>
      </w:r>
      <w:r w:rsidR="003A4490">
        <w:t xml:space="preserve"> identify the dilemmas created by these viewpoints </w:t>
      </w:r>
      <w:r w:rsidR="00E07A92">
        <w:t>and the intensity of the i</w:t>
      </w:r>
      <w:r w:rsidR="002C5BF0">
        <w:t xml:space="preserve">deas currently </w:t>
      </w:r>
      <w:r w:rsidR="003A4490" w:rsidRPr="003A4490">
        <w:t>typifying</w:t>
      </w:r>
      <w:r w:rsidR="00663ED6">
        <w:t xml:space="preserve"> them</w:t>
      </w:r>
      <w:r w:rsidR="00E07A92">
        <w:t xml:space="preserve">. </w:t>
      </w:r>
      <w:r w:rsidR="00286B54">
        <w:t xml:space="preserve">The </w:t>
      </w:r>
      <w:r w:rsidR="00F705EC">
        <w:t xml:space="preserve">taboo as a theoretical model allows this examination to explain why certain ideas are so prevalent, to the extent that they must </w:t>
      </w:r>
      <w:r w:rsidR="00B77623">
        <w:t>be ac</w:t>
      </w:r>
      <w:r w:rsidR="00286B54">
        <w:t>knowledged at all times</w:t>
      </w:r>
      <w:r w:rsidR="00F705EC">
        <w:t xml:space="preserve"> and cannot be contextually ignored</w:t>
      </w:r>
      <w:r w:rsidR="00B77623">
        <w:t xml:space="preserve"> or sidelined</w:t>
      </w:r>
      <w:r w:rsidR="00D25AE3">
        <w:t xml:space="preserve"> (where this will comprise a fundamental argument of this article)</w:t>
      </w:r>
      <w:r w:rsidR="00F705EC">
        <w:t xml:space="preserve">. </w:t>
      </w:r>
      <w:r w:rsidR="00E07A92">
        <w:t>Furthermore</w:t>
      </w:r>
      <w:r w:rsidR="00DC4403">
        <w:t>,</w:t>
      </w:r>
      <w:r w:rsidR="00E048BE" w:rsidRPr="00BE1403">
        <w:t xml:space="preserve"> </w:t>
      </w:r>
      <w:r w:rsidR="00E07A92">
        <w:t xml:space="preserve">the concept of the </w:t>
      </w:r>
      <w:r w:rsidR="00E048BE" w:rsidRPr="00BE1403">
        <w:t>taboo</w:t>
      </w:r>
      <w:r w:rsidR="00DC4403">
        <w:t xml:space="preserve"> encapsulate</w:t>
      </w:r>
      <w:r w:rsidR="00E07A92">
        <w:t>s</w:t>
      </w:r>
      <w:r w:rsidR="00E048BE" w:rsidRPr="00BE1403">
        <w:t xml:space="preserve"> the sheer hostility and vitriol that ‘doing the wrong thing’ with regards</w:t>
      </w:r>
      <w:r w:rsidR="00836430" w:rsidRPr="00BE1403">
        <w:t xml:space="preserve"> in</w:t>
      </w:r>
      <w:r w:rsidR="00D9349B" w:rsidRPr="00BE1403">
        <w:t>tervention can inspire</w:t>
      </w:r>
      <w:r w:rsidR="00E048BE" w:rsidRPr="00BE1403">
        <w:t xml:space="preserve"> – of</w:t>
      </w:r>
      <w:r w:rsidR="00A26787" w:rsidRPr="00BE1403">
        <w:t xml:space="preserve"> which the 2003 Iraq invasion comprises</w:t>
      </w:r>
      <w:r w:rsidR="00E048BE" w:rsidRPr="00BE1403">
        <w:t xml:space="preserve"> an ideal example.</w:t>
      </w:r>
      <w:r w:rsidR="002A4BF2" w:rsidRPr="00BE1403">
        <w:t xml:space="preserve"> While punishment for such actions may not be explicit, there are clear</w:t>
      </w:r>
      <w:r w:rsidR="008F7650" w:rsidRPr="00BE1403">
        <w:t xml:space="preserve"> negative</w:t>
      </w:r>
      <w:r w:rsidR="002A4BF2" w:rsidRPr="00BE1403">
        <w:t xml:space="preserve"> repercussions for behaviour deemed inappropriate by other international actors, </w:t>
      </w:r>
      <w:r w:rsidR="008654DB" w:rsidRPr="00BE1403">
        <w:t xml:space="preserve">and </w:t>
      </w:r>
      <w:r w:rsidR="002A4BF2" w:rsidRPr="00BE1403">
        <w:t xml:space="preserve">where this is intrinsic to the decision to pursue intervention or not. </w:t>
      </w:r>
      <w:r w:rsidR="0087440C" w:rsidRPr="00BE1403">
        <w:t>In understanding why intervention has come to be associated with the taboo, this can be</w:t>
      </w:r>
      <w:r w:rsidR="00C06E56" w:rsidRPr="00BE1403">
        <w:t xml:space="preserve"> divided into two key</w:t>
      </w:r>
      <w:r w:rsidR="00434C5F" w:rsidRPr="00BE1403">
        <w:t xml:space="preserve"> – </w:t>
      </w:r>
      <w:r w:rsidR="005B3A41" w:rsidRPr="00BE1403">
        <w:t>and, critically, conflicting</w:t>
      </w:r>
      <w:r w:rsidR="00434C5F" w:rsidRPr="00BE1403">
        <w:t xml:space="preserve"> – </w:t>
      </w:r>
      <w:r w:rsidR="00C06E56" w:rsidRPr="00BE1403">
        <w:t>arguments:</w:t>
      </w:r>
      <w:r w:rsidR="00F96542" w:rsidRPr="00BE1403">
        <w:t xml:space="preserve"> </w:t>
      </w:r>
    </w:p>
    <w:p w14:paraId="694BE574" w14:textId="77777777" w:rsidR="000010B3" w:rsidRPr="00BE1403" w:rsidRDefault="000010B3" w:rsidP="00BB151F">
      <w:pPr>
        <w:spacing w:line="480" w:lineRule="auto"/>
      </w:pPr>
    </w:p>
    <w:p w14:paraId="1FAE77D9" w14:textId="77777777" w:rsidR="000010B3" w:rsidRDefault="000010B3" w:rsidP="00BB151F">
      <w:pPr>
        <w:spacing w:line="480" w:lineRule="auto"/>
      </w:pPr>
    </w:p>
    <w:p w14:paraId="711FAA0A" w14:textId="77777777" w:rsidR="003F3759" w:rsidRDefault="003F3759" w:rsidP="00BB151F">
      <w:pPr>
        <w:spacing w:line="480" w:lineRule="auto"/>
      </w:pPr>
    </w:p>
    <w:p w14:paraId="66CB42CF" w14:textId="77777777" w:rsidR="003F3759" w:rsidRDefault="003F3759" w:rsidP="00BB151F">
      <w:pPr>
        <w:spacing w:line="480" w:lineRule="auto"/>
      </w:pPr>
    </w:p>
    <w:p w14:paraId="1ECEDEBC" w14:textId="77777777" w:rsidR="003F3759" w:rsidRPr="00BE1403" w:rsidRDefault="003F3759" w:rsidP="00BB151F">
      <w:pPr>
        <w:spacing w:line="480" w:lineRule="auto"/>
      </w:pPr>
    </w:p>
    <w:p w14:paraId="118E5820" w14:textId="2678DD3A" w:rsidR="000010B3" w:rsidRPr="00115C97" w:rsidRDefault="00BA02AD" w:rsidP="00BB151F">
      <w:pPr>
        <w:spacing w:line="480" w:lineRule="auto"/>
        <w:rPr>
          <w:i/>
        </w:rPr>
      </w:pPr>
      <w:r w:rsidRPr="00115C97">
        <w:rPr>
          <w:i/>
        </w:rPr>
        <w:t>‘</w:t>
      </w:r>
      <w:r w:rsidR="00115C97">
        <w:rPr>
          <w:i/>
        </w:rPr>
        <w:t>Humanitarian i</w:t>
      </w:r>
      <w:r w:rsidR="000010B3" w:rsidRPr="00115C97">
        <w:rPr>
          <w:i/>
        </w:rPr>
        <w:t>mpulse’</w:t>
      </w:r>
    </w:p>
    <w:p w14:paraId="73DF09F5" w14:textId="48553CC9" w:rsidR="00AD053C" w:rsidRPr="00BE1403" w:rsidRDefault="00D06663" w:rsidP="00BB151F">
      <w:pPr>
        <w:spacing w:line="480" w:lineRule="auto"/>
      </w:pPr>
      <w:r w:rsidRPr="00BE1403">
        <w:t>Non-intervention</w:t>
      </w:r>
      <w:r w:rsidR="000F5133" w:rsidRPr="00BE1403">
        <w:t xml:space="preserve"> is</w:t>
      </w:r>
      <w:r w:rsidR="00464247" w:rsidRPr="00BE1403">
        <w:t xml:space="preserve"> </w:t>
      </w:r>
      <w:r w:rsidR="000F5133" w:rsidRPr="00BE1403">
        <w:t xml:space="preserve">taboo in cases of </w:t>
      </w:r>
      <w:r w:rsidR="00743163" w:rsidRPr="00BE1403">
        <w:t xml:space="preserve">genuine </w:t>
      </w:r>
      <w:r w:rsidR="000F5133" w:rsidRPr="00BE1403">
        <w:t>humanitarian need</w:t>
      </w:r>
      <w:r w:rsidR="00804837" w:rsidRPr="00BE1403">
        <w:t>, both normatively and, some would say, legally</w:t>
      </w:r>
      <w:r w:rsidR="00AD053C" w:rsidRPr="00BE1403">
        <w:rPr>
          <w:rStyle w:val="FootnoteReference"/>
        </w:rPr>
        <w:footnoteReference w:id="14"/>
      </w:r>
      <w:r w:rsidR="000F5133" w:rsidRPr="00BE1403">
        <w:t>.</w:t>
      </w:r>
      <w:r w:rsidR="009B4A0E" w:rsidRPr="00BE1403">
        <w:t xml:space="preserve"> </w:t>
      </w:r>
      <w:r w:rsidR="00FD119F" w:rsidRPr="00BE1403">
        <w:t>While intervention on non-humanitarian grounds</w:t>
      </w:r>
      <w:r w:rsidR="00857B4F" w:rsidRPr="00BE1403">
        <w:t xml:space="preserve"> remains </w:t>
      </w:r>
      <w:r w:rsidR="000D55A1" w:rsidRPr="00BE1403">
        <w:t>controversial</w:t>
      </w:r>
      <w:r w:rsidR="00857B4F" w:rsidRPr="00BE1403">
        <w:t>,</w:t>
      </w:r>
      <w:r w:rsidR="00FD119F" w:rsidRPr="00BE1403">
        <w:t xml:space="preserve"> </w:t>
      </w:r>
      <w:r w:rsidR="009008B9" w:rsidRPr="00BE1403">
        <w:t xml:space="preserve">the </w:t>
      </w:r>
      <w:r w:rsidR="00FD119F" w:rsidRPr="00BE1403">
        <w:t>protect</w:t>
      </w:r>
      <w:r w:rsidR="00857B4F" w:rsidRPr="00BE1403">
        <w:t>ion of</w:t>
      </w:r>
      <w:r w:rsidR="00FD119F" w:rsidRPr="00BE1403">
        <w:t xml:space="preserve"> human rights – including in a country other than one’s own – is </w:t>
      </w:r>
      <w:r w:rsidR="000D55A1" w:rsidRPr="00BE1403">
        <w:t>held up as the moral option</w:t>
      </w:r>
      <w:r w:rsidR="009B4A0E" w:rsidRPr="00BE1403">
        <w:t xml:space="preserve">: </w:t>
      </w:r>
      <w:r w:rsidR="00AD053C" w:rsidRPr="00BE1403">
        <w:t>‘</w:t>
      </w:r>
      <w:r w:rsidR="000D55A1" w:rsidRPr="00BE1403">
        <w:t>Military intervention has…</w:t>
      </w:r>
      <w:r w:rsidR="009B4A0E" w:rsidRPr="00BE1403">
        <w:t xml:space="preserve"> gained a degree of moral legitimacy, as it is now often launched for humanitarian ends rather than simply to further the intervener’s </w:t>
      </w:r>
      <w:r w:rsidR="00DC4831" w:rsidRPr="00BE1403">
        <w:t>strategic or material interests</w:t>
      </w:r>
      <w:r w:rsidR="00AD053C" w:rsidRPr="00BE1403">
        <w:t>.’</w:t>
      </w:r>
      <w:r w:rsidR="00AD053C" w:rsidRPr="00BE1403">
        <w:rPr>
          <w:rStyle w:val="FootnoteReference"/>
        </w:rPr>
        <w:footnoteReference w:id="15"/>
      </w:r>
      <w:r w:rsidR="009B4A0E" w:rsidRPr="00BE1403">
        <w:t xml:space="preserve"> </w:t>
      </w:r>
      <w:r w:rsidR="000D55A1" w:rsidRPr="00BE1403">
        <w:t>This moral commitment links back to the</w:t>
      </w:r>
      <w:r w:rsidR="007C636F" w:rsidRPr="00BE1403">
        <w:t xml:space="preserve"> humanitarian interventionism of the 1990s – especially Kosovo – where</w:t>
      </w:r>
      <w:r w:rsidR="000D55A1" w:rsidRPr="00BE1403">
        <w:t xml:space="preserve">by </w:t>
      </w:r>
      <w:r w:rsidR="00D72178" w:rsidRPr="00BE1403">
        <w:t>military action</w:t>
      </w:r>
      <w:r w:rsidR="000D55A1" w:rsidRPr="00BE1403">
        <w:t xml:space="preserve"> against human rights abuse became incorporated into international political doctrine</w:t>
      </w:r>
      <w:r w:rsidR="00AD053C" w:rsidRPr="00BE1403">
        <w:rPr>
          <w:rStyle w:val="FootnoteReference"/>
        </w:rPr>
        <w:footnoteReference w:id="16"/>
      </w:r>
      <w:r w:rsidR="00AD053C" w:rsidRPr="00BE1403">
        <w:t xml:space="preserve">. </w:t>
      </w:r>
      <w:r w:rsidR="00B904CF" w:rsidRPr="00BE1403">
        <w:t>This emergent desire to promote</w:t>
      </w:r>
      <w:r w:rsidR="004C30B8" w:rsidRPr="00BE1403">
        <w:t xml:space="preserve"> a globally recognised politic</w:t>
      </w:r>
      <w:r w:rsidR="00566A64">
        <w:t>s of</w:t>
      </w:r>
      <w:r w:rsidR="00B904CF" w:rsidRPr="00BE1403">
        <w:t xml:space="preserve"> in</w:t>
      </w:r>
      <w:r w:rsidR="00AD053C" w:rsidRPr="00BE1403">
        <w:t>tervention has been termed the ‘</w:t>
      </w:r>
      <w:r w:rsidR="00B904CF" w:rsidRPr="00BE1403">
        <w:t xml:space="preserve">humanitarian </w:t>
      </w:r>
      <w:r w:rsidR="00AD053C" w:rsidRPr="00BE1403">
        <w:t>impulse’</w:t>
      </w:r>
      <w:r w:rsidR="00AD053C" w:rsidRPr="00BE1403">
        <w:rPr>
          <w:rStyle w:val="FootnoteReference"/>
        </w:rPr>
        <w:footnoteReference w:id="17"/>
      </w:r>
      <w:r w:rsidR="000A4D69" w:rsidRPr="00BE1403">
        <w:t>:</w:t>
      </w:r>
      <w:r w:rsidR="004C30B8" w:rsidRPr="00BE1403">
        <w:t xml:space="preserve"> a desire to do the</w:t>
      </w:r>
      <w:r w:rsidR="00CE7E86" w:rsidRPr="00BE1403">
        <w:t xml:space="preserve"> ‘right’</w:t>
      </w:r>
      <w:r w:rsidR="000B38CF" w:rsidRPr="00BE1403">
        <w:t xml:space="preserve"> thing when others suffer illegitimately</w:t>
      </w:r>
      <w:r w:rsidR="00DA5BF8" w:rsidRPr="00BE1403">
        <w:rPr>
          <w:rStyle w:val="FootnoteReference"/>
        </w:rPr>
        <w:footnoteReference w:id="18"/>
      </w:r>
      <w:r w:rsidR="000B38CF" w:rsidRPr="00BE1403">
        <w:t>.</w:t>
      </w:r>
      <w:r w:rsidR="00804837" w:rsidRPr="00BE1403">
        <w:t xml:space="preserve"> </w:t>
      </w:r>
      <w:r w:rsidR="007C11B8">
        <w:t>It now</w:t>
      </w:r>
      <w:r w:rsidR="002C46D0" w:rsidRPr="00BE1403">
        <w:t xml:space="preserve"> comprise</w:t>
      </w:r>
      <w:r w:rsidR="007C11B8">
        <w:t>s</w:t>
      </w:r>
      <w:r w:rsidR="00F6158D" w:rsidRPr="00BE1403">
        <w:t xml:space="preserve"> an expectation to action</w:t>
      </w:r>
      <w:r w:rsidR="001F7727">
        <w:t xml:space="preserve"> on</w:t>
      </w:r>
      <w:r w:rsidR="00F6158D" w:rsidRPr="00BE1403">
        <w:t xml:space="preserve"> </w:t>
      </w:r>
      <w:r w:rsidR="002C46D0" w:rsidRPr="00BE1403">
        <w:t>all states. As Kofi Ann</w:t>
      </w:r>
      <w:r w:rsidR="00AD053C" w:rsidRPr="00BE1403">
        <w:t xml:space="preserve">an said of the UN: </w:t>
      </w:r>
    </w:p>
    <w:p w14:paraId="3805CF85" w14:textId="77777777" w:rsidR="00AD053C" w:rsidRPr="00BE1403" w:rsidRDefault="00AD053C" w:rsidP="00BB151F">
      <w:pPr>
        <w:spacing w:line="480" w:lineRule="auto"/>
      </w:pPr>
    </w:p>
    <w:p w14:paraId="51F6EBCB" w14:textId="7D69FC6A" w:rsidR="00AD053C" w:rsidRPr="00BE1403" w:rsidRDefault="002C46D0" w:rsidP="00BB151F">
      <w:pPr>
        <w:spacing w:line="480" w:lineRule="auto"/>
        <w:ind w:left="567"/>
      </w:pPr>
      <w:r w:rsidRPr="00BE1403">
        <w:t xml:space="preserve">Why was the United Nations established, if not to act as a benign policeman or doctor? Our job </w:t>
      </w:r>
      <w:r w:rsidRPr="00BE1403">
        <w:rPr>
          <w:i/>
        </w:rPr>
        <w:t>is</w:t>
      </w:r>
      <w:r w:rsidRPr="00BE1403">
        <w:t xml:space="preserve"> to intervene: to prevent conflict where we can, to put a stop to it when it has broken out, or – when neither of these things is possible – at least to contain it and prevent it from spreading. That is what the world exp</w:t>
      </w:r>
      <w:r w:rsidR="00AD053C" w:rsidRPr="00BE1403">
        <w:t>ects of us.</w:t>
      </w:r>
      <w:r w:rsidR="00AD053C" w:rsidRPr="00BE1403">
        <w:rPr>
          <w:rStyle w:val="FootnoteReference"/>
        </w:rPr>
        <w:footnoteReference w:id="19"/>
      </w:r>
      <w:r w:rsidRPr="00BE1403">
        <w:t xml:space="preserve"> </w:t>
      </w:r>
    </w:p>
    <w:p w14:paraId="7C97AADF" w14:textId="77777777" w:rsidR="00B904CF" w:rsidRPr="00BE1403" w:rsidRDefault="00B904CF" w:rsidP="00BB151F">
      <w:pPr>
        <w:spacing w:line="480" w:lineRule="auto"/>
      </w:pPr>
    </w:p>
    <w:p w14:paraId="3499C28B" w14:textId="13EB478E" w:rsidR="0092119C" w:rsidRPr="00BE1403" w:rsidRDefault="00557BC6" w:rsidP="00BB151F">
      <w:pPr>
        <w:spacing w:line="480" w:lineRule="auto"/>
      </w:pPr>
      <w:r w:rsidRPr="00BE1403">
        <w:t>This is not to say</w:t>
      </w:r>
      <w:r w:rsidR="001A369F" w:rsidRPr="00BE1403">
        <w:t xml:space="preserve"> the taboo has proved absolute,</w:t>
      </w:r>
      <w:r w:rsidR="005C13FB">
        <w:t xml:space="preserve"> as humanitarian crises</w:t>
      </w:r>
      <w:r w:rsidR="001A369F" w:rsidRPr="00BE1403">
        <w:t xml:space="preserve"> such as Rwanda </w:t>
      </w:r>
      <w:r w:rsidRPr="00BE1403">
        <w:t>will attest. Some attribute this to normati</w:t>
      </w:r>
      <w:r w:rsidR="003A0D20" w:rsidRPr="00BE1403">
        <w:t xml:space="preserve">ve weakness. R2P </w:t>
      </w:r>
      <w:r w:rsidR="00F6375B" w:rsidRPr="00BE1403">
        <w:t>in particular</w:t>
      </w:r>
      <w:r w:rsidR="003A0D20" w:rsidRPr="00BE1403">
        <w:t xml:space="preserve"> has</w:t>
      </w:r>
      <w:r w:rsidRPr="00BE1403">
        <w:t xml:space="preserve"> been criticised for its inherent </w:t>
      </w:r>
      <w:r w:rsidR="00273672" w:rsidRPr="00BE1403">
        <w:t>frailty</w:t>
      </w:r>
      <w:r w:rsidRPr="00BE1403">
        <w:t xml:space="preserve"> and as </w:t>
      </w:r>
      <w:r w:rsidR="0047159B" w:rsidRPr="00BE1403">
        <w:t>being ‘devoid of real content’</w:t>
      </w:r>
      <w:r w:rsidR="0047159B" w:rsidRPr="00BE1403">
        <w:rPr>
          <w:rStyle w:val="FootnoteReference"/>
        </w:rPr>
        <w:footnoteReference w:id="20"/>
      </w:r>
      <w:r w:rsidR="00D84C5F" w:rsidRPr="00BE1403">
        <w:t xml:space="preserve">, which hardly suggests the </w:t>
      </w:r>
      <w:r w:rsidR="00FD6E7E">
        <w:t>presence of a strong taboo</w:t>
      </w:r>
      <w:r w:rsidR="003A0D20" w:rsidRPr="00BE1403">
        <w:t xml:space="preserve">. </w:t>
      </w:r>
      <w:r w:rsidR="008D16B8" w:rsidRPr="00BE1403">
        <w:t xml:space="preserve">Daniel </w:t>
      </w:r>
      <w:proofErr w:type="spellStart"/>
      <w:r w:rsidR="001F60CB" w:rsidRPr="00BE1403">
        <w:t>Fiott</w:t>
      </w:r>
      <w:proofErr w:type="spellEnd"/>
      <w:r w:rsidR="003A0D20" w:rsidRPr="00BE1403">
        <w:t xml:space="preserve"> exemplifies this</w:t>
      </w:r>
      <w:r w:rsidR="00AD613C" w:rsidRPr="00BE1403">
        <w:t xml:space="preserve"> analytic standpoint</w:t>
      </w:r>
      <w:r w:rsidR="008D16B8" w:rsidRPr="00BE1403">
        <w:t xml:space="preserve"> </w:t>
      </w:r>
      <w:r w:rsidR="003A0D20" w:rsidRPr="00BE1403">
        <w:t xml:space="preserve">where </w:t>
      </w:r>
      <w:r w:rsidR="008D16B8" w:rsidRPr="00BE1403">
        <w:t>he questions ‘</w:t>
      </w:r>
      <w:r w:rsidR="001F60CB" w:rsidRPr="00BE1403">
        <w:t>whether humanitarian intervention will every become a fully accepted no</w:t>
      </w:r>
      <w:r w:rsidR="008D16B8" w:rsidRPr="00BE1403">
        <w:t>rm in international law and IR.’</w:t>
      </w:r>
      <w:r w:rsidR="008D16B8" w:rsidRPr="00BE1403">
        <w:rPr>
          <w:rStyle w:val="FootnoteReference"/>
        </w:rPr>
        <w:footnoteReference w:id="21"/>
      </w:r>
      <w:r w:rsidR="001F60CB" w:rsidRPr="00BE1403">
        <w:t xml:space="preserve"> </w:t>
      </w:r>
      <w:r w:rsidR="0083611F" w:rsidRPr="00BE1403">
        <w:t xml:space="preserve">Moreover, the pressure for intervention has frequently been seen to clash with state self-interest, where </w:t>
      </w:r>
      <w:r w:rsidR="009634B7" w:rsidRPr="00BE1403">
        <w:t>normative compliance</w:t>
      </w:r>
      <w:r w:rsidR="0083611F" w:rsidRPr="00BE1403">
        <w:t xml:space="preserve"> occurs</w:t>
      </w:r>
      <w:r w:rsidR="009634B7" w:rsidRPr="00BE1403">
        <w:t xml:space="preserve"> only</w:t>
      </w:r>
      <w:r w:rsidR="000223B3">
        <w:t xml:space="preserve"> when taboos</w:t>
      </w:r>
      <w:r w:rsidR="0083611F" w:rsidRPr="00BE1403">
        <w:t xml:space="preserve"> and interests match</w:t>
      </w:r>
      <w:r w:rsidR="008D16B8" w:rsidRPr="00BE1403">
        <w:rPr>
          <w:rStyle w:val="FootnoteReference"/>
        </w:rPr>
        <w:footnoteReference w:id="22"/>
      </w:r>
      <w:r w:rsidR="00D84C5F" w:rsidRPr="00BE1403">
        <w:t xml:space="preserve">. </w:t>
      </w:r>
      <w:r w:rsidR="00910924" w:rsidRPr="00BE1403">
        <w:t>T</w:t>
      </w:r>
      <w:r w:rsidR="0083611F" w:rsidRPr="00BE1403">
        <w:t>his is especially the case in that</w:t>
      </w:r>
      <w:r w:rsidR="008D16B8" w:rsidRPr="00BE1403">
        <w:t xml:space="preserve"> humanitarian intervention ‘</w:t>
      </w:r>
      <w:r w:rsidR="00DF4F12" w:rsidRPr="00BE1403">
        <w:t>also strains</w:t>
      </w:r>
      <w:r w:rsidR="008D6DC8" w:rsidRPr="00BE1403">
        <w:t xml:space="preserve"> our</w:t>
      </w:r>
      <w:r w:rsidR="00B12074" w:rsidRPr="00BE1403">
        <w:t xml:space="preserve"> blood and coffers</w:t>
      </w:r>
      <w:r w:rsidR="008D16B8" w:rsidRPr="00BE1403">
        <w:t>.’</w:t>
      </w:r>
      <w:r w:rsidR="008D16B8" w:rsidRPr="00BE1403">
        <w:rPr>
          <w:rStyle w:val="FootnoteReference"/>
        </w:rPr>
        <w:footnoteReference w:id="23"/>
      </w:r>
      <w:r w:rsidR="0083611F" w:rsidRPr="00BE1403">
        <w:t xml:space="preserve"> </w:t>
      </w:r>
      <w:r w:rsidR="00A87AD9" w:rsidRPr="00BE1403">
        <w:t xml:space="preserve">The desire to protect expensive troops, </w:t>
      </w:r>
      <w:r w:rsidR="0083611F" w:rsidRPr="00BE1403">
        <w:t>and</w:t>
      </w:r>
      <w:r w:rsidR="00A87AD9" w:rsidRPr="00BE1403">
        <w:t xml:space="preserve"> also</w:t>
      </w:r>
      <w:r w:rsidR="0083611F" w:rsidRPr="00BE1403">
        <w:t xml:space="preserve"> the </w:t>
      </w:r>
      <w:r w:rsidR="00A87AD9" w:rsidRPr="00BE1403">
        <w:t>security</w:t>
      </w:r>
      <w:r w:rsidR="0083611F" w:rsidRPr="00BE1403">
        <w:t xml:space="preserve"> of non-combatants (where intervention often involves civilian deaths within the intervened state)</w:t>
      </w:r>
      <w:r w:rsidR="00A87AD9" w:rsidRPr="00BE1403">
        <w:t xml:space="preserve">, </w:t>
      </w:r>
      <w:r w:rsidR="0083611F" w:rsidRPr="00BE1403">
        <w:t>threaten the</w:t>
      </w:r>
      <w:r w:rsidR="00CA5ACF">
        <w:t xml:space="preserve"> taboo’s</w:t>
      </w:r>
      <w:r w:rsidR="0083611F" w:rsidRPr="00BE1403">
        <w:t xml:space="preserve"> normative stren</w:t>
      </w:r>
      <w:r w:rsidR="00CA5ACF">
        <w:t>gth</w:t>
      </w:r>
      <w:r w:rsidR="0083611F" w:rsidRPr="00BE1403">
        <w:t>.</w:t>
      </w:r>
      <w:r w:rsidR="000B34E3" w:rsidRPr="00BE1403">
        <w:t xml:space="preserve"> </w:t>
      </w:r>
      <w:r w:rsidR="0001615A" w:rsidRPr="00BE1403">
        <w:t>Consequently, inte</w:t>
      </w:r>
      <w:r w:rsidR="00A87AD9" w:rsidRPr="00BE1403">
        <w:t>rvention has been inconsistent,</w:t>
      </w:r>
      <w:r w:rsidR="0001615A" w:rsidRPr="00BE1403">
        <w:t xml:space="preserve"> not least wh</w:t>
      </w:r>
      <w:r w:rsidR="00645ECB" w:rsidRPr="00BE1403">
        <w:t>ere this maps</w:t>
      </w:r>
      <w:r w:rsidR="0001615A" w:rsidRPr="00BE1403">
        <w:t xml:space="preserve"> on to the</w:t>
      </w:r>
      <w:r w:rsidR="00A87AD9" w:rsidRPr="00BE1403">
        <w:t xml:space="preserve"> selective</w:t>
      </w:r>
      <w:r w:rsidR="0001615A" w:rsidRPr="00BE1403">
        <w:t xml:space="preserve"> interests of Western po</w:t>
      </w:r>
      <w:r w:rsidR="009C34EB" w:rsidRPr="00BE1403">
        <w:t>wers, particularly the US</w:t>
      </w:r>
      <w:r w:rsidR="008D16B8" w:rsidRPr="00BE1403">
        <w:rPr>
          <w:rStyle w:val="FootnoteReference"/>
        </w:rPr>
        <w:footnoteReference w:id="24"/>
      </w:r>
      <w:r w:rsidR="009C34EB" w:rsidRPr="00BE1403">
        <w:t xml:space="preserve">. </w:t>
      </w:r>
      <w:r w:rsidR="0092119C" w:rsidRPr="00BE1403">
        <w:t>Furthermore, the 2003</w:t>
      </w:r>
      <w:r w:rsidR="009E0321" w:rsidRPr="00BE1403">
        <w:t xml:space="preserve"> Iraq invasion has done little to improve the reputation of humanitarian intervention</w:t>
      </w:r>
      <w:r w:rsidR="002242E9" w:rsidRPr="00BE1403">
        <w:t>. Indeed, Iraq is seen to mark a decisive downturn in interest in, and commitm</w:t>
      </w:r>
      <w:r w:rsidR="00A87AD9" w:rsidRPr="00BE1403">
        <w:t>ent to, humanitarian action</w:t>
      </w:r>
      <w:r w:rsidR="008D16B8" w:rsidRPr="00BE1403">
        <w:rPr>
          <w:rStyle w:val="FootnoteReference"/>
        </w:rPr>
        <w:footnoteReference w:id="25"/>
      </w:r>
      <w:r w:rsidR="00AD594F" w:rsidRPr="00BE1403">
        <w:t>. A</w:t>
      </w:r>
      <w:r w:rsidR="00CF7A34" w:rsidRPr="00BE1403">
        <w:t>s well as enflam</w:t>
      </w:r>
      <w:r w:rsidR="000442FA" w:rsidRPr="00BE1403">
        <w:t xml:space="preserve">ing arguments that </w:t>
      </w:r>
      <w:r w:rsidR="00CF7A34" w:rsidRPr="00BE1403">
        <w:t xml:space="preserve">intervention is nothing more than the imperialistic and highly </w:t>
      </w:r>
      <w:r w:rsidR="00DD56CA">
        <w:t>discriminatory</w:t>
      </w:r>
      <w:r w:rsidR="00CF7A34" w:rsidRPr="00BE1403">
        <w:t xml:space="preserve"> imposition of western values</w:t>
      </w:r>
      <w:r w:rsidR="008D16B8" w:rsidRPr="00BE1403">
        <w:rPr>
          <w:rStyle w:val="FootnoteReference"/>
        </w:rPr>
        <w:footnoteReference w:id="26"/>
      </w:r>
      <w:r w:rsidR="003862D1" w:rsidRPr="00BE1403">
        <w:t xml:space="preserve">, Thomas Weiss </w:t>
      </w:r>
      <w:r w:rsidR="00AD594F" w:rsidRPr="00BE1403">
        <w:t>says that – while ‘</w:t>
      </w:r>
      <w:r w:rsidR="00CF7A34" w:rsidRPr="00BE1403">
        <w:t>[</w:t>
      </w:r>
      <w:proofErr w:type="gramStart"/>
      <w:r w:rsidR="00CF7A34" w:rsidRPr="00BE1403">
        <w:t>t]he</w:t>
      </w:r>
      <w:proofErr w:type="gramEnd"/>
      <w:r w:rsidR="00CF7A34" w:rsidRPr="00BE1403">
        <w:t xml:space="preserve"> notion that human beings matter more than sovereignty radiated brightly, albeit briefly, across the international</w:t>
      </w:r>
      <w:r w:rsidR="00AD594F" w:rsidRPr="00BE1403">
        <w:t xml:space="preserve"> political horizon of the 1990s’</w:t>
      </w:r>
      <w:r w:rsidR="00CF7A34" w:rsidRPr="00BE1403">
        <w:t xml:space="preserve"> – Iraq has now </w:t>
      </w:r>
      <w:r w:rsidR="000442FA" w:rsidRPr="00BE1403">
        <w:t>destabilised</w:t>
      </w:r>
      <w:r w:rsidR="00CF7A34" w:rsidRPr="00BE1403">
        <w:t xml:space="preserve"> the principle</w:t>
      </w:r>
      <w:r w:rsidR="00AD594F" w:rsidRPr="00BE1403">
        <w:rPr>
          <w:rStyle w:val="FootnoteReference"/>
        </w:rPr>
        <w:footnoteReference w:id="27"/>
      </w:r>
      <w:r w:rsidR="00CF7A34" w:rsidRPr="00BE1403">
        <w:t xml:space="preserve">. </w:t>
      </w:r>
    </w:p>
    <w:p w14:paraId="3555FBBB" w14:textId="77777777" w:rsidR="000B34E3" w:rsidRPr="00BE1403" w:rsidRDefault="000B34E3" w:rsidP="00BB151F">
      <w:pPr>
        <w:spacing w:line="480" w:lineRule="auto"/>
      </w:pPr>
    </w:p>
    <w:p w14:paraId="1D7D399D" w14:textId="5ECB35D6" w:rsidR="00436B1F" w:rsidRPr="00BE1403" w:rsidRDefault="00781A11" w:rsidP="00BB151F">
      <w:pPr>
        <w:spacing w:line="480" w:lineRule="auto"/>
      </w:pPr>
      <w:r w:rsidRPr="00BE1403">
        <w:t xml:space="preserve">As such, </w:t>
      </w:r>
      <w:proofErr w:type="spellStart"/>
      <w:r w:rsidRPr="00BE1403">
        <w:t>Rajan</w:t>
      </w:r>
      <w:proofErr w:type="spellEnd"/>
      <w:r w:rsidRPr="00BE1403">
        <w:t xml:space="preserve"> </w:t>
      </w:r>
      <w:proofErr w:type="spellStart"/>
      <w:r w:rsidRPr="00BE1403">
        <w:t>Menon</w:t>
      </w:r>
      <w:proofErr w:type="spellEnd"/>
      <w:r w:rsidRPr="00BE1403">
        <w:t xml:space="preserve"> states</w:t>
      </w:r>
      <w:r w:rsidR="00996B28" w:rsidRPr="00BE1403">
        <w:t>: ‘</w:t>
      </w:r>
      <w:r w:rsidRPr="00BE1403">
        <w:t>[</w:t>
      </w:r>
      <w:proofErr w:type="gramStart"/>
      <w:r w:rsidRPr="00BE1403">
        <w:t>T]</w:t>
      </w:r>
      <w:r w:rsidR="005F2D60" w:rsidRPr="00BE1403">
        <w:t>he</w:t>
      </w:r>
      <w:proofErr w:type="gramEnd"/>
      <w:r w:rsidR="005F2D60" w:rsidRPr="00BE1403">
        <w:t xml:space="preserve"> claim that there is an international community, unified by a conception of the common good and with the means to prevent egregious violations of its core principles, is an instance of </w:t>
      </w:r>
      <w:r w:rsidR="00996B28" w:rsidRPr="00BE1403">
        <w:t>the wish fathering the thought.’</w:t>
      </w:r>
      <w:r w:rsidR="00996B28" w:rsidRPr="00BE1403">
        <w:rPr>
          <w:rStyle w:val="FootnoteReference"/>
        </w:rPr>
        <w:footnoteReference w:id="28"/>
      </w:r>
      <w:r w:rsidR="005F2D60" w:rsidRPr="00BE1403">
        <w:t xml:space="preserve"> </w:t>
      </w:r>
      <w:r w:rsidR="00C40AD5" w:rsidRPr="00BE1403">
        <w:t>W</w:t>
      </w:r>
      <w:r w:rsidR="001A1740" w:rsidRPr="00BE1403">
        <w:t xml:space="preserve">here </w:t>
      </w:r>
      <w:r w:rsidR="00D95EEA" w:rsidRPr="00BE1403">
        <w:t xml:space="preserve">Alex </w:t>
      </w:r>
      <w:r w:rsidR="001A1740" w:rsidRPr="00BE1403">
        <w:t>Bellamy says that intention is critical in le</w:t>
      </w:r>
      <w:r w:rsidR="00A30A74" w:rsidRPr="00BE1403">
        <w:t>gitimising intervention, this would seem</w:t>
      </w:r>
      <w:r w:rsidR="001A1740" w:rsidRPr="00BE1403">
        <w:t xml:space="preserve"> </w:t>
      </w:r>
      <w:r w:rsidR="0001615A" w:rsidRPr="00BE1403">
        <w:t xml:space="preserve">especially </w:t>
      </w:r>
      <w:r w:rsidR="001A1740" w:rsidRPr="00BE1403">
        <w:t>damning</w:t>
      </w:r>
      <w:r w:rsidR="00CD1186" w:rsidRPr="00BE1403">
        <w:rPr>
          <w:rStyle w:val="FootnoteReference"/>
        </w:rPr>
        <w:footnoteReference w:id="29"/>
      </w:r>
      <w:r w:rsidR="001A1740" w:rsidRPr="00BE1403">
        <w:t xml:space="preserve">. </w:t>
      </w:r>
      <w:r w:rsidR="00D95EEA" w:rsidRPr="00BE1403">
        <w:t>To this ext</w:t>
      </w:r>
      <w:r w:rsidR="00CD1186" w:rsidRPr="00BE1403">
        <w:t xml:space="preserve">ent, Luke Glanville </w:t>
      </w:r>
      <w:r w:rsidR="00017EAE" w:rsidRPr="00BE1403">
        <w:t>argues</w:t>
      </w:r>
      <w:r w:rsidR="00D95EEA" w:rsidRPr="00BE1403">
        <w:t xml:space="preserve"> this is </w:t>
      </w:r>
      <w:r w:rsidR="000442FA" w:rsidRPr="00BE1403">
        <w:t xml:space="preserve">now a </w:t>
      </w:r>
      <w:r w:rsidR="00367FCC" w:rsidRPr="00BE1403">
        <w:t xml:space="preserve">prescriptive, </w:t>
      </w:r>
      <w:r w:rsidR="00017EAE" w:rsidRPr="00BE1403">
        <w:t>as opposed to</w:t>
      </w:r>
      <w:r w:rsidR="00D95EEA" w:rsidRPr="00BE1403">
        <w:t xml:space="preserve"> prohibitive, norm</w:t>
      </w:r>
      <w:r w:rsidR="00CD1186" w:rsidRPr="00BE1403">
        <w:rPr>
          <w:rStyle w:val="FootnoteReference"/>
        </w:rPr>
        <w:footnoteReference w:id="30"/>
      </w:r>
      <w:r w:rsidR="00D95EEA" w:rsidRPr="00BE1403">
        <w:t>. This</w:t>
      </w:r>
      <w:r w:rsidR="0011256D">
        <w:t xml:space="preserve"> approach</w:t>
      </w:r>
      <w:r w:rsidR="00D95EEA" w:rsidRPr="00BE1403">
        <w:t>, however, comprises an overreaction to the limitati</w:t>
      </w:r>
      <w:r w:rsidR="0095614F" w:rsidRPr="00BE1403">
        <w:t>ons of the taboo and</w:t>
      </w:r>
      <w:r w:rsidR="00D95EEA" w:rsidRPr="00BE1403">
        <w:t xml:space="preserve"> its normative weight more generally. </w:t>
      </w:r>
      <w:r w:rsidR="00436B1F" w:rsidRPr="00BE1403">
        <w:t xml:space="preserve">It is </w:t>
      </w:r>
      <w:r w:rsidR="00000588" w:rsidRPr="00BE1403">
        <w:t xml:space="preserve">acknowledged that taboos </w:t>
      </w:r>
      <w:r w:rsidR="00EF750B" w:rsidRPr="00BE1403">
        <w:t>vary widely in terms of strength i.e. the extent to which that expectation is accepted and internalised within actor behaviour</w:t>
      </w:r>
      <w:r w:rsidR="007C4AB4" w:rsidRPr="00BE1403">
        <w:t>. Richard Pri</w:t>
      </w:r>
      <w:r w:rsidR="00367FCC" w:rsidRPr="00BE1403">
        <w:t>ce says</w:t>
      </w:r>
      <w:r w:rsidR="00EF750B" w:rsidRPr="00BE1403">
        <w:t>: ‘Some of these norms are very robust, while others are relatively weak and routinely violated</w:t>
      </w:r>
      <w:r w:rsidR="00CD1186" w:rsidRPr="00BE1403">
        <w:t>.</w:t>
      </w:r>
      <w:r w:rsidR="00EF750B" w:rsidRPr="00BE1403">
        <w:t>’</w:t>
      </w:r>
      <w:r w:rsidR="00CD1186" w:rsidRPr="00BE1403">
        <w:rPr>
          <w:rStyle w:val="FootnoteReference"/>
        </w:rPr>
        <w:footnoteReference w:id="31"/>
      </w:r>
      <w:r w:rsidR="00EF750B" w:rsidRPr="00BE1403">
        <w:t xml:space="preserve"> </w:t>
      </w:r>
      <w:r w:rsidR="00000588" w:rsidRPr="00BE1403">
        <w:t>Yet, while application of a</w:t>
      </w:r>
      <w:r w:rsidR="00D95EEA" w:rsidRPr="00BE1403">
        <w:t xml:space="preserve"> taboo</w:t>
      </w:r>
      <w:r w:rsidR="00000588" w:rsidRPr="00BE1403">
        <w:t xml:space="preserve"> may be conditional, </w:t>
      </w:r>
      <w:r w:rsidR="00D95EEA" w:rsidRPr="00BE1403">
        <w:t>this does not necessarily undermine its prohibi</w:t>
      </w:r>
      <w:r w:rsidR="00000588" w:rsidRPr="00BE1403">
        <w:t>tive nature</w:t>
      </w:r>
      <w:r w:rsidR="001778A2" w:rsidRPr="00BE1403">
        <w:t xml:space="preserve">. </w:t>
      </w:r>
      <w:r w:rsidR="002A0878">
        <w:t xml:space="preserve">Price goes on to argue </w:t>
      </w:r>
      <w:r w:rsidR="00367FCC" w:rsidRPr="00BE1403">
        <w:rPr>
          <w:szCs w:val="20"/>
        </w:rPr>
        <w:t xml:space="preserve">violation </w:t>
      </w:r>
      <w:r w:rsidR="00436B1F" w:rsidRPr="00BE1403">
        <w:rPr>
          <w:szCs w:val="20"/>
        </w:rPr>
        <w:t>can actually strengthen a taboo</w:t>
      </w:r>
      <w:r w:rsidR="00367FCC" w:rsidRPr="00BE1403">
        <w:rPr>
          <w:szCs w:val="20"/>
        </w:rPr>
        <w:t xml:space="preserve"> because the </w:t>
      </w:r>
      <w:r w:rsidR="00436B1F" w:rsidRPr="00BE1403">
        <w:rPr>
          <w:szCs w:val="20"/>
        </w:rPr>
        <w:t>adverse reaction serves to reinforce</w:t>
      </w:r>
      <w:r w:rsidR="00367FCC" w:rsidRPr="00BE1403">
        <w:rPr>
          <w:szCs w:val="20"/>
        </w:rPr>
        <w:t xml:space="preserve"> its ideals</w:t>
      </w:r>
      <w:r w:rsidR="00367FCC" w:rsidRPr="00BE1403">
        <w:rPr>
          <w:rStyle w:val="FootnoteReference"/>
          <w:szCs w:val="20"/>
        </w:rPr>
        <w:footnoteReference w:id="32"/>
      </w:r>
      <w:r w:rsidR="00367FCC" w:rsidRPr="00BE1403">
        <w:rPr>
          <w:szCs w:val="20"/>
        </w:rPr>
        <w:t>.</w:t>
      </w:r>
      <w:r w:rsidR="00367FCC" w:rsidRPr="00BE1403">
        <w:t xml:space="preserve"> </w:t>
      </w:r>
      <w:r w:rsidR="00823E56" w:rsidRPr="00BE1403">
        <w:t xml:space="preserve">As already highlighted, the massive outcry over Iraq demonstrates there still exist strong normative expectations surrounding the humanitarian taboo, </w:t>
      </w:r>
      <w:r w:rsidR="00000588" w:rsidRPr="00BE1403">
        <w:t xml:space="preserve">as do </w:t>
      </w:r>
      <w:r w:rsidR="00823E56" w:rsidRPr="00BE1403">
        <w:t xml:space="preserve">more recent criticisms against Obama concerning his lack of action in Syria. </w:t>
      </w:r>
      <w:r w:rsidR="00436B1F" w:rsidRPr="00BE1403">
        <w:t>Normative u</w:t>
      </w:r>
      <w:r w:rsidR="00367FCC" w:rsidRPr="00BE1403">
        <w:t>nderstanding must</w:t>
      </w:r>
      <w:r w:rsidR="00436B1F" w:rsidRPr="00BE1403">
        <w:t>, therefore,</w:t>
      </w:r>
      <w:r w:rsidR="001778A2" w:rsidRPr="00BE1403">
        <w:t xml:space="preserve"> encapsulate the way </w:t>
      </w:r>
      <w:r w:rsidR="00D95EEA" w:rsidRPr="00BE1403">
        <w:t xml:space="preserve">a taboo can </w:t>
      </w:r>
      <w:r w:rsidR="001778A2" w:rsidRPr="00BE1403">
        <w:t>exist as a (often moral) demand</w:t>
      </w:r>
      <w:r w:rsidR="002B6E01" w:rsidRPr="00BE1403">
        <w:t>, even when it is not consistently</w:t>
      </w:r>
      <w:r w:rsidR="00D95EEA" w:rsidRPr="00BE1403">
        <w:t xml:space="preserve"> respect</w:t>
      </w:r>
      <w:r w:rsidR="002B6E01" w:rsidRPr="00BE1403">
        <w:t>ed</w:t>
      </w:r>
      <w:r w:rsidR="00D95EEA" w:rsidRPr="00BE1403">
        <w:t xml:space="preserve"> as such. </w:t>
      </w:r>
    </w:p>
    <w:p w14:paraId="41BDC205" w14:textId="77777777" w:rsidR="00EF750B" w:rsidRPr="00BE1403" w:rsidRDefault="00EF750B" w:rsidP="00BB151F">
      <w:pPr>
        <w:spacing w:line="480" w:lineRule="auto"/>
      </w:pPr>
    </w:p>
    <w:p w14:paraId="4E76611F" w14:textId="77777777" w:rsidR="00D22941" w:rsidRPr="00BE1403" w:rsidRDefault="00D22941" w:rsidP="00BB151F">
      <w:pPr>
        <w:spacing w:line="480" w:lineRule="auto"/>
      </w:pPr>
    </w:p>
    <w:p w14:paraId="5B991F2A" w14:textId="76782118" w:rsidR="000010B3" w:rsidRPr="00115C97" w:rsidRDefault="00F074C0" w:rsidP="00BB151F">
      <w:pPr>
        <w:spacing w:line="480" w:lineRule="auto"/>
        <w:rPr>
          <w:i/>
        </w:rPr>
      </w:pPr>
      <w:r w:rsidRPr="00115C97">
        <w:rPr>
          <w:i/>
        </w:rPr>
        <w:t>Sovereignty</w:t>
      </w:r>
    </w:p>
    <w:p w14:paraId="6720F8B1" w14:textId="2BB22D2F" w:rsidR="00E278D3" w:rsidRPr="00BE1403" w:rsidRDefault="002A5972" w:rsidP="00BB151F">
      <w:pPr>
        <w:spacing w:line="480" w:lineRule="auto"/>
      </w:pPr>
      <w:r w:rsidRPr="00BE1403">
        <w:t>I</w:t>
      </w:r>
      <w:r w:rsidR="004256AB" w:rsidRPr="00BE1403">
        <w:t>nterventi</w:t>
      </w:r>
      <w:r w:rsidRPr="00BE1403">
        <w:t>on is also</w:t>
      </w:r>
      <w:r w:rsidR="004256AB" w:rsidRPr="00BE1403">
        <w:t xml:space="preserve"> taboo where this challenges state sovereignty</w:t>
      </w:r>
      <w:r w:rsidR="001C5C4E" w:rsidRPr="00BE1403">
        <w:rPr>
          <w:rStyle w:val="FootnoteReference"/>
        </w:rPr>
        <w:footnoteReference w:id="33"/>
      </w:r>
      <w:r w:rsidR="001C5C4E" w:rsidRPr="00BE1403">
        <w:t xml:space="preserve">. </w:t>
      </w:r>
      <w:r w:rsidR="00650D31" w:rsidRPr="00BE1403">
        <w:t xml:space="preserve">Sovereignty </w:t>
      </w:r>
      <w:r w:rsidR="008C013C" w:rsidRPr="00BE1403">
        <w:t>is recognised as a</w:t>
      </w:r>
      <w:r w:rsidR="00E278D3" w:rsidRPr="00BE1403">
        <w:t xml:space="preserve"> fluid</w:t>
      </w:r>
      <w:r w:rsidR="001C5C4E" w:rsidRPr="00BE1403">
        <w:rPr>
          <w:rStyle w:val="FootnoteReference"/>
        </w:rPr>
        <w:footnoteReference w:id="34"/>
      </w:r>
      <w:r w:rsidR="008C013C" w:rsidRPr="00BE1403">
        <w:t>, varied</w:t>
      </w:r>
      <w:r w:rsidR="001C5C4E" w:rsidRPr="00BE1403">
        <w:rPr>
          <w:rStyle w:val="FootnoteReference"/>
        </w:rPr>
        <w:footnoteReference w:id="35"/>
      </w:r>
      <w:r w:rsidR="008C013C" w:rsidRPr="00BE1403">
        <w:t>, and contested</w:t>
      </w:r>
      <w:r w:rsidR="001C5C4E" w:rsidRPr="00BE1403">
        <w:rPr>
          <w:rStyle w:val="FootnoteReference"/>
        </w:rPr>
        <w:footnoteReference w:id="36"/>
      </w:r>
      <w:r w:rsidR="00E70814" w:rsidRPr="00BE1403">
        <w:t xml:space="preserve"> </w:t>
      </w:r>
      <w:r w:rsidR="006F1A89" w:rsidRPr="00BE1403">
        <w:t>concept. Conventionally, however, it is seen to comprise</w:t>
      </w:r>
      <w:r w:rsidR="00650D31" w:rsidRPr="00BE1403">
        <w:t xml:space="preserve"> a legal and normative protection of a state’s territorial integrity </w:t>
      </w:r>
      <w:r w:rsidR="00E278D3" w:rsidRPr="00BE1403">
        <w:t xml:space="preserve">and </w:t>
      </w:r>
      <w:r w:rsidR="00650D31" w:rsidRPr="00BE1403">
        <w:t xml:space="preserve">the capacity to make decisions independent of external influence. </w:t>
      </w:r>
      <w:r w:rsidR="00CE73A5" w:rsidRPr="00BE1403">
        <w:t>This is enshrined in</w:t>
      </w:r>
      <w:r w:rsidR="009415EC">
        <w:t xml:space="preserve"> the</w:t>
      </w:r>
      <w:r w:rsidR="00905E2D" w:rsidRPr="00BE1403">
        <w:t xml:space="preserve"> much-cited</w:t>
      </w:r>
      <w:r w:rsidR="00CE73A5" w:rsidRPr="00BE1403">
        <w:t xml:space="preserve"> Article 2(4)</w:t>
      </w:r>
      <w:r w:rsidR="00E278D3" w:rsidRPr="00BE1403">
        <w:t xml:space="preserve"> of the UN Charter</w:t>
      </w:r>
      <w:r w:rsidR="00E70814" w:rsidRPr="00BE1403">
        <w:t>: ‘</w:t>
      </w:r>
      <w:r w:rsidR="00CE73A5" w:rsidRPr="00BE1403">
        <w:t>All members shall refrain in their international relations from the threat or used of force against the territorial integrity or political independence of any state, or in any other manner inconsistent with the Purp</w:t>
      </w:r>
      <w:r w:rsidR="00E70814" w:rsidRPr="00BE1403">
        <w:t>oses of the United Nations.’</w:t>
      </w:r>
      <w:r w:rsidR="00E70814" w:rsidRPr="00BE1403">
        <w:rPr>
          <w:rStyle w:val="FootnoteReference"/>
        </w:rPr>
        <w:footnoteReference w:id="37"/>
      </w:r>
      <w:r w:rsidR="00905E2D" w:rsidRPr="00BE1403">
        <w:t xml:space="preserve"> </w:t>
      </w:r>
      <w:r w:rsidR="008942D0">
        <w:t>T</w:t>
      </w:r>
      <w:r w:rsidR="00A934A8" w:rsidRPr="00BE1403">
        <w:t>his comprises</w:t>
      </w:r>
      <w:r w:rsidR="00E70814" w:rsidRPr="00BE1403">
        <w:t xml:space="preserve"> one of the ‘</w:t>
      </w:r>
      <w:r w:rsidR="005F12F0" w:rsidRPr="00BE1403">
        <w:t xml:space="preserve">core tenets of </w:t>
      </w:r>
      <w:r w:rsidR="00E70814" w:rsidRPr="00BE1403">
        <w:t>the post-Second World War order.’</w:t>
      </w:r>
      <w:r w:rsidR="00E70814" w:rsidRPr="00BE1403">
        <w:rPr>
          <w:rStyle w:val="FootnoteReference"/>
        </w:rPr>
        <w:footnoteReference w:id="38"/>
      </w:r>
      <w:r w:rsidR="005C57FE" w:rsidRPr="00BE1403">
        <w:t xml:space="preserve"> </w:t>
      </w:r>
      <w:r w:rsidR="005958AE" w:rsidRPr="00BE1403">
        <w:t>States h</w:t>
      </w:r>
      <w:r w:rsidR="00E70814" w:rsidRPr="00BE1403">
        <w:t xml:space="preserve">ave also drawn on the UN </w:t>
      </w:r>
      <w:r w:rsidR="005958AE" w:rsidRPr="00BE1403">
        <w:t xml:space="preserve">Charter </w:t>
      </w:r>
      <w:r w:rsidR="00C92748" w:rsidRPr="00BE1403">
        <w:t xml:space="preserve">Article </w:t>
      </w:r>
      <w:r w:rsidR="005958AE" w:rsidRPr="00BE1403">
        <w:t>51 principle of self-defence to justify the protection of sovereignty</w:t>
      </w:r>
      <w:r w:rsidR="00C74502" w:rsidRPr="00BE1403">
        <w:rPr>
          <w:rStyle w:val="FootnoteReference"/>
        </w:rPr>
        <w:footnoteReference w:id="39"/>
      </w:r>
      <w:r w:rsidR="005958AE" w:rsidRPr="00BE1403">
        <w:t>, as President George W</w:t>
      </w:r>
      <w:r w:rsidR="008F09A4" w:rsidRPr="00BE1403">
        <w:t>.</w:t>
      </w:r>
      <w:r w:rsidR="005958AE" w:rsidRPr="00BE1403">
        <w:t xml:space="preserve"> Bush did in relation to</w:t>
      </w:r>
      <w:r w:rsidR="00704F8C">
        <w:t xml:space="preserve"> Iraq</w:t>
      </w:r>
      <w:r w:rsidR="00E70814" w:rsidRPr="00BE1403">
        <w:rPr>
          <w:rStyle w:val="FootnoteReference"/>
        </w:rPr>
        <w:footnoteReference w:id="40"/>
      </w:r>
      <w:r w:rsidR="005958AE" w:rsidRPr="00BE1403">
        <w:t xml:space="preserve">. </w:t>
      </w:r>
      <w:r w:rsidR="00D74327" w:rsidRPr="00BE1403">
        <w:t xml:space="preserve">To violate this principle through the act of external intervention, it is argued, undermines the very basis of the international system and the rights to which all states should be able to lay claim to as a stabilising factor of that system. </w:t>
      </w:r>
      <w:r w:rsidR="00627FF7" w:rsidRPr="00BE1403">
        <w:t>As such, s</w:t>
      </w:r>
      <w:r w:rsidR="006E14EA" w:rsidRPr="00BE1403">
        <w:t>over</w:t>
      </w:r>
      <w:r w:rsidR="00031970" w:rsidRPr="00BE1403">
        <w:t xml:space="preserve">eignty is </w:t>
      </w:r>
      <w:r w:rsidR="006E14EA" w:rsidRPr="00BE1403">
        <w:t>a primary barrier to intervention</w:t>
      </w:r>
      <w:r w:rsidR="00E70814" w:rsidRPr="00BE1403">
        <w:t>: ‘</w:t>
      </w:r>
      <w:r w:rsidR="006E14EA" w:rsidRPr="00BE1403">
        <w:t>State sovereignty has played a starring role in the demise of many atte</w:t>
      </w:r>
      <w:r w:rsidR="00E70814" w:rsidRPr="00BE1403">
        <w:t>mpts to legitimise intervention.’</w:t>
      </w:r>
      <w:r w:rsidR="00E70814" w:rsidRPr="00BE1403">
        <w:rPr>
          <w:rStyle w:val="FootnoteReference"/>
        </w:rPr>
        <w:footnoteReference w:id="41"/>
      </w:r>
    </w:p>
    <w:p w14:paraId="07C499EC" w14:textId="77777777" w:rsidR="006E14EA" w:rsidRPr="00BE1403" w:rsidRDefault="006E14EA" w:rsidP="00BB151F">
      <w:pPr>
        <w:spacing w:line="480" w:lineRule="auto"/>
      </w:pPr>
    </w:p>
    <w:p w14:paraId="2B2E2793" w14:textId="06EA2874" w:rsidR="00211CF3" w:rsidRPr="00BE1403" w:rsidRDefault="003F5ECF" w:rsidP="00BB151F">
      <w:pPr>
        <w:spacing w:line="480" w:lineRule="auto"/>
      </w:pPr>
      <w:r w:rsidRPr="00BE1403">
        <w:t xml:space="preserve">Again, this </w:t>
      </w:r>
      <w:r w:rsidR="006E14EA" w:rsidRPr="00BE1403">
        <w:t>is far from perfect with respect to compliance. R</w:t>
      </w:r>
      <w:r w:rsidRPr="00BE1403">
        <w:t xml:space="preserve">epeated violation is </w:t>
      </w:r>
      <w:r w:rsidR="006E14EA" w:rsidRPr="00BE1403">
        <w:t xml:space="preserve">argued to </w:t>
      </w:r>
      <w:r w:rsidRPr="00BE1403">
        <w:t>have undermined the taboo, as do</w:t>
      </w:r>
      <w:r w:rsidR="006E14EA" w:rsidRPr="00BE1403">
        <w:t xml:space="preserve"> UN provisions to the contrary e</w:t>
      </w:r>
      <w:r w:rsidR="00822DB6" w:rsidRPr="00BE1403">
        <w:t>.g. to take action against any ‘threat to peace and stability’</w:t>
      </w:r>
      <w:r w:rsidR="00822DB6" w:rsidRPr="00BE1403">
        <w:rPr>
          <w:rStyle w:val="FootnoteReference"/>
        </w:rPr>
        <w:footnoteReference w:id="42"/>
      </w:r>
      <w:r w:rsidR="00F93833" w:rsidRPr="00BE1403">
        <w:t xml:space="preserve"> – </w:t>
      </w:r>
      <w:r w:rsidR="006E14EA" w:rsidRPr="00BE1403">
        <w:t>although oth</w:t>
      </w:r>
      <w:r w:rsidR="00463DFC" w:rsidRPr="00BE1403">
        <w:t xml:space="preserve">ers </w:t>
      </w:r>
      <w:r w:rsidRPr="00BE1403">
        <w:t>state</w:t>
      </w:r>
      <w:r w:rsidR="006E14EA" w:rsidRPr="00BE1403">
        <w:t xml:space="preserve"> this is an oversimplific</w:t>
      </w:r>
      <w:r w:rsidR="00B93A4D" w:rsidRPr="00BE1403">
        <w:t xml:space="preserve">ation of </w:t>
      </w:r>
      <w:r w:rsidR="006E14EA" w:rsidRPr="00BE1403">
        <w:t>wider normative and legal commitment</w:t>
      </w:r>
      <w:r w:rsidR="00B93A4D" w:rsidRPr="00BE1403">
        <w:t>s</w:t>
      </w:r>
      <w:r w:rsidR="006E14EA" w:rsidRPr="00BE1403">
        <w:t xml:space="preserve"> to the interventionist principle</w:t>
      </w:r>
      <w:r w:rsidR="00822DB6" w:rsidRPr="00BE1403">
        <w:rPr>
          <w:rStyle w:val="FootnoteReference"/>
        </w:rPr>
        <w:footnoteReference w:id="43"/>
      </w:r>
      <w:r w:rsidR="006E14EA" w:rsidRPr="00BE1403">
        <w:t>.</w:t>
      </w:r>
      <w:r w:rsidR="007979DE" w:rsidRPr="00BE1403">
        <w:t xml:space="preserve"> Furthermore</w:t>
      </w:r>
      <w:r w:rsidR="004759F7">
        <w:t xml:space="preserve">, </w:t>
      </w:r>
      <w:r w:rsidR="00D76249" w:rsidRPr="00BE1403">
        <w:t>the sov</w:t>
      </w:r>
      <w:r w:rsidR="004759F7">
        <w:t>ereignty concept is contested</w:t>
      </w:r>
      <w:r w:rsidR="00D76249" w:rsidRPr="00BE1403">
        <w:t xml:space="preserve"> due to attempts to redefine it in sympathy with the humanitarian impulse.</w:t>
      </w:r>
      <w:r w:rsidR="002D4059" w:rsidRPr="00BE1403">
        <w:t xml:space="preserve"> </w:t>
      </w:r>
      <w:r w:rsidR="00A414EE" w:rsidRPr="00BE1403">
        <w:t>At t</w:t>
      </w:r>
      <w:r w:rsidR="003A16BB" w:rsidRPr="00BE1403">
        <w:t>he very least</w:t>
      </w:r>
      <w:r w:rsidR="007979DE" w:rsidRPr="00BE1403">
        <w:t>,</w:t>
      </w:r>
      <w:r w:rsidR="003A16BB" w:rsidRPr="00BE1403">
        <w:t xml:space="preserve"> it is suggested</w:t>
      </w:r>
      <w:r w:rsidR="007979DE" w:rsidRPr="00BE1403">
        <w:t>,</w:t>
      </w:r>
      <w:r w:rsidR="002D4059" w:rsidRPr="00BE1403">
        <w:t xml:space="preserve"> </w:t>
      </w:r>
      <w:r w:rsidR="00A414EE" w:rsidRPr="00BE1403">
        <w:t>this should be seen as a nuanced issue that is more c</w:t>
      </w:r>
      <w:r w:rsidR="001F4233" w:rsidRPr="00BE1403">
        <w:t>omplex than an either/or situation</w:t>
      </w:r>
      <w:r w:rsidR="00742214" w:rsidRPr="00BE1403">
        <w:rPr>
          <w:rStyle w:val="FootnoteReference"/>
        </w:rPr>
        <w:footnoteReference w:id="44"/>
      </w:r>
      <w:r w:rsidR="00A414EE" w:rsidRPr="00BE1403">
        <w:t xml:space="preserve">. </w:t>
      </w:r>
      <w:r w:rsidR="007979DE" w:rsidRPr="00BE1403">
        <w:t>In this vein,</w:t>
      </w:r>
      <w:r w:rsidR="00A414EE" w:rsidRPr="00BE1403">
        <w:t xml:space="preserve"> </w:t>
      </w:r>
      <w:r w:rsidR="007979DE" w:rsidRPr="00BE1403">
        <w:t>c</w:t>
      </w:r>
      <w:r w:rsidR="00650D31" w:rsidRPr="00BE1403">
        <w:t xml:space="preserve">onceptual redefinition </w:t>
      </w:r>
      <w:r w:rsidR="001F4233" w:rsidRPr="00BE1403">
        <w:t>is considered</w:t>
      </w:r>
      <w:r w:rsidR="00634604" w:rsidRPr="00BE1403">
        <w:t xml:space="preserve"> a</w:t>
      </w:r>
      <w:r w:rsidR="001F4233" w:rsidRPr="00BE1403">
        <w:t xml:space="preserve"> potential</w:t>
      </w:r>
      <w:r w:rsidR="00634604" w:rsidRPr="00BE1403">
        <w:t xml:space="preserve"> solution</w:t>
      </w:r>
      <w:r w:rsidR="001F4233" w:rsidRPr="00BE1403">
        <w:t xml:space="preserve"> to intervention’s</w:t>
      </w:r>
      <w:r w:rsidR="002D4059" w:rsidRPr="00BE1403">
        <w:t xml:space="preserve"> Catch 22</w:t>
      </w:r>
      <w:r w:rsidR="00650D31" w:rsidRPr="00BE1403">
        <w:t xml:space="preserve">; that by tweaking </w:t>
      </w:r>
      <w:r w:rsidR="00634604" w:rsidRPr="00BE1403">
        <w:t>the principles involved there may be a way</w:t>
      </w:r>
      <w:r w:rsidR="005F6771" w:rsidRPr="00BE1403">
        <w:t xml:space="preserve"> through this</w:t>
      </w:r>
      <w:r w:rsidR="00650D31" w:rsidRPr="00BE1403">
        <w:t xml:space="preserve"> normative quagmire</w:t>
      </w:r>
      <w:r w:rsidR="00742214" w:rsidRPr="00BE1403">
        <w:rPr>
          <w:rStyle w:val="FootnoteReference"/>
        </w:rPr>
        <w:footnoteReference w:id="45"/>
      </w:r>
      <w:r w:rsidR="00650D31" w:rsidRPr="00BE1403">
        <w:t>.</w:t>
      </w:r>
      <w:r w:rsidR="00474C9D" w:rsidRPr="00BE1403">
        <w:t xml:space="preserve"> </w:t>
      </w:r>
      <w:r w:rsidR="00281B8D" w:rsidRPr="00BE1403">
        <w:t xml:space="preserve">For example, there </w:t>
      </w:r>
      <w:r w:rsidR="001F4233" w:rsidRPr="00BE1403">
        <w:t>are efforts</w:t>
      </w:r>
      <w:r w:rsidR="00281B8D" w:rsidRPr="00BE1403">
        <w:t xml:space="preserve"> to </w:t>
      </w:r>
      <w:r w:rsidR="00A414EE" w:rsidRPr="00BE1403">
        <w:t xml:space="preserve">reconceptualise </w:t>
      </w:r>
      <w:r w:rsidR="00324968" w:rsidRPr="00BE1403">
        <w:t>intervention</w:t>
      </w:r>
      <w:r w:rsidR="00281B8D" w:rsidRPr="00BE1403">
        <w:t xml:space="preserve"> as</w:t>
      </w:r>
      <w:r w:rsidR="00474C9D" w:rsidRPr="00BE1403">
        <w:t xml:space="preserve"> a moment of exception</w:t>
      </w:r>
      <w:r w:rsidR="001F4233" w:rsidRPr="00BE1403">
        <w:t xml:space="preserve"> – a </w:t>
      </w:r>
      <w:r w:rsidR="00EB085C" w:rsidRPr="00BE1403">
        <w:t xml:space="preserve">special </w:t>
      </w:r>
      <w:r w:rsidR="001F4233" w:rsidRPr="00BE1403">
        <w:t>concession to the sovereignty argument</w:t>
      </w:r>
      <w:r w:rsidR="00FE489C" w:rsidRPr="00BE1403">
        <w:rPr>
          <w:rStyle w:val="FootnoteReference"/>
        </w:rPr>
        <w:footnoteReference w:id="46"/>
      </w:r>
      <w:r w:rsidR="001F4233" w:rsidRPr="00BE1403">
        <w:t xml:space="preserve"> (</w:t>
      </w:r>
      <w:r w:rsidR="00474C9D" w:rsidRPr="00BE1403">
        <w:t>although this has routinely failed to make a serious dent in the sovereignty narrative</w:t>
      </w:r>
      <w:r w:rsidR="00FE489C" w:rsidRPr="00BE1403">
        <w:rPr>
          <w:rStyle w:val="FootnoteReference"/>
        </w:rPr>
        <w:footnoteReference w:id="47"/>
      </w:r>
      <w:r w:rsidR="001F4233" w:rsidRPr="00BE1403">
        <w:t>)</w:t>
      </w:r>
      <w:r w:rsidR="004678A8" w:rsidRPr="00BE1403">
        <w:t>.</w:t>
      </w:r>
      <w:r w:rsidR="007D2B86" w:rsidRPr="00BE1403">
        <w:t xml:space="preserve"> </w:t>
      </w:r>
      <w:r w:rsidR="007D2FFD" w:rsidRPr="00BE1403">
        <w:t>Similarly</w:t>
      </w:r>
      <w:r w:rsidR="00A82D41" w:rsidRPr="00BE1403">
        <w:t>, sovereignty has been reconceptualised</w:t>
      </w:r>
      <w:r w:rsidR="007D2FFD" w:rsidRPr="00BE1403">
        <w:t xml:space="preserve"> with</w:t>
      </w:r>
      <w:r w:rsidR="001F4233" w:rsidRPr="00BE1403">
        <w:t>in</w:t>
      </w:r>
      <w:r w:rsidR="007D2FFD" w:rsidRPr="00BE1403">
        <w:t xml:space="preserve"> the context of responsibility, i.e. that states can only lay claim to the rights of sovereignty if they </w:t>
      </w:r>
      <w:r w:rsidR="00A82D41" w:rsidRPr="00BE1403">
        <w:t>ensure</w:t>
      </w:r>
      <w:r w:rsidR="007D2FFD" w:rsidRPr="00BE1403">
        <w:t xml:space="preserve"> t</w:t>
      </w:r>
      <w:r w:rsidR="00410BB3" w:rsidRPr="00BE1403">
        <w:t xml:space="preserve">he </w:t>
      </w:r>
      <w:r w:rsidR="001F4233" w:rsidRPr="00BE1403">
        <w:t>human rights</w:t>
      </w:r>
      <w:r w:rsidR="007D2FFD" w:rsidRPr="00BE1403">
        <w:t xml:space="preserve"> of their people</w:t>
      </w:r>
      <w:r w:rsidR="0053254B" w:rsidRPr="00BE1403">
        <w:rPr>
          <w:rStyle w:val="FootnoteReference"/>
        </w:rPr>
        <w:footnoteReference w:id="48"/>
      </w:r>
      <w:r w:rsidR="00474C9D" w:rsidRPr="00BE1403">
        <w:t>.</w:t>
      </w:r>
      <w:r w:rsidR="0090173B" w:rsidRPr="00BE1403">
        <w:t xml:space="preserve"> While this does not dispute the general comprehension of sovereignty outlined above (as political and territorial </w:t>
      </w:r>
      <w:r w:rsidR="007D2FFD" w:rsidRPr="00BE1403">
        <w:t>integrity), this adds a layer of</w:t>
      </w:r>
      <w:r w:rsidR="0090173B" w:rsidRPr="00BE1403">
        <w:t xml:space="preserve"> contingency in that states can </w:t>
      </w:r>
      <w:r w:rsidR="006A09FB" w:rsidRPr="00BE1403">
        <w:t>violate this right</w:t>
      </w:r>
      <w:r w:rsidR="0090173B" w:rsidRPr="00BE1403">
        <w:t xml:space="preserve"> where </w:t>
      </w:r>
      <w:r w:rsidR="00A82D41" w:rsidRPr="00BE1403">
        <w:t>they have permitted humanitarian</w:t>
      </w:r>
      <w:r w:rsidR="0090173B" w:rsidRPr="00BE1403">
        <w:t xml:space="preserve"> abuses within their borders.</w:t>
      </w:r>
      <w:r w:rsidR="00746D5E" w:rsidRPr="00BE1403">
        <w:t xml:space="preserve"> </w:t>
      </w:r>
      <w:r w:rsidR="00EB568B" w:rsidRPr="00BE1403">
        <w:t xml:space="preserve">This was the basis of the now-famous 2001 </w:t>
      </w:r>
      <w:r w:rsidR="00EB568B" w:rsidRPr="00BE1403">
        <w:rPr>
          <w:i/>
        </w:rPr>
        <w:t>I</w:t>
      </w:r>
      <w:r w:rsidR="00BC6275" w:rsidRPr="00BE1403">
        <w:rPr>
          <w:i/>
        </w:rPr>
        <w:t>nternational Commission on Intervention and State Sovereignty</w:t>
      </w:r>
      <w:r w:rsidR="00EB568B" w:rsidRPr="00BE1403">
        <w:t xml:space="preserve"> report, </w:t>
      </w:r>
      <w:r w:rsidR="00942905" w:rsidRPr="00BE1403">
        <w:t xml:space="preserve">which underpinned the development of R2P – and </w:t>
      </w:r>
      <w:r w:rsidR="00EB568B" w:rsidRPr="00BE1403">
        <w:t xml:space="preserve">where this constituted a </w:t>
      </w:r>
      <w:r w:rsidR="00942905" w:rsidRPr="00BE1403">
        <w:t xml:space="preserve">key </w:t>
      </w:r>
      <w:r w:rsidR="00EB568B" w:rsidRPr="00BE1403">
        <w:t xml:space="preserve">point of redefinition </w:t>
      </w:r>
      <w:r w:rsidR="00A82D41" w:rsidRPr="00BE1403">
        <w:t>as to</w:t>
      </w:r>
      <w:r w:rsidR="00942905" w:rsidRPr="00BE1403">
        <w:t xml:space="preserve"> how sovereignty should apply </w:t>
      </w:r>
      <w:r w:rsidR="00EA1D52" w:rsidRPr="00BE1403">
        <w:t>with</w:t>
      </w:r>
      <w:r w:rsidR="00942905" w:rsidRPr="00BE1403">
        <w:t>in the international system</w:t>
      </w:r>
      <w:r w:rsidR="00E61212" w:rsidRPr="00BE1403">
        <w:rPr>
          <w:rStyle w:val="FootnoteReference"/>
        </w:rPr>
        <w:footnoteReference w:id="49"/>
      </w:r>
      <w:r w:rsidR="00EB568B" w:rsidRPr="00BE1403">
        <w:t xml:space="preserve">. </w:t>
      </w:r>
      <w:r w:rsidR="00943269" w:rsidRPr="00BE1403">
        <w:t>Yet, ultimately, these efforts</w:t>
      </w:r>
      <w:r w:rsidR="00211CF3" w:rsidRPr="00BE1403">
        <w:t xml:space="preserve"> </w:t>
      </w:r>
      <w:r w:rsidR="00943269" w:rsidRPr="00BE1403">
        <w:t>have</w:t>
      </w:r>
      <w:r w:rsidR="00211CF3" w:rsidRPr="00BE1403">
        <w:t xml:space="preserve"> proved limited thanks to the predominance of </w:t>
      </w:r>
      <w:proofErr w:type="spellStart"/>
      <w:r w:rsidR="00211CF3" w:rsidRPr="00BE1403">
        <w:t>Westphalian</w:t>
      </w:r>
      <w:proofErr w:type="spellEnd"/>
      <w:r w:rsidR="00211CF3" w:rsidRPr="00BE1403">
        <w:t xml:space="preserve"> conceptualisations of sovereignty, </w:t>
      </w:r>
      <w:r w:rsidR="006A09FB" w:rsidRPr="00BE1403">
        <w:t xml:space="preserve">especially </w:t>
      </w:r>
      <w:r w:rsidR="00211CF3" w:rsidRPr="00BE1403">
        <w:t>where these have proved so beneficial in reducing the imperative to intervention on states that would prefer to avoid it. It also protects leaders seeking internal control</w:t>
      </w:r>
      <w:r w:rsidR="004F56D5" w:rsidRPr="00BE1403">
        <w:t>: ‘</w:t>
      </w:r>
      <w:r w:rsidR="00EB568B" w:rsidRPr="00BE1403">
        <w:t>Sovereignty has often been used to protect lea</w:t>
      </w:r>
      <w:r w:rsidR="004F56D5" w:rsidRPr="00BE1403">
        <w:t>ders at the expense of citizens.’</w:t>
      </w:r>
      <w:r w:rsidR="004F56D5" w:rsidRPr="00BE1403">
        <w:rPr>
          <w:rStyle w:val="FootnoteReference"/>
        </w:rPr>
        <w:footnoteReference w:id="50"/>
      </w:r>
      <w:r w:rsidR="004F56D5" w:rsidRPr="00BE1403">
        <w:t xml:space="preserve"> </w:t>
      </w:r>
      <w:r w:rsidR="00943269" w:rsidRPr="00BE1403">
        <w:t>As such, the sovereignty taboo remains a core as</w:t>
      </w:r>
      <w:r w:rsidR="001C36CA" w:rsidRPr="00BE1403">
        <w:t>pect of the intervention dilemma.</w:t>
      </w:r>
    </w:p>
    <w:p w14:paraId="37747518" w14:textId="77777777" w:rsidR="00211CF3" w:rsidRPr="00BE1403" w:rsidRDefault="00211CF3" w:rsidP="00BB151F">
      <w:pPr>
        <w:spacing w:line="480" w:lineRule="auto"/>
      </w:pPr>
    </w:p>
    <w:p w14:paraId="1AE926B7" w14:textId="77777777" w:rsidR="00236522" w:rsidRPr="00BE1403" w:rsidRDefault="00236522" w:rsidP="00BB151F">
      <w:pPr>
        <w:spacing w:line="480" w:lineRule="auto"/>
      </w:pPr>
    </w:p>
    <w:p w14:paraId="0B2DFFA4" w14:textId="77777777" w:rsidR="001D0BAB" w:rsidRPr="00BE1403" w:rsidRDefault="001D0BAB" w:rsidP="00BB151F">
      <w:pPr>
        <w:spacing w:line="480" w:lineRule="auto"/>
      </w:pPr>
    </w:p>
    <w:p w14:paraId="760C020B" w14:textId="40946F4D" w:rsidR="00337C21" w:rsidRPr="00BE1403" w:rsidRDefault="00AE0CC8" w:rsidP="00BB151F">
      <w:pPr>
        <w:spacing w:line="480" w:lineRule="auto"/>
        <w:rPr>
          <w:b/>
        </w:rPr>
      </w:pPr>
      <w:r w:rsidRPr="00BE1403">
        <w:rPr>
          <w:b/>
        </w:rPr>
        <w:t xml:space="preserve">Resolving </w:t>
      </w:r>
      <w:r w:rsidR="00115C97">
        <w:rPr>
          <w:b/>
        </w:rPr>
        <w:t>normative d</w:t>
      </w:r>
      <w:r w:rsidR="001D0BAB" w:rsidRPr="00BE1403">
        <w:rPr>
          <w:b/>
        </w:rPr>
        <w:t>ilemma</w:t>
      </w:r>
    </w:p>
    <w:p w14:paraId="372254A5" w14:textId="77777777" w:rsidR="00DA3687" w:rsidRPr="00BE1403" w:rsidRDefault="00DA3687" w:rsidP="00BB151F">
      <w:pPr>
        <w:spacing w:line="480" w:lineRule="auto"/>
      </w:pPr>
    </w:p>
    <w:p w14:paraId="44E9E55C" w14:textId="5D0A755B" w:rsidR="00F42C08" w:rsidRPr="00BE1403" w:rsidRDefault="000D58CB" w:rsidP="00BB151F">
      <w:pPr>
        <w:spacing w:line="480" w:lineRule="auto"/>
      </w:pPr>
      <w:r w:rsidRPr="00BE1403">
        <w:t>The resol</w:t>
      </w:r>
      <w:r w:rsidR="00C2500B" w:rsidRPr="00BE1403">
        <w:t xml:space="preserve">ution of normative dilemma has </w:t>
      </w:r>
      <w:r w:rsidR="007140D5" w:rsidRPr="00BE1403">
        <w:t>been relegated to a secondary position in the wider debate</w:t>
      </w:r>
      <w:r w:rsidR="00AC1F98" w:rsidRPr="00BE1403">
        <w:t xml:space="preserve"> on norms</w:t>
      </w:r>
      <w:r w:rsidR="007140D5" w:rsidRPr="00BE1403">
        <w:t>. Analysts primarily focus on the comparative relevance of</w:t>
      </w:r>
      <w:r w:rsidR="00731D10" w:rsidRPr="00BE1403">
        <w:t xml:space="preserve"> individual</w:t>
      </w:r>
      <w:r w:rsidR="007140D5" w:rsidRPr="00BE1403">
        <w:t xml:space="preserve"> norms in influencing decision-making, specifically as a measure of normative strength. As </w:t>
      </w:r>
      <w:r w:rsidR="00731D10" w:rsidRPr="00BE1403">
        <w:t xml:space="preserve">Jeffrey </w:t>
      </w:r>
      <w:proofErr w:type="spellStart"/>
      <w:r w:rsidR="003370A5" w:rsidRPr="00BE1403">
        <w:t>Legro</w:t>
      </w:r>
      <w:proofErr w:type="spellEnd"/>
      <w:r w:rsidR="003370A5" w:rsidRPr="00BE1403">
        <w:t xml:space="preserve"> </w:t>
      </w:r>
      <w:r w:rsidR="007140D5" w:rsidRPr="00BE1403">
        <w:t>famously asks: ‘Which norms matter?’</w:t>
      </w:r>
      <w:r w:rsidR="00E7628B" w:rsidRPr="00BE1403">
        <w:rPr>
          <w:rStyle w:val="FootnoteReference"/>
        </w:rPr>
        <w:footnoteReference w:id="51"/>
      </w:r>
      <w:r w:rsidR="00221B9C" w:rsidRPr="00BE1403">
        <w:t xml:space="preserve"> Yet this is still constructed as a measure of normative influence in terms of competing forces such as state self-interest; </w:t>
      </w:r>
      <w:proofErr w:type="spellStart"/>
      <w:r w:rsidR="00221B9C" w:rsidRPr="00BE1403">
        <w:t>Legro</w:t>
      </w:r>
      <w:proofErr w:type="spellEnd"/>
      <w:r w:rsidR="00221B9C" w:rsidRPr="00BE1403">
        <w:t xml:space="preserve"> does not ask which norms matter </w:t>
      </w:r>
      <w:r w:rsidR="009F4BF7" w:rsidRPr="00BE1403">
        <w:t>compared to other</w:t>
      </w:r>
      <w:r w:rsidR="00221B9C" w:rsidRPr="00BE1403">
        <w:t xml:space="preserve">s, where these too could lay claim to </w:t>
      </w:r>
      <w:r w:rsidR="00A4791D" w:rsidRPr="00BE1403">
        <w:t>affect</w:t>
      </w:r>
      <w:r w:rsidR="00221B9C" w:rsidRPr="00BE1403">
        <w:t>.</w:t>
      </w:r>
      <w:r w:rsidR="00557BBD" w:rsidRPr="00BE1403">
        <w:t xml:space="preserve"> Norms are</w:t>
      </w:r>
      <w:r w:rsidR="00A4791D" w:rsidRPr="00BE1403">
        <w:t xml:space="preserve"> frequently</w:t>
      </w:r>
      <w:r w:rsidR="00557BBD" w:rsidRPr="00BE1403">
        <w:t xml:space="preserve"> </w:t>
      </w:r>
      <w:r w:rsidR="00A4791D" w:rsidRPr="00BE1403">
        <w:t>analysed</w:t>
      </w:r>
      <w:r w:rsidR="00557BBD" w:rsidRPr="00BE1403">
        <w:t xml:space="preserve"> as singular constructs, not ideas that can clash with similar units of influence. </w:t>
      </w:r>
      <w:r w:rsidR="000F0CA1" w:rsidRPr="00BE1403">
        <w:t>Despite this</w:t>
      </w:r>
      <w:r w:rsidR="00557BBD" w:rsidRPr="00BE1403">
        <w:t xml:space="preserve">, however, </w:t>
      </w:r>
      <w:r w:rsidR="000F0CA1" w:rsidRPr="00BE1403">
        <w:t xml:space="preserve">the question </w:t>
      </w:r>
      <w:r w:rsidR="00557BBD" w:rsidRPr="00BE1403">
        <w:t>is far from ignored</w:t>
      </w:r>
      <w:r w:rsidRPr="00BE1403">
        <w:t>. Opinions vary, yet</w:t>
      </w:r>
      <w:r w:rsidR="00B037C8" w:rsidRPr="00BE1403">
        <w:t xml:space="preserve"> the resolution of</w:t>
      </w:r>
      <w:r w:rsidRPr="00BE1403">
        <w:t xml:space="preserve"> </w:t>
      </w:r>
      <w:r w:rsidR="00B037C8" w:rsidRPr="00BE1403">
        <w:t xml:space="preserve">normative dilemma – </w:t>
      </w:r>
      <w:r w:rsidR="001F6FD0" w:rsidRPr="00BE1403">
        <w:t xml:space="preserve">the ability to cope with </w:t>
      </w:r>
      <w:r w:rsidR="00337C21" w:rsidRPr="00BE1403">
        <w:t xml:space="preserve">directly competing norms, </w:t>
      </w:r>
      <w:r w:rsidR="000F0CA1" w:rsidRPr="00BE1403">
        <w:t xml:space="preserve">not least where </w:t>
      </w:r>
      <w:r w:rsidR="006A76D7" w:rsidRPr="00BE1403">
        <w:t>these</w:t>
      </w:r>
      <w:r w:rsidR="00337C21" w:rsidRPr="00BE1403">
        <w:t xml:space="preserve"> are subject to the stringent expectations of a taboo – has</w:t>
      </w:r>
      <w:r w:rsidRPr="00BE1403">
        <w:t xml:space="preserve"> typically</w:t>
      </w:r>
      <w:r w:rsidR="00337C21" w:rsidRPr="00BE1403">
        <w:t xml:space="preserve"> been reduced to either a) </w:t>
      </w:r>
      <w:r w:rsidR="0057565A" w:rsidRPr="00BE1403">
        <w:t xml:space="preserve">relative </w:t>
      </w:r>
      <w:r w:rsidR="00B037C8" w:rsidRPr="00BE1403">
        <w:t>normative</w:t>
      </w:r>
      <w:r w:rsidR="00337C21" w:rsidRPr="00BE1403">
        <w:t xml:space="preserve"> weakness</w:t>
      </w:r>
      <w:r w:rsidR="000E658F" w:rsidRPr="00BE1403">
        <w:t xml:space="preserve"> </w:t>
      </w:r>
      <w:r w:rsidR="00337C21" w:rsidRPr="00BE1403">
        <w:t xml:space="preserve">or b) the prioritisation of self-interest. </w:t>
      </w:r>
      <w:r w:rsidR="00A37319" w:rsidRPr="00BE1403">
        <w:t>In terms of the former, this is</w:t>
      </w:r>
      <w:r w:rsidRPr="00BE1403">
        <w:t xml:space="preserve"> effectively</w:t>
      </w:r>
      <w:r w:rsidR="00A37319" w:rsidRPr="00BE1403">
        <w:t xml:space="preserve"> a question of hierarchy. </w:t>
      </w:r>
      <w:r w:rsidRPr="00BE1403">
        <w:t>Whether we accept normative strength as</w:t>
      </w:r>
      <w:r w:rsidR="002263D7" w:rsidRPr="00BE1403">
        <w:t xml:space="preserve"> a linear and on-going process</w:t>
      </w:r>
      <w:r w:rsidR="003370A5" w:rsidRPr="00BE1403">
        <w:rPr>
          <w:rStyle w:val="FootnoteReference"/>
        </w:rPr>
        <w:footnoteReference w:id="52"/>
      </w:r>
      <w:r w:rsidR="003370A5" w:rsidRPr="00BE1403">
        <w:t xml:space="preserve"> </w:t>
      </w:r>
      <w:r w:rsidR="002263D7" w:rsidRPr="00BE1403">
        <w:t>and/or the product of highly contextualised context</w:t>
      </w:r>
      <w:r w:rsidR="003370A5" w:rsidRPr="00BE1403">
        <w:rPr>
          <w:rStyle w:val="FootnoteReference"/>
        </w:rPr>
        <w:footnoteReference w:id="53"/>
      </w:r>
      <w:r w:rsidR="002263D7" w:rsidRPr="00BE1403">
        <w:t>, it is assumed that, within a specific dilemma, there will be a stronger of the two norms and that this will trump the weaker</w:t>
      </w:r>
      <w:r w:rsidR="003370A5" w:rsidRPr="00BE1403">
        <w:rPr>
          <w:rStyle w:val="FootnoteReference"/>
        </w:rPr>
        <w:footnoteReference w:id="54"/>
      </w:r>
      <w:r w:rsidR="002263D7" w:rsidRPr="00BE1403">
        <w:t>. One norm will emerge</w:t>
      </w:r>
      <w:r w:rsidR="0057565A" w:rsidRPr="00BE1403">
        <w:t xml:space="preserve"> as the more compelling option. </w:t>
      </w:r>
      <w:r w:rsidR="002263D7" w:rsidRPr="00BE1403">
        <w:t xml:space="preserve">Alternatively, this is a decision </w:t>
      </w:r>
      <w:r w:rsidR="00D1673B" w:rsidRPr="00BE1403">
        <w:t>based</w:t>
      </w:r>
      <w:r w:rsidR="00441796" w:rsidRPr="00BE1403">
        <w:t xml:space="preserve"> on </w:t>
      </w:r>
      <w:r w:rsidR="00A37319" w:rsidRPr="00BE1403">
        <w:t xml:space="preserve">self-interest. While </w:t>
      </w:r>
      <w:r w:rsidR="0057565A" w:rsidRPr="00BE1403">
        <w:t xml:space="preserve">norms </w:t>
      </w:r>
      <w:r w:rsidR="002263D7" w:rsidRPr="00BE1403">
        <w:t>still</w:t>
      </w:r>
      <w:r w:rsidR="00A37319" w:rsidRPr="00BE1403">
        <w:t xml:space="preserve"> influence (the extent to which depending where on the realist-constructivist spectrum you lie), </w:t>
      </w:r>
      <w:r w:rsidR="002263D7" w:rsidRPr="00BE1403">
        <w:t>this is ultima</w:t>
      </w:r>
      <w:r w:rsidR="00F93FEA" w:rsidRPr="00BE1403">
        <w:t xml:space="preserve">tely </w:t>
      </w:r>
      <w:r w:rsidR="0057565A" w:rsidRPr="00BE1403">
        <w:t>subordinate</w:t>
      </w:r>
      <w:r w:rsidR="00F93FEA" w:rsidRPr="00BE1403">
        <w:t xml:space="preserve"> to state desire. </w:t>
      </w:r>
      <w:r w:rsidR="00485C57" w:rsidRPr="00BE1403">
        <w:t xml:space="preserve">To the </w:t>
      </w:r>
      <w:r w:rsidR="00277A60" w:rsidRPr="00BE1403">
        <w:t>degree</w:t>
      </w:r>
      <w:r w:rsidR="005F3EC4" w:rsidRPr="00BE1403">
        <w:t xml:space="preserve"> </w:t>
      </w:r>
      <w:r w:rsidR="00485C57" w:rsidRPr="00BE1403">
        <w:t xml:space="preserve">a state ostensibly adheres to </w:t>
      </w:r>
      <w:r w:rsidR="00277A60" w:rsidRPr="00BE1403">
        <w:t>a certain ideological viewpoint</w:t>
      </w:r>
      <w:r w:rsidR="00D308E0" w:rsidRPr="00BE1403">
        <w:t xml:space="preserve"> </w:t>
      </w:r>
      <w:r w:rsidR="0057565A" w:rsidRPr="00BE1403">
        <w:t>in preference to another</w:t>
      </w:r>
      <w:r w:rsidR="007659D2">
        <w:t xml:space="preserve">, </w:t>
      </w:r>
      <w:r w:rsidR="0057565A" w:rsidRPr="00BE1403">
        <w:t>this occurs</w:t>
      </w:r>
      <w:r w:rsidR="00485C57" w:rsidRPr="00BE1403">
        <w:t xml:space="preserve"> </w:t>
      </w:r>
      <w:r w:rsidR="00277A60" w:rsidRPr="00BE1403">
        <w:t>only as far as</w:t>
      </w:r>
      <w:r w:rsidR="00485C57" w:rsidRPr="00BE1403">
        <w:t xml:space="preserve"> </w:t>
      </w:r>
      <w:r w:rsidR="0057565A" w:rsidRPr="00BE1403">
        <w:t>this</w:t>
      </w:r>
      <w:r w:rsidR="00485C57" w:rsidRPr="00BE1403">
        <w:t xml:space="preserve"> </w:t>
      </w:r>
      <w:r w:rsidR="000F36E9" w:rsidRPr="00BE1403">
        <w:t>facilitates</w:t>
      </w:r>
      <w:r w:rsidR="00485C57" w:rsidRPr="00BE1403">
        <w:t xml:space="preserve"> their self-interested </w:t>
      </w:r>
      <w:r w:rsidR="000F36E9" w:rsidRPr="00BE1403">
        <w:t>ambition</w:t>
      </w:r>
      <w:r w:rsidR="007659D2">
        <w:t xml:space="preserve"> – </w:t>
      </w:r>
      <w:r w:rsidR="00C83843" w:rsidRPr="00BE1403">
        <w:t>even to the point of hypocrisy</w:t>
      </w:r>
      <w:r w:rsidR="003370A5" w:rsidRPr="00BE1403">
        <w:rPr>
          <w:rStyle w:val="FootnoteReference"/>
        </w:rPr>
        <w:footnoteReference w:id="55"/>
      </w:r>
      <w:r w:rsidR="0038729E" w:rsidRPr="00BE1403">
        <w:t xml:space="preserve">. </w:t>
      </w:r>
      <w:r w:rsidR="00F93FEA" w:rsidRPr="00BE1403">
        <w:t>This is especially relevant in cases</w:t>
      </w:r>
      <w:r w:rsidR="002263D7" w:rsidRPr="00BE1403">
        <w:t xml:space="preserve"> where this involves the national interest</w:t>
      </w:r>
      <w:r w:rsidR="0057565A" w:rsidRPr="00BE1403">
        <w:t xml:space="preserve"> (as intervention typically does)</w:t>
      </w:r>
      <w:r w:rsidR="000F4FE5">
        <w:t xml:space="preserve"> and </w:t>
      </w:r>
      <w:r w:rsidR="0057565A" w:rsidRPr="00BE1403">
        <w:t>moral decision-making (where again,</w:t>
      </w:r>
      <w:r w:rsidR="00F93FEA" w:rsidRPr="00BE1403">
        <w:t xml:space="preserve"> this connects to the humanitarian impulse</w:t>
      </w:r>
      <w:r w:rsidR="0057565A" w:rsidRPr="00BE1403">
        <w:t>)</w:t>
      </w:r>
      <w:r w:rsidR="00F93FEA" w:rsidRPr="00BE1403">
        <w:t>. Even those who reject the</w:t>
      </w:r>
      <w:r w:rsidR="0057565A" w:rsidRPr="00BE1403">
        <w:t xml:space="preserve"> extremes of Machiavelli often see a</w:t>
      </w:r>
      <w:r w:rsidR="00F93FEA" w:rsidRPr="00BE1403">
        <w:t xml:space="preserve"> need to balance moral norms ag</w:t>
      </w:r>
      <w:r w:rsidR="00441796" w:rsidRPr="00BE1403">
        <w:t>ainst self-</w:t>
      </w:r>
      <w:r w:rsidR="0038729E" w:rsidRPr="00BE1403">
        <w:t>interest, where the latter</w:t>
      </w:r>
      <w:r w:rsidR="0057565A" w:rsidRPr="00BE1403">
        <w:t xml:space="preserve"> reign</w:t>
      </w:r>
      <w:r w:rsidR="000D05A3" w:rsidRPr="00BE1403">
        <w:t>s</w:t>
      </w:r>
      <w:r w:rsidR="0057565A" w:rsidRPr="00BE1403">
        <w:t xml:space="preserve"> supreme –</w:t>
      </w:r>
      <w:r w:rsidR="00F93FEA" w:rsidRPr="00BE1403">
        <w:t xml:space="preserve"> at least in the realist mind-set</w:t>
      </w:r>
      <w:r w:rsidR="003370A5" w:rsidRPr="00BE1403">
        <w:rPr>
          <w:rStyle w:val="FootnoteReference"/>
        </w:rPr>
        <w:footnoteReference w:id="56"/>
      </w:r>
      <w:r w:rsidR="00F93FEA" w:rsidRPr="00BE1403">
        <w:t>.</w:t>
      </w:r>
      <w:r w:rsidR="00DE5349" w:rsidRPr="00BE1403">
        <w:t xml:space="preserve"> </w:t>
      </w:r>
    </w:p>
    <w:p w14:paraId="0E246F13" w14:textId="77777777" w:rsidR="00F42C08" w:rsidRPr="00BE1403" w:rsidRDefault="00F42C08" w:rsidP="00BB151F">
      <w:pPr>
        <w:spacing w:line="480" w:lineRule="auto"/>
      </w:pPr>
    </w:p>
    <w:p w14:paraId="3211CE69" w14:textId="49D14F43" w:rsidR="00767CC0" w:rsidRPr="00BE1403" w:rsidRDefault="00DC10CA" w:rsidP="00BB151F">
      <w:pPr>
        <w:spacing w:line="480" w:lineRule="auto"/>
      </w:pPr>
      <w:r w:rsidRPr="00BE1403">
        <w:t>G</w:t>
      </w:r>
      <w:r w:rsidR="00767CC0" w:rsidRPr="00BE1403">
        <w:t xml:space="preserve">iven on-going tension between realist-constructivist viewpoints on the relevance of norms, this will no doubt continue to be a source of debate; but </w:t>
      </w:r>
      <w:r w:rsidR="00A37319" w:rsidRPr="00BE1403">
        <w:t xml:space="preserve">it is not the issue that concerns this article. </w:t>
      </w:r>
      <w:r w:rsidR="00767CC0" w:rsidRPr="00BE1403">
        <w:t>While understanding the process of decision-making within a complex normative environment is important, this article states that the very presence of that decision (when made; however it is made)</w:t>
      </w:r>
      <w:r w:rsidR="007721C1" w:rsidRPr="00BE1403">
        <w:t xml:space="preserve"> within that same environment is also a major point of analysis.</w:t>
      </w:r>
      <w:r w:rsidR="00C265BF" w:rsidRPr="00BE1403">
        <w:t xml:space="preserve"> Specifically that, regardless of the </w:t>
      </w:r>
      <w:r w:rsidR="00EC4CE9" w:rsidRPr="00BE1403">
        <w:t xml:space="preserve">motivation behind the decision – </w:t>
      </w:r>
      <w:r w:rsidR="00C265BF" w:rsidRPr="00BE1403">
        <w:t>eve</w:t>
      </w:r>
      <w:r w:rsidRPr="00BE1403">
        <w:t>n if this is interpreted as a</w:t>
      </w:r>
      <w:r w:rsidR="00C265BF" w:rsidRPr="00BE1403">
        <w:t xml:space="preserve"> perfect realist action</w:t>
      </w:r>
      <w:r w:rsidRPr="00BE1403">
        <w:t>,</w:t>
      </w:r>
      <w:r w:rsidR="00EC4CE9" w:rsidRPr="00BE1403">
        <w:t xml:space="preserve"> devoid of normative pressure – </w:t>
      </w:r>
      <w:r w:rsidR="007E2009" w:rsidRPr="00BE1403">
        <w:t>then that decision is</w:t>
      </w:r>
      <w:r w:rsidR="00C265BF" w:rsidRPr="00BE1403">
        <w:t xml:space="preserve"> still introduced into a</w:t>
      </w:r>
      <w:r w:rsidR="007E2009" w:rsidRPr="00BE1403">
        <w:t xml:space="preserve"> binary</w:t>
      </w:r>
      <w:r w:rsidR="00C265BF" w:rsidRPr="00BE1403">
        <w:t xml:space="preserve"> normative environme</w:t>
      </w:r>
      <w:r w:rsidR="00D92BB9" w:rsidRPr="00BE1403">
        <w:t xml:space="preserve">nt on which it will be judged. This </w:t>
      </w:r>
      <w:r w:rsidR="008D595B">
        <w:t xml:space="preserve">situation </w:t>
      </w:r>
      <w:r w:rsidR="00D92BB9" w:rsidRPr="00BE1403">
        <w:t xml:space="preserve">is the same </w:t>
      </w:r>
      <w:r w:rsidR="00F40A2D" w:rsidRPr="00BE1403">
        <w:t xml:space="preserve">whether those </w:t>
      </w:r>
      <w:r w:rsidR="00C265BF" w:rsidRPr="00BE1403">
        <w:t>norms a</w:t>
      </w:r>
      <w:r w:rsidR="00F40A2D" w:rsidRPr="00BE1403">
        <w:t>re genuinely felt by the audience</w:t>
      </w:r>
      <w:r w:rsidR="00C265BF" w:rsidRPr="00BE1403">
        <w:t xml:space="preserve"> or employed manipulatively to support or undermine the decision in question.</w:t>
      </w:r>
      <w:r w:rsidR="003A5639" w:rsidRPr="00BE1403">
        <w:t xml:space="preserve"> As such, this article asks what happens </w:t>
      </w:r>
      <w:r w:rsidR="00E467E1" w:rsidRPr="00BE1403">
        <w:t>to the presentation of a decision when it becomes subject to a binary conceptua</w:t>
      </w:r>
      <w:r w:rsidR="002E3B9E" w:rsidRPr="00BE1403">
        <w:t xml:space="preserve">l environment based on opposing </w:t>
      </w:r>
      <w:r w:rsidR="00E467E1" w:rsidRPr="00BE1403">
        <w:t>taboos? What does an actor have to do in order to ensure their strategic position survives given the conflicting nature of the relevant norms? Given that any decision will inevitability ‘disappoint’ one or both sides of the debate, how can an actor control that normative situation in order t</w:t>
      </w:r>
      <w:r w:rsidR="00640F1A" w:rsidRPr="00BE1403">
        <w:t>hat their decision wins through</w:t>
      </w:r>
      <w:r w:rsidR="00E467E1" w:rsidRPr="00BE1403">
        <w:t xml:space="preserve"> and does not disintegrate under criticism from the elements they conflict with? This is understood as a condition of rhetoric and rhetorical presentation. How does an actor present their decision in a way </w:t>
      </w:r>
      <w:r w:rsidR="00F57A11" w:rsidRPr="00BE1403">
        <w:t xml:space="preserve">acceptable to all sides of </w:t>
      </w:r>
      <w:r w:rsidR="00E76179" w:rsidRPr="00BE1403">
        <w:t xml:space="preserve">the </w:t>
      </w:r>
      <w:r w:rsidR="00A55EDB" w:rsidRPr="00BE1403">
        <w:t>debate?</w:t>
      </w:r>
    </w:p>
    <w:p w14:paraId="255204AE" w14:textId="77777777" w:rsidR="00280F44" w:rsidRPr="00BE1403" w:rsidRDefault="00280F44" w:rsidP="00BB151F">
      <w:pPr>
        <w:spacing w:line="480" w:lineRule="auto"/>
      </w:pPr>
    </w:p>
    <w:p w14:paraId="568A3FA2" w14:textId="77777777" w:rsidR="00280F44" w:rsidRPr="00BE1403" w:rsidRDefault="00280F44" w:rsidP="00BB151F">
      <w:pPr>
        <w:spacing w:line="480" w:lineRule="auto"/>
      </w:pPr>
    </w:p>
    <w:p w14:paraId="67D72FAB" w14:textId="2B2FD2A5" w:rsidR="00D66D10" w:rsidRPr="00115C97" w:rsidRDefault="00115C97" w:rsidP="00BB151F">
      <w:pPr>
        <w:spacing w:line="480" w:lineRule="auto"/>
        <w:rPr>
          <w:i/>
        </w:rPr>
      </w:pPr>
      <w:r>
        <w:rPr>
          <w:i/>
        </w:rPr>
        <w:t>Normative i</w:t>
      </w:r>
      <w:r w:rsidR="00D66D10" w:rsidRPr="00115C97">
        <w:rPr>
          <w:i/>
        </w:rPr>
        <w:t>nvalidation</w:t>
      </w:r>
    </w:p>
    <w:p w14:paraId="592A114E" w14:textId="49531522" w:rsidR="00E467E1" w:rsidRPr="00BE1403" w:rsidRDefault="000D7E6A" w:rsidP="00BB151F">
      <w:pPr>
        <w:spacing w:line="480" w:lineRule="auto"/>
      </w:pPr>
      <w:r w:rsidRPr="00BE1403">
        <w:t xml:space="preserve">The current </w:t>
      </w:r>
      <w:r w:rsidR="00796841" w:rsidRPr="00796841">
        <w:t>significance</w:t>
      </w:r>
      <w:r w:rsidRPr="00BE1403">
        <w:t xml:space="preserve"> of these taboos</w:t>
      </w:r>
      <w:r w:rsidR="00F23658" w:rsidRPr="00BE1403">
        <w:rPr>
          <w:rStyle w:val="FootnoteReference"/>
        </w:rPr>
        <w:footnoteReference w:id="57"/>
      </w:r>
      <w:r w:rsidR="00F23658" w:rsidRPr="00BE1403">
        <w:t xml:space="preserve"> means</w:t>
      </w:r>
      <w:r w:rsidRPr="00BE1403">
        <w:t xml:space="preserve"> that adherence</w:t>
      </w:r>
      <w:r w:rsidR="007C305E" w:rsidRPr="00BE1403">
        <w:t xml:space="preserve"> (genuine or purely strategic)</w:t>
      </w:r>
      <w:r w:rsidRPr="00BE1403">
        <w:t xml:space="preserve"> to </w:t>
      </w:r>
      <w:r w:rsidR="00183E36" w:rsidRPr="00BE1403">
        <w:t>either one,</w:t>
      </w:r>
      <w:r w:rsidRPr="00BE1403">
        <w:t xml:space="preserve"> </w:t>
      </w:r>
      <w:r w:rsidR="007C305E" w:rsidRPr="00BE1403">
        <w:t>as part of a rhetorical strategy in presenting a case for or against intervention, is likely to be successful. Critical</w:t>
      </w:r>
      <w:r w:rsidR="007D0A30" w:rsidRPr="00BE1403">
        <w:t>ly, this does not guarantee</w:t>
      </w:r>
      <w:r w:rsidR="007C305E" w:rsidRPr="00BE1403">
        <w:t xml:space="preserve"> success. It is, ho</w:t>
      </w:r>
      <w:r w:rsidR="00183E36" w:rsidRPr="00BE1403">
        <w:t>wever, a fairly safe bet that this</w:t>
      </w:r>
      <w:r w:rsidR="007D0A30" w:rsidRPr="00BE1403">
        <w:t xml:space="preserve"> would</w:t>
      </w:r>
      <w:r w:rsidR="0022287C" w:rsidRPr="00BE1403">
        <w:t xml:space="preserve"> comprise</w:t>
      </w:r>
      <w:r w:rsidR="007C305E" w:rsidRPr="00BE1403">
        <w:t xml:space="preserve"> </w:t>
      </w:r>
      <w:r w:rsidR="00ED495F" w:rsidRPr="00BE1403">
        <w:t xml:space="preserve">a </w:t>
      </w:r>
      <w:r w:rsidR="007C305E" w:rsidRPr="00BE1403">
        <w:t>sufficient</w:t>
      </w:r>
      <w:r w:rsidR="00ED495F" w:rsidRPr="00BE1403">
        <w:t xml:space="preserve"> basis on which</w:t>
      </w:r>
      <w:r w:rsidR="007C305E" w:rsidRPr="00BE1403">
        <w:t xml:space="preserve"> to push</w:t>
      </w:r>
      <w:r w:rsidR="00183E36" w:rsidRPr="00BE1403">
        <w:t xml:space="preserve"> through</w:t>
      </w:r>
      <w:r w:rsidR="007D0A30" w:rsidRPr="00BE1403">
        <w:t xml:space="preserve"> a</w:t>
      </w:r>
      <w:r w:rsidR="007C305E" w:rsidRPr="00BE1403">
        <w:t xml:space="preserve"> decision</w:t>
      </w:r>
      <w:r w:rsidR="007D0A30" w:rsidRPr="00BE1403">
        <w:t xml:space="preserve"> on </w:t>
      </w:r>
      <w:r w:rsidR="00796841">
        <w:t>(</w:t>
      </w:r>
      <w:proofErr w:type="gramStart"/>
      <w:r w:rsidR="00796841">
        <w:t>non)</w:t>
      </w:r>
      <w:r w:rsidR="007D0A30" w:rsidRPr="00BE1403">
        <w:t>intervention</w:t>
      </w:r>
      <w:proofErr w:type="gramEnd"/>
      <w:r w:rsidR="007C305E" w:rsidRPr="00BE1403">
        <w:t xml:space="preserve"> with a degree of credibility (although this </w:t>
      </w:r>
      <w:r w:rsidR="0022287C" w:rsidRPr="00BE1403">
        <w:t xml:space="preserve">also </w:t>
      </w:r>
      <w:r w:rsidR="007C305E" w:rsidRPr="00BE1403">
        <w:t>depends on the rhetorical skill of the constructing actor).</w:t>
      </w:r>
      <w:r w:rsidR="000C77F3">
        <w:t xml:space="preserve"> Ye</w:t>
      </w:r>
      <w:r w:rsidR="00A63550" w:rsidRPr="00BE1403">
        <w:t>t this leaves open the</w:t>
      </w:r>
      <w:r w:rsidR="00183E36" w:rsidRPr="00BE1403">
        <w:t xml:space="preserve"> question as to what happens to the other taboo</w:t>
      </w:r>
      <w:r w:rsidR="00ED495F" w:rsidRPr="00BE1403">
        <w:t>,</w:t>
      </w:r>
      <w:r w:rsidR="00183E36" w:rsidRPr="00BE1403">
        <w:t xml:space="preserve"> or both taboos if an alternative rhetorical strategy is pursued.</w:t>
      </w:r>
      <w:r w:rsidR="00A63550" w:rsidRPr="00BE1403">
        <w:t xml:space="preserve"> </w:t>
      </w:r>
      <w:r w:rsidR="00C539C3" w:rsidRPr="00BE1403">
        <w:t>In a conceptual environment so strongly built around a binary normative structure, a taboo does not disappear ju</w:t>
      </w:r>
      <w:r w:rsidR="00122517" w:rsidRPr="00BE1403">
        <w:t xml:space="preserve">st because it does not fit </w:t>
      </w:r>
      <w:r w:rsidR="00C539C3" w:rsidRPr="00BE1403">
        <w:t xml:space="preserve">a certain decision. </w:t>
      </w:r>
      <w:r w:rsidR="00F24CBA" w:rsidRPr="00BE1403">
        <w:t>Simply picking one is not enough to discount the other, especial</w:t>
      </w:r>
      <w:r w:rsidR="00785E45" w:rsidRPr="00BE1403">
        <w:t>ly where failing to address that other</w:t>
      </w:r>
      <w:r w:rsidR="00F24CBA" w:rsidRPr="00BE1403">
        <w:t xml:space="preserve"> would give potential critics an ideal foundation for attacking the decision</w:t>
      </w:r>
      <w:r w:rsidR="00317164" w:rsidRPr="00BE1403">
        <w:t xml:space="preserve"> (and where that criticism would ho</w:t>
      </w:r>
      <w:r w:rsidR="007B2082" w:rsidRPr="00BE1403">
        <w:t xml:space="preserve">ld </w:t>
      </w:r>
      <w:r w:rsidR="00210492" w:rsidRPr="00210492">
        <w:t>substantial</w:t>
      </w:r>
      <w:r w:rsidR="007B2082" w:rsidRPr="00BE1403">
        <w:t xml:space="preserve"> weight in that this</w:t>
      </w:r>
      <w:r w:rsidR="00317164" w:rsidRPr="00BE1403">
        <w:t xml:space="preserve"> itself plays into such a strong normative framework)</w:t>
      </w:r>
      <w:r w:rsidR="00F24CBA" w:rsidRPr="00BE1403">
        <w:t>.</w:t>
      </w:r>
      <w:r w:rsidR="00C539C3" w:rsidRPr="00BE1403">
        <w:t xml:space="preserve"> </w:t>
      </w:r>
      <w:r w:rsidR="0030272D" w:rsidRPr="00BE1403">
        <w:t xml:space="preserve">The pressure and influence of the taboo not selected will still be relevant, and the actor </w:t>
      </w:r>
      <w:r w:rsidR="00210492">
        <w:t>is still</w:t>
      </w:r>
      <w:r w:rsidR="0030272D" w:rsidRPr="00BE1403">
        <w:t xml:space="preserve"> subject to the expectations it creates. In simple terms, you cannot adopt one side of the argum</w:t>
      </w:r>
      <w:r w:rsidR="009C0DE3" w:rsidRPr="00BE1403">
        <w:t>ent and forget about the other.</w:t>
      </w:r>
      <w:r w:rsidR="0030272D" w:rsidRPr="00BE1403">
        <w:t xml:space="preserve"> </w:t>
      </w:r>
      <w:r w:rsidR="00477EF7" w:rsidRPr="00BE1403">
        <w:t xml:space="preserve">If that </w:t>
      </w:r>
      <w:r w:rsidR="009C0DE3" w:rsidRPr="00BE1403">
        <w:t xml:space="preserve">other </w:t>
      </w:r>
      <w:r w:rsidR="00477EF7" w:rsidRPr="00BE1403">
        <w:t>taboo is not removed as part of the overall rhetorical strategy</w:t>
      </w:r>
      <w:r w:rsidR="007B2082" w:rsidRPr="00BE1403">
        <w:t xml:space="preserve"> it will undermine it</w:t>
      </w:r>
      <w:r w:rsidR="00477EF7" w:rsidRPr="00BE1403">
        <w:t>, and – subsequently – the ability to enact the desired decision.</w:t>
      </w:r>
      <w:r w:rsidR="00CA68D5" w:rsidRPr="00BE1403">
        <w:t xml:space="preserve"> The relationship between these taboos, as well as their own individual meaning, must be respected if a particular rhetoric is to succeed.</w:t>
      </w:r>
    </w:p>
    <w:p w14:paraId="255DA397" w14:textId="77777777" w:rsidR="00CA68D5" w:rsidRPr="00BE1403" w:rsidRDefault="00CA68D5" w:rsidP="00BB151F">
      <w:pPr>
        <w:spacing w:line="480" w:lineRule="auto"/>
      </w:pPr>
    </w:p>
    <w:p w14:paraId="3F8D2E14" w14:textId="10CCBD4C" w:rsidR="0030272D" w:rsidRPr="00BE1403" w:rsidRDefault="00CA68D5" w:rsidP="00BB151F">
      <w:pPr>
        <w:spacing w:line="480" w:lineRule="auto"/>
      </w:pPr>
      <w:r w:rsidRPr="00BE1403">
        <w:t>Within this context, engaging with the intervention debate requires a</w:t>
      </w:r>
      <w:r w:rsidR="009F6523" w:rsidRPr="00BE1403">
        <w:t xml:space="preserve"> rhetorical</w:t>
      </w:r>
      <w:r w:rsidRPr="00BE1403">
        <w:t xml:space="preserve"> </w:t>
      </w:r>
      <w:r w:rsidR="007B2082" w:rsidRPr="00BE1403">
        <w:t>process of</w:t>
      </w:r>
      <w:r w:rsidRPr="00BE1403">
        <w:t xml:space="preserve"> </w:t>
      </w:r>
      <w:r w:rsidRPr="00BE1403">
        <w:rPr>
          <w:i/>
        </w:rPr>
        <w:t>normative invalidation</w:t>
      </w:r>
      <w:r w:rsidRPr="00BE1403">
        <w:t>.</w:t>
      </w:r>
      <w:r w:rsidR="00CB2565">
        <w:t xml:space="preserve"> A</w:t>
      </w:r>
      <w:r w:rsidR="00FB0D2A" w:rsidRPr="00BE1403">
        <w:t>ctors</w:t>
      </w:r>
      <w:r w:rsidR="0030272D" w:rsidRPr="00BE1403">
        <w:t xml:space="preserve"> must provide a ‘reason’ why the taboo(s) not employed within their rhetorical strategy do not apply in a given case</w:t>
      </w:r>
      <w:r w:rsidR="00FB0D2A" w:rsidRPr="00BE1403">
        <w:t xml:space="preserve"> – o</w:t>
      </w:r>
      <w:r w:rsidR="007B2082" w:rsidRPr="00BE1403">
        <w:t>ne that effectively removes this</w:t>
      </w:r>
      <w:r w:rsidR="008D26CD">
        <w:t xml:space="preserve"> from </w:t>
      </w:r>
      <w:r w:rsidR="00FB0D2A" w:rsidRPr="00BE1403">
        <w:t>debate</w:t>
      </w:r>
      <w:r w:rsidR="0030272D" w:rsidRPr="00BE1403">
        <w:t>. For example, if an actor employs a pro-inter</w:t>
      </w:r>
      <w:r w:rsidR="00787E29" w:rsidRPr="00BE1403">
        <w:t>ventionist humanitarian stance</w:t>
      </w:r>
      <w:r w:rsidR="0030272D" w:rsidRPr="00BE1403">
        <w:t>, they will still have to answer to claims concerning the sovereignty of the country in question</w:t>
      </w:r>
      <w:r w:rsidR="00FB0D2A" w:rsidRPr="00BE1403">
        <w:t xml:space="preserve">, </w:t>
      </w:r>
      <w:r w:rsidR="0030272D" w:rsidRPr="00BE1403">
        <w:t>unless a rationale is constructed as to why this is not the c</w:t>
      </w:r>
      <w:r w:rsidR="00350A0A" w:rsidRPr="00BE1403">
        <w:t>ase. The latter is so</w:t>
      </w:r>
      <w:r w:rsidR="0030272D" w:rsidRPr="00BE1403">
        <w:t xml:space="preserve"> taboo that it must be conceptually written off in some way in order for an opposing strategy to succeed. Invoking the hum</w:t>
      </w:r>
      <w:r w:rsidR="00C90157" w:rsidRPr="00BE1403">
        <w:t>anitarian argument is not sufficient</w:t>
      </w:r>
      <w:r w:rsidR="0030272D" w:rsidRPr="00BE1403">
        <w:t>. Of course, that humanitarian framework can be utilised to provide</w:t>
      </w:r>
      <w:r w:rsidR="00CE7844">
        <w:t xml:space="preserve"> such a rationale e.g. that moral need</w:t>
      </w:r>
      <w:r w:rsidR="0030272D" w:rsidRPr="00BE1403">
        <w:t xml:space="preserve"> outweigh</w:t>
      </w:r>
      <w:r w:rsidR="00CE7844">
        <w:t xml:space="preserve">s </w:t>
      </w:r>
      <w:r w:rsidR="0030272D" w:rsidRPr="00BE1403">
        <w:t xml:space="preserve">sovereignty. Critically, however, the key point is that this argument needs to be made. </w:t>
      </w:r>
      <w:r w:rsidR="000B42E2" w:rsidRPr="00BE1403">
        <w:t>Even more specifically,</w:t>
      </w:r>
      <w:r w:rsidR="00535A18" w:rsidRPr="00BE1403">
        <w:t xml:space="preserve"> that this is not merely a case of using one taboo against another, but the construction of a clear explanation for invalidation. </w:t>
      </w:r>
      <w:r w:rsidR="0030272D" w:rsidRPr="00BE1403">
        <w:t xml:space="preserve">Rhetoric </w:t>
      </w:r>
      <w:r w:rsidR="001B6118" w:rsidRPr="00BE1403">
        <w:t>must provide a justification as to</w:t>
      </w:r>
      <w:r w:rsidR="0030272D" w:rsidRPr="00BE1403">
        <w:t xml:space="preserve"> why this should not be held up as a barrier to intervention. The sovereignty debate does not simply disappear on an assumption that, if the humanitarian approach is a</w:t>
      </w:r>
      <w:r w:rsidR="001B6118" w:rsidRPr="00BE1403">
        <w:t xml:space="preserve">dopted, then this </w:t>
      </w:r>
      <w:r w:rsidR="0099130F" w:rsidRPr="00BE1403">
        <w:t>is no longer a</w:t>
      </w:r>
      <w:r w:rsidR="001B6118" w:rsidRPr="00BE1403">
        <w:t xml:space="preserve"> relevant</w:t>
      </w:r>
      <w:r w:rsidR="0099130F" w:rsidRPr="00BE1403">
        <w:t xml:space="preserve"> or</w:t>
      </w:r>
      <w:r w:rsidR="0017685E" w:rsidRPr="00BE1403">
        <w:t xml:space="preserve"> legitimate considerat</w:t>
      </w:r>
      <w:r w:rsidR="001B6118" w:rsidRPr="00BE1403">
        <w:t>ion</w:t>
      </w:r>
      <w:r w:rsidR="0030272D" w:rsidRPr="00BE1403">
        <w:t xml:space="preserve">. It must be shown that the sovereignty case is </w:t>
      </w:r>
      <w:r w:rsidR="0030272D" w:rsidRPr="00BE1403">
        <w:rPr>
          <w:i/>
        </w:rPr>
        <w:t>invalid</w:t>
      </w:r>
      <w:r w:rsidR="0030272D" w:rsidRPr="00BE1403">
        <w:t>, and the normat</w:t>
      </w:r>
      <w:r w:rsidR="0017685E" w:rsidRPr="00BE1403">
        <w:t xml:space="preserve">ive expectation of it removed. </w:t>
      </w:r>
      <w:r w:rsidR="00E53DEA" w:rsidRPr="00BE1403">
        <w:t>The same of course applies to cases wherein both taboos are rejected. Here, justification will have to be given for the invalidatio</w:t>
      </w:r>
      <w:r w:rsidR="002676EB" w:rsidRPr="00BE1403">
        <w:t xml:space="preserve">n of both sides of the debate, </w:t>
      </w:r>
      <w:r w:rsidR="00E53DEA" w:rsidRPr="00BE1403">
        <w:t>even where the main thrust of the rhetorical argument has no</w:t>
      </w:r>
      <w:r w:rsidR="002676EB" w:rsidRPr="00BE1403">
        <w:t>thing to do with either</w:t>
      </w:r>
      <w:r w:rsidR="00E53DEA" w:rsidRPr="00BE1403">
        <w:t>.</w:t>
      </w:r>
      <w:r w:rsidR="00A60182" w:rsidRPr="00BE1403">
        <w:t xml:space="preserve"> What is taboo and not adhered to must be explained away, regardless of any other </w:t>
      </w:r>
      <w:r w:rsidR="00320A48" w:rsidRPr="00BE1403">
        <w:t>rationalisation</w:t>
      </w:r>
      <w:r w:rsidR="00A60182" w:rsidRPr="00BE1403">
        <w:t>.</w:t>
      </w:r>
    </w:p>
    <w:p w14:paraId="22746AFE" w14:textId="77777777" w:rsidR="005C5D27" w:rsidRPr="00BE1403" w:rsidRDefault="005C5D27" w:rsidP="00BB151F">
      <w:pPr>
        <w:spacing w:line="480" w:lineRule="auto"/>
      </w:pPr>
    </w:p>
    <w:p w14:paraId="1FE5D458" w14:textId="32F62AD9" w:rsidR="00DD598F" w:rsidRPr="00BE1403" w:rsidRDefault="002E75BB" w:rsidP="00BB151F">
      <w:pPr>
        <w:spacing w:line="480" w:lineRule="auto"/>
      </w:pPr>
      <w:r w:rsidRPr="00BE1403">
        <w:t>I</w:t>
      </w:r>
      <w:r w:rsidR="00817B8B" w:rsidRPr="00BE1403">
        <w:t>nvalidation does not necessitate the end of the t</w:t>
      </w:r>
      <w:r w:rsidR="000D03A8" w:rsidRPr="00BE1403">
        <w:t xml:space="preserve">aboo. </w:t>
      </w:r>
      <w:r w:rsidR="00DD598F" w:rsidRPr="00BE1403">
        <w:t xml:space="preserve">This is not to suggest that, in denying the relevance of the taboo in relation to a specific instance of </w:t>
      </w:r>
      <w:r w:rsidR="002F0721" w:rsidRPr="00BE1403">
        <w:t>(</w:t>
      </w:r>
      <w:proofErr w:type="gramStart"/>
      <w:r w:rsidR="002F0721" w:rsidRPr="00BE1403">
        <w:t>non)</w:t>
      </w:r>
      <w:r w:rsidR="00DD598F" w:rsidRPr="00BE1403">
        <w:t>intervention</w:t>
      </w:r>
      <w:proofErr w:type="gramEnd"/>
      <w:r w:rsidR="00DD598F" w:rsidRPr="00BE1403">
        <w:t xml:space="preserve"> </w:t>
      </w:r>
      <w:r w:rsidR="00DD5481" w:rsidRPr="00BE1403">
        <w:t>(where this allows the actor to construct a rhetorical strategy best served to realise their policy desires)</w:t>
      </w:r>
      <w:r w:rsidR="00DD598F" w:rsidRPr="00BE1403">
        <w:t xml:space="preserve">, this requires the </w:t>
      </w:r>
      <w:r w:rsidR="000147D5">
        <w:t xml:space="preserve">taboo’s </w:t>
      </w:r>
      <w:r w:rsidR="00DD598F" w:rsidRPr="00BE1403">
        <w:t>eliminatio</w:t>
      </w:r>
      <w:r w:rsidR="000147D5">
        <w:t>n</w:t>
      </w:r>
      <w:r w:rsidR="00DD598F" w:rsidRPr="00BE1403">
        <w:t>. In short, invalidation does not mean g</w:t>
      </w:r>
      <w:r w:rsidR="008B57AA">
        <w:t>etting rid of the taboo</w:t>
      </w:r>
      <w:r w:rsidR="00DD598F" w:rsidRPr="00BE1403">
        <w:t>. This requires only that invalidation take</w:t>
      </w:r>
      <w:r w:rsidR="00DD5481" w:rsidRPr="00BE1403">
        <w:t xml:space="preserve"> place within a</w:t>
      </w:r>
      <w:r w:rsidR="00DD598F" w:rsidRPr="00BE1403">
        <w:t xml:space="preserve"> limited </w:t>
      </w:r>
      <w:r w:rsidR="008B57AA">
        <w:t xml:space="preserve">context of rhetorical usage. </w:t>
      </w:r>
      <w:r w:rsidR="00DD598F" w:rsidRPr="00BE1403">
        <w:t>Moreover, it does not require that the constructing actor renounce any genui</w:t>
      </w:r>
      <w:r w:rsidR="007F5394">
        <w:t>ne belief in that taboo. The actor can</w:t>
      </w:r>
      <w:r w:rsidR="00D53626" w:rsidRPr="00BE1403">
        <w:t xml:space="preserve"> continue to accept the</w:t>
      </w:r>
      <w:r w:rsidR="00DD598F" w:rsidRPr="00BE1403">
        <w:t xml:space="preserve"> taboo, not least where the wider influence of normative expectation would </w:t>
      </w:r>
      <w:r w:rsidR="00DD5481" w:rsidRPr="00BE1403">
        <w:t>indicate</w:t>
      </w:r>
      <w:r w:rsidR="00A320BB" w:rsidRPr="00BE1403">
        <w:t xml:space="preserve"> that this would</w:t>
      </w:r>
      <w:r w:rsidR="00D53626" w:rsidRPr="00BE1403">
        <w:t xml:space="preserve"> </w:t>
      </w:r>
      <w:r w:rsidR="00DD598F" w:rsidRPr="00BE1403">
        <w:t xml:space="preserve">remain the case to some extent. Denying the relevance of a taboo in a given act of </w:t>
      </w:r>
      <w:r w:rsidR="002F0721" w:rsidRPr="00BE1403">
        <w:t>(</w:t>
      </w:r>
      <w:proofErr w:type="gramStart"/>
      <w:r w:rsidR="002F0721" w:rsidRPr="00BE1403">
        <w:t>non)</w:t>
      </w:r>
      <w:r w:rsidR="00DD598F" w:rsidRPr="00BE1403">
        <w:t>intervention</w:t>
      </w:r>
      <w:proofErr w:type="gramEnd"/>
      <w:r w:rsidR="00DD598F" w:rsidRPr="00BE1403">
        <w:t xml:space="preserve"> does not necessitat</w:t>
      </w:r>
      <w:r w:rsidR="00DD5481" w:rsidRPr="00BE1403">
        <w:t xml:space="preserve">e that the actor </w:t>
      </w:r>
      <w:r w:rsidR="00834A8A" w:rsidRPr="00BE1403">
        <w:t>dis</w:t>
      </w:r>
      <w:r w:rsidR="00DD5481" w:rsidRPr="00BE1403">
        <w:t>believe</w:t>
      </w:r>
      <w:r w:rsidR="002F0721" w:rsidRPr="00BE1403">
        <w:t xml:space="preserve"> it</w:t>
      </w:r>
      <w:r w:rsidR="00DD5481" w:rsidRPr="00BE1403">
        <w:t>,</w:t>
      </w:r>
      <w:r w:rsidR="007F5394">
        <w:t xml:space="preserve"> even if</w:t>
      </w:r>
      <w:r w:rsidR="00DD598F" w:rsidRPr="00BE1403">
        <w:t xml:space="preserve"> they choose to rhetorical</w:t>
      </w:r>
      <w:r w:rsidR="00DD5481" w:rsidRPr="00BE1403">
        <w:t xml:space="preserve">ly </w:t>
      </w:r>
      <w:r w:rsidR="002F0721" w:rsidRPr="00BE1403">
        <w:t>negate</w:t>
      </w:r>
      <w:r w:rsidR="00DD5481" w:rsidRPr="00BE1403">
        <w:t xml:space="preserve"> this as part of a particular</w:t>
      </w:r>
      <w:r w:rsidR="00DD598F" w:rsidRPr="00BE1403">
        <w:t xml:space="preserve"> strategy of policy communication. It also do</w:t>
      </w:r>
      <w:r w:rsidR="00DD5481" w:rsidRPr="00BE1403">
        <w:t>es not preclude their</w:t>
      </w:r>
      <w:r w:rsidR="00DD598F" w:rsidRPr="00BE1403">
        <w:t xml:space="preserve"> employ</w:t>
      </w:r>
      <w:r w:rsidR="00DD5481" w:rsidRPr="00BE1403">
        <w:t>ment</w:t>
      </w:r>
      <w:r w:rsidR="00DD598F" w:rsidRPr="00BE1403">
        <w:t xml:space="preserve"> </w:t>
      </w:r>
      <w:r w:rsidR="00956D36" w:rsidRPr="00BE1403">
        <w:t xml:space="preserve">of </w:t>
      </w:r>
      <w:r w:rsidR="00DD598F" w:rsidRPr="00BE1403">
        <w:t>the rejected taboo as the basis of future rhetorical strategies (as the examples relating to Clinton below will demonstrate, in that the president embraces the humanitarian argument in respect to Kosovo after actively refuting it in relation to Rwanda). Invalidation</w:t>
      </w:r>
      <w:r w:rsidR="00834A8A" w:rsidRPr="00BE1403">
        <w:t xml:space="preserve"> is, therefore, </w:t>
      </w:r>
      <w:r w:rsidR="00834A8A" w:rsidRPr="007F5394">
        <w:t>a</w:t>
      </w:r>
      <w:r w:rsidR="00DD598F" w:rsidRPr="007F5394">
        <w:t xml:space="preserve"> </w:t>
      </w:r>
      <w:r w:rsidR="00DD598F" w:rsidRPr="007F5394">
        <w:rPr>
          <w:i/>
        </w:rPr>
        <w:t>rhetorical</w:t>
      </w:r>
      <w:r w:rsidR="00DD598F" w:rsidRPr="007F5394">
        <w:t xml:space="preserve"> </w:t>
      </w:r>
      <w:r w:rsidR="007F5394">
        <w:t>concept</w:t>
      </w:r>
      <w:r w:rsidR="00DD598F" w:rsidRPr="00BE1403">
        <w:t>, one limited to context. It is about constructing a taboo in ways that neutralise its prohibitive</w:t>
      </w:r>
      <w:r w:rsidR="00834A8A" w:rsidRPr="00BE1403">
        <w:t xml:space="preserve"> influence</w:t>
      </w:r>
      <w:r w:rsidR="00C70F64">
        <w:t xml:space="preserve"> within a given scenario</w:t>
      </w:r>
      <w:r w:rsidR="000C60A5">
        <w:t xml:space="preserve">, </w:t>
      </w:r>
      <w:r w:rsidR="00834A8A" w:rsidRPr="00BE1403">
        <w:t>and that remove this</w:t>
      </w:r>
      <w:r w:rsidR="00DD598F" w:rsidRPr="00BE1403">
        <w:t xml:space="preserve"> influence </w:t>
      </w:r>
      <w:r w:rsidR="00DD5481" w:rsidRPr="00BE1403">
        <w:t>in relation to</w:t>
      </w:r>
      <w:r w:rsidR="00834A8A" w:rsidRPr="00BE1403">
        <w:t xml:space="preserve"> a rhetoric</w:t>
      </w:r>
      <w:r w:rsidR="00DD598F" w:rsidRPr="00BE1403">
        <w:t xml:space="preserve"> that it would otherwise destroy.</w:t>
      </w:r>
      <w:r w:rsidR="00DD5481" w:rsidRPr="00BE1403">
        <w:t xml:space="preserve"> </w:t>
      </w:r>
      <w:r w:rsidR="00834A8A" w:rsidRPr="00BE1403">
        <w:t>The audience must be made to feel that this should not concern them in th</w:t>
      </w:r>
      <w:r w:rsidR="00C022B8">
        <w:t xml:space="preserve">eir judgement of a decision for or </w:t>
      </w:r>
      <w:r w:rsidR="00834A8A" w:rsidRPr="00BE1403">
        <w:t>against intervention, but instead that they sh</w:t>
      </w:r>
      <w:r w:rsidR="00C022B8">
        <w:t xml:space="preserve">ould adhere to the </w:t>
      </w:r>
      <w:r w:rsidR="00834A8A" w:rsidRPr="00BE1403">
        <w:t xml:space="preserve">reasoning put forward by the constructing actor. </w:t>
      </w:r>
      <w:r w:rsidR="00DD5481" w:rsidRPr="00BE1403">
        <w:t xml:space="preserve">This can be achieved in a myriad of ways (as again, the case studies discussed below will reveal), including the suggestion that the taboo does not apply to a certain situation, that </w:t>
      </w:r>
      <w:r w:rsidR="00E67DA8" w:rsidRPr="00BE1403">
        <w:t xml:space="preserve">the </w:t>
      </w:r>
      <w:r w:rsidR="00DD5481" w:rsidRPr="00BE1403">
        <w:t xml:space="preserve">specifics of that situation mean it would be </w:t>
      </w:r>
      <w:r w:rsidR="00C323BB" w:rsidRPr="00BE1403">
        <w:t>inapt</w:t>
      </w:r>
      <w:r w:rsidR="00DD5481" w:rsidRPr="00BE1403">
        <w:t xml:space="preserve"> to factor it into decision-making, or simply</w:t>
      </w:r>
      <w:r w:rsidR="00E67DA8" w:rsidRPr="00BE1403">
        <w:t xml:space="preserve"> a case of</w:t>
      </w:r>
      <w:r w:rsidR="00DD5481" w:rsidRPr="00BE1403">
        <w:t xml:space="preserve"> playing up one taboo over the other through rhetorical skil</w:t>
      </w:r>
      <w:r w:rsidR="00283235">
        <w:t>l; a</w:t>
      </w:r>
      <w:r w:rsidR="002E2CE4" w:rsidRPr="00BE1403">
        <w:t>nything, in fact, to ensure that the persistent normative influen</w:t>
      </w:r>
      <w:r w:rsidR="000E1779" w:rsidRPr="00BE1403">
        <w:t xml:space="preserve">ce associated with the taboo does not upset or hinder </w:t>
      </w:r>
      <w:r w:rsidR="001A4535" w:rsidRPr="00BE1403">
        <w:t>the realisation of self-interested ambition.</w:t>
      </w:r>
    </w:p>
    <w:p w14:paraId="123F3076" w14:textId="77777777" w:rsidR="00A673AA" w:rsidRPr="00BE1403" w:rsidRDefault="00A673AA" w:rsidP="00BB151F">
      <w:pPr>
        <w:spacing w:line="480" w:lineRule="auto"/>
      </w:pPr>
    </w:p>
    <w:p w14:paraId="1D32D75E" w14:textId="77777777" w:rsidR="00A673AA" w:rsidRPr="00BE1403" w:rsidRDefault="00A673AA" w:rsidP="00BB151F">
      <w:pPr>
        <w:spacing w:line="480" w:lineRule="auto"/>
      </w:pPr>
    </w:p>
    <w:p w14:paraId="7A7856D2" w14:textId="6CF498F6" w:rsidR="00D66D10" w:rsidRPr="00115C97" w:rsidRDefault="00115C97" w:rsidP="00BB151F">
      <w:pPr>
        <w:spacing w:line="480" w:lineRule="auto"/>
        <w:rPr>
          <w:i/>
        </w:rPr>
      </w:pPr>
      <w:r>
        <w:rPr>
          <w:i/>
        </w:rPr>
        <w:t>Strategic t</w:t>
      </w:r>
      <w:r w:rsidR="00D66D10" w:rsidRPr="00115C97">
        <w:rPr>
          <w:i/>
        </w:rPr>
        <w:t xml:space="preserve">aboos </w:t>
      </w:r>
    </w:p>
    <w:p w14:paraId="31FF1B0B" w14:textId="0A84F8F2" w:rsidR="00ED065C" w:rsidRDefault="00204B71" w:rsidP="00BB151F">
      <w:pPr>
        <w:spacing w:line="480" w:lineRule="auto"/>
      </w:pPr>
      <w:r w:rsidRPr="00BE1403">
        <w:t>On the one hand, n</w:t>
      </w:r>
      <w:r w:rsidR="005C5D27" w:rsidRPr="00BE1403">
        <w:t>ormative invalidation</w:t>
      </w:r>
      <w:r w:rsidR="00646503" w:rsidRPr="00BE1403">
        <w:t xml:space="preserve"> would seem to imply </w:t>
      </w:r>
      <w:r w:rsidR="007F7BDA" w:rsidRPr="00BE1403">
        <w:t>that taboos comprise</w:t>
      </w:r>
      <w:r w:rsidR="005C5D27" w:rsidRPr="00BE1403">
        <w:t xml:space="preserve"> a major restraint on wh</w:t>
      </w:r>
      <w:r w:rsidR="001F05DB" w:rsidRPr="00BE1403">
        <w:t xml:space="preserve">at actors can </w:t>
      </w:r>
      <w:r w:rsidR="00F8325F" w:rsidRPr="00BE1403">
        <w:t>accomplish</w:t>
      </w:r>
      <w:r w:rsidR="001F05DB" w:rsidRPr="00BE1403">
        <w:t xml:space="preserve"> in </w:t>
      </w:r>
      <w:r w:rsidR="00952BE7" w:rsidRPr="00BE1403">
        <w:t>constructing</w:t>
      </w:r>
      <w:r w:rsidR="005C5D27" w:rsidRPr="00BE1403">
        <w:t xml:space="preserve"> rhetorical strategy</w:t>
      </w:r>
      <w:r w:rsidR="00646503" w:rsidRPr="00BE1403">
        <w:t>.</w:t>
      </w:r>
      <w:r w:rsidRPr="00BE1403">
        <w:t xml:space="preserve"> In </w:t>
      </w:r>
      <w:r w:rsidR="001F05DB" w:rsidRPr="00BE1403">
        <w:t xml:space="preserve">effectively </w:t>
      </w:r>
      <w:r w:rsidR="004524B3">
        <w:t xml:space="preserve">demanding </w:t>
      </w:r>
      <w:r w:rsidR="00F8325F" w:rsidRPr="00BE1403">
        <w:t>they</w:t>
      </w:r>
      <w:r w:rsidRPr="00BE1403">
        <w:t xml:space="preserve"> address all relevant taboos </w:t>
      </w:r>
      <w:r w:rsidR="00F8325F" w:rsidRPr="00BE1403">
        <w:t>with</w:t>
      </w:r>
      <w:r w:rsidR="004524B3">
        <w:t>in a given normative</w:t>
      </w:r>
      <w:r w:rsidRPr="00BE1403">
        <w:t xml:space="preserve"> environment, even when these so obviously conflict, this demonstrates</w:t>
      </w:r>
      <w:r w:rsidR="00F8325F" w:rsidRPr="00BE1403">
        <w:t xml:space="preserve"> just how far actors are normatively bound. They cannot construct </w:t>
      </w:r>
      <w:r w:rsidRPr="00BE1403">
        <w:t xml:space="preserve">rhetorical </w:t>
      </w:r>
      <w:r w:rsidR="00F8325F" w:rsidRPr="00BE1403">
        <w:t>strategy irrespective of pre-existing</w:t>
      </w:r>
      <w:r w:rsidRPr="00BE1403">
        <w:t xml:space="preserve"> normative dimensions. </w:t>
      </w:r>
      <w:r w:rsidR="002243B2">
        <w:t>This fits in with existing</w:t>
      </w:r>
      <w:r w:rsidR="00ED065C">
        <w:t xml:space="preserve"> understanding of how norms, language, and concepts work in relation to IR. Constructivists</w:t>
      </w:r>
      <w:r w:rsidR="00ED065C" w:rsidRPr="00BE1403">
        <w:t xml:space="preserve"> view language as a restraint on actors</w:t>
      </w:r>
      <w:r w:rsidR="00ED065C" w:rsidRPr="00BE1403">
        <w:rPr>
          <w:rStyle w:val="FootnoteReference"/>
        </w:rPr>
        <w:footnoteReference w:id="58"/>
      </w:r>
      <w:r w:rsidR="00ED065C" w:rsidRPr="00BE1403">
        <w:t>. Language is not something that actors construct, but a pre-existing framework that must be adhered to – if only because, should actors attempt to use new interpretations of language, they would simply be incomprehensible</w:t>
      </w:r>
      <w:r w:rsidR="00ED065C" w:rsidRPr="00BE1403">
        <w:rPr>
          <w:rStyle w:val="FootnoteReference"/>
        </w:rPr>
        <w:footnoteReference w:id="59"/>
      </w:r>
      <w:r w:rsidR="00ED065C" w:rsidRPr="00BE1403">
        <w:t>.</w:t>
      </w:r>
      <w:r w:rsidR="00ED065C">
        <w:t xml:space="preserve"> This is reflected in the norms debate, where</w:t>
      </w:r>
      <w:r w:rsidR="002243B2">
        <w:t xml:space="preserve"> these to</w:t>
      </w:r>
      <w:r w:rsidR="00ED065C">
        <w:t xml:space="preserve">o are viewed as fundamentally ‘set’, if not essentialist; or at least beyond the contextual reinterpretation of </w:t>
      </w:r>
      <w:r w:rsidR="00A712BF">
        <w:t xml:space="preserve">individual </w:t>
      </w:r>
      <w:r w:rsidR="00ED065C">
        <w:t>international actors</w:t>
      </w:r>
      <w:r w:rsidR="00ED065C">
        <w:rPr>
          <w:rStyle w:val="FootnoteReference"/>
        </w:rPr>
        <w:footnoteReference w:id="60"/>
      </w:r>
      <w:r w:rsidR="00ED065C">
        <w:t>.</w:t>
      </w:r>
    </w:p>
    <w:p w14:paraId="523308AC" w14:textId="77777777" w:rsidR="00ED065C" w:rsidRDefault="00ED065C" w:rsidP="00BB151F">
      <w:pPr>
        <w:spacing w:line="480" w:lineRule="auto"/>
      </w:pPr>
    </w:p>
    <w:p w14:paraId="3A9F03E7" w14:textId="5C707B94" w:rsidR="00C36FCE" w:rsidRPr="00BE1403" w:rsidRDefault="002243B2" w:rsidP="00BB151F">
      <w:pPr>
        <w:spacing w:line="480" w:lineRule="auto"/>
      </w:pPr>
      <w:r>
        <w:t>On the other hand, this article demonstrates that</w:t>
      </w:r>
      <w:r w:rsidR="00A55837">
        <w:t xml:space="preserve"> actors still construct</w:t>
      </w:r>
      <w:r w:rsidR="00204B71" w:rsidRPr="00BE1403">
        <w:t xml:space="preserve"> a rhetorical strategy</w:t>
      </w:r>
      <w:r w:rsidR="00A55837">
        <w:t xml:space="preserve"> within this frame of understanding</w:t>
      </w:r>
      <w:r w:rsidR="00204B71" w:rsidRPr="00BE1403">
        <w:t>, one that is a) capable of invalidating a taboo (even to the extent that this can be viewed as a necessary and highly contextual requirement) and b) manipulated to favour the actor’s own self-interest.</w:t>
      </w:r>
      <w:r w:rsidR="00DB6834" w:rsidRPr="00BE1403">
        <w:t xml:space="preserve"> The fact that an actor</w:t>
      </w:r>
      <w:r w:rsidR="00A03414">
        <w:t xml:space="preserve"> can pick and choose which taboos</w:t>
      </w:r>
      <w:r w:rsidR="00DB6834" w:rsidRPr="00BE1403">
        <w:t xml:space="preserve"> to apply – even if that choice is limited by normative expectation – indicates a much higher level of rhetorical</w:t>
      </w:r>
      <w:r w:rsidR="00984518" w:rsidRPr="00BE1403">
        <w:t xml:space="preserve"> agency than</w:t>
      </w:r>
      <w:r w:rsidR="00DB6834" w:rsidRPr="00BE1403">
        <w:t xml:space="preserve"> some interpretations of norms would allow for.</w:t>
      </w:r>
      <w:r w:rsidR="006D103E" w:rsidRPr="00BE1403">
        <w:t xml:space="preserve"> The two identified taboos clearly limit, nay dictate, how an actor justifies a poli</w:t>
      </w:r>
      <w:r w:rsidR="00F8325F" w:rsidRPr="00BE1403">
        <w:t>cy decision on intervention. Yet</w:t>
      </w:r>
      <w:r w:rsidR="006D103E" w:rsidRPr="00BE1403">
        <w:t xml:space="preserve"> there is </w:t>
      </w:r>
      <w:r w:rsidR="00FC5384">
        <w:t xml:space="preserve">still </w:t>
      </w:r>
      <w:r w:rsidR="006D103E" w:rsidRPr="00BE1403">
        <w:t>considerable scope to shape that st</w:t>
      </w:r>
      <w:r w:rsidR="00F8325F" w:rsidRPr="00BE1403">
        <w:t>rategy and use the identified</w:t>
      </w:r>
      <w:r w:rsidR="006D103E" w:rsidRPr="00BE1403">
        <w:t xml:space="preserve"> taboos for the actor’s own strategic ends.</w:t>
      </w:r>
      <w:r w:rsidR="00D80A27" w:rsidRPr="00BE1403">
        <w:t xml:space="preserve"> As well as being controlled by a normative environment, they can also exert their own control back over it</w:t>
      </w:r>
      <w:r w:rsidR="00F8325F" w:rsidRPr="00BE1403">
        <w:t xml:space="preserve"> to a significant degree</w:t>
      </w:r>
      <w:r w:rsidR="00D80A27" w:rsidRPr="00BE1403">
        <w:t>.</w:t>
      </w:r>
      <w:r w:rsidR="00B96BA1">
        <w:t xml:space="preserve"> Indeed</w:t>
      </w:r>
      <w:r w:rsidR="00794859">
        <w:t xml:space="preserve">, within the normative debate, there are </w:t>
      </w:r>
      <w:r w:rsidR="000770FA" w:rsidRPr="00BE1403">
        <w:t>move</w:t>
      </w:r>
      <w:r w:rsidR="00794859">
        <w:t>s</w:t>
      </w:r>
      <w:r w:rsidR="000770FA" w:rsidRPr="00BE1403">
        <w:t xml:space="preserve"> to conceptualise how language can be used strategically, to the point at which actors manipulate </w:t>
      </w:r>
      <w:r w:rsidR="00BA378C" w:rsidRPr="00BE1403">
        <w:t xml:space="preserve">and exploit </w:t>
      </w:r>
      <w:r w:rsidR="00BB4710">
        <w:t>norms</w:t>
      </w:r>
      <w:r w:rsidR="00BA378C" w:rsidRPr="00BE1403">
        <w:t>.</w:t>
      </w:r>
      <w:r w:rsidR="005A6F4C" w:rsidRPr="00BE1403">
        <w:t xml:space="preserve"> </w:t>
      </w:r>
      <w:r w:rsidR="00D80A27" w:rsidRPr="00BE1403">
        <w:t>While some would say the idea that actors use language strategically to get what they want is self-evident, this remains under-</w:t>
      </w:r>
      <w:r w:rsidR="004211E5" w:rsidRPr="00BE1403">
        <w:t>analysed</w:t>
      </w:r>
      <w:r w:rsidR="00D80A27" w:rsidRPr="00BE1403">
        <w:t>, especially within the IR discipline</w:t>
      </w:r>
      <w:r w:rsidR="00907D10" w:rsidRPr="00BE1403">
        <w:rPr>
          <w:rStyle w:val="FootnoteReference"/>
        </w:rPr>
        <w:footnoteReference w:id="61"/>
      </w:r>
      <w:r w:rsidR="0036401F" w:rsidRPr="00BE1403">
        <w:t xml:space="preserve">; hence the development of the Strategic Narratives (SN) paradigm, which seeks to resolve this gap. </w:t>
      </w:r>
      <w:r w:rsidR="00D80A27" w:rsidRPr="00BE1403">
        <w:t>SN aims to</w:t>
      </w:r>
      <w:r w:rsidR="00E53FE0" w:rsidRPr="00BE1403">
        <w:t xml:space="preserve"> theorise</w:t>
      </w:r>
      <w:r w:rsidR="00D80A27" w:rsidRPr="00BE1403">
        <w:t xml:space="preserve"> how strategic linguistic construction takes place, not least where this relates to issues of agency and normative restraint</w:t>
      </w:r>
      <w:r w:rsidR="00D80A27" w:rsidRPr="00BE1403">
        <w:rPr>
          <w:rFonts w:cs="Arial"/>
        </w:rPr>
        <w:t>.</w:t>
      </w:r>
      <w:r w:rsidR="00D80A27" w:rsidRPr="00BE1403">
        <w:t xml:space="preserve"> </w:t>
      </w:r>
      <w:r w:rsidR="00C36FCE" w:rsidRPr="00BE1403">
        <w:rPr>
          <w:rFonts w:cs="Arial"/>
        </w:rPr>
        <w:t xml:space="preserve">In explaining the nature of SN, </w:t>
      </w:r>
      <w:r w:rsidR="00D80A27" w:rsidRPr="00BE1403">
        <w:rPr>
          <w:rFonts w:cs="Arial"/>
        </w:rPr>
        <w:t>these are defined as</w:t>
      </w:r>
      <w:r w:rsidR="00C36FCE" w:rsidRPr="00BE1403">
        <w:t xml:space="preserve">: </w:t>
      </w:r>
    </w:p>
    <w:p w14:paraId="016583AC" w14:textId="77777777" w:rsidR="00C36FCE" w:rsidRPr="00BE1403" w:rsidRDefault="00C36FCE" w:rsidP="00BB151F">
      <w:pPr>
        <w:spacing w:line="480" w:lineRule="auto"/>
      </w:pPr>
    </w:p>
    <w:p w14:paraId="74FFA560" w14:textId="67534761" w:rsidR="00C36FCE" w:rsidRPr="00BE1403" w:rsidRDefault="00D80A27" w:rsidP="00BB151F">
      <w:pPr>
        <w:spacing w:line="480" w:lineRule="auto"/>
        <w:ind w:left="567"/>
      </w:pPr>
      <w:r w:rsidRPr="00BE1403">
        <w:t>[A]</w:t>
      </w:r>
      <w:r w:rsidR="00C36FCE" w:rsidRPr="00BE1403">
        <w:t xml:space="preserve"> </w:t>
      </w:r>
      <w:proofErr w:type="gramStart"/>
      <w:r w:rsidR="00C36FCE" w:rsidRPr="00BE1403">
        <w:t>means</w:t>
      </w:r>
      <w:proofErr w:type="gramEnd"/>
      <w:r w:rsidR="00C36FCE" w:rsidRPr="00BE1403">
        <w:t xml:space="preserve"> for political actors to construct a shared meaning of the past, present, and future of international politics to shape the behaviour of domestic and international actors. Strategic narratives provide a tool for political actors to extend their influence, manage expectations, and change the discursive environment in which they operate… The point of strategic narratives is to influence the behaviour of others.</w:t>
      </w:r>
      <w:r w:rsidR="00A74DB7" w:rsidRPr="00BE1403">
        <w:rPr>
          <w:rStyle w:val="FootnoteReference"/>
        </w:rPr>
        <w:footnoteReference w:id="62"/>
      </w:r>
    </w:p>
    <w:p w14:paraId="0E7842E2" w14:textId="77777777" w:rsidR="00C36FCE" w:rsidRPr="00BE1403" w:rsidRDefault="00C36FCE" w:rsidP="00BB151F">
      <w:pPr>
        <w:spacing w:line="480" w:lineRule="auto"/>
      </w:pPr>
    </w:p>
    <w:p w14:paraId="2B72E5CD" w14:textId="2755DEB5" w:rsidR="00794859" w:rsidRDefault="00C36FCE" w:rsidP="00BB151F">
      <w:pPr>
        <w:spacing w:line="480" w:lineRule="auto"/>
      </w:pPr>
      <w:r w:rsidRPr="00BE1403">
        <w:t xml:space="preserve">Narratives are the words, speech, and actions that allow actors to present politics in specific ways. Explicitly, that they are the ‘compelling </w:t>
      </w:r>
      <w:proofErr w:type="spellStart"/>
      <w:r w:rsidRPr="00BE1403">
        <w:t>storylines’</w:t>
      </w:r>
      <w:proofErr w:type="spellEnd"/>
      <w:r w:rsidRPr="00BE1403">
        <w:t xml:space="preserve"> by which actors strategically utilize rhetoric to craft and enact perceptions of a political situation or issue, in order to shape opinion in line with their own ambitions</w:t>
      </w:r>
      <w:r w:rsidR="00A74DB7" w:rsidRPr="00BE1403">
        <w:rPr>
          <w:rStyle w:val="FootnoteReference"/>
        </w:rPr>
        <w:footnoteReference w:id="63"/>
      </w:r>
      <w:r w:rsidRPr="00BE1403">
        <w:t>. Actors use narratives to create a description of the world – an understanding of what politics looks like and entails – whereby they ‘force’ their audience into adopting certain interpretations and pathways of logic that compliment the aims of the constructing actor(s). More than mere spin or framing, this is the control of political comprehension, where actors use language in order to influence how politics is carried out, and where such narratives hold together the necessary networks of communication and information required to make this popular</w:t>
      </w:r>
      <w:r w:rsidR="00173CA7" w:rsidRPr="00BE1403">
        <w:rPr>
          <w:rStyle w:val="FootnoteReference"/>
        </w:rPr>
        <w:footnoteReference w:id="64"/>
      </w:r>
      <w:r w:rsidR="00173CA7" w:rsidRPr="00BE1403">
        <w:t>.</w:t>
      </w:r>
      <w:r w:rsidRPr="00BE1403">
        <w:t xml:space="preserve"> Unsurprisingly then, parallels have frequently been</w:t>
      </w:r>
      <w:r w:rsidR="00173CA7" w:rsidRPr="00BE1403">
        <w:t xml:space="preserve"> drawn with Joseph Nye’s </w:t>
      </w:r>
      <w:r w:rsidRPr="00BE1403">
        <w:t>soft power</w:t>
      </w:r>
      <w:r w:rsidR="00173CA7" w:rsidRPr="00BE1403">
        <w:rPr>
          <w:rStyle w:val="FootnoteReference"/>
        </w:rPr>
        <w:footnoteReference w:id="65"/>
      </w:r>
      <w:r w:rsidRPr="00BE1403">
        <w:t>, and also the concept of speech acts</w:t>
      </w:r>
      <w:r w:rsidR="00173CA7" w:rsidRPr="00BE1403">
        <w:rPr>
          <w:rStyle w:val="FootnoteReference"/>
        </w:rPr>
        <w:footnoteReference w:id="66"/>
      </w:r>
      <w:r w:rsidRPr="00BE1403">
        <w:t>, where these also appeal to the idea that language can be taken advantage of for such means. Critically, this is understood as intrinsically deliberate</w:t>
      </w:r>
      <w:r w:rsidRPr="00BE1403">
        <w:rPr>
          <w:i/>
        </w:rPr>
        <w:t xml:space="preserve"> </w:t>
      </w:r>
      <w:r w:rsidRPr="00BE1403">
        <w:t xml:space="preserve">behaviour. The narrative is a conscious product, which is operationalized to secure a specified political purpose or benefit. While this is not to state that every act of linguistic employment is deliberate (actors do not premeditatedly consider/construct every word or concept they employ), the opportunity exists for the planned and persuasive expression of language, specifically via narrative structures. </w:t>
      </w:r>
    </w:p>
    <w:p w14:paraId="38959723" w14:textId="77777777" w:rsidR="00794859" w:rsidRDefault="00794859" w:rsidP="00BB151F">
      <w:pPr>
        <w:spacing w:line="480" w:lineRule="auto"/>
      </w:pPr>
    </w:p>
    <w:p w14:paraId="5EEBCE66" w14:textId="67886910" w:rsidR="00C36FCE" w:rsidRPr="00BE1403" w:rsidRDefault="00794859" w:rsidP="00BB151F">
      <w:pPr>
        <w:spacing w:line="480" w:lineRule="auto"/>
      </w:pPr>
      <w:r>
        <w:t>The SN approach does not necess</w:t>
      </w:r>
      <w:r w:rsidR="00BB4710">
        <w:t>arily conflict with the existing</w:t>
      </w:r>
      <w:r>
        <w:t xml:space="preserve"> </w:t>
      </w:r>
      <w:r w:rsidR="00BB4710">
        <w:t>interpretations</w:t>
      </w:r>
      <w:r>
        <w:t xml:space="preserve"> of normative and linguistic theory</w:t>
      </w:r>
      <w:r w:rsidR="00BB4710">
        <w:t xml:space="preserve"> already identified. </w:t>
      </w:r>
      <w:r>
        <w:t xml:space="preserve">Miskimmon et </w:t>
      </w:r>
      <w:proofErr w:type="spellStart"/>
      <w:r>
        <w:t>al</w:t>
      </w:r>
      <w:r w:rsidR="00BB4710">
        <w:t>’s</w:t>
      </w:r>
      <w:proofErr w:type="spellEnd"/>
      <w:r w:rsidR="00BB4710">
        <w:t xml:space="preserve"> work</w:t>
      </w:r>
      <w:r>
        <w:t xml:space="preserve"> explicitly draws on this literature as the basis of their research. Elsewhere, however, t</w:t>
      </w:r>
      <w:r w:rsidR="00C36FCE" w:rsidRPr="00BE1403">
        <w:t>his deliberate nature of na</w:t>
      </w:r>
      <w:r>
        <w:t xml:space="preserve">rrative construction </w:t>
      </w:r>
      <w:r w:rsidR="00C36FCE" w:rsidRPr="00BE1403">
        <w:t>has underpinned the expansion of the SN paradigm towards a more agency-centric view based on the work of political theorist Quentin Skinner</w:t>
      </w:r>
      <w:r w:rsidR="00173CA7" w:rsidRPr="00BE1403">
        <w:rPr>
          <w:rStyle w:val="FootnoteReference"/>
        </w:rPr>
        <w:footnoteReference w:id="67"/>
      </w:r>
      <w:r w:rsidR="00C36FCE" w:rsidRPr="00BE1403">
        <w:t xml:space="preserve">. Here it is claimed actors exert considerable agency not only over the construction of rhetoric, but its meaning. </w:t>
      </w:r>
      <w:r w:rsidR="00662BA4" w:rsidRPr="00BE1403">
        <w:t>A</w:t>
      </w:r>
      <w:r w:rsidR="00C36FCE" w:rsidRPr="00BE1403">
        <w:t>ctors can modify and manipulate both ideational and linguistic definition in order to achieve their strategic inten</w:t>
      </w:r>
      <w:r w:rsidR="006C3AB4">
        <w:t>tion.</w:t>
      </w:r>
      <w:r w:rsidR="00173CA7" w:rsidRPr="00BE1403">
        <w:t xml:space="preserve"> Skinner </w:t>
      </w:r>
      <w:r w:rsidR="006C3AB4">
        <w:t>says</w:t>
      </w:r>
      <w:r w:rsidR="00C36FCE" w:rsidRPr="00BE1403">
        <w:t xml:space="preserve"> that the actor who does so is more likely to get what they desire, as opposed to those who slavishly adhere to given discursive production</w:t>
      </w:r>
      <w:r w:rsidR="00173CA7" w:rsidRPr="00BE1403">
        <w:rPr>
          <w:rStyle w:val="FootnoteReference"/>
        </w:rPr>
        <w:footnoteReference w:id="68"/>
      </w:r>
      <w:r w:rsidR="00C36FCE" w:rsidRPr="00BE1403">
        <w:t>.</w:t>
      </w:r>
      <w:r w:rsidR="006C3AB4">
        <w:t xml:space="preserve"> This does not </w:t>
      </w:r>
      <w:r>
        <w:t>p</w:t>
      </w:r>
      <w:r w:rsidR="006C3AB4">
        <w:t>reclude the idea that norms express pre-existing</w:t>
      </w:r>
      <w:r>
        <w:t xml:space="preserve"> m</w:t>
      </w:r>
      <w:r w:rsidR="006C3AB4">
        <w:t xml:space="preserve">eanings that influence the actor. </w:t>
      </w:r>
      <w:r w:rsidR="001D2E86">
        <w:t>Skinner accepts the idea of convention and t</w:t>
      </w:r>
      <w:r w:rsidR="006C3AB4">
        <w:t xml:space="preserve">hat words/concepts </w:t>
      </w:r>
      <w:r w:rsidR="006C3AB4" w:rsidRPr="006C3AB4">
        <w:t>articulate</w:t>
      </w:r>
      <w:r w:rsidR="001D2E86">
        <w:t xml:space="preserve"> meanings that restrain actor innovation to an extent</w:t>
      </w:r>
      <w:r w:rsidR="001D2E86">
        <w:rPr>
          <w:rStyle w:val="FootnoteReference"/>
        </w:rPr>
        <w:footnoteReference w:id="69"/>
      </w:r>
      <w:r w:rsidR="006C3AB4">
        <w:t>. What this article</w:t>
      </w:r>
      <w:r>
        <w:t xml:space="preserve"> does assert, however, is that there is greater flexibility surrounding norm</w:t>
      </w:r>
      <w:r w:rsidR="006C3AB4">
        <w:t xml:space="preserve"> usage than existing normative assumptions</w:t>
      </w:r>
      <w:r>
        <w:t xml:space="preserve"> suggest. While actors cannot ignore norms, they still possess significant control over </w:t>
      </w:r>
      <w:r w:rsidR="006C3AB4">
        <w:t>how</w:t>
      </w:r>
      <w:r>
        <w:t xml:space="preserve"> norms are applied, specifically where that deliberate application </w:t>
      </w:r>
      <w:r w:rsidR="002C138C">
        <w:t>is designed to realise their own political</w:t>
      </w:r>
      <w:r>
        <w:t xml:space="preserve"> aims. Even whe</w:t>
      </w:r>
      <w:r w:rsidR="002C138C">
        <w:t>re their normative environment binds actors</w:t>
      </w:r>
      <w:r>
        <w:t xml:space="preserve">, they can still manipulate </w:t>
      </w:r>
      <w:r w:rsidR="002C138C">
        <w:t>norms</w:t>
      </w:r>
      <w:r>
        <w:t xml:space="preserve"> for the</w:t>
      </w:r>
      <w:r w:rsidR="002C138C">
        <w:t>ir own ends. Moreover, when actors</w:t>
      </w:r>
      <w:r>
        <w:t xml:space="preserve"> do adhere to established norms, it may</w:t>
      </w:r>
      <w:r w:rsidR="002C138C">
        <w:t xml:space="preserve"> be largely</w:t>
      </w:r>
      <w:r>
        <w:t xml:space="preserve"> because that norm provides the best way of achieving their aims as opposed to normative adherence in the conventional sense</w:t>
      </w:r>
      <w:r w:rsidR="006C3AB4">
        <w:rPr>
          <w:rStyle w:val="FootnoteReference"/>
        </w:rPr>
        <w:footnoteReference w:id="70"/>
      </w:r>
      <w:r>
        <w:t xml:space="preserve">. </w:t>
      </w:r>
    </w:p>
    <w:p w14:paraId="3E788914" w14:textId="77777777" w:rsidR="00520D10" w:rsidRPr="00BE1403" w:rsidRDefault="00520D10" w:rsidP="00BB151F">
      <w:pPr>
        <w:spacing w:line="480" w:lineRule="auto"/>
      </w:pPr>
    </w:p>
    <w:p w14:paraId="45A84B13" w14:textId="7DA46083" w:rsidR="00794859" w:rsidRDefault="003A05AB" w:rsidP="00BB151F">
      <w:pPr>
        <w:spacing w:line="480" w:lineRule="auto"/>
      </w:pPr>
      <w:r w:rsidRPr="00BE1403">
        <w:t>Within the context of this analysis, therefore, th</w:t>
      </w:r>
      <w:r w:rsidR="00E226C1" w:rsidRPr="00BE1403">
        <w:t xml:space="preserve">is is the claim that actors </w:t>
      </w:r>
      <w:r w:rsidRPr="00BE1403">
        <w:t xml:space="preserve">engage strategically with the </w:t>
      </w:r>
      <w:r w:rsidR="00E226C1" w:rsidRPr="00BE1403">
        <w:t xml:space="preserve">intervention </w:t>
      </w:r>
      <w:r w:rsidRPr="00BE1403">
        <w:t xml:space="preserve">taboos that also bind them. While taboos by </w:t>
      </w:r>
      <w:r w:rsidR="00E226C1" w:rsidRPr="00BE1403">
        <w:t xml:space="preserve">their very nature </w:t>
      </w:r>
      <w:r w:rsidRPr="00BE1403">
        <w:t>prohibit behaviour, these are also rhetori</w:t>
      </w:r>
      <w:r w:rsidR="002C138C">
        <w:t xml:space="preserve">cal tools to be exploited. In fact, </w:t>
      </w:r>
      <w:r w:rsidRPr="00BE1403">
        <w:t xml:space="preserve">they provide the very conceptual and linguistic resources necessary to develop a </w:t>
      </w:r>
      <w:r w:rsidR="002C138C">
        <w:t xml:space="preserve">calculated </w:t>
      </w:r>
      <w:r w:rsidRPr="00BE1403">
        <w:t>rhetorical strategy.</w:t>
      </w:r>
      <w:r w:rsidR="00AF3EC2" w:rsidRPr="00BE1403">
        <w:t xml:space="preserve"> The ideas that</w:t>
      </w:r>
      <w:r w:rsidR="0037366F">
        <w:t xml:space="preserve"> underpin these norms provide </w:t>
      </w:r>
      <w:r w:rsidR="00AF3EC2" w:rsidRPr="00BE1403">
        <w:t xml:space="preserve">strategic function, not only in the sense that they can be invalidated (thereby paving the way for a successful strategy), but also that these can be </w:t>
      </w:r>
      <w:r w:rsidR="0037366F">
        <w:t>applied and manipulated</w:t>
      </w:r>
      <w:r w:rsidR="00AF3EC2" w:rsidRPr="00BE1403">
        <w:t xml:space="preserve"> to bolster a certain type of presentation.</w:t>
      </w:r>
      <w:r w:rsidR="00EF33E8" w:rsidRPr="00BE1403">
        <w:t xml:space="preserve"> Invalidation must take place for this to be possible, but actors still exert signif</w:t>
      </w:r>
      <w:r w:rsidR="0037366F">
        <w:t>icant agency over the ideas they</w:t>
      </w:r>
      <w:r w:rsidR="00EF33E8" w:rsidRPr="00BE1403">
        <w:t xml:space="preserve"> both use and reject.</w:t>
      </w:r>
      <w:r w:rsidR="006B10FC" w:rsidRPr="00BE1403">
        <w:t xml:space="preserve"> </w:t>
      </w:r>
      <w:r w:rsidR="0037366F">
        <w:t>I</w:t>
      </w:r>
      <w:r w:rsidR="00794859">
        <w:t>t is recognised here that this approach constitutes a potentially controversial deviation from existing understandings of normative theory. The idea that actors possess even the limited agenc</w:t>
      </w:r>
      <w:r w:rsidR="0081650C">
        <w:t>y suggested here is contentious,</w:t>
      </w:r>
      <w:r w:rsidR="00794859">
        <w:t xml:space="preserve"> although it should be noted that this article d</w:t>
      </w:r>
      <w:r w:rsidR="0081650C">
        <w:t>oes not suggest that actors possess</w:t>
      </w:r>
      <w:r w:rsidR="00794859">
        <w:t xml:space="preserve"> total</w:t>
      </w:r>
      <w:r w:rsidR="0081650C">
        <w:t xml:space="preserve"> control over norms. The approach proposed here</w:t>
      </w:r>
      <w:r w:rsidR="00794859">
        <w:t xml:space="preserve"> still respects the basic idea</w:t>
      </w:r>
      <w:r w:rsidR="0081650C">
        <w:t>ls of normative theory;</w:t>
      </w:r>
      <w:r w:rsidR="00794859">
        <w:t xml:space="preserve"> it only seeks to </w:t>
      </w:r>
      <w:r w:rsidR="0081650C">
        <w:t>demonstrate that</w:t>
      </w:r>
      <w:r w:rsidR="00794859">
        <w:t xml:space="preserve"> there is some level of agency within this that existing theory does no</w:t>
      </w:r>
      <w:r w:rsidR="0081650C">
        <w:t xml:space="preserve">t address. As such, it </w:t>
      </w:r>
      <w:r w:rsidR="00794859">
        <w:t>make</w:t>
      </w:r>
      <w:r w:rsidR="0081650C">
        <w:t>s</w:t>
      </w:r>
      <w:r w:rsidR="00794859">
        <w:t xml:space="preserve"> an original contribution on these grounds. This is an important contribution as it </w:t>
      </w:r>
      <w:r w:rsidR="0081650C">
        <w:t>highli</w:t>
      </w:r>
      <w:r w:rsidR="002315C2">
        <w:t xml:space="preserve">ghts </w:t>
      </w:r>
      <w:r w:rsidR="0081650C">
        <w:t>there exists</w:t>
      </w:r>
      <w:r w:rsidR="00794859">
        <w:t xml:space="preserve"> an element of actor agency that has been previously ignored. But, as the following case stud</w:t>
      </w:r>
      <w:r w:rsidR="0081650C">
        <w:t xml:space="preserve">ies will demonstrate, this new aspect of normative </w:t>
      </w:r>
      <w:r w:rsidR="0081650C" w:rsidRPr="0081650C">
        <w:t>explanation</w:t>
      </w:r>
      <w:r w:rsidR="002315C2">
        <w:t xml:space="preserve"> that must be recognised</w:t>
      </w:r>
      <w:r w:rsidR="00750222">
        <w:t xml:space="preserve"> </w:t>
      </w:r>
      <w:r w:rsidR="00794859">
        <w:t>if analysis is to have a full understanding of how norms apply – especially on such a major issue as intervention.</w:t>
      </w:r>
    </w:p>
    <w:p w14:paraId="0AA02923" w14:textId="77777777" w:rsidR="00D80A27" w:rsidRDefault="00D80A27" w:rsidP="00BB151F">
      <w:pPr>
        <w:spacing w:line="480" w:lineRule="auto"/>
      </w:pPr>
    </w:p>
    <w:p w14:paraId="69151BC5" w14:textId="77777777" w:rsidR="00794859" w:rsidRPr="00BE1403" w:rsidRDefault="00794859" w:rsidP="00BB151F">
      <w:pPr>
        <w:spacing w:line="480" w:lineRule="auto"/>
      </w:pPr>
    </w:p>
    <w:p w14:paraId="3659470A" w14:textId="77777777" w:rsidR="009A1A49" w:rsidRPr="00BE1403" w:rsidRDefault="009A1A49" w:rsidP="00BB151F">
      <w:pPr>
        <w:spacing w:line="480" w:lineRule="auto"/>
      </w:pPr>
    </w:p>
    <w:p w14:paraId="1A071304" w14:textId="66FEA5A6" w:rsidR="009A1A49" w:rsidRPr="00BE1403" w:rsidRDefault="00115C97" w:rsidP="00BB151F">
      <w:pPr>
        <w:spacing w:line="480" w:lineRule="auto"/>
        <w:rPr>
          <w:b/>
        </w:rPr>
      </w:pPr>
      <w:r>
        <w:rPr>
          <w:b/>
        </w:rPr>
        <w:t>Case s</w:t>
      </w:r>
      <w:r w:rsidR="00F90338" w:rsidRPr="00BE1403">
        <w:rPr>
          <w:b/>
        </w:rPr>
        <w:t>tudy 1:</w:t>
      </w:r>
      <w:r w:rsidR="00D66D10" w:rsidRPr="00BE1403">
        <w:rPr>
          <w:b/>
        </w:rPr>
        <w:t xml:space="preserve"> Clinton and</w:t>
      </w:r>
      <w:r w:rsidR="00F02B67" w:rsidRPr="00BE1403">
        <w:rPr>
          <w:b/>
        </w:rPr>
        <w:t xml:space="preserve"> </w:t>
      </w:r>
      <w:r w:rsidR="00D66D10" w:rsidRPr="00BE1403">
        <w:rPr>
          <w:b/>
        </w:rPr>
        <w:t>Rwanda</w:t>
      </w:r>
    </w:p>
    <w:p w14:paraId="1C7145C4" w14:textId="77777777" w:rsidR="009A1A49" w:rsidRPr="00BE1403" w:rsidRDefault="009A1A49" w:rsidP="00BB151F">
      <w:pPr>
        <w:spacing w:line="480" w:lineRule="auto"/>
      </w:pPr>
    </w:p>
    <w:p w14:paraId="404305F4" w14:textId="2F91A3F3" w:rsidR="006B1200" w:rsidRPr="00BE1403" w:rsidRDefault="00F46256" w:rsidP="00BB151F">
      <w:pPr>
        <w:spacing w:line="480" w:lineRule="auto"/>
      </w:pPr>
      <w:r w:rsidRPr="00BE1403">
        <w:t xml:space="preserve">The US’ </w:t>
      </w:r>
      <w:r w:rsidR="00A16094" w:rsidRPr="00BE1403">
        <w:t xml:space="preserve">controversial decision not to intervene in the </w:t>
      </w:r>
      <w:r w:rsidRPr="00BE1403">
        <w:t>1994 Rwandan genocid</w:t>
      </w:r>
      <w:r w:rsidR="00A16094" w:rsidRPr="00BE1403">
        <w:t>e is long seared into IR memory</w:t>
      </w:r>
      <w:r w:rsidRPr="00BE1403">
        <w:t>.</w:t>
      </w:r>
      <w:r w:rsidR="00397967" w:rsidRPr="00BE1403">
        <w:t xml:space="preserve"> In a </w:t>
      </w:r>
      <w:r w:rsidR="00EA1E75" w:rsidRPr="00BE1403">
        <w:t>self-interested</w:t>
      </w:r>
      <w:r w:rsidR="00397967" w:rsidRPr="00BE1403">
        <w:t xml:space="preserve"> move</w:t>
      </w:r>
      <w:r w:rsidR="00286CCE">
        <w:t xml:space="preserve"> (not least one that recognised </w:t>
      </w:r>
      <w:r w:rsidR="00226C22">
        <w:t>French</w:t>
      </w:r>
      <w:r w:rsidR="00286CCE">
        <w:t xml:space="preserve"> support of the Hutu government</w:t>
      </w:r>
      <w:r w:rsidR="002705EF">
        <w:rPr>
          <w:rStyle w:val="FootnoteReference"/>
        </w:rPr>
        <w:footnoteReference w:id="71"/>
      </w:r>
      <w:r w:rsidR="00286CCE">
        <w:t>)</w:t>
      </w:r>
      <w:r w:rsidR="00397967" w:rsidRPr="00BE1403">
        <w:t>, and in the s</w:t>
      </w:r>
      <w:r w:rsidR="00F63829" w:rsidRPr="00BE1403">
        <w:t xml:space="preserve">hadow of </w:t>
      </w:r>
      <w:r w:rsidR="00A16094" w:rsidRPr="00BE1403">
        <w:t>So</w:t>
      </w:r>
      <w:r w:rsidR="00F63829" w:rsidRPr="00BE1403">
        <w:t>malia</w:t>
      </w:r>
      <w:r w:rsidR="004A0BC1">
        <w:rPr>
          <w:rStyle w:val="FootnoteReference"/>
        </w:rPr>
        <w:footnoteReference w:id="72"/>
      </w:r>
      <w:r w:rsidR="00397967" w:rsidRPr="00BE1403">
        <w:t xml:space="preserve">, </w:t>
      </w:r>
      <w:r w:rsidR="00A16094" w:rsidRPr="00BE1403">
        <w:t xml:space="preserve">Clinton chose to reject intervention </w:t>
      </w:r>
      <w:r w:rsidR="00397967" w:rsidRPr="00BE1403">
        <w:t>– not only by</w:t>
      </w:r>
      <w:r w:rsidR="00A16094" w:rsidRPr="00BE1403">
        <w:t xml:space="preserve"> the US</w:t>
      </w:r>
      <w:r w:rsidR="00397967" w:rsidRPr="00BE1403">
        <w:t>, but also</w:t>
      </w:r>
      <w:r w:rsidR="00A16094" w:rsidRPr="00BE1403">
        <w:t xml:space="preserve"> by</w:t>
      </w:r>
      <w:r w:rsidR="00397967" w:rsidRPr="00BE1403">
        <w:t xml:space="preserve"> the UN</w:t>
      </w:r>
      <w:r w:rsidR="00795199">
        <w:t xml:space="preserve">, </w:t>
      </w:r>
      <w:r w:rsidR="009D61CC" w:rsidRPr="00BE1403">
        <w:t>where the US was primarily responsible for ensuring the withdrawal of U</w:t>
      </w:r>
      <w:r w:rsidR="00164203">
        <w:t>N peacekeepers</w:t>
      </w:r>
      <w:r w:rsidR="00397967" w:rsidRPr="00BE1403">
        <w:t>.</w:t>
      </w:r>
      <w:r w:rsidR="009D61CC" w:rsidRPr="00BE1403">
        <w:t xml:space="preserve"> </w:t>
      </w:r>
      <w:r w:rsidR="00477ED3">
        <w:t>While Clinton’</w:t>
      </w:r>
      <w:r w:rsidR="004A3311">
        <w:t>s previous policy had</w:t>
      </w:r>
      <w:r w:rsidR="00477ED3">
        <w:t xml:space="preserve"> demonstrated a strong adherence to the humanitarian taboo as a basis for foreign policy, therefore, he was now much more amenable to the idea of staying out of </w:t>
      </w:r>
      <w:r w:rsidR="00795199">
        <w:t xml:space="preserve">potentially </w:t>
      </w:r>
      <w:r w:rsidR="00477ED3">
        <w:t>messy</w:t>
      </w:r>
      <w:r w:rsidR="004A3311">
        <w:t xml:space="preserve"> and controversial</w:t>
      </w:r>
      <w:r w:rsidR="00477ED3">
        <w:t xml:space="preserve"> interventions. </w:t>
      </w:r>
      <w:r w:rsidR="009D61CC" w:rsidRPr="00BE1403">
        <w:t xml:space="preserve">As US Ambassador to the UN, Samantha Power, says in her seminal discussion of genocide: </w:t>
      </w:r>
    </w:p>
    <w:p w14:paraId="7B0ABBC4" w14:textId="77777777" w:rsidR="006B1200" w:rsidRPr="00BE1403" w:rsidRDefault="006B1200" w:rsidP="00BB151F">
      <w:pPr>
        <w:spacing w:line="480" w:lineRule="auto"/>
      </w:pPr>
    </w:p>
    <w:p w14:paraId="51D1699C" w14:textId="29E47474" w:rsidR="006B1200" w:rsidRPr="00BE1403" w:rsidRDefault="009D61CC" w:rsidP="00BB151F">
      <w:pPr>
        <w:spacing w:line="480" w:lineRule="auto"/>
        <w:ind w:left="567"/>
      </w:pPr>
      <w:r w:rsidRPr="00BE1403">
        <w:t>Remembering Somalia and hearing no American demands for intervention, President Clinton and his advisors knew that the military and political risks of involving the United States in a bloody conflict in central Africa were great, yet there were no costs</w:t>
      </w:r>
      <w:r w:rsidR="006B1200" w:rsidRPr="00BE1403">
        <w:t xml:space="preserve"> to avoiding Rwanda altogether.</w:t>
      </w:r>
      <w:r w:rsidR="006B1200" w:rsidRPr="00BE1403">
        <w:rPr>
          <w:rStyle w:val="FootnoteReference"/>
        </w:rPr>
        <w:footnoteReference w:id="73"/>
      </w:r>
      <w:r w:rsidR="000852C1" w:rsidRPr="00BE1403">
        <w:t xml:space="preserve"> </w:t>
      </w:r>
    </w:p>
    <w:p w14:paraId="197ECECE" w14:textId="77777777" w:rsidR="00904E5A" w:rsidRPr="00BE1403" w:rsidRDefault="00904E5A" w:rsidP="00BB151F">
      <w:pPr>
        <w:spacing w:line="480" w:lineRule="auto"/>
      </w:pPr>
    </w:p>
    <w:p w14:paraId="3BF2F1DD" w14:textId="45C83CA2" w:rsidR="00012B25" w:rsidRPr="00BE1403" w:rsidRDefault="006340E9" w:rsidP="00BB151F">
      <w:pPr>
        <w:spacing w:line="480" w:lineRule="auto"/>
      </w:pPr>
      <w:r>
        <w:t>T</w:t>
      </w:r>
      <w:r w:rsidR="006D67B7" w:rsidRPr="00BE1403">
        <w:t>he decision to reject intervention</w:t>
      </w:r>
      <w:r>
        <w:t>, therefore,</w:t>
      </w:r>
      <w:r w:rsidR="006D67B7" w:rsidRPr="00BE1403">
        <w:t xml:space="preserve"> </w:t>
      </w:r>
      <w:r w:rsidR="00D95FD0" w:rsidRPr="00BE1403">
        <w:t>was neither a</w:t>
      </w:r>
      <w:r w:rsidR="00481733">
        <w:t xml:space="preserve"> direct</w:t>
      </w:r>
      <w:r w:rsidR="00D95FD0" w:rsidRPr="00BE1403">
        <w:t xml:space="preserve"> consequence of the humanitarian impulse </w:t>
      </w:r>
      <w:r w:rsidR="003B1332" w:rsidRPr="00BE1403">
        <w:t>n</w:t>
      </w:r>
      <w:r w:rsidR="00D95FD0" w:rsidRPr="00BE1403">
        <w:t>or a commitment to sovereignty.</w:t>
      </w:r>
      <w:r w:rsidR="00B17CF5" w:rsidRPr="00BE1403">
        <w:t xml:space="preserve"> </w:t>
      </w:r>
      <w:r w:rsidR="00B92A9E">
        <w:t>Critically, it was</w:t>
      </w:r>
      <w:r>
        <w:t xml:space="preserve"> not the case that</w:t>
      </w:r>
      <w:r w:rsidR="00D47AB5">
        <w:t xml:space="preserve"> Clinton (and </w:t>
      </w:r>
      <w:r>
        <w:t xml:space="preserve">other members of the international community) was unaware of the humanitarian gravity of the situation at the time. </w:t>
      </w:r>
      <w:r w:rsidR="004F3A05">
        <w:t xml:space="preserve">Investigative journalist </w:t>
      </w:r>
      <w:r>
        <w:t xml:space="preserve">Linda </w:t>
      </w:r>
      <w:proofErr w:type="spellStart"/>
      <w:r>
        <w:t>Melvern</w:t>
      </w:r>
      <w:proofErr w:type="spellEnd"/>
      <w:r>
        <w:t xml:space="preserve"> has repeatedly shown that policymakers were well aware of the horror being played out in Rwanda, even if they were not prepared to admit that publicly</w:t>
      </w:r>
      <w:r w:rsidR="002705EF">
        <w:rPr>
          <w:rStyle w:val="FootnoteReference"/>
        </w:rPr>
        <w:footnoteReference w:id="74"/>
      </w:r>
      <w:r>
        <w:t>. As such, this was a strategic – not an ill informed – move.</w:t>
      </w:r>
      <w:r w:rsidR="00962CEA">
        <w:t xml:space="preserve"> </w:t>
      </w:r>
      <w:r w:rsidR="00B17CF5" w:rsidRPr="00BE1403">
        <w:t xml:space="preserve">This is not to dispute the relevance of norms; indeed, analysis cannot in this case ignore, for example, the work of </w:t>
      </w:r>
      <w:r w:rsidR="006B1200" w:rsidRPr="00BE1403">
        <w:t xml:space="preserve">Lyn </w:t>
      </w:r>
      <w:proofErr w:type="spellStart"/>
      <w:r w:rsidR="006B1200" w:rsidRPr="00BE1403">
        <w:t>Graybill</w:t>
      </w:r>
      <w:proofErr w:type="spellEnd"/>
      <w:r w:rsidR="00B17CF5" w:rsidRPr="00BE1403">
        <w:t xml:space="preserve"> who identif</w:t>
      </w:r>
      <w:r w:rsidR="006B1200" w:rsidRPr="00BE1403">
        <w:t>ies Rwanda as a consequence of ‘humanitarian fatigue.’</w:t>
      </w:r>
      <w:r w:rsidR="006B1200" w:rsidRPr="00BE1403">
        <w:rPr>
          <w:rStyle w:val="FootnoteReference"/>
        </w:rPr>
        <w:footnoteReference w:id="75"/>
      </w:r>
      <w:r w:rsidR="00B17CF5" w:rsidRPr="00BE1403">
        <w:t xml:space="preserve"> That is, despite the increasing prominence of </w:t>
      </w:r>
      <w:r w:rsidR="001609D5" w:rsidRPr="00BE1403">
        <w:t>humanitarian interven</w:t>
      </w:r>
      <w:r w:rsidR="00F45329" w:rsidRPr="00BE1403">
        <w:t xml:space="preserve">tion throughout the 1990s, </w:t>
      </w:r>
      <w:r w:rsidR="001609D5" w:rsidRPr="00BE1403">
        <w:t xml:space="preserve">this became strained at times under the intense pressure of expectation. </w:t>
      </w:r>
      <w:r w:rsidR="00A36ACB" w:rsidRPr="00BE1403">
        <w:t>In this sense, while the norm still applied</w:t>
      </w:r>
      <w:r w:rsidR="00F45329" w:rsidRPr="00BE1403">
        <w:t xml:space="preserve"> (indeed, that it would form</w:t>
      </w:r>
      <w:r w:rsidR="00904E5A" w:rsidRPr="00BE1403">
        <w:t xml:space="preserve"> the basis of major criticism against</w:t>
      </w:r>
      <w:r w:rsidR="00F45329" w:rsidRPr="00BE1403">
        <w:t xml:space="preserve"> Clinton </w:t>
      </w:r>
      <w:r w:rsidR="00904E5A" w:rsidRPr="00BE1403">
        <w:t>for refusing to intervene)</w:t>
      </w:r>
      <w:r w:rsidR="00A36ACB" w:rsidRPr="00BE1403">
        <w:t xml:space="preserve">, </w:t>
      </w:r>
      <w:r w:rsidR="00F45329" w:rsidRPr="00BE1403">
        <w:t>policy-make</w:t>
      </w:r>
      <w:r w:rsidR="00A36ACB" w:rsidRPr="00BE1403">
        <w:t>rs</w:t>
      </w:r>
      <w:r w:rsidR="00F56237" w:rsidRPr="00BE1403">
        <w:t xml:space="preserve"> at this time</w:t>
      </w:r>
      <w:r w:rsidR="00A36ACB" w:rsidRPr="00BE1403">
        <w:t xml:space="preserve"> experienced a distinct lack of willingness to c</w:t>
      </w:r>
      <w:r w:rsidR="00B92A9E">
        <w:t>omply that was connected to, and</w:t>
      </w:r>
      <w:r w:rsidR="00A36ACB" w:rsidRPr="00BE1403">
        <w:t xml:space="preserve"> also </w:t>
      </w:r>
      <w:r w:rsidR="00A36ACB" w:rsidRPr="00BE1403">
        <w:rPr>
          <w:i/>
        </w:rPr>
        <w:t>facilitated</w:t>
      </w:r>
      <w:r w:rsidR="00A36ACB" w:rsidRPr="00BE1403">
        <w:t>, the expression of self-interest against interven</w:t>
      </w:r>
      <w:r w:rsidR="00F45329" w:rsidRPr="00BE1403">
        <w:t>tion. Even w</w:t>
      </w:r>
      <w:r w:rsidR="00BD4AE6" w:rsidRPr="00BE1403">
        <w:t>ithin this normative</w:t>
      </w:r>
      <w:r w:rsidR="00A36ACB" w:rsidRPr="00BE1403">
        <w:t xml:space="preserve"> context</w:t>
      </w:r>
      <w:r w:rsidR="00BD4AE6" w:rsidRPr="00BE1403">
        <w:t>,</w:t>
      </w:r>
      <w:r w:rsidR="00A36ACB" w:rsidRPr="00BE1403">
        <w:t xml:space="preserve"> </w:t>
      </w:r>
      <w:r w:rsidR="00D65BB9" w:rsidRPr="00BE1403">
        <w:t xml:space="preserve">however, </w:t>
      </w:r>
      <w:r w:rsidR="00A36ACB" w:rsidRPr="00BE1403">
        <w:t xml:space="preserve">this was still a decision that </w:t>
      </w:r>
      <w:r w:rsidR="00BD4AE6" w:rsidRPr="00BE1403">
        <w:t xml:space="preserve">ultimately </w:t>
      </w:r>
      <w:r w:rsidR="00A36ACB" w:rsidRPr="00BE1403">
        <w:t>upheld self-interest over normative restriction</w:t>
      </w:r>
      <w:r w:rsidR="00D65BB9" w:rsidRPr="00BE1403">
        <w:t>,</w:t>
      </w:r>
      <w:r w:rsidR="00F45329" w:rsidRPr="00BE1403">
        <w:t xml:space="preserve"> and as such cannot be </w:t>
      </w:r>
      <w:r w:rsidR="00A36ACB" w:rsidRPr="00BE1403">
        <w:t>explained by either of the taboos identified above.</w:t>
      </w:r>
    </w:p>
    <w:p w14:paraId="0752B00E" w14:textId="77777777" w:rsidR="00012B25" w:rsidRPr="00BE1403" w:rsidRDefault="00012B25" w:rsidP="00BB151F">
      <w:pPr>
        <w:spacing w:line="480" w:lineRule="auto"/>
      </w:pPr>
    </w:p>
    <w:p w14:paraId="51DBC078" w14:textId="05A21AAC" w:rsidR="00014669" w:rsidRPr="00BE1403" w:rsidRDefault="00A36ACB" w:rsidP="00BB151F">
      <w:pPr>
        <w:spacing w:line="480" w:lineRule="auto"/>
      </w:pPr>
      <w:r w:rsidRPr="00BE1403">
        <w:t>Yet self-interest was not the rhetoric employed in expressing this strategic doctrine.</w:t>
      </w:r>
      <w:r w:rsidR="006D358A" w:rsidRPr="00BE1403">
        <w:t xml:space="preserve"> This is hardly surprising,</w:t>
      </w:r>
      <w:r w:rsidR="0007795F" w:rsidRPr="00BE1403">
        <w:t xml:space="preserve"> given that sympathy for a</w:t>
      </w:r>
      <w:r w:rsidR="006D358A" w:rsidRPr="00BE1403">
        <w:t>ny</w:t>
      </w:r>
      <w:r w:rsidR="0007795F" w:rsidRPr="00BE1403">
        <w:t xml:space="preserve"> justification based on explicit selfish desire</w:t>
      </w:r>
      <w:r w:rsidR="003967A7" w:rsidRPr="00BE1403">
        <w:t xml:space="preserve"> was</w:t>
      </w:r>
      <w:r w:rsidR="0085089F" w:rsidRPr="00BE1403">
        <w:t>/is</w:t>
      </w:r>
      <w:r w:rsidR="006D358A" w:rsidRPr="00BE1403">
        <w:t xml:space="preserve"> </w:t>
      </w:r>
      <w:r w:rsidR="0007795F" w:rsidRPr="00BE1403">
        <w:t>unlikely.</w:t>
      </w:r>
      <w:r w:rsidR="003967A7" w:rsidRPr="00BE1403">
        <w:t xml:space="preserve"> Saving American lives</w:t>
      </w:r>
      <w:r w:rsidR="006D358A" w:rsidRPr="00BE1403">
        <w:t xml:space="preserve"> and American interest</w:t>
      </w:r>
      <w:r w:rsidR="003967A7" w:rsidRPr="00BE1403">
        <w:t xml:space="preserve"> may resonate with aspects of the US public, but beyond this – including at the international level and within the context of those Tutsi </w:t>
      </w:r>
      <w:r w:rsidR="006D358A" w:rsidRPr="00BE1403">
        <w:t>l</w:t>
      </w:r>
      <w:r w:rsidR="00646014" w:rsidRPr="00BE1403">
        <w:t>ives being lost – that approach</w:t>
      </w:r>
      <w:r w:rsidR="003967A7" w:rsidRPr="00BE1403">
        <w:t xml:space="preserve"> would </w:t>
      </w:r>
      <w:r w:rsidR="0050008B" w:rsidRPr="00BE1403">
        <w:t>have little sway</w:t>
      </w:r>
      <w:r w:rsidR="00A25CB5">
        <w:t xml:space="preserve">, </w:t>
      </w:r>
      <w:r w:rsidR="002A2E4F">
        <w:t xml:space="preserve">not least </w:t>
      </w:r>
      <w:r w:rsidR="00A25CB5">
        <w:t>given the</w:t>
      </w:r>
      <w:r w:rsidR="000649EB">
        <w:t xml:space="preserve"> normative</w:t>
      </w:r>
      <w:r w:rsidR="00A25CB5">
        <w:t xml:space="preserve"> pressures of the humanitarian taboo to ‘do something’ in the face of human rights abuse</w:t>
      </w:r>
      <w:r w:rsidR="0050008B" w:rsidRPr="00BE1403">
        <w:t>.</w:t>
      </w:r>
      <w:r w:rsidR="00FA2660" w:rsidRPr="00BE1403">
        <w:t xml:space="preserve"> </w:t>
      </w:r>
      <w:r w:rsidR="00A36865">
        <w:t>T</w:t>
      </w:r>
      <w:r w:rsidR="00FA2660" w:rsidRPr="00BE1403">
        <w:t>his</w:t>
      </w:r>
      <w:r w:rsidR="0042163B">
        <w:t xml:space="preserve"> approach</w:t>
      </w:r>
      <w:r w:rsidR="00FA2660" w:rsidRPr="00BE1403">
        <w:t xml:space="preserve"> would also be unsuccessful in that it would fail to address the core taboos dominating normative understanding of intervention</w:t>
      </w:r>
      <w:r w:rsidR="00D85499" w:rsidRPr="00BE1403">
        <w:t>, for reasons already discussed</w:t>
      </w:r>
      <w:r w:rsidR="00FA2660" w:rsidRPr="00BE1403">
        <w:t>.</w:t>
      </w:r>
      <w:r w:rsidR="00B32388" w:rsidRPr="00BE1403">
        <w:t xml:space="preserve"> As suc</w:t>
      </w:r>
      <w:r w:rsidR="003A40CD" w:rsidRPr="00BE1403">
        <w:t>h, Clinton’s rhetoric</w:t>
      </w:r>
      <w:r w:rsidR="00F75FB5" w:rsidRPr="00BE1403">
        <w:t xml:space="preserve"> </w:t>
      </w:r>
      <w:r w:rsidR="0026536E">
        <w:t xml:space="preserve">deliberately </w:t>
      </w:r>
      <w:r w:rsidR="00B32388" w:rsidRPr="00BE1403">
        <w:t xml:space="preserve">adhered to the sovereignty </w:t>
      </w:r>
      <w:r w:rsidR="009A60A7">
        <w:t>taboo</w:t>
      </w:r>
      <w:r w:rsidR="003A40CD" w:rsidRPr="00BE1403">
        <w:t>, specifically as a vehicle for</w:t>
      </w:r>
      <w:r w:rsidR="00B32388" w:rsidRPr="00BE1403">
        <w:t xml:space="preserve"> invalidating the humanitarian argument.</w:t>
      </w:r>
      <w:r w:rsidR="007A5D24" w:rsidRPr="00BE1403">
        <w:t xml:space="preserve"> </w:t>
      </w:r>
      <w:r w:rsidR="00F75FB5" w:rsidRPr="00BE1403">
        <w:t>There are two key</w:t>
      </w:r>
      <w:r w:rsidR="00ED43BD" w:rsidRPr="00BE1403">
        <w:t xml:space="preserve"> ways in which this was achieved. </w:t>
      </w:r>
      <w:r w:rsidR="00E9016E" w:rsidRPr="00BE1403">
        <w:t xml:space="preserve">First, </w:t>
      </w:r>
      <w:r w:rsidR="00946611" w:rsidRPr="00BE1403">
        <w:t>Clinton’s refusal</w:t>
      </w:r>
      <w:r w:rsidR="00E9016E" w:rsidRPr="00BE1403">
        <w:t xml:space="preserve"> to label the crisis ‘genocide’ undermined the </w:t>
      </w:r>
      <w:r w:rsidR="00E03BE4">
        <w:t>humanitarian taboo</w:t>
      </w:r>
      <w:r w:rsidR="00ED43BD" w:rsidRPr="00BE1403">
        <w:t>.</w:t>
      </w:r>
      <w:r w:rsidR="004C242A" w:rsidRPr="00BE1403">
        <w:t xml:space="preserve"> </w:t>
      </w:r>
      <w:r w:rsidR="005D6F6B" w:rsidRPr="00BE1403">
        <w:t>The</w:t>
      </w:r>
      <w:r w:rsidR="004C242A" w:rsidRPr="00BE1403">
        <w:t xml:space="preserve"> Clinton administration</w:t>
      </w:r>
      <w:r w:rsidR="00EB6543" w:rsidRPr="00BE1403">
        <w:t xml:space="preserve"> actively</w:t>
      </w:r>
      <w:r w:rsidR="004C242A" w:rsidRPr="00BE1403">
        <w:t xml:space="preserve"> </w:t>
      </w:r>
      <w:r w:rsidR="008A7C3E" w:rsidRPr="00BE1403">
        <w:t xml:space="preserve">avoided the term </w:t>
      </w:r>
      <w:r w:rsidR="00EB6543" w:rsidRPr="00BE1403">
        <w:t>on the basis they believed</w:t>
      </w:r>
      <w:r w:rsidR="004C242A" w:rsidRPr="00BE1403">
        <w:t xml:space="preserve"> </w:t>
      </w:r>
      <w:r w:rsidR="00432796" w:rsidRPr="00BE1403">
        <w:t>this</w:t>
      </w:r>
      <w:r w:rsidR="00535564" w:rsidRPr="00BE1403">
        <w:t xml:space="preserve"> wou</w:t>
      </w:r>
      <w:r w:rsidR="00B35D95" w:rsidRPr="00BE1403">
        <w:t>ld require them to intervene (</w:t>
      </w:r>
      <w:r w:rsidR="00535564" w:rsidRPr="00BE1403">
        <w:t>a consequence of the 1948 Genocide Convention</w:t>
      </w:r>
      <w:r w:rsidR="00B35D95" w:rsidRPr="00BE1403">
        <w:t>)</w:t>
      </w:r>
      <w:r w:rsidR="006B1200" w:rsidRPr="00BE1403">
        <w:rPr>
          <w:rStyle w:val="FootnoteReference"/>
        </w:rPr>
        <w:footnoteReference w:id="76"/>
      </w:r>
      <w:r w:rsidR="004C242A" w:rsidRPr="00BE1403">
        <w:t xml:space="preserve">. </w:t>
      </w:r>
      <w:r w:rsidR="00E41CE8" w:rsidRPr="00BE1403">
        <w:t xml:space="preserve">As </w:t>
      </w:r>
      <w:r w:rsidR="00F3701C" w:rsidRPr="00BE1403">
        <w:t xml:space="preserve">Adam </w:t>
      </w:r>
      <w:r w:rsidR="00E41CE8" w:rsidRPr="00BE1403">
        <w:t>Jones</w:t>
      </w:r>
      <w:r w:rsidR="00A22315" w:rsidRPr="00BE1403">
        <w:t xml:space="preserve"> </w:t>
      </w:r>
      <w:r w:rsidR="009E0AF0" w:rsidRPr="00BE1403">
        <w:t>says: ‘</w:t>
      </w:r>
      <w:r w:rsidR="00E41CE8" w:rsidRPr="00BE1403">
        <w:rPr>
          <w:i/>
        </w:rPr>
        <w:t>Genocide</w:t>
      </w:r>
      <w:r w:rsidR="00E41CE8" w:rsidRPr="00BE1403">
        <w:t xml:space="preserve"> is one of the most powerful words in the English language: observe how international actors turn cartwheels to avoid having i</w:t>
      </w:r>
      <w:r w:rsidR="009E0AF0" w:rsidRPr="00BE1403">
        <w:t>t applied to their own actions.’</w:t>
      </w:r>
      <w:r w:rsidR="009E0AF0" w:rsidRPr="00BE1403">
        <w:rPr>
          <w:rStyle w:val="FootnoteReference"/>
        </w:rPr>
        <w:footnoteReference w:id="77"/>
      </w:r>
      <w:r w:rsidR="00E41CE8" w:rsidRPr="00BE1403">
        <w:t xml:space="preserve"> </w:t>
      </w:r>
      <w:r w:rsidR="00946611" w:rsidRPr="00BE1403">
        <w:t>Instead, the kill</w:t>
      </w:r>
      <w:r w:rsidR="00516883">
        <w:t>ing was expressed via euphemism</w:t>
      </w:r>
      <w:r w:rsidR="00946611" w:rsidRPr="00BE1403">
        <w:t>; including the now infamous reference to ‘genocidal acts</w:t>
      </w:r>
      <w:r w:rsidR="00E13881" w:rsidRPr="00BE1403">
        <w:t>.</w:t>
      </w:r>
      <w:r w:rsidR="00946611" w:rsidRPr="00BE1403">
        <w:t>’</w:t>
      </w:r>
      <w:r w:rsidR="00787653" w:rsidRPr="00BE1403">
        <w:t xml:space="preserve"> Critically, however, this should not be viewed merely as a legislative get-out, but the construction of a </w:t>
      </w:r>
      <w:r w:rsidR="00F241AD" w:rsidRPr="00BE1403">
        <w:t xml:space="preserve">rhetorical </w:t>
      </w:r>
      <w:r w:rsidR="00787653" w:rsidRPr="00BE1403">
        <w:t>strategy to</w:t>
      </w:r>
      <w:r w:rsidR="00613E60" w:rsidRPr="00BE1403">
        <w:t xml:space="preserve"> normatively</w:t>
      </w:r>
      <w:r w:rsidR="00787653" w:rsidRPr="00BE1403">
        <w:t xml:space="preserve"> invalidate the humanitarian taboo.</w:t>
      </w:r>
      <w:r w:rsidR="00014669" w:rsidRPr="00BE1403">
        <w:t xml:space="preserve"> By</w:t>
      </w:r>
      <w:r w:rsidR="00C4467B" w:rsidRPr="00BE1403">
        <w:t xml:space="preserve"> effectively</w:t>
      </w:r>
      <w:r w:rsidR="00073BB0">
        <w:t xml:space="preserve"> nullifying the concepts</w:t>
      </w:r>
      <w:r w:rsidR="00014669" w:rsidRPr="00BE1403">
        <w:t xml:space="preserve"> on which a humanitarian arg</w:t>
      </w:r>
      <w:r w:rsidR="00EF6FCD" w:rsidRPr="00BE1403">
        <w:t xml:space="preserve">ument could be based, so this </w:t>
      </w:r>
      <w:r w:rsidR="00C4467B" w:rsidRPr="00BE1403">
        <w:t>invalidated</w:t>
      </w:r>
      <w:r w:rsidR="00774163" w:rsidRPr="00BE1403">
        <w:t xml:space="preserve"> the taboo by establishing </w:t>
      </w:r>
      <w:r w:rsidR="00C4467B" w:rsidRPr="00BE1403">
        <w:t>it was not applicable in this case</w:t>
      </w:r>
      <w:r w:rsidR="008E685B" w:rsidRPr="00BE1403">
        <w:t>,</w:t>
      </w:r>
      <w:r w:rsidR="00C4467B" w:rsidRPr="00BE1403">
        <w:t xml:space="preserve"> </w:t>
      </w:r>
      <w:r w:rsidR="001873C0" w:rsidRPr="00BE1403">
        <w:t xml:space="preserve">thereby rejecting US </w:t>
      </w:r>
      <w:r w:rsidR="005711A8">
        <w:t>responsibility for the violence</w:t>
      </w:r>
      <w:r w:rsidR="001873C0" w:rsidRPr="00BE1403">
        <w:t xml:space="preserve"> </w:t>
      </w:r>
      <w:r w:rsidR="00C4467B" w:rsidRPr="00BE1403">
        <w:t xml:space="preserve">and </w:t>
      </w:r>
      <w:r w:rsidR="00516883">
        <w:t>denying</w:t>
      </w:r>
      <w:r w:rsidR="00C4467B" w:rsidRPr="00BE1403">
        <w:t xml:space="preserve"> potential</w:t>
      </w:r>
      <w:r w:rsidR="00014669" w:rsidRPr="00BE1403">
        <w:t xml:space="preserve"> humanitarian supporters </w:t>
      </w:r>
      <w:r w:rsidR="00C4467B" w:rsidRPr="00BE1403">
        <w:t>both a platform and the</w:t>
      </w:r>
      <w:r w:rsidR="00014669" w:rsidRPr="00BE1403">
        <w:t xml:space="preserve"> rhetoric</w:t>
      </w:r>
      <w:r w:rsidR="00C4467B" w:rsidRPr="00BE1403">
        <w:t xml:space="preserve"> to express their </w:t>
      </w:r>
      <w:r w:rsidR="00774163" w:rsidRPr="00BE1403">
        <w:t>position</w:t>
      </w:r>
      <w:r w:rsidR="00C4467B" w:rsidRPr="00BE1403">
        <w:t>.</w:t>
      </w:r>
      <w:r w:rsidR="007B0842">
        <w:t xml:space="preserve"> It not only</w:t>
      </w:r>
      <w:r w:rsidR="001873C0" w:rsidRPr="00BE1403">
        <w:t xml:space="preserve"> remove</w:t>
      </w:r>
      <w:r w:rsidR="007B0842">
        <w:t>d</w:t>
      </w:r>
      <w:r w:rsidR="001873C0" w:rsidRPr="00BE1403">
        <w:t xml:space="preserve"> the pressure for intervention by annulling the relevance of the taboo, it also precluded others’ access to the associated narratives of humanitarian impulse by which they could cons</w:t>
      </w:r>
      <w:r w:rsidR="009C1C3D" w:rsidRPr="00BE1403">
        <w:t>tru</w:t>
      </w:r>
      <w:r w:rsidR="0040351B" w:rsidRPr="00BE1403">
        <w:t xml:space="preserve">ct a case for intervention. </w:t>
      </w:r>
      <w:r w:rsidR="00435B6C">
        <w:t>As well as</w:t>
      </w:r>
      <w:r w:rsidR="001873C0" w:rsidRPr="00BE1403">
        <w:t xml:space="preserve"> the taboo, </w:t>
      </w:r>
      <w:r w:rsidR="00435B6C">
        <w:t>this approach neutralised</w:t>
      </w:r>
      <w:r w:rsidR="0040351B" w:rsidRPr="00BE1403">
        <w:t xml:space="preserve"> its very </w:t>
      </w:r>
      <w:r w:rsidR="001873C0" w:rsidRPr="00BE1403">
        <w:t>discourse</w:t>
      </w:r>
      <w:r w:rsidR="00781D90" w:rsidRPr="00BE1403">
        <w:t xml:space="preserve"> and discursive resources</w:t>
      </w:r>
      <w:r w:rsidR="009C1C3D" w:rsidRPr="00BE1403">
        <w:t xml:space="preserve"> – </w:t>
      </w:r>
      <w:r w:rsidR="001873C0" w:rsidRPr="00BE1403">
        <w:t>a</w:t>
      </w:r>
      <w:r w:rsidR="009C1C3D" w:rsidRPr="00BE1403">
        <w:t xml:space="preserve"> direct</w:t>
      </w:r>
      <w:r w:rsidR="001873C0" w:rsidRPr="00BE1403">
        <w:t xml:space="preserve"> consequence of the r</w:t>
      </w:r>
      <w:r w:rsidR="006D7C1A" w:rsidRPr="00BE1403">
        <w:t>hetorical framework</w:t>
      </w:r>
      <w:r w:rsidR="001873C0" w:rsidRPr="00BE1403">
        <w:t xml:space="preserve"> put in plac</w:t>
      </w:r>
      <w:r w:rsidR="002F3453" w:rsidRPr="00BE1403">
        <w:t>e by Clinton’s disavowal of this</w:t>
      </w:r>
      <w:r w:rsidR="001873C0" w:rsidRPr="00BE1403">
        <w:t xml:space="preserve"> dialogue</w:t>
      </w:r>
      <w:r w:rsidR="00781D90" w:rsidRPr="00BE1403">
        <w:t>.</w:t>
      </w:r>
    </w:p>
    <w:p w14:paraId="5DD3B611" w14:textId="77777777" w:rsidR="00535564" w:rsidRPr="00BE1403" w:rsidRDefault="00535564" w:rsidP="00BB151F">
      <w:pPr>
        <w:spacing w:line="480" w:lineRule="auto"/>
      </w:pPr>
    </w:p>
    <w:p w14:paraId="4DF7CC2D" w14:textId="505FD9D3" w:rsidR="00FF448D" w:rsidRPr="00BE1403" w:rsidRDefault="00ED43BD" w:rsidP="00BB151F">
      <w:pPr>
        <w:pStyle w:val="Default"/>
        <w:spacing w:line="480" w:lineRule="auto"/>
        <w:rPr>
          <w:lang w:val="en-GB"/>
        </w:rPr>
      </w:pPr>
      <w:r w:rsidRPr="00BE1403">
        <w:rPr>
          <w:lang w:val="en-GB"/>
        </w:rPr>
        <w:t>Second, the sovereignty doctrine</w:t>
      </w:r>
      <w:r w:rsidR="00553386" w:rsidRPr="00BE1403">
        <w:rPr>
          <w:lang w:val="en-GB"/>
        </w:rPr>
        <w:t xml:space="preserve"> was exploited to</w:t>
      </w:r>
      <w:r w:rsidR="00014669" w:rsidRPr="00BE1403">
        <w:rPr>
          <w:lang w:val="en-GB"/>
        </w:rPr>
        <w:t xml:space="preserve"> further</w:t>
      </w:r>
      <w:r w:rsidR="008E685B" w:rsidRPr="00BE1403">
        <w:rPr>
          <w:lang w:val="en-GB"/>
        </w:rPr>
        <w:t xml:space="preserve"> realize this strategy of normative invalidation</w:t>
      </w:r>
      <w:r w:rsidR="00394229">
        <w:rPr>
          <w:lang w:val="en-GB"/>
        </w:rPr>
        <w:t xml:space="preserve">. Specifically, </w:t>
      </w:r>
      <w:r w:rsidR="00553386" w:rsidRPr="00BE1403">
        <w:rPr>
          <w:lang w:val="en-GB"/>
        </w:rPr>
        <w:t xml:space="preserve">Clinton presented the killing </w:t>
      </w:r>
      <w:r w:rsidR="00394229">
        <w:rPr>
          <w:lang w:val="en-GB"/>
        </w:rPr>
        <w:t>as the consequence of civil war</w:t>
      </w:r>
      <w:r w:rsidR="00553386" w:rsidRPr="00BE1403">
        <w:rPr>
          <w:lang w:val="en-GB"/>
        </w:rPr>
        <w:t xml:space="preserve"> and, therefore, not a humanitarian concern.</w:t>
      </w:r>
      <w:r w:rsidR="004F3440" w:rsidRPr="00BE1403">
        <w:rPr>
          <w:lang w:val="en-GB"/>
        </w:rPr>
        <w:t xml:space="preserve"> </w:t>
      </w:r>
      <w:r w:rsidR="009F38ED" w:rsidRPr="00BE1403">
        <w:rPr>
          <w:lang w:val="en-GB"/>
        </w:rPr>
        <w:t>If the violence</w:t>
      </w:r>
      <w:r w:rsidR="00157B65" w:rsidRPr="00BE1403">
        <w:rPr>
          <w:lang w:val="en-GB"/>
        </w:rPr>
        <w:t xml:space="preserve"> was the product of civil unrest then this both a) did not come under the banner of intervention</w:t>
      </w:r>
      <w:r w:rsidR="00B12314" w:rsidRPr="00BE1403">
        <w:rPr>
          <w:lang w:val="en-GB"/>
        </w:rPr>
        <w:t>,</w:t>
      </w:r>
      <w:r w:rsidR="00157B65" w:rsidRPr="00BE1403">
        <w:rPr>
          <w:lang w:val="en-GB"/>
        </w:rPr>
        <w:t xml:space="preserve"> g</w:t>
      </w:r>
      <w:r w:rsidR="004B1D0A" w:rsidRPr="00BE1403">
        <w:rPr>
          <w:lang w:val="en-GB"/>
        </w:rPr>
        <w:t>iven that there had been no humanitarian violation</w:t>
      </w:r>
      <w:r w:rsidR="00EF6FCD" w:rsidRPr="00BE1403">
        <w:rPr>
          <w:lang w:val="en-GB"/>
        </w:rPr>
        <w:t>,</w:t>
      </w:r>
      <w:r w:rsidR="004B1D0A" w:rsidRPr="00BE1403">
        <w:rPr>
          <w:lang w:val="en-GB"/>
        </w:rPr>
        <w:t xml:space="preserve"> and b) i</w:t>
      </w:r>
      <w:r w:rsidR="007F4965" w:rsidRPr="00BE1403">
        <w:rPr>
          <w:lang w:val="en-GB"/>
        </w:rPr>
        <w:t>nvoked the sovereignty argument</w:t>
      </w:r>
      <w:r w:rsidR="00B12314" w:rsidRPr="00BE1403">
        <w:rPr>
          <w:lang w:val="en-GB"/>
        </w:rPr>
        <w:t xml:space="preserve"> in that civil war was</w:t>
      </w:r>
      <w:r w:rsidR="004B1D0A" w:rsidRPr="00BE1403">
        <w:rPr>
          <w:lang w:val="en-GB"/>
        </w:rPr>
        <w:t xml:space="preserve"> an internal affair that active</w:t>
      </w:r>
      <w:r w:rsidR="00B12314" w:rsidRPr="00BE1403">
        <w:rPr>
          <w:lang w:val="en-GB"/>
        </w:rPr>
        <w:t>ly should not be interfered in</w:t>
      </w:r>
      <w:r w:rsidR="004B1D0A" w:rsidRPr="00BE1403">
        <w:rPr>
          <w:lang w:val="en-GB"/>
        </w:rPr>
        <w:t xml:space="preserve"> by another member of the international c</w:t>
      </w:r>
      <w:r w:rsidR="005A2580" w:rsidRPr="00BE1403">
        <w:rPr>
          <w:lang w:val="en-GB"/>
        </w:rPr>
        <w:t xml:space="preserve">ommunity. As Power </w:t>
      </w:r>
      <w:r w:rsidR="0078679D" w:rsidRPr="00BE1403">
        <w:rPr>
          <w:lang w:val="en-GB"/>
        </w:rPr>
        <w:t>succinctly put</w:t>
      </w:r>
      <w:r w:rsidR="008C6B05">
        <w:rPr>
          <w:lang w:val="en-GB"/>
        </w:rPr>
        <w:t>s</w:t>
      </w:r>
      <w:r w:rsidR="005A2580" w:rsidRPr="00BE1403">
        <w:rPr>
          <w:lang w:val="en-GB"/>
        </w:rPr>
        <w:t xml:space="preserve"> it: </w:t>
      </w:r>
      <w:r w:rsidR="00157B65" w:rsidRPr="00BE1403">
        <w:rPr>
          <w:lang w:val="en-GB"/>
        </w:rPr>
        <w:t>‘</w:t>
      </w:r>
      <w:r w:rsidR="005A2580" w:rsidRPr="00BE1403">
        <w:rPr>
          <w:lang w:val="en-GB"/>
        </w:rPr>
        <w:t>“War” was “tragic”</w:t>
      </w:r>
      <w:r w:rsidR="00157B65" w:rsidRPr="00BE1403">
        <w:rPr>
          <w:lang w:val="en-GB"/>
        </w:rPr>
        <w:t xml:space="preserve"> b</w:t>
      </w:r>
      <w:r w:rsidR="005A2580" w:rsidRPr="00BE1403">
        <w:rPr>
          <w:lang w:val="en-GB"/>
        </w:rPr>
        <w:t>ut created no moral imperative.’</w:t>
      </w:r>
      <w:r w:rsidR="005A2580" w:rsidRPr="00BE1403">
        <w:rPr>
          <w:rStyle w:val="FootnoteReference"/>
          <w:lang w:val="en-GB"/>
        </w:rPr>
        <w:footnoteReference w:id="78"/>
      </w:r>
      <w:r w:rsidR="004738BB" w:rsidRPr="00BE1403">
        <w:rPr>
          <w:lang w:val="en-GB"/>
        </w:rPr>
        <w:t xml:space="preserve"> While sovereignty had never been cited as a reason for US policy-making on Rwanda, it</w:t>
      </w:r>
      <w:r w:rsidR="00FD0D94" w:rsidRPr="00BE1403">
        <w:rPr>
          <w:lang w:val="en-GB"/>
        </w:rPr>
        <w:t xml:space="preserve"> still</w:t>
      </w:r>
      <w:r w:rsidR="004738BB" w:rsidRPr="00BE1403">
        <w:rPr>
          <w:lang w:val="en-GB"/>
        </w:rPr>
        <w:t xml:space="preserve"> provided Clinton</w:t>
      </w:r>
      <w:r w:rsidR="00352531" w:rsidRPr="00BE1403">
        <w:rPr>
          <w:lang w:val="en-GB"/>
        </w:rPr>
        <w:t xml:space="preserve"> with</w:t>
      </w:r>
      <w:r w:rsidR="004738BB" w:rsidRPr="00BE1403">
        <w:rPr>
          <w:lang w:val="en-GB"/>
        </w:rPr>
        <w:t xml:space="preserve"> a</w:t>
      </w:r>
      <w:r w:rsidR="000B293D" w:rsidRPr="00BE1403">
        <w:rPr>
          <w:lang w:val="en-GB"/>
        </w:rPr>
        <w:t xml:space="preserve"> v</w:t>
      </w:r>
      <w:r w:rsidR="000E3BD0" w:rsidRPr="00BE1403">
        <w:rPr>
          <w:lang w:val="en-GB"/>
        </w:rPr>
        <w:t>aluable discursive resource</w:t>
      </w:r>
      <w:r w:rsidR="004738BB" w:rsidRPr="00BE1403">
        <w:rPr>
          <w:lang w:val="en-GB"/>
        </w:rPr>
        <w:t xml:space="preserve"> to construct a solid</w:t>
      </w:r>
      <w:r w:rsidR="00FD0D94" w:rsidRPr="00BE1403">
        <w:rPr>
          <w:lang w:val="en-GB"/>
        </w:rPr>
        <w:t xml:space="preserve"> and seemingly legitimate</w:t>
      </w:r>
      <w:r w:rsidR="004738BB" w:rsidRPr="00BE1403">
        <w:rPr>
          <w:lang w:val="en-GB"/>
        </w:rPr>
        <w:t xml:space="preserve"> case against intervention</w:t>
      </w:r>
      <w:r w:rsidR="007B2295" w:rsidRPr="00BE1403">
        <w:rPr>
          <w:lang w:val="en-GB"/>
        </w:rPr>
        <w:t xml:space="preserve"> – and more specifically as a way of invalidating normative expectation surrounding the humanitarian impulse</w:t>
      </w:r>
      <w:r w:rsidR="004738BB" w:rsidRPr="00BE1403">
        <w:rPr>
          <w:lang w:val="en-GB"/>
        </w:rPr>
        <w:t xml:space="preserve">. </w:t>
      </w:r>
      <w:r w:rsidR="00FF448D" w:rsidRPr="00BE1403">
        <w:rPr>
          <w:lang w:val="en-GB"/>
        </w:rPr>
        <w:t>If this was civil war, then the</w:t>
      </w:r>
      <w:r w:rsidR="005B2CA6">
        <w:rPr>
          <w:lang w:val="en-GB"/>
        </w:rPr>
        <w:t>re existed</w:t>
      </w:r>
      <w:r w:rsidR="000B293D" w:rsidRPr="00BE1403">
        <w:rPr>
          <w:lang w:val="en-GB"/>
        </w:rPr>
        <w:t xml:space="preserve"> a clear sovereignty barrier to intervention</w:t>
      </w:r>
      <w:r w:rsidR="00FF448D" w:rsidRPr="00BE1403">
        <w:rPr>
          <w:lang w:val="en-GB"/>
        </w:rPr>
        <w:t xml:space="preserve">, not least where </w:t>
      </w:r>
      <w:r w:rsidR="000B293D" w:rsidRPr="00BE1403">
        <w:rPr>
          <w:lang w:val="en-GB"/>
        </w:rPr>
        <w:t>such action</w:t>
      </w:r>
      <w:r w:rsidR="00FF448D" w:rsidRPr="00BE1403">
        <w:rPr>
          <w:lang w:val="en-GB"/>
        </w:rPr>
        <w:t xml:space="preserve"> would have ‘required’ taking sides in another state’s conflict</w:t>
      </w:r>
      <w:r w:rsidR="000B293D" w:rsidRPr="00BE1403">
        <w:rPr>
          <w:lang w:val="en-GB"/>
        </w:rPr>
        <w:t xml:space="preserve"> (</w:t>
      </w:r>
      <w:r w:rsidR="00183E8A" w:rsidRPr="00BE1403">
        <w:rPr>
          <w:lang w:val="en-GB"/>
        </w:rPr>
        <w:t>itself an inappropriate act for a foreign party</w:t>
      </w:r>
      <w:r w:rsidR="000B293D" w:rsidRPr="00BE1403">
        <w:rPr>
          <w:lang w:val="en-GB"/>
        </w:rPr>
        <w:t>)</w:t>
      </w:r>
      <w:r w:rsidR="00FF448D" w:rsidRPr="00BE1403">
        <w:rPr>
          <w:lang w:val="en-GB"/>
        </w:rPr>
        <w:t>.</w:t>
      </w:r>
      <w:r w:rsidR="00C567E6" w:rsidRPr="00BE1403">
        <w:rPr>
          <w:lang w:val="en-GB"/>
        </w:rPr>
        <w:t xml:space="preserve"> </w:t>
      </w:r>
      <w:r w:rsidR="000B293D" w:rsidRPr="00BE1403">
        <w:rPr>
          <w:lang w:val="en-GB"/>
        </w:rPr>
        <w:t xml:space="preserve">Clinton </w:t>
      </w:r>
      <w:r w:rsidR="00FF448D" w:rsidRPr="00BE1403">
        <w:rPr>
          <w:lang w:val="en-GB"/>
        </w:rPr>
        <w:t>portray</w:t>
      </w:r>
      <w:r w:rsidR="000B293D" w:rsidRPr="00BE1403">
        <w:rPr>
          <w:lang w:val="en-GB"/>
        </w:rPr>
        <w:t>ed</w:t>
      </w:r>
      <w:r w:rsidR="00FF448D" w:rsidRPr="00BE1403">
        <w:rPr>
          <w:lang w:val="en-GB"/>
        </w:rPr>
        <w:t xml:space="preserve"> this</w:t>
      </w:r>
      <w:r w:rsidR="007B2295" w:rsidRPr="00BE1403">
        <w:rPr>
          <w:lang w:val="en-GB"/>
        </w:rPr>
        <w:t xml:space="preserve"> situation</w:t>
      </w:r>
      <w:r w:rsidR="000E3BD0" w:rsidRPr="00BE1403">
        <w:rPr>
          <w:lang w:val="en-GB"/>
        </w:rPr>
        <w:t xml:space="preserve"> </w:t>
      </w:r>
      <w:r w:rsidR="00FF448D" w:rsidRPr="00BE1403">
        <w:rPr>
          <w:lang w:val="en-GB"/>
        </w:rPr>
        <w:t xml:space="preserve">as </w:t>
      </w:r>
      <w:r w:rsidR="000E3BD0" w:rsidRPr="00BE1403">
        <w:rPr>
          <w:lang w:val="en-GB"/>
        </w:rPr>
        <w:t>needing not</w:t>
      </w:r>
      <w:r w:rsidR="00FF448D" w:rsidRPr="00BE1403">
        <w:rPr>
          <w:lang w:val="en-GB"/>
        </w:rPr>
        <w:t xml:space="preserve"> a humanitarian so</w:t>
      </w:r>
      <w:r w:rsidR="000B293D" w:rsidRPr="00BE1403">
        <w:rPr>
          <w:lang w:val="en-GB"/>
        </w:rPr>
        <w:t>lution, but a political one – which</w:t>
      </w:r>
      <w:r w:rsidR="00FF448D" w:rsidRPr="00BE1403">
        <w:rPr>
          <w:lang w:val="en-GB"/>
        </w:rPr>
        <w:t xml:space="preserve"> could only be negotia</w:t>
      </w:r>
      <w:r w:rsidR="00591119" w:rsidRPr="00BE1403">
        <w:rPr>
          <w:lang w:val="en-GB"/>
        </w:rPr>
        <w:t>ted between the warring parties</w:t>
      </w:r>
      <w:r w:rsidR="00FF448D" w:rsidRPr="00BE1403">
        <w:rPr>
          <w:lang w:val="en-GB"/>
        </w:rPr>
        <w:t xml:space="preserve">: </w:t>
      </w:r>
    </w:p>
    <w:p w14:paraId="3685EBC4" w14:textId="77777777" w:rsidR="00FF448D" w:rsidRPr="00BE1403" w:rsidRDefault="00FF448D" w:rsidP="00BB151F">
      <w:pPr>
        <w:pStyle w:val="Default"/>
        <w:spacing w:line="480" w:lineRule="auto"/>
        <w:rPr>
          <w:lang w:val="en-GB"/>
        </w:rPr>
      </w:pPr>
    </w:p>
    <w:p w14:paraId="26D9E522" w14:textId="05916F4E" w:rsidR="00FF448D" w:rsidRPr="00BE1403" w:rsidRDefault="00FF448D" w:rsidP="00BB151F">
      <w:pPr>
        <w:pStyle w:val="Default"/>
        <w:spacing w:line="480" w:lineRule="auto"/>
        <w:ind w:left="567"/>
        <w:rPr>
          <w:lang w:val="en-GB"/>
        </w:rPr>
      </w:pPr>
      <w:r w:rsidRPr="00BE1403">
        <w:rPr>
          <w:lang w:val="en-GB"/>
        </w:rPr>
        <w:t>On behalf of all the American people, I call on the Rwandan army and the Rwandan Patriotic Front to agree to an immediate ceasefire and return to negotiations aimed at a lasting peace in their country… The pain and suffering of the Rwandan people have touched the hearts of all Americans. It is time for the leaders of Rwanda to recognize their common bond of humanity and to reject the senseless and criminal violence that continues to plague their country.</w:t>
      </w:r>
      <w:r w:rsidR="005A2580" w:rsidRPr="00BE1403">
        <w:rPr>
          <w:rStyle w:val="FootnoteReference"/>
          <w:lang w:val="en-GB"/>
        </w:rPr>
        <w:footnoteReference w:id="79"/>
      </w:r>
    </w:p>
    <w:p w14:paraId="1EEBD19C" w14:textId="77777777" w:rsidR="005A2580" w:rsidRPr="00BE1403" w:rsidRDefault="005A2580" w:rsidP="00BB151F">
      <w:pPr>
        <w:pStyle w:val="Default"/>
        <w:spacing w:line="480" w:lineRule="auto"/>
        <w:rPr>
          <w:lang w:val="en-GB"/>
        </w:rPr>
      </w:pPr>
    </w:p>
    <w:p w14:paraId="298BAF12" w14:textId="1A90BFB8" w:rsidR="00EC2E9C" w:rsidRPr="00BE1403" w:rsidRDefault="00FF448D" w:rsidP="00BB151F">
      <w:pPr>
        <w:spacing w:line="480" w:lineRule="auto"/>
      </w:pPr>
      <w:r w:rsidRPr="00BE1403">
        <w:t>This construct was assisted by th</w:t>
      </w:r>
      <w:r w:rsidR="00640BC2" w:rsidRPr="00BE1403">
        <w:t>e implication that both parties</w:t>
      </w:r>
      <w:r w:rsidRPr="00BE1403">
        <w:t xml:space="preserve"> </w:t>
      </w:r>
      <w:r w:rsidR="00640BC2" w:rsidRPr="00BE1403">
        <w:t>were complicit</w:t>
      </w:r>
      <w:r w:rsidR="008D5708">
        <w:t>, in that there was no clear side to take</w:t>
      </w:r>
      <w:r w:rsidR="005A2580" w:rsidRPr="00BE1403">
        <w:rPr>
          <w:rStyle w:val="FootnoteReference"/>
        </w:rPr>
        <w:footnoteReference w:id="80"/>
      </w:r>
      <w:r w:rsidRPr="00BE1403">
        <w:t xml:space="preserve">. </w:t>
      </w:r>
      <w:r w:rsidR="00EC2E9C" w:rsidRPr="00BE1403">
        <w:t>Moreover,</w:t>
      </w:r>
      <w:r w:rsidR="007B2295" w:rsidRPr="00BE1403">
        <w:t xml:space="preserve"> </w:t>
      </w:r>
      <w:r w:rsidR="00EC2E9C" w:rsidRPr="00BE1403">
        <w:t>Clinton rhetorically played his concept of civil war into pre-existing assumptions that Africa was inevit</w:t>
      </w:r>
      <w:r w:rsidR="00640BC2" w:rsidRPr="00BE1403">
        <w:t xml:space="preserve">ably torn by ancient conflict; </w:t>
      </w:r>
      <w:r w:rsidR="00EC2E9C" w:rsidRPr="00BE1403">
        <w:t>or more blun</w:t>
      </w:r>
      <w:r w:rsidR="000830B9" w:rsidRPr="00BE1403">
        <w:t xml:space="preserve">tly, that Africa was </w:t>
      </w:r>
      <w:r w:rsidR="00EC2E9C" w:rsidRPr="00BE1403">
        <w:t>u</w:t>
      </w:r>
      <w:r w:rsidR="00233562" w:rsidRPr="00BE1403">
        <w:t>ncivilized, prone to violence</w:t>
      </w:r>
      <w:r w:rsidR="00EC2E9C" w:rsidRPr="00BE1403">
        <w:t>, and that the k</w:t>
      </w:r>
      <w:r w:rsidR="00640BC2" w:rsidRPr="00BE1403">
        <w:t>illings were simply another instance</w:t>
      </w:r>
      <w:r w:rsidR="00EC2E9C" w:rsidRPr="00BE1403">
        <w:t xml:space="preserve"> of them being ‘at it again’:</w:t>
      </w:r>
    </w:p>
    <w:p w14:paraId="0D99A73A" w14:textId="77777777" w:rsidR="00EC2E9C" w:rsidRPr="00BE1403" w:rsidRDefault="00EC2E9C" w:rsidP="00BB151F">
      <w:pPr>
        <w:spacing w:line="480" w:lineRule="auto"/>
      </w:pPr>
    </w:p>
    <w:p w14:paraId="08162DAB" w14:textId="392F1F07" w:rsidR="00FD1B1D" w:rsidRPr="00BE1403" w:rsidRDefault="00EC2E9C" w:rsidP="00BB151F">
      <w:pPr>
        <w:spacing w:line="480" w:lineRule="auto"/>
        <w:ind w:left="567"/>
      </w:pPr>
      <w:r w:rsidRPr="00BE1403">
        <w:t>All over the world today, all you have to do is pick up the newspaper, any given day, and you see how we are worried about the disintegration of civic life in other countries…We read about bodies being thrown into the river in Rwanda and say, ‘Good Lord why are those p</w:t>
      </w:r>
      <w:r w:rsidR="005A2580" w:rsidRPr="00BE1403">
        <w:t>eople doing that to each other?</w:t>
      </w:r>
      <w:r w:rsidR="005A2580" w:rsidRPr="00BE1403">
        <w:rPr>
          <w:rStyle w:val="FootnoteReference"/>
        </w:rPr>
        <w:footnoteReference w:id="81"/>
      </w:r>
    </w:p>
    <w:p w14:paraId="4A46351A" w14:textId="77777777" w:rsidR="00EC2E9C" w:rsidRPr="00BE1403" w:rsidRDefault="00EC2E9C" w:rsidP="00BB151F">
      <w:pPr>
        <w:spacing w:line="480" w:lineRule="auto"/>
      </w:pPr>
    </w:p>
    <w:p w14:paraId="27827CB4" w14:textId="56A4FF12" w:rsidR="00FF448D" w:rsidRPr="00BE1403" w:rsidRDefault="005A2580" w:rsidP="00BB151F">
      <w:pPr>
        <w:spacing w:line="480" w:lineRule="auto"/>
      </w:pPr>
      <w:r w:rsidRPr="00BE1403">
        <w:t xml:space="preserve">Kenneth Harrow </w:t>
      </w:r>
      <w:r w:rsidR="00EC2E9C" w:rsidRPr="00BE1403">
        <w:t>calls</w:t>
      </w:r>
      <w:r w:rsidR="00623E8E">
        <w:t xml:space="preserve"> this</w:t>
      </w:r>
      <w:r w:rsidR="00EC2E9C" w:rsidRPr="00BE1403">
        <w:t xml:space="preserve"> the fantasy of ‘ancient tribal warfare.’</w:t>
      </w:r>
      <w:r w:rsidR="00EC2E9C" w:rsidRPr="00BE1403">
        <w:rPr>
          <w:rStyle w:val="FootnoteReference"/>
        </w:rPr>
        <w:footnoteReference w:id="82"/>
      </w:r>
      <w:r w:rsidR="00EC2E9C" w:rsidRPr="00BE1403">
        <w:t xml:space="preserve"> Although Clinton never explicitly referred to th</w:t>
      </w:r>
      <w:r w:rsidR="000830B9" w:rsidRPr="00BE1403">
        <w:t>e crisis as tribal</w:t>
      </w:r>
      <w:r w:rsidR="00EC2E9C" w:rsidRPr="00BE1403">
        <w:t xml:space="preserve">, </w:t>
      </w:r>
      <w:r w:rsidR="007B2295" w:rsidRPr="00BE1403">
        <w:t xml:space="preserve">by </w:t>
      </w:r>
      <w:r w:rsidR="00C90500">
        <w:t xml:space="preserve">discussing this in </w:t>
      </w:r>
      <w:r w:rsidR="00EC2E9C" w:rsidRPr="00BE1403">
        <w:t>terms</w:t>
      </w:r>
      <w:r w:rsidR="00537965">
        <w:t xml:space="preserve"> of internal politics</w:t>
      </w:r>
      <w:r w:rsidR="008965DA" w:rsidRPr="00BE1403">
        <w:t xml:space="preserve"> </w:t>
      </w:r>
      <w:r w:rsidR="00EC2E9C" w:rsidRPr="00BE1403">
        <w:t>he could exaggerate that sentiment; especially where this was t</w:t>
      </w:r>
      <w:r w:rsidR="008965DA" w:rsidRPr="00BE1403">
        <w:t>he interpretation adopted by</w:t>
      </w:r>
      <w:r w:rsidR="00EC2E9C" w:rsidRPr="00BE1403">
        <w:t xml:space="preserve"> the media, who were more than keen to portray the violence as tribal</w:t>
      </w:r>
      <w:r w:rsidR="00731996" w:rsidRPr="00BE1403">
        <w:rPr>
          <w:rStyle w:val="FootnoteReference"/>
        </w:rPr>
        <w:footnoteReference w:id="83"/>
      </w:r>
      <w:r w:rsidR="00EC2E9C" w:rsidRPr="00BE1403">
        <w:t xml:space="preserve">. </w:t>
      </w:r>
      <w:r w:rsidR="000830B9" w:rsidRPr="00BE1403">
        <w:t>Not only did this play</w:t>
      </w:r>
      <w:r w:rsidR="00EC2E9C" w:rsidRPr="00BE1403">
        <w:t xml:space="preserve"> down the seriousness of the violence (by dismis</w:t>
      </w:r>
      <w:r w:rsidR="00AD5533">
        <w:t>sing this as an internal</w:t>
      </w:r>
      <w:r w:rsidR="008965DA" w:rsidRPr="00BE1403">
        <w:t xml:space="preserve"> squabble),</w:t>
      </w:r>
      <w:r w:rsidR="00FF448D" w:rsidRPr="00BE1403">
        <w:t xml:space="preserve"> this</w:t>
      </w:r>
      <w:r w:rsidR="000830B9" w:rsidRPr="00BE1403">
        <w:t xml:space="preserve"> also</w:t>
      </w:r>
      <w:r w:rsidR="00FF448D" w:rsidRPr="00BE1403">
        <w:t xml:space="preserve"> added weight to the idea that </w:t>
      </w:r>
      <w:r w:rsidR="00EC2E9C" w:rsidRPr="00BE1403">
        <w:t>the US c</w:t>
      </w:r>
      <w:r w:rsidR="00FF448D" w:rsidRPr="00BE1403">
        <w:t xml:space="preserve">ould not </w:t>
      </w:r>
      <w:r w:rsidR="00EC2E9C" w:rsidRPr="00BE1403">
        <w:t xml:space="preserve">legitimately </w:t>
      </w:r>
      <w:r w:rsidR="00FF448D" w:rsidRPr="00BE1403">
        <w:t>get involved in</w:t>
      </w:r>
      <w:r w:rsidR="008965DA" w:rsidRPr="00BE1403">
        <w:t xml:space="preserve"> a conflict of this nature</w:t>
      </w:r>
      <w:r w:rsidR="00EC2E9C" w:rsidRPr="00BE1403">
        <w:t>.</w:t>
      </w:r>
      <w:r w:rsidR="00FF448D" w:rsidRPr="00BE1403">
        <w:t xml:space="preserve"> </w:t>
      </w:r>
      <w:r w:rsidR="00505D34" w:rsidRPr="00BE1403">
        <w:t>Civil war demanded</w:t>
      </w:r>
      <w:r w:rsidR="006E117B">
        <w:t xml:space="preserve"> internal responsibility</w:t>
      </w:r>
      <w:r w:rsidR="00505D34" w:rsidRPr="00BE1403">
        <w:t xml:space="preserve"> and this should not be violated</w:t>
      </w:r>
      <w:r w:rsidR="00E80BE8">
        <w:t xml:space="preserve"> i.e. such action would be taboo</w:t>
      </w:r>
      <w:r w:rsidR="00505D34" w:rsidRPr="00BE1403">
        <w:t>.</w:t>
      </w:r>
      <w:r w:rsidR="007B2295" w:rsidRPr="00BE1403">
        <w:t xml:space="preserve"> The</w:t>
      </w:r>
      <w:r w:rsidR="00B26F6B" w:rsidRPr="00BE1403">
        <w:t xml:space="preserve"> very</w:t>
      </w:r>
      <w:r w:rsidR="00505D34" w:rsidRPr="00BE1403">
        <w:t xml:space="preserve"> situation precluded intervention.</w:t>
      </w:r>
    </w:p>
    <w:p w14:paraId="3D18D78F" w14:textId="77777777" w:rsidR="00FF448D" w:rsidRPr="00BE1403" w:rsidRDefault="00FF448D" w:rsidP="00BB151F">
      <w:pPr>
        <w:pStyle w:val="Default"/>
        <w:spacing w:line="480" w:lineRule="auto"/>
        <w:rPr>
          <w:lang w:val="en-GB"/>
        </w:rPr>
      </w:pPr>
    </w:p>
    <w:p w14:paraId="139A352E" w14:textId="1C7DDE6E" w:rsidR="00FF448D" w:rsidRPr="00BE1403" w:rsidRDefault="00FF448D" w:rsidP="00BB151F">
      <w:pPr>
        <w:pStyle w:val="Default"/>
        <w:spacing w:line="480" w:lineRule="auto"/>
        <w:rPr>
          <w:lang w:val="en-GB"/>
        </w:rPr>
      </w:pPr>
      <w:r w:rsidRPr="00BE1403">
        <w:rPr>
          <w:lang w:val="en-GB"/>
        </w:rPr>
        <w:t>Clinton took</w:t>
      </w:r>
      <w:r w:rsidR="00980C12" w:rsidRPr="00BE1403">
        <w:rPr>
          <w:lang w:val="en-GB"/>
        </w:rPr>
        <w:t xml:space="preserve"> this</w:t>
      </w:r>
      <w:r w:rsidR="00FF4F0B" w:rsidRPr="00BE1403">
        <w:rPr>
          <w:lang w:val="en-GB"/>
        </w:rPr>
        <w:t xml:space="preserve"> so far as to state</w:t>
      </w:r>
      <w:r w:rsidR="00CD5250" w:rsidRPr="00BE1403">
        <w:rPr>
          <w:lang w:val="en-GB"/>
        </w:rPr>
        <w:t xml:space="preserve"> that, unless it</w:t>
      </w:r>
      <w:r w:rsidR="00661433" w:rsidRPr="00BE1403">
        <w:rPr>
          <w:lang w:val="en-GB"/>
        </w:rPr>
        <w:t xml:space="preserve"> comprises</w:t>
      </w:r>
      <w:r w:rsidRPr="00BE1403">
        <w:rPr>
          <w:lang w:val="en-GB"/>
        </w:rPr>
        <w:t xml:space="preserve"> a natural disaster, </w:t>
      </w:r>
      <w:r w:rsidR="00FF4F0B" w:rsidRPr="00BE1403">
        <w:rPr>
          <w:lang w:val="en-GB"/>
        </w:rPr>
        <w:t>then there will always be some underlying political reason</w:t>
      </w:r>
      <w:r w:rsidR="00BF311D">
        <w:rPr>
          <w:lang w:val="en-GB"/>
        </w:rPr>
        <w:t xml:space="preserve"> for crisis. T</w:t>
      </w:r>
      <w:r w:rsidR="00FF4F0B" w:rsidRPr="00BE1403">
        <w:rPr>
          <w:lang w:val="en-GB"/>
        </w:rPr>
        <w:t>herefore, the US should not become</w:t>
      </w:r>
      <w:r w:rsidRPr="00BE1403">
        <w:rPr>
          <w:lang w:val="en-GB"/>
        </w:rPr>
        <w:t xml:space="preserve"> involved</w:t>
      </w:r>
      <w:r w:rsidR="00FF4F0B" w:rsidRPr="00BE1403">
        <w:rPr>
          <w:lang w:val="en-GB"/>
        </w:rPr>
        <w:t xml:space="preserve"> on the grounds of sovereign right</w:t>
      </w:r>
      <w:r w:rsidRPr="00BE1403">
        <w:rPr>
          <w:lang w:val="en-GB"/>
        </w:rPr>
        <w:t xml:space="preserve">: </w:t>
      </w:r>
    </w:p>
    <w:p w14:paraId="22EB2D1E" w14:textId="77777777" w:rsidR="00FF448D" w:rsidRPr="00BE1403" w:rsidRDefault="00FF448D" w:rsidP="00BB151F">
      <w:pPr>
        <w:pStyle w:val="Default"/>
        <w:spacing w:line="480" w:lineRule="auto"/>
        <w:rPr>
          <w:lang w:val="en-GB"/>
        </w:rPr>
      </w:pPr>
    </w:p>
    <w:p w14:paraId="51B41AED" w14:textId="6B825121" w:rsidR="00FD1B1D" w:rsidRPr="00BE1403" w:rsidRDefault="00FF448D" w:rsidP="00BB151F">
      <w:pPr>
        <w:pStyle w:val="Default"/>
        <w:spacing w:line="480" w:lineRule="auto"/>
        <w:ind w:left="567"/>
        <w:rPr>
          <w:lang w:val="en-GB"/>
        </w:rPr>
      </w:pPr>
      <w:r w:rsidRPr="00BE1403">
        <w:rPr>
          <w:lang w:val="en-GB"/>
        </w:rPr>
        <w:t>And it became crystallized for me in a way in our involvement in Somalia, which I will always believe was a well-motivated and good thing to do that save hundreds of thousands of lived but which was presented, I think, quite honestly but wrongly to the American people as something that could be done on a purely humanitarian basis, when in fact, unless human tragedy is caused by natural disaster, there is no such thing as a purely humanitarian enterprise.</w:t>
      </w:r>
      <w:r w:rsidR="00464181" w:rsidRPr="00BE1403">
        <w:rPr>
          <w:rStyle w:val="FootnoteReference"/>
          <w:lang w:val="en-GB"/>
        </w:rPr>
        <w:footnoteReference w:id="84"/>
      </w:r>
    </w:p>
    <w:p w14:paraId="1C9C7827" w14:textId="77777777" w:rsidR="00FF448D" w:rsidRPr="00BE1403" w:rsidRDefault="00FF448D" w:rsidP="00BB151F">
      <w:pPr>
        <w:pStyle w:val="Default"/>
        <w:spacing w:line="480" w:lineRule="auto"/>
        <w:rPr>
          <w:lang w:val="en-GB"/>
        </w:rPr>
      </w:pPr>
    </w:p>
    <w:p w14:paraId="46EAF3AA" w14:textId="512CABF5" w:rsidR="00260118" w:rsidRPr="00BE1403" w:rsidRDefault="00CB5225" w:rsidP="00BB151F">
      <w:pPr>
        <w:pStyle w:val="Default"/>
        <w:spacing w:line="480" w:lineRule="auto"/>
        <w:rPr>
          <w:lang w:val="en-GB"/>
        </w:rPr>
      </w:pPr>
      <w:r>
        <w:rPr>
          <w:lang w:val="en-GB"/>
        </w:rPr>
        <w:t>I</w:t>
      </w:r>
      <w:r w:rsidR="00DC050E" w:rsidRPr="00BE1403">
        <w:rPr>
          <w:lang w:val="en-GB"/>
        </w:rPr>
        <w:t xml:space="preserve">t was argued that, </w:t>
      </w:r>
      <w:r w:rsidR="0082435A" w:rsidRPr="00BE1403">
        <w:rPr>
          <w:lang w:val="en-GB"/>
        </w:rPr>
        <w:t>unless a crisis</w:t>
      </w:r>
      <w:r w:rsidR="00DC050E" w:rsidRPr="00BE1403">
        <w:rPr>
          <w:lang w:val="en-GB"/>
        </w:rPr>
        <w:t xml:space="preserve"> was politically neutral,</w:t>
      </w:r>
      <w:r w:rsidR="0082435A" w:rsidRPr="00BE1403">
        <w:rPr>
          <w:lang w:val="en-GB"/>
        </w:rPr>
        <w:t xml:space="preserve"> there would exist</w:t>
      </w:r>
      <w:r w:rsidR="00795F51" w:rsidRPr="00BE1403">
        <w:rPr>
          <w:lang w:val="en-GB"/>
        </w:rPr>
        <w:t xml:space="preserve"> a</w:t>
      </w:r>
      <w:r w:rsidR="00980C12" w:rsidRPr="00BE1403">
        <w:rPr>
          <w:lang w:val="en-GB"/>
        </w:rPr>
        <w:t xml:space="preserve"> sovereignty stop on intervention. </w:t>
      </w:r>
      <w:r w:rsidR="00464181" w:rsidRPr="00BE1403">
        <w:rPr>
          <w:lang w:val="en-GB"/>
        </w:rPr>
        <w:t>Consequently, the only ‘humanitarian crisis’</w:t>
      </w:r>
      <w:r w:rsidR="00464181" w:rsidRPr="00BE1403">
        <w:rPr>
          <w:rStyle w:val="FootnoteReference"/>
          <w:lang w:val="en-GB"/>
        </w:rPr>
        <w:footnoteReference w:id="85"/>
      </w:r>
      <w:r w:rsidR="00FF448D" w:rsidRPr="00BE1403">
        <w:rPr>
          <w:lang w:val="en-GB"/>
        </w:rPr>
        <w:t xml:space="preserve"> </w:t>
      </w:r>
      <w:r w:rsidR="00464181" w:rsidRPr="00BE1403">
        <w:rPr>
          <w:lang w:val="en-GB"/>
        </w:rPr>
        <w:t>or ‘humanitarian tragedy’</w:t>
      </w:r>
      <w:r w:rsidR="00464181" w:rsidRPr="00BE1403">
        <w:rPr>
          <w:rStyle w:val="FootnoteReference"/>
          <w:lang w:val="en-GB"/>
        </w:rPr>
        <w:footnoteReference w:id="86"/>
      </w:r>
      <w:r w:rsidR="00FF448D" w:rsidRPr="00BE1403">
        <w:rPr>
          <w:lang w:val="en-GB"/>
        </w:rPr>
        <w:t xml:space="preserve"> </w:t>
      </w:r>
      <w:r w:rsidR="00464181" w:rsidRPr="00BE1403">
        <w:rPr>
          <w:lang w:val="en-GB"/>
        </w:rPr>
        <w:t>or ‘humanitarian disaster’</w:t>
      </w:r>
      <w:r w:rsidR="0037329A" w:rsidRPr="00BE1403">
        <w:rPr>
          <w:rStyle w:val="FootnoteReference"/>
          <w:lang w:val="en-GB"/>
        </w:rPr>
        <w:footnoteReference w:id="87"/>
      </w:r>
      <w:r w:rsidR="00FF448D" w:rsidRPr="00BE1403">
        <w:rPr>
          <w:lang w:val="en-GB"/>
        </w:rPr>
        <w:t xml:space="preserve"> of Rwanda was identified i</w:t>
      </w:r>
      <w:r w:rsidR="0082435A" w:rsidRPr="00BE1403">
        <w:rPr>
          <w:lang w:val="en-GB"/>
        </w:rPr>
        <w:t xml:space="preserve">n respect of the refugee camps – </w:t>
      </w:r>
      <w:r w:rsidR="00FF448D" w:rsidRPr="00BE1403">
        <w:rPr>
          <w:lang w:val="en-GB"/>
        </w:rPr>
        <w:t xml:space="preserve">once the US </w:t>
      </w:r>
      <w:r w:rsidR="0036660E" w:rsidRPr="00BE1403">
        <w:rPr>
          <w:lang w:val="en-GB"/>
        </w:rPr>
        <w:t xml:space="preserve">had </w:t>
      </w:r>
      <w:r w:rsidR="0082435A" w:rsidRPr="00BE1403">
        <w:rPr>
          <w:lang w:val="en-GB"/>
        </w:rPr>
        <w:t xml:space="preserve">caved to </w:t>
      </w:r>
      <w:r w:rsidR="00FF448D" w:rsidRPr="00BE1403">
        <w:rPr>
          <w:lang w:val="en-GB"/>
        </w:rPr>
        <w:t>pressure</w:t>
      </w:r>
      <w:r w:rsidR="0082435A" w:rsidRPr="00BE1403">
        <w:rPr>
          <w:lang w:val="en-GB"/>
        </w:rPr>
        <w:t xml:space="preserve"> to become involved</w:t>
      </w:r>
      <w:r w:rsidR="00934452" w:rsidRPr="00BE1403">
        <w:rPr>
          <w:lang w:val="en-GB"/>
        </w:rPr>
        <w:t xml:space="preserve"> </w:t>
      </w:r>
      <w:r w:rsidR="00D6454B">
        <w:rPr>
          <w:lang w:val="en-GB"/>
        </w:rPr>
        <w:t>t</w:t>
      </w:r>
      <w:r w:rsidR="00934452" w:rsidRPr="00BE1403">
        <w:rPr>
          <w:lang w:val="en-GB"/>
        </w:rPr>
        <w:t>here</w:t>
      </w:r>
      <w:r w:rsidR="00FF448D" w:rsidRPr="00BE1403">
        <w:rPr>
          <w:lang w:val="en-GB"/>
        </w:rPr>
        <w:t xml:space="preserve"> </w:t>
      </w:r>
      <w:r w:rsidR="0082435A" w:rsidRPr="00BE1403">
        <w:rPr>
          <w:lang w:val="en-GB"/>
        </w:rPr>
        <w:t>following</w:t>
      </w:r>
      <w:r w:rsidR="00D958FB" w:rsidRPr="00BE1403">
        <w:rPr>
          <w:lang w:val="en-GB"/>
        </w:rPr>
        <w:t xml:space="preserve"> horrific</w:t>
      </w:r>
      <w:r w:rsidR="00FF448D" w:rsidRPr="00BE1403">
        <w:rPr>
          <w:lang w:val="en-GB"/>
        </w:rPr>
        <w:t xml:space="preserve"> media images</w:t>
      </w:r>
      <w:r w:rsidR="0082435A" w:rsidRPr="00BE1403">
        <w:rPr>
          <w:lang w:val="en-GB"/>
        </w:rPr>
        <w:t xml:space="preserve"> of camp </w:t>
      </w:r>
      <w:r w:rsidR="00D958FB" w:rsidRPr="00BE1403">
        <w:rPr>
          <w:lang w:val="en-GB"/>
        </w:rPr>
        <w:t>condit</w:t>
      </w:r>
      <w:r w:rsidR="0082435A" w:rsidRPr="00BE1403">
        <w:rPr>
          <w:lang w:val="en-GB"/>
        </w:rPr>
        <w:t>ions</w:t>
      </w:r>
      <w:r w:rsidR="00EA3698">
        <w:rPr>
          <w:lang w:val="en-GB"/>
        </w:rPr>
        <w:t xml:space="preserve">. </w:t>
      </w:r>
      <w:r w:rsidR="0036660E" w:rsidRPr="00BE1403">
        <w:rPr>
          <w:lang w:val="en-GB"/>
        </w:rPr>
        <w:t>T</w:t>
      </w:r>
      <w:r w:rsidR="001666A6">
        <w:rPr>
          <w:lang w:val="en-GB"/>
        </w:rPr>
        <w:t>he way</w:t>
      </w:r>
      <w:r w:rsidR="00510577" w:rsidRPr="00BE1403">
        <w:rPr>
          <w:lang w:val="en-GB"/>
        </w:rPr>
        <w:t xml:space="preserve"> Clinton was so ready to </w:t>
      </w:r>
      <w:r w:rsidR="00A5138E" w:rsidRPr="00BE1403">
        <w:rPr>
          <w:lang w:val="en-GB"/>
        </w:rPr>
        <w:t>flip-flop</w:t>
      </w:r>
      <w:r w:rsidR="00510577" w:rsidRPr="00BE1403">
        <w:rPr>
          <w:lang w:val="en-GB"/>
        </w:rPr>
        <w:t xml:space="preserve"> in em</w:t>
      </w:r>
      <w:r w:rsidR="0082435A" w:rsidRPr="00BE1403">
        <w:rPr>
          <w:lang w:val="en-GB"/>
        </w:rPr>
        <w:t>ploying humanitarian</w:t>
      </w:r>
      <w:r w:rsidR="00510577" w:rsidRPr="00BE1403">
        <w:rPr>
          <w:lang w:val="en-GB"/>
        </w:rPr>
        <w:t xml:space="preserve"> argument</w:t>
      </w:r>
      <w:r w:rsidR="0082435A" w:rsidRPr="00BE1403">
        <w:rPr>
          <w:lang w:val="en-GB"/>
        </w:rPr>
        <w:t>s</w:t>
      </w:r>
      <w:r w:rsidR="00510577" w:rsidRPr="00BE1403">
        <w:rPr>
          <w:lang w:val="en-GB"/>
        </w:rPr>
        <w:t xml:space="preserve"> – albeit within the context of the camps and not </w:t>
      </w:r>
      <w:r w:rsidR="00A5138E" w:rsidRPr="00BE1403">
        <w:rPr>
          <w:lang w:val="en-GB"/>
        </w:rPr>
        <w:t>the ge</w:t>
      </w:r>
      <w:r w:rsidR="00637181" w:rsidRPr="00BE1403">
        <w:rPr>
          <w:lang w:val="en-GB"/>
        </w:rPr>
        <w:t>nocide, and where this constituted</w:t>
      </w:r>
      <w:r w:rsidR="00510577" w:rsidRPr="00BE1403">
        <w:rPr>
          <w:lang w:val="en-GB"/>
        </w:rPr>
        <w:t xml:space="preserve"> an issue of aid provision as opposed to military intervention –</w:t>
      </w:r>
      <w:r w:rsidR="0082435A" w:rsidRPr="00BE1403">
        <w:rPr>
          <w:lang w:val="en-GB"/>
        </w:rPr>
        <w:t xml:space="preserve"> demonstrates how strategic</w:t>
      </w:r>
      <w:r w:rsidR="00A5138E" w:rsidRPr="00BE1403">
        <w:rPr>
          <w:lang w:val="en-GB"/>
        </w:rPr>
        <w:t>ally pliable</w:t>
      </w:r>
      <w:r w:rsidR="0082435A" w:rsidRPr="00BE1403">
        <w:rPr>
          <w:lang w:val="en-GB"/>
        </w:rPr>
        <w:t xml:space="preserve"> </w:t>
      </w:r>
      <w:r w:rsidR="00510577" w:rsidRPr="00BE1403">
        <w:rPr>
          <w:lang w:val="en-GB"/>
        </w:rPr>
        <w:t xml:space="preserve">his rhetoric was. </w:t>
      </w:r>
      <w:r w:rsidR="00A5138E" w:rsidRPr="00BE1403">
        <w:rPr>
          <w:lang w:val="en-GB"/>
        </w:rPr>
        <w:t>This</w:t>
      </w:r>
      <w:r w:rsidR="000B0D49">
        <w:rPr>
          <w:lang w:val="en-GB"/>
        </w:rPr>
        <w:t xml:space="preserve"> example</w:t>
      </w:r>
      <w:r w:rsidR="00A5138E" w:rsidRPr="00BE1403">
        <w:rPr>
          <w:lang w:val="en-GB"/>
        </w:rPr>
        <w:t xml:space="preserve"> proves that taboos</w:t>
      </w:r>
      <w:r w:rsidR="00260118" w:rsidRPr="00BE1403">
        <w:rPr>
          <w:lang w:val="en-GB"/>
        </w:rPr>
        <w:t xml:space="preserve"> are</w:t>
      </w:r>
      <w:r w:rsidR="00844826" w:rsidRPr="00BE1403">
        <w:rPr>
          <w:lang w:val="en-GB"/>
        </w:rPr>
        <w:t xml:space="preserve"> </w:t>
      </w:r>
      <w:r w:rsidR="002028E8" w:rsidRPr="00BE1403">
        <w:rPr>
          <w:lang w:val="en-GB"/>
        </w:rPr>
        <w:t>contextualized</w:t>
      </w:r>
      <w:r w:rsidR="00260118" w:rsidRPr="00BE1403">
        <w:rPr>
          <w:lang w:val="en-GB"/>
        </w:rPr>
        <w:t xml:space="preserve"> resource</w:t>
      </w:r>
      <w:r w:rsidR="00C55F1D" w:rsidRPr="00BE1403">
        <w:rPr>
          <w:lang w:val="en-GB"/>
        </w:rPr>
        <w:t>s that can be utilised</w:t>
      </w:r>
      <w:r w:rsidR="0082435A" w:rsidRPr="00BE1403">
        <w:rPr>
          <w:lang w:val="en-GB"/>
        </w:rPr>
        <w:t xml:space="preserve"> for</w:t>
      </w:r>
      <w:r w:rsidR="00C55F1D" w:rsidRPr="00BE1403">
        <w:rPr>
          <w:lang w:val="en-GB"/>
        </w:rPr>
        <w:t xml:space="preserve"> the realisation of</w:t>
      </w:r>
      <w:r w:rsidR="000A62BF" w:rsidRPr="00BE1403">
        <w:rPr>
          <w:lang w:val="en-GB"/>
        </w:rPr>
        <w:t xml:space="preserve"> self-interest</w:t>
      </w:r>
      <w:r w:rsidR="001E3C70">
        <w:rPr>
          <w:lang w:val="en-GB"/>
        </w:rPr>
        <w:t>ed ambition</w:t>
      </w:r>
      <w:r w:rsidR="00BE1403" w:rsidRPr="00BE1403">
        <w:rPr>
          <w:lang w:val="en-GB"/>
        </w:rPr>
        <w:t>. This utilization was</w:t>
      </w:r>
      <w:r w:rsidR="00BE1403">
        <w:rPr>
          <w:lang w:val="en-GB"/>
        </w:rPr>
        <w:t xml:space="preserve"> still bound by the need to</w:t>
      </w:r>
      <w:r w:rsidR="00260118" w:rsidRPr="00BE1403">
        <w:rPr>
          <w:lang w:val="en-GB"/>
        </w:rPr>
        <w:t xml:space="preserve"> ‘resolve’ the impulse-sovereignty dilemma. But within this, there is clear</w:t>
      </w:r>
      <w:r w:rsidR="002B5319">
        <w:rPr>
          <w:lang w:val="en-GB"/>
        </w:rPr>
        <w:t xml:space="preserve"> evidence of</w:t>
      </w:r>
      <w:r w:rsidR="00260118" w:rsidRPr="00BE1403">
        <w:rPr>
          <w:lang w:val="en-GB"/>
        </w:rPr>
        <w:t xml:space="preserve"> agenc</w:t>
      </w:r>
      <w:r w:rsidR="001E3C70">
        <w:rPr>
          <w:lang w:val="en-GB"/>
        </w:rPr>
        <w:t>y in terms of which narratives we</w:t>
      </w:r>
      <w:r w:rsidR="00260118" w:rsidRPr="00BE1403">
        <w:rPr>
          <w:lang w:val="en-GB"/>
        </w:rPr>
        <w:t>r</w:t>
      </w:r>
      <w:r w:rsidR="002B5319">
        <w:rPr>
          <w:lang w:val="en-GB"/>
        </w:rPr>
        <w:t>e employed</w:t>
      </w:r>
      <w:r w:rsidR="00BE1403">
        <w:rPr>
          <w:lang w:val="en-GB"/>
        </w:rPr>
        <w:t xml:space="preserve"> and also their </w:t>
      </w:r>
      <w:r w:rsidR="002B5319">
        <w:rPr>
          <w:lang w:val="en-GB"/>
        </w:rPr>
        <w:t xml:space="preserve">rhetorical </w:t>
      </w:r>
      <w:r w:rsidR="00BE1403">
        <w:rPr>
          <w:lang w:val="en-GB"/>
        </w:rPr>
        <w:t>construction</w:t>
      </w:r>
      <w:r w:rsidR="00260118" w:rsidRPr="00BE1403">
        <w:rPr>
          <w:lang w:val="en-GB"/>
        </w:rPr>
        <w:t xml:space="preserve">. </w:t>
      </w:r>
      <w:r w:rsidR="00803895" w:rsidRPr="00BE1403">
        <w:rPr>
          <w:lang w:val="en-GB"/>
        </w:rPr>
        <w:t>Ind</w:t>
      </w:r>
      <w:r w:rsidR="002B5319">
        <w:rPr>
          <w:lang w:val="en-GB"/>
        </w:rPr>
        <w:t>eed, that the very process</w:t>
      </w:r>
      <w:r w:rsidR="00803895" w:rsidRPr="00BE1403">
        <w:rPr>
          <w:lang w:val="en-GB"/>
        </w:rPr>
        <w:t xml:space="preserve"> of</w:t>
      </w:r>
      <w:r w:rsidR="009E5973">
        <w:rPr>
          <w:lang w:val="en-GB"/>
        </w:rPr>
        <w:t xml:space="preserve"> normative</w:t>
      </w:r>
      <w:r w:rsidR="001E3C70">
        <w:rPr>
          <w:lang w:val="en-GB"/>
        </w:rPr>
        <w:t xml:space="preserve"> invalidation </w:t>
      </w:r>
      <w:r w:rsidR="009E5973">
        <w:rPr>
          <w:lang w:val="en-GB"/>
        </w:rPr>
        <w:t>is</w:t>
      </w:r>
      <w:r w:rsidR="00803895" w:rsidRPr="00BE1403">
        <w:rPr>
          <w:lang w:val="en-GB"/>
        </w:rPr>
        <w:t xml:space="preserve"> strategic. This is not simply</w:t>
      </w:r>
      <w:r w:rsidR="004B5D2C">
        <w:rPr>
          <w:lang w:val="en-GB"/>
        </w:rPr>
        <w:t xml:space="preserve"> a case of</w:t>
      </w:r>
      <w:r w:rsidR="00803895" w:rsidRPr="00BE1403">
        <w:rPr>
          <w:lang w:val="en-GB"/>
        </w:rPr>
        <w:t xml:space="preserve"> </w:t>
      </w:r>
      <w:r w:rsidR="009E5973">
        <w:rPr>
          <w:lang w:val="en-GB"/>
        </w:rPr>
        <w:t>demo</w:t>
      </w:r>
      <w:r w:rsidR="002B5319">
        <w:rPr>
          <w:lang w:val="en-GB"/>
        </w:rPr>
        <w:t>nstrating that one side</w:t>
      </w:r>
      <w:r w:rsidR="007B513D">
        <w:rPr>
          <w:lang w:val="en-GB"/>
        </w:rPr>
        <w:t>/taboo was</w:t>
      </w:r>
      <w:r w:rsidR="002B5319">
        <w:rPr>
          <w:lang w:val="en-GB"/>
        </w:rPr>
        <w:t xml:space="preserve"> inaccurate or inapplicable</w:t>
      </w:r>
      <w:r w:rsidR="009E5973">
        <w:rPr>
          <w:lang w:val="en-GB"/>
        </w:rPr>
        <w:t>, but doing so in a manner</w:t>
      </w:r>
      <w:r w:rsidR="00803895" w:rsidRPr="00BE1403">
        <w:rPr>
          <w:lang w:val="en-GB"/>
        </w:rPr>
        <w:t xml:space="preserve"> that compliments the</w:t>
      </w:r>
      <w:r w:rsidR="002B5319">
        <w:rPr>
          <w:lang w:val="en-GB"/>
        </w:rPr>
        <w:t xml:space="preserve"> (</w:t>
      </w:r>
      <w:proofErr w:type="gramStart"/>
      <w:r w:rsidR="002B5319">
        <w:rPr>
          <w:lang w:val="en-GB"/>
        </w:rPr>
        <w:t>non)interventionist</w:t>
      </w:r>
      <w:proofErr w:type="gramEnd"/>
      <w:r w:rsidR="00803895" w:rsidRPr="00BE1403">
        <w:rPr>
          <w:lang w:val="en-GB"/>
        </w:rPr>
        <w:t xml:space="preserve"> aims of the constructing actor.</w:t>
      </w:r>
      <w:r w:rsidR="000F15B1" w:rsidRPr="00BE1403">
        <w:rPr>
          <w:lang w:val="en-GB"/>
        </w:rPr>
        <w:t xml:space="preserve"> </w:t>
      </w:r>
    </w:p>
    <w:p w14:paraId="491F5078" w14:textId="7D8C1D51" w:rsidR="00FF448D" w:rsidRPr="00BE1403" w:rsidRDefault="00FF448D" w:rsidP="00BB151F">
      <w:pPr>
        <w:pStyle w:val="Default"/>
        <w:spacing w:line="480" w:lineRule="auto"/>
        <w:rPr>
          <w:lang w:val="en-GB"/>
        </w:rPr>
      </w:pPr>
    </w:p>
    <w:p w14:paraId="6B2DFD91" w14:textId="77777777" w:rsidR="0060756B" w:rsidRPr="00BE1403" w:rsidRDefault="0060756B" w:rsidP="00BB151F">
      <w:pPr>
        <w:spacing w:line="480" w:lineRule="auto"/>
      </w:pPr>
    </w:p>
    <w:p w14:paraId="1938D7B0" w14:textId="77777777" w:rsidR="00D66D10" w:rsidRPr="00BE1403" w:rsidRDefault="00D66D10" w:rsidP="00BB151F">
      <w:pPr>
        <w:spacing w:line="480" w:lineRule="auto"/>
      </w:pPr>
    </w:p>
    <w:p w14:paraId="0096AB2A" w14:textId="0E39CD0B" w:rsidR="00F90338" w:rsidRPr="00BE1403" w:rsidRDefault="00115C97" w:rsidP="00BB151F">
      <w:pPr>
        <w:spacing w:line="480" w:lineRule="auto"/>
        <w:rPr>
          <w:b/>
        </w:rPr>
      </w:pPr>
      <w:r>
        <w:rPr>
          <w:b/>
        </w:rPr>
        <w:t>Case s</w:t>
      </w:r>
      <w:r w:rsidR="00F90338" w:rsidRPr="00BE1403">
        <w:rPr>
          <w:b/>
        </w:rPr>
        <w:t>tudy 2:</w:t>
      </w:r>
      <w:r w:rsidR="0030053F" w:rsidRPr="00BE1403">
        <w:rPr>
          <w:b/>
        </w:rPr>
        <w:t xml:space="preserve"> </w:t>
      </w:r>
      <w:r w:rsidR="00563576" w:rsidRPr="00BE1403">
        <w:rPr>
          <w:b/>
        </w:rPr>
        <w:t>Clinton and Kosovo</w:t>
      </w:r>
    </w:p>
    <w:p w14:paraId="51932B8A" w14:textId="77777777" w:rsidR="00CB218A" w:rsidRPr="00BE1403" w:rsidRDefault="00CB218A" w:rsidP="00BB151F">
      <w:pPr>
        <w:spacing w:line="480" w:lineRule="auto"/>
      </w:pPr>
    </w:p>
    <w:p w14:paraId="451D0248" w14:textId="128A2775" w:rsidR="009948FB" w:rsidRPr="00BE1403" w:rsidRDefault="00AE4A28" w:rsidP="00BB151F">
      <w:pPr>
        <w:spacing w:line="480" w:lineRule="auto"/>
      </w:pPr>
      <w:r w:rsidRPr="00BE1403">
        <w:t>Clint</w:t>
      </w:r>
      <w:r w:rsidR="00D430D5">
        <w:t xml:space="preserve">on’s commitment to </w:t>
      </w:r>
      <w:r w:rsidRPr="00BE1403">
        <w:t>intervention was more genuine in respect to Kosovo. Scarr</w:t>
      </w:r>
      <w:r w:rsidR="00573728">
        <w:t>ed by</w:t>
      </w:r>
      <w:r w:rsidR="00A42C14" w:rsidRPr="00BE1403">
        <w:t xml:space="preserve"> Rwanda</w:t>
      </w:r>
      <w:r w:rsidRPr="00BE1403">
        <w:t>, Clinton was determine</w:t>
      </w:r>
      <w:r w:rsidR="0019246E" w:rsidRPr="00BE1403">
        <w:t>d to avoid another humanitarian humiliation</w:t>
      </w:r>
      <w:r w:rsidR="00A42C14" w:rsidRPr="00BE1403">
        <w:rPr>
          <w:rStyle w:val="FootnoteReference"/>
        </w:rPr>
        <w:footnoteReference w:id="88"/>
      </w:r>
      <w:r w:rsidRPr="00BE1403">
        <w:t xml:space="preserve">. </w:t>
      </w:r>
      <w:r w:rsidR="00403135">
        <w:t xml:space="preserve">US foreign-policy-making here </w:t>
      </w:r>
      <w:r w:rsidR="006B450F">
        <w:t>was seen as</w:t>
      </w:r>
      <w:r w:rsidRPr="00BE1403">
        <w:t xml:space="preserve"> </w:t>
      </w:r>
      <w:r w:rsidR="006D4D4C">
        <w:t xml:space="preserve">a </w:t>
      </w:r>
      <w:r w:rsidR="00E4645A" w:rsidRPr="00BE1403">
        <w:t>shift back towards</w:t>
      </w:r>
      <w:r w:rsidRPr="00BE1403">
        <w:t xml:space="preserve"> the humanitaria</w:t>
      </w:r>
      <w:r w:rsidR="00F96303">
        <w:t>n impulse. I</w:t>
      </w:r>
      <w:r w:rsidRPr="00BE1403">
        <w:t>n p</w:t>
      </w:r>
      <w:r w:rsidR="00221C2F">
        <w:t>articular</w:t>
      </w:r>
      <w:r w:rsidR="006D4D4C">
        <w:t>,</w:t>
      </w:r>
      <w:r w:rsidR="00F96303">
        <w:t xml:space="preserve"> this</w:t>
      </w:r>
      <w:r w:rsidR="00221C2F">
        <w:t xml:space="preserve"> </w:t>
      </w:r>
      <w:r w:rsidR="00F96303">
        <w:t>embraced</w:t>
      </w:r>
      <w:r w:rsidR="00221C2F">
        <w:t xml:space="preserve"> an</w:t>
      </w:r>
      <w:r w:rsidR="004E19B1">
        <w:t xml:space="preserve"> acceptance of the ‘</w:t>
      </w:r>
      <w:r w:rsidRPr="00BE1403">
        <w:t>sovereignty as responsibility</w:t>
      </w:r>
      <w:r w:rsidR="004E19B1">
        <w:t>’ concept</w:t>
      </w:r>
      <w:r w:rsidRPr="00BE1403">
        <w:t>, where this create</w:t>
      </w:r>
      <w:r w:rsidR="00E14A8D">
        <w:t>d a new basis on which to develop the</w:t>
      </w:r>
      <w:r w:rsidRPr="00BE1403">
        <w:t xml:space="preserve"> </w:t>
      </w:r>
      <w:r w:rsidR="00221C2F">
        <w:t>case for</w:t>
      </w:r>
      <w:r w:rsidRPr="00BE1403">
        <w:t xml:space="preserve"> humanitarian intervention</w:t>
      </w:r>
      <w:r w:rsidR="00A42C14" w:rsidRPr="00BE1403">
        <w:rPr>
          <w:rStyle w:val="FootnoteReference"/>
        </w:rPr>
        <w:footnoteReference w:id="89"/>
      </w:r>
      <w:r w:rsidRPr="00BE1403">
        <w:t>. Of course, you do not have to be a realist to question the full sincerity of this normativ</w:t>
      </w:r>
      <w:r w:rsidR="00403135">
        <w:t>e gesture. While this is not to</w:t>
      </w:r>
      <w:r w:rsidRPr="00BE1403">
        <w:t xml:space="preserve"> dispute Clinton’s emotional authenticity, this c</w:t>
      </w:r>
      <w:r w:rsidR="00AC2B0B">
        <w:t>an also be interpreted as an act</w:t>
      </w:r>
      <w:r w:rsidRPr="00BE1403">
        <w:t xml:space="preserve"> to save face following the</w:t>
      </w:r>
      <w:r w:rsidR="00403135">
        <w:t xml:space="preserve"> scandal</w:t>
      </w:r>
      <w:r w:rsidRPr="00BE1403">
        <w:t xml:space="preserve"> </w:t>
      </w:r>
      <w:r w:rsidR="00403135">
        <w:t>of Rwanda</w:t>
      </w:r>
      <w:r w:rsidRPr="00BE1403">
        <w:t xml:space="preserve"> and/or remove the controversial and bellicose Milose</w:t>
      </w:r>
      <w:r w:rsidR="00403135">
        <w:t>vic from power. W</w:t>
      </w:r>
      <w:r w:rsidRPr="00BE1403">
        <w:t>hile it would be excessive to accuse Clinton of failing to adhere to the humanitarian norm as a genu</w:t>
      </w:r>
      <w:r w:rsidR="0019246E" w:rsidRPr="00BE1403">
        <w:t>ine commitment</w:t>
      </w:r>
      <w:r w:rsidRPr="00BE1403">
        <w:t xml:space="preserve">, </w:t>
      </w:r>
      <w:r w:rsidR="00AA18F6">
        <w:t xml:space="preserve">not least </w:t>
      </w:r>
      <w:r w:rsidR="00403135">
        <w:t>where</w:t>
      </w:r>
      <w:r w:rsidRPr="00BE1403">
        <w:t xml:space="preserve"> this norm had grown in strength more w</w:t>
      </w:r>
      <w:r w:rsidR="00403135">
        <w:t>idely</w:t>
      </w:r>
      <w:r w:rsidRPr="00BE1403">
        <w:t xml:space="preserve">, it </w:t>
      </w:r>
      <w:r w:rsidR="00FC6847" w:rsidRPr="00BE1403">
        <w:t xml:space="preserve">also </w:t>
      </w:r>
      <w:r w:rsidRPr="00BE1403">
        <w:t xml:space="preserve">cannot be dismissed that this provided an extremely convenient narrative </w:t>
      </w:r>
      <w:r w:rsidR="00085FFA">
        <w:t>supporting</w:t>
      </w:r>
      <w:r w:rsidRPr="00BE1403">
        <w:t xml:space="preserve"> </w:t>
      </w:r>
      <w:r w:rsidR="00AA18F6">
        <w:t>more realist</w:t>
      </w:r>
      <w:r w:rsidRPr="00BE1403">
        <w:t xml:space="preserve"> foreign policy desires for the region. Indeed,</w:t>
      </w:r>
      <w:r w:rsidR="00B30BA1">
        <w:t xml:space="preserve"> </w:t>
      </w:r>
      <w:r w:rsidRPr="00BE1403">
        <w:t>the increased weight of the norm</w:t>
      </w:r>
      <w:r w:rsidR="002944C6">
        <w:t xml:space="preserve"> actually</w:t>
      </w:r>
      <w:r w:rsidRPr="00BE1403">
        <w:t xml:space="preserve"> served to increase its potential as a narrative resource.</w:t>
      </w:r>
      <w:r w:rsidR="00E20B61" w:rsidRPr="00BE1403">
        <w:t xml:space="preserve"> </w:t>
      </w:r>
      <w:r w:rsidR="00B9230D">
        <w:t>W</w:t>
      </w:r>
      <w:r w:rsidR="008A0617">
        <w:t>ithin such</w:t>
      </w:r>
      <w:r w:rsidR="009D5E89">
        <w:t xml:space="preserve"> context, it is </w:t>
      </w:r>
      <w:r w:rsidR="00B9230D">
        <w:t xml:space="preserve">unsurprising that </w:t>
      </w:r>
      <w:r w:rsidR="009948FB" w:rsidRPr="00BE1403">
        <w:t>Clinton was extremely k</w:t>
      </w:r>
      <w:r w:rsidR="009D5E89">
        <w:t xml:space="preserve">een to construct </w:t>
      </w:r>
      <w:r w:rsidR="009948FB" w:rsidRPr="00BE1403">
        <w:t>intervention around the warning that Bosnia and Rwanda should not be allowed to happen again</w:t>
      </w:r>
      <w:r w:rsidR="00A42C14" w:rsidRPr="00BE1403">
        <w:rPr>
          <w:rStyle w:val="FootnoteReference"/>
        </w:rPr>
        <w:footnoteReference w:id="90"/>
      </w:r>
      <w:r w:rsidR="009948FB" w:rsidRPr="00BE1403">
        <w:t xml:space="preserve">; thereby playing into the increased </w:t>
      </w:r>
      <w:r w:rsidR="009D5E89">
        <w:t xml:space="preserve">sentiment that </w:t>
      </w:r>
      <w:r w:rsidR="009948FB" w:rsidRPr="00BE1403">
        <w:t>intervention should be used against crimes against humanity. (This was despite the</w:t>
      </w:r>
      <w:r w:rsidR="006669B2" w:rsidRPr="00BE1403">
        <w:t xml:space="preserve"> obvious</w:t>
      </w:r>
      <w:r w:rsidR="009948FB" w:rsidRPr="00BE1403">
        <w:t xml:space="preserve"> irony that the </w:t>
      </w:r>
      <w:r w:rsidR="006669B2" w:rsidRPr="00BE1403">
        <w:t>president</w:t>
      </w:r>
      <w:r w:rsidR="009948FB" w:rsidRPr="00BE1403">
        <w:t xml:space="preserve"> had deliberately </w:t>
      </w:r>
      <w:r w:rsidR="009948FB" w:rsidRPr="009D5E89">
        <w:rPr>
          <w:i/>
        </w:rPr>
        <w:t>not</w:t>
      </w:r>
      <w:r w:rsidR="009948FB" w:rsidRPr="00BE1403">
        <w:t xml:space="preserve"> classified these previous </w:t>
      </w:r>
      <w:r w:rsidR="009D5E89">
        <w:t>crises</w:t>
      </w:r>
      <w:r w:rsidR="00E17985">
        <w:t xml:space="preserve"> as humanitarian</w:t>
      </w:r>
      <w:r w:rsidR="009948FB" w:rsidRPr="00BE1403">
        <w:t xml:space="preserve"> in o</w:t>
      </w:r>
      <w:r w:rsidR="000F7BCB" w:rsidRPr="00BE1403">
        <w:t>rder to avoid</w:t>
      </w:r>
      <w:r w:rsidR="009948FB" w:rsidRPr="00BE1403">
        <w:t xml:space="preserve"> </w:t>
      </w:r>
      <w:r w:rsidR="000F7BCB" w:rsidRPr="00BE1403">
        <w:t>involvement</w:t>
      </w:r>
      <w:r w:rsidR="009948FB" w:rsidRPr="00BE1403">
        <w:t>.)</w:t>
      </w:r>
    </w:p>
    <w:p w14:paraId="74102D31" w14:textId="77777777" w:rsidR="00861800" w:rsidRPr="00BE1403" w:rsidRDefault="00861800" w:rsidP="00BB151F">
      <w:pPr>
        <w:spacing w:line="480" w:lineRule="auto"/>
      </w:pPr>
    </w:p>
    <w:p w14:paraId="23E60D4F" w14:textId="0F574D74" w:rsidR="009D2BD5" w:rsidRPr="00BE1403" w:rsidRDefault="00861800" w:rsidP="00BB151F">
      <w:pPr>
        <w:spacing w:line="480" w:lineRule="auto"/>
      </w:pPr>
      <w:r w:rsidRPr="00BE1403">
        <w:t>At one</w:t>
      </w:r>
      <w:r w:rsidR="003B5199">
        <w:t xml:space="preserve"> level, this was an</w:t>
      </w:r>
      <w:r w:rsidRPr="00BE1403">
        <w:t xml:space="preserve"> emotive rhetoric designed to pull at the humanitarian heartstrings</w:t>
      </w:r>
      <w:r w:rsidR="00490651">
        <w:t xml:space="preserve"> and the existing taboo</w:t>
      </w:r>
      <w:r w:rsidRPr="00BE1403">
        <w:t>.</w:t>
      </w:r>
      <w:r w:rsidR="00787BD7">
        <w:t xml:space="preserve"> Clinton</w:t>
      </w:r>
      <w:r w:rsidR="009D2BD5" w:rsidRPr="00BE1403">
        <w:t xml:space="preserve"> talks about the v</w:t>
      </w:r>
      <w:r w:rsidR="002729D5">
        <w:t xml:space="preserve">iolence caused in detail. </w:t>
      </w:r>
      <w:r w:rsidR="00AE20F0">
        <w:t>He portrays this</w:t>
      </w:r>
      <w:r w:rsidR="00665824">
        <w:t xml:space="preserve"> not only as horrific</w:t>
      </w:r>
      <w:r w:rsidR="009D2BD5" w:rsidRPr="00BE1403">
        <w:t>, but</w:t>
      </w:r>
      <w:r w:rsidR="00AE20F0">
        <w:t xml:space="preserve"> also</w:t>
      </w:r>
      <w:r w:rsidR="009D2BD5" w:rsidRPr="00BE1403">
        <w:t xml:space="preserve"> </w:t>
      </w:r>
      <w:r w:rsidR="00787BD7">
        <w:t>as</w:t>
      </w:r>
      <w:r w:rsidR="009D2BD5" w:rsidRPr="00BE1403">
        <w:t xml:space="preserve"> cr</w:t>
      </w:r>
      <w:r w:rsidR="00787BD7">
        <w:t>eating</w:t>
      </w:r>
      <w:r w:rsidR="006D552C" w:rsidRPr="00BE1403">
        <w:t xml:space="preserve"> a responsibility to act: ‘</w:t>
      </w:r>
      <w:proofErr w:type="gramStart"/>
      <w:r w:rsidR="009D2BD5" w:rsidRPr="00BE1403">
        <w:t>We</w:t>
      </w:r>
      <w:proofErr w:type="gramEnd"/>
      <w:r w:rsidR="009D2BD5" w:rsidRPr="00BE1403">
        <w:t xml:space="preserve"> cannot see what we have seen with our own eyes and take refuge in the false comfort of indifference or impa</w:t>
      </w:r>
      <w:r w:rsidR="006D552C" w:rsidRPr="00BE1403">
        <w:t>tience. We have to take a stand.’</w:t>
      </w:r>
      <w:r w:rsidR="006D552C" w:rsidRPr="00BE1403">
        <w:rPr>
          <w:rStyle w:val="FootnoteReference"/>
        </w:rPr>
        <w:footnoteReference w:id="91"/>
      </w:r>
      <w:r w:rsidR="0058576B">
        <w:t xml:space="preserve"> T</w:t>
      </w:r>
      <w:r w:rsidR="009D2BD5" w:rsidRPr="00BE1403">
        <w:t>he values of humankind demanded such a response:</w:t>
      </w:r>
    </w:p>
    <w:p w14:paraId="3B026AEB" w14:textId="77777777" w:rsidR="009D2BD5" w:rsidRPr="00BE1403" w:rsidRDefault="009D2BD5" w:rsidP="00BB151F">
      <w:pPr>
        <w:spacing w:line="480" w:lineRule="auto"/>
      </w:pPr>
    </w:p>
    <w:p w14:paraId="66CC80DA" w14:textId="0F78FDA0" w:rsidR="009D2BD5" w:rsidRPr="00BE1403" w:rsidRDefault="009D2BD5" w:rsidP="00BB151F">
      <w:pPr>
        <w:spacing w:line="480" w:lineRule="auto"/>
        <w:ind w:left="567"/>
      </w:pPr>
      <w:r w:rsidRPr="00BE1403">
        <w:t>Most of us have a vision of the 21</w:t>
      </w:r>
      <w:r w:rsidRPr="00BE1403">
        <w:rPr>
          <w:vertAlign w:val="superscript"/>
        </w:rPr>
        <w:t>st</w:t>
      </w:r>
      <w:r w:rsidRPr="00BE1403">
        <w:t xml:space="preserve"> century world with the triumph of peace and prosperity and personal freedom; with respect for the integrity of ethnic, racial, and religious minorities within a framework of shared values, shared power, and shared plenty; making common cause against disease and environmental degradation, against terror, organized crime, and weapons of mass destruction. This grand vision, ironically, is threatened by the oldest demon of human society, our vulnerability to hatred of the other, those who are not like us. In the face of that, we cannot be indifferent at home or abroad. That is why we are in Kosovo.</w:t>
      </w:r>
      <w:r w:rsidR="006D552C" w:rsidRPr="00BE1403">
        <w:rPr>
          <w:rStyle w:val="FootnoteReference"/>
        </w:rPr>
        <w:footnoteReference w:id="92"/>
      </w:r>
    </w:p>
    <w:p w14:paraId="6F09A90F" w14:textId="77777777" w:rsidR="009D2BD5" w:rsidRPr="00BE1403" w:rsidRDefault="009D2BD5" w:rsidP="00BB151F">
      <w:pPr>
        <w:spacing w:line="480" w:lineRule="auto"/>
      </w:pPr>
    </w:p>
    <w:p w14:paraId="5D1A606A" w14:textId="53C56A6F" w:rsidR="0004603F" w:rsidRPr="00BE1403" w:rsidRDefault="009D2BD5" w:rsidP="00BB151F">
      <w:pPr>
        <w:spacing w:line="480" w:lineRule="auto"/>
      </w:pPr>
      <w:r w:rsidRPr="00BE1403">
        <w:t>Clinton explicitl</w:t>
      </w:r>
      <w:r w:rsidR="003072FC">
        <w:t>y portrays these as</w:t>
      </w:r>
      <w:r w:rsidRPr="00BE1403">
        <w:t xml:space="preserve"> ‘Christian values’ at Easter during the conflict</w:t>
      </w:r>
      <w:r w:rsidR="00F07020" w:rsidRPr="00BE1403">
        <w:rPr>
          <w:rStyle w:val="FootnoteReference"/>
        </w:rPr>
        <w:footnoteReference w:id="93"/>
      </w:r>
      <w:r w:rsidR="00F07020" w:rsidRPr="00BE1403">
        <w:t xml:space="preserve"> </w:t>
      </w:r>
      <w:r w:rsidRPr="00BE1403">
        <w:t xml:space="preserve"> – apparently making the most of the religious season to hammer his message home. </w:t>
      </w:r>
      <w:r w:rsidR="003B2366" w:rsidRPr="00BE1403">
        <w:t>Elsewhere, these were also American values and a classic exceptionalist commitment to freedom and equality</w:t>
      </w:r>
      <w:r w:rsidR="00F07020" w:rsidRPr="00BE1403">
        <w:rPr>
          <w:rStyle w:val="FootnoteReference"/>
        </w:rPr>
        <w:footnoteReference w:id="94"/>
      </w:r>
      <w:r w:rsidR="00F07020" w:rsidRPr="00BE1403">
        <w:t>: ‘[</w:t>
      </w:r>
      <w:proofErr w:type="gramStart"/>
      <w:r w:rsidR="00F07020" w:rsidRPr="00BE1403">
        <w:t>I]</w:t>
      </w:r>
      <w:r w:rsidR="005266F1" w:rsidRPr="00BE1403">
        <w:t>f</w:t>
      </w:r>
      <w:proofErr w:type="gramEnd"/>
      <w:r w:rsidR="005266F1" w:rsidRPr="00BE1403">
        <w:t xml:space="preserve"> we want to lead the world for peace and freedom, we’ve got to stand up against ethnic cleansing and mass killi</w:t>
      </w:r>
      <w:r w:rsidR="00F456C5" w:rsidRPr="00BE1403">
        <w:t>ng. That’s what Kosovo is about</w:t>
      </w:r>
      <w:r w:rsidR="00F07020" w:rsidRPr="00BE1403">
        <w:t>.’</w:t>
      </w:r>
      <w:r w:rsidR="00F07020" w:rsidRPr="00BE1403">
        <w:rPr>
          <w:rStyle w:val="FootnoteReference"/>
        </w:rPr>
        <w:footnoteReference w:id="95"/>
      </w:r>
      <w:r w:rsidR="005266F1" w:rsidRPr="00BE1403">
        <w:t xml:space="preserve"> </w:t>
      </w:r>
      <w:r w:rsidR="0004603F" w:rsidRPr="00BE1403">
        <w:t>This call to values was facilitated by the repeated construction of the victims of Kosovo a</w:t>
      </w:r>
      <w:r w:rsidR="008F0E70" w:rsidRPr="00BE1403">
        <w:t>s ‘innocent</w:t>
      </w:r>
      <w:r w:rsidR="00C25303" w:rsidRPr="00BE1403">
        <w:t>.</w:t>
      </w:r>
      <w:r w:rsidR="008F0E70" w:rsidRPr="00BE1403">
        <w:t>’</w:t>
      </w:r>
      <w:r w:rsidR="00FC3021" w:rsidRPr="00BE1403">
        <w:rPr>
          <w:rStyle w:val="FootnoteReference"/>
        </w:rPr>
        <w:footnoteReference w:id="96"/>
      </w:r>
      <w:r w:rsidR="003072FC">
        <w:t xml:space="preserve"> This seemingly established</w:t>
      </w:r>
      <w:r w:rsidR="001822D7" w:rsidRPr="00BE1403">
        <w:t xml:space="preserve"> the mo</w:t>
      </w:r>
      <w:r w:rsidR="00EA4444">
        <w:t>ral need for interv</w:t>
      </w:r>
      <w:r w:rsidR="004958EF">
        <w:t>ention, where Clinton stated</w:t>
      </w:r>
      <w:r w:rsidR="0004603F" w:rsidRPr="00BE1403">
        <w:t>:</w:t>
      </w:r>
    </w:p>
    <w:p w14:paraId="6C3E4609" w14:textId="77777777" w:rsidR="0004603F" w:rsidRPr="00BE1403" w:rsidRDefault="0004603F" w:rsidP="00BB151F">
      <w:pPr>
        <w:spacing w:line="480" w:lineRule="auto"/>
      </w:pPr>
    </w:p>
    <w:p w14:paraId="7DFA7E14" w14:textId="5FF757E8" w:rsidR="0004603F" w:rsidRPr="00BE1403" w:rsidRDefault="0004603F" w:rsidP="00BB151F">
      <w:pPr>
        <w:spacing w:line="480" w:lineRule="auto"/>
        <w:ind w:left="567"/>
      </w:pPr>
      <w:r w:rsidRPr="00BE1403">
        <w:t>We’ve seen innocent people taken from their homes, forced to kneel in the dirt, and sprayed with bullets; Kosovar men dragged from their families, fathers and sons together, lined up and shot in cold blood. This is not war in the traditional sense. It is an attack by tanks and artillery on a largely defenceless people whose leaders have already agreed to peace. Ending this tragedy is a moral imperative</w:t>
      </w:r>
      <w:r w:rsidR="00C25303" w:rsidRPr="00BE1403">
        <w:t>.</w:t>
      </w:r>
      <w:r w:rsidR="00C25303" w:rsidRPr="00BE1403">
        <w:rPr>
          <w:rStyle w:val="FootnoteReference"/>
        </w:rPr>
        <w:footnoteReference w:id="97"/>
      </w:r>
    </w:p>
    <w:p w14:paraId="1F4E88B3" w14:textId="77777777" w:rsidR="0004603F" w:rsidRPr="00BE1403" w:rsidRDefault="0004603F" w:rsidP="00BB151F">
      <w:pPr>
        <w:spacing w:line="480" w:lineRule="auto"/>
      </w:pPr>
    </w:p>
    <w:p w14:paraId="60A789FA" w14:textId="089B709F" w:rsidR="009D2BD5" w:rsidRPr="00BE1403" w:rsidRDefault="005266F1" w:rsidP="00BB151F">
      <w:pPr>
        <w:spacing w:line="480" w:lineRule="auto"/>
      </w:pPr>
      <w:r w:rsidRPr="00BE1403">
        <w:t>The rhetorical cherry on the cake</w:t>
      </w:r>
      <w:r w:rsidR="009D2BD5" w:rsidRPr="00BE1403">
        <w:t>,</w:t>
      </w:r>
      <w:r w:rsidRPr="00BE1403">
        <w:t xml:space="preserve"> however, occurred when</w:t>
      </w:r>
      <w:r w:rsidR="009D2BD5" w:rsidRPr="00BE1403">
        <w:t xml:space="preserve"> the president went so far as to </w:t>
      </w:r>
      <w:r w:rsidR="00C11587" w:rsidRPr="00BE1403">
        <w:t>invoke the Holocaust; where many</w:t>
      </w:r>
      <w:r w:rsidR="009D2BD5" w:rsidRPr="00BE1403">
        <w:t xml:space="preserve"> would consider this a limit, if not surpassing that limit, of emotive construction:</w:t>
      </w:r>
    </w:p>
    <w:p w14:paraId="16651A75" w14:textId="77777777" w:rsidR="009D2BD5" w:rsidRPr="00BE1403" w:rsidRDefault="009D2BD5" w:rsidP="00BB151F">
      <w:pPr>
        <w:spacing w:line="480" w:lineRule="auto"/>
      </w:pPr>
    </w:p>
    <w:p w14:paraId="3FB4BDCA" w14:textId="52F225B8" w:rsidR="009D2BD5" w:rsidRPr="00BE1403" w:rsidRDefault="009D2BD5" w:rsidP="00BB151F">
      <w:pPr>
        <w:spacing w:line="480" w:lineRule="auto"/>
        <w:ind w:left="567"/>
      </w:pPr>
      <w:r w:rsidRPr="00BE1403">
        <w:t>And so I want to talk to you about Kosovo today, but just remember this: It’s about our values. What if someone had listened to Winston Churchill and stood up to Adolf Hitler earlier? Just imagine if leaders back then had acted wisely and early enough, how many lives could have been saved, how many Americans would not have had to die?</w:t>
      </w:r>
      <w:r w:rsidR="00E370CF" w:rsidRPr="00BE1403">
        <w:rPr>
          <w:rStyle w:val="FootnoteReference"/>
        </w:rPr>
        <w:footnoteReference w:id="98"/>
      </w:r>
    </w:p>
    <w:p w14:paraId="217DEE56" w14:textId="77777777" w:rsidR="009948FB" w:rsidRPr="00BE1403" w:rsidRDefault="009948FB" w:rsidP="00BB151F">
      <w:pPr>
        <w:spacing w:line="480" w:lineRule="auto"/>
      </w:pPr>
    </w:p>
    <w:p w14:paraId="01D28DF7" w14:textId="4752F198" w:rsidR="004911A9" w:rsidRDefault="00C50B0D" w:rsidP="00BB151F">
      <w:pPr>
        <w:spacing w:line="480" w:lineRule="auto"/>
      </w:pPr>
      <w:r>
        <w:t>Critically</w:t>
      </w:r>
      <w:r w:rsidR="008652B2">
        <w:t>, Clinton was not merely constructing</w:t>
      </w:r>
      <w:r>
        <w:t xml:space="preserve"> the humanitarian case, but </w:t>
      </w:r>
      <w:r w:rsidR="008652B2">
        <w:t xml:space="preserve">also </w:t>
      </w:r>
      <w:r>
        <w:t>precluding his critics.</w:t>
      </w:r>
      <w:r w:rsidR="00FE1EA5">
        <w:t xml:space="preserve"> The president was heavily criti</w:t>
      </w:r>
      <w:r w:rsidR="00A827F0">
        <w:t>cised at this time for pursuing</w:t>
      </w:r>
      <w:r w:rsidR="00017768">
        <w:t xml:space="preserve"> </w:t>
      </w:r>
      <w:r w:rsidR="00A827F0">
        <w:t>NATO intervention</w:t>
      </w:r>
      <w:r w:rsidR="00FE1EA5">
        <w:t xml:space="preserve"> – both politically and in terms of public protest</w:t>
      </w:r>
      <w:r>
        <w:rPr>
          <w:rStyle w:val="FootnoteReference"/>
        </w:rPr>
        <w:footnoteReference w:id="99"/>
      </w:r>
      <w:r w:rsidR="00017768">
        <w:t xml:space="preserve"> – </w:t>
      </w:r>
      <w:r w:rsidR="00FE1EA5">
        <w:t xml:space="preserve">where </w:t>
      </w:r>
      <w:r>
        <w:t>the legitimacy of the</w:t>
      </w:r>
      <w:r w:rsidR="00FE1EA5">
        <w:t xml:space="preserve"> administration’s</w:t>
      </w:r>
      <w:r>
        <w:t xml:space="preserve"> </w:t>
      </w:r>
      <w:r w:rsidR="00A827F0">
        <w:t>supposed</w:t>
      </w:r>
      <w:r w:rsidR="00017768">
        <w:t xml:space="preserve"> </w:t>
      </w:r>
      <w:r>
        <w:t xml:space="preserve">humanitarian </w:t>
      </w:r>
      <w:r w:rsidR="00FE1EA5">
        <w:t>stance</w:t>
      </w:r>
      <w:r>
        <w:t xml:space="preserve"> </w:t>
      </w:r>
      <w:r w:rsidR="00FE1EA5">
        <w:t>and the way this</w:t>
      </w:r>
      <w:r>
        <w:t xml:space="preserve"> </w:t>
      </w:r>
      <w:r w:rsidR="00017768">
        <w:t>bypassed</w:t>
      </w:r>
      <w:r>
        <w:t xml:space="preserve"> the UN was questioned</w:t>
      </w:r>
      <w:r>
        <w:rPr>
          <w:rStyle w:val="FootnoteReference"/>
        </w:rPr>
        <w:footnoteReference w:id="100"/>
      </w:r>
      <w:r>
        <w:t xml:space="preserve">. </w:t>
      </w:r>
      <w:r w:rsidR="00017768">
        <w:t>Consequently, Clinton’s rhetoric</w:t>
      </w:r>
      <w:r w:rsidR="00FE1EA5">
        <w:t xml:space="preserve"> was not simply an emphatic expression of </w:t>
      </w:r>
      <w:r w:rsidR="00017768">
        <w:t>the humanitarian taboo, but</w:t>
      </w:r>
      <w:r w:rsidR="00FE1EA5">
        <w:t xml:space="preserve"> the pre-emption of his critics, where they sought to undermine him on these same ideational grounds.</w:t>
      </w:r>
      <w:r w:rsidR="00017768">
        <w:t xml:space="preserve"> </w:t>
      </w:r>
      <w:r w:rsidR="00157CD6">
        <w:t>Clinton both a) explicitly and deliberately</w:t>
      </w:r>
      <w:r w:rsidR="00017768">
        <w:t xml:space="preserve"> refused</w:t>
      </w:r>
      <w:r w:rsidR="00157CD6">
        <w:t xml:space="preserve"> to acknowledge even the existence of criticism </w:t>
      </w:r>
      <w:r w:rsidR="00017768">
        <w:t>within his rhetoric (where this would deny his critics a platform in which to challenge his policy)</w:t>
      </w:r>
      <w:r w:rsidR="00E4380B">
        <w:t xml:space="preserve"> and b) pre-empted that challenge via the argument that not </w:t>
      </w:r>
      <w:r w:rsidR="00157CD6">
        <w:t>acting would hav</w:t>
      </w:r>
      <w:r w:rsidR="0022096A">
        <w:t>e grave consequences. In</w:t>
      </w:r>
      <w:r w:rsidR="00E4380B">
        <w:t xml:space="preserve"> relation to the latter, Clinton</w:t>
      </w:r>
      <w:r w:rsidR="00157CD6">
        <w:t xml:space="preserve"> effectively est</w:t>
      </w:r>
      <w:r w:rsidR="00A13CBD">
        <w:t>a</w:t>
      </w:r>
      <w:r w:rsidR="00E4380B">
        <w:t xml:space="preserve">blished </w:t>
      </w:r>
      <w:r w:rsidR="00157CD6">
        <w:t>that failing to act would be illegitimate, even illegal</w:t>
      </w:r>
      <w:r w:rsidR="00C26154">
        <w:t>.</w:t>
      </w:r>
      <w:r w:rsidR="00ED5BDB">
        <w:t xml:space="preserve"> I</w:t>
      </w:r>
      <w:r w:rsidR="00E4380B">
        <w:t>t would let the bad guys win (regardless of the ethics of the method by which they would be stopped)</w:t>
      </w:r>
      <w:r w:rsidR="00157CD6">
        <w:t>.</w:t>
      </w:r>
      <w:r w:rsidR="00E4380B">
        <w:t xml:space="preserve">  He used</w:t>
      </w:r>
      <w:r w:rsidR="00A13CBD">
        <w:t xml:space="preserve"> the taboo to silence his critics.</w:t>
      </w:r>
      <w:r w:rsidR="0022096A">
        <w:t xml:space="preserve"> </w:t>
      </w:r>
      <w:r w:rsidR="0004603F" w:rsidRPr="00BE1403">
        <w:t xml:space="preserve">The comparison between </w:t>
      </w:r>
      <w:r w:rsidR="00EA4444">
        <w:t xml:space="preserve">this and </w:t>
      </w:r>
      <w:r w:rsidR="004958EF">
        <w:t>Rwanda</w:t>
      </w:r>
      <w:r w:rsidR="00E4380B">
        <w:t xml:space="preserve"> </w:t>
      </w:r>
      <w:r w:rsidR="0004603F" w:rsidRPr="00BE1403">
        <w:t>is</w:t>
      </w:r>
      <w:r w:rsidR="0022096A">
        <w:t>, therefore,</w:t>
      </w:r>
      <w:r w:rsidR="0004603F" w:rsidRPr="00BE1403">
        <w:t xml:space="preserve"> clear. Indeed, the main difference is the</w:t>
      </w:r>
      <w:r w:rsidR="000B5C3E">
        <w:t xml:space="preserve"> sheer</w:t>
      </w:r>
      <w:r w:rsidR="0004603F" w:rsidRPr="00BE1403">
        <w:t xml:space="preserve"> number of</w:t>
      </w:r>
      <w:r w:rsidR="000B5C3E">
        <w:t xml:space="preserve"> quotes here</w:t>
      </w:r>
      <w:r w:rsidR="0004603F" w:rsidRPr="00BE1403">
        <w:t>, detailing these different line</w:t>
      </w:r>
      <w:r w:rsidR="00157449" w:rsidRPr="00BE1403">
        <w:t>s</w:t>
      </w:r>
      <w:r w:rsidR="0004603F" w:rsidRPr="00BE1403">
        <w:t xml:space="preserve"> of strate</w:t>
      </w:r>
      <w:r w:rsidR="000B5C3E">
        <w:t>gy, as opposed to the few citations</w:t>
      </w:r>
      <w:r w:rsidR="0004603F" w:rsidRPr="00BE1403">
        <w:t xml:space="preserve"> in th</w:t>
      </w:r>
      <w:r w:rsidR="00157449" w:rsidRPr="00BE1403">
        <w:t xml:space="preserve">e previous case study. The emotive nature </w:t>
      </w:r>
      <w:r w:rsidR="000B5C3E">
        <w:t>of this rhetoric aside, it demonstrates</w:t>
      </w:r>
      <w:r w:rsidR="00157449" w:rsidRPr="00BE1403">
        <w:t xml:space="preserve"> that there </w:t>
      </w:r>
      <w:r w:rsidR="00157449" w:rsidRPr="00BE1403">
        <w:rPr>
          <w:i/>
        </w:rPr>
        <w:t>was</w:t>
      </w:r>
      <w:r w:rsidR="00157449" w:rsidRPr="00BE1403">
        <w:t xml:space="preserve"> rhetoric. Clinton was saying something. He </w:t>
      </w:r>
      <w:r w:rsidR="000B5C3E">
        <w:t>avoided commenting on</w:t>
      </w:r>
      <w:r w:rsidR="00157449" w:rsidRPr="00BE1403">
        <w:t xml:space="preserve"> Rwanda because he wanted to ensure no one else would start saying an</w:t>
      </w:r>
      <w:r w:rsidR="000B5C3E">
        <w:t>ything</w:t>
      </w:r>
      <w:r w:rsidR="00157449" w:rsidRPr="00BE1403">
        <w:t xml:space="preserve"> either.</w:t>
      </w:r>
      <w:r w:rsidR="00985E51" w:rsidRPr="00BE1403">
        <w:t xml:space="preserve"> In contrast</w:t>
      </w:r>
      <w:r w:rsidR="00157449" w:rsidRPr="00BE1403">
        <w:t xml:space="preserve">, </w:t>
      </w:r>
      <w:r w:rsidR="00985E51" w:rsidRPr="00BE1403">
        <w:t xml:space="preserve">here </w:t>
      </w:r>
      <w:r w:rsidR="00157449" w:rsidRPr="00BE1403">
        <w:t>he was committed to whipping up a humanitarian frenzy, one that would support his aims in the region.</w:t>
      </w:r>
      <w:r w:rsidR="00365460">
        <w:t xml:space="preserve"> </w:t>
      </w:r>
    </w:p>
    <w:p w14:paraId="7648B0E0" w14:textId="77777777" w:rsidR="0004603F" w:rsidRPr="00BE1403" w:rsidRDefault="0004603F" w:rsidP="00BB151F">
      <w:pPr>
        <w:spacing w:line="480" w:lineRule="auto"/>
      </w:pPr>
    </w:p>
    <w:p w14:paraId="27733ABA" w14:textId="05EB7DE4" w:rsidR="00E8738B" w:rsidRPr="00BE1403" w:rsidRDefault="00861800" w:rsidP="00BB151F">
      <w:pPr>
        <w:spacing w:line="480" w:lineRule="auto"/>
      </w:pPr>
      <w:r w:rsidRPr="00BE1403">
        <w:t>On another level</w:t>
      </w:r>
      <w:r w:rsidR="003F4E6A" w:rsidRPr="00BE1403">
        <w:t>,</w:t>
      </w:r>
      <w:r w:rsidR="00B56D73">
        <w:t xml:space="preserve"> </w:t>
      </w:r>
      <w:r w:rsidR="003F4E6A" w:rsidRPr="00BE1403">
        <w:t>this narrative was</w:t>
      </w:r>
      <w:r w:rsidR="0019246E" w:rsidRPr="00BE1403">
        <w:t xml:space="preserve"> a valuable resource in achieving the normative invalidation of the sovereignty argument.</w:t>
      </w:r>
      <w:r w:rsidR="009B4816" w:rsidRPr="00BE1403">
        <w:t xml:space="preserve"> This was not simply the construction of Kosovo as a crisis that needed to be stopped on</w:t>
      </w:r>
      <w:r w:rsidR="001A562E">
        <w:t xml:space="preserve"> the basis of moral</w:t>
      </w:r>
      <w:r w:rsidR="001D43A8" w:rsidRPr="00BE1403">
        <w:t xml:space="preserve"> or</w:t>
      </w:r>
      <w:r w:rsidR="009B4816" w:rsidRPr="00BE1403">
        <w:t xml:space="preserve"> </w:t>
      </w:r>
      <w:r w:rsidR="001D43A8" w:rsidRPr="00BE1403">
        <w:t>altruistic</w:t>
      </w:r>
      <w:r w:rsidR="009B4816" w:rsidRPr="00BE1403">
        <w:t xml:space="preserve"> feelings</w:t>
      </w:r>
      <w:r w:rsidR="001D43A8" w:rsidRPr="00BE1403">
        <w:t>, but explicitly where there existed a</w:t>
      </w:r>
      <w:r w:rsidR="009B4816" w:rsidRPr="00BE1403">
        <w:t xml:space="preserve"> technical requirement for intervention</w:t>
      </w:r>
      <w:r w:rsidR="00F11D82">
        <w:t xml:space="preserve"> based on perceptions of the taboo</w:t>
      </w:r>
      <w:r w:rsidR="009B4816" w:rsidRPr="00BE1403">
        <w:t>.</w:t>
      </w:r>
      <w:r w:rsidR="001D43A8" w:rsidRPr="00BE1403">
        <w:t xml:space="preserve"> Over </w:t>
      </w:r>
      <w:r w:rsidR="001A562E">
        <w:t xml:space="preserve">the demands of </w:t>
      </w:r>
      <w:r w:rsidR="00666526">
        <w:t xml:space="preserve">the </w:t>
      </w:r>
      <w:r w:rsidR="001A562E">
        <w:t>sovereignty</w:t>
      </w:r>
      <w:r w:rsidR="00666526">
        <w:t xml:space="preserve"> taboo</w:t>
      </w:r>
      <w:r w:rsidR="001A562E">
        <w:t>, there</w:t>
      </w:r>
      <w:r w:rsidR="001D43A8" w:rsidRPr="00BE1403">
        <w:t xml:space="preserve"> was a clear case for action; not least where this played into new debates on sovereignty as dependent on appropriate responsibility. Clinton’s rhetoric repeatedly expressed the</w:t>
      </w:r>
      <w:r w:rsidR="001A562E">
        <w:t xml:space="preserve"> idea that Serbia had both</w:t>
      </w:r>
      <w:r w:rsidR="001D43A8" w:rsidRPr="00BE1403">
        <w:t xml:space="preserve"> instigated a plan that endorsed genocide</w:t>
      </w:r>
      <w:r w:rsidR="00DD16C1" w:rsidRPr="00BE1403">
        <w:rPr>
          <w:rStyle w:val="FootnoteReference"/>
        </w:rPr>
        <w:footnoteReference w:id="101"/>
      </w:r>
      <w:r w:rsidR="00EB2F90">
        <w:t xml:space="preserve"> (note the reference to ‘planned’</w:t>
      </w:r>
      <w:r w:rsidR="001D43A8" w:rsidRPr="00BE1403">
        <w:t xml:space="preserve"> action as opposed to unrestrained/spontaneous violence, where this implies a higher level of intention and</w:t>
      </w:r>
      <w:r w:rsidR="001A562E">
        <w:t xml:space="preserve"> broken responsibility), and violated</w:t>
      </w:r>
      <w:r w:rsidR="001D43A8" w:rsidRPr="00BE1403">
        <w:t xml:space="preserve"> international commitments relating to </w:t>
      </w:r>
      <w:r w:rsidR="00123E7F" w:rsidRPr="00BE1403">
        <w:t>implementation</w:t>
      </w:r>
      <w:r w:rsidR="001D43A8" w:rsidRPr="00BE1403">
        <w:t xml:space="preserve"> of this. In relation to the first point, </w:t>
      </w:r>
      <w:r w:rsidR="001A562E">
        <w:t>Clinton explicitly</w:t>
      </w:r>
      <w:r w:rsidR="00E8738B" w:rsidRPr="00BE1403">
        <w:t xml:space="preserve"> deemed this</w:t>
      </w:r>
      <w:r w:rsidR="00DD16C1" w:rsidRPr="00BE1403">
        <w:t xml:space="preserve"> an</w:t>
      </w:r>
      <w:r w:rsidR="00E01940">
        <w:t xml:space="preserve"> intolerable</w:t>
      </w:r>
      <w:r w:rsidR="00DD16C1" w:rsidRPr="00BE1403">
        <w:t xml:space="preserve"> attack on an ethic people: ‘</w:t>
      </w:r>
      <w:r w:rsidR="00E8738B" w:rsidRPr="00BE1403">
        <w:t xml:space="preserve">The tragedy in Kosovo is the result of a meticulously planned and long-premeditated attack on an entire people simply on the basis </w:t>
      </w:r>
      <w:r w:rsidR="00DD16C1" w:rsidRPr="00BE1403">
        <w:t>of their ethnicity and religion.’</w:t>
      </w:r>
      <w:r w:rsidR="00DD16C1" w:rsidRPr="00BE1403">
        <w:rPr>
          <w:rStyle w:val="FootnoteReference"/>
        </w:rPr>
        <w:footnoteReference w:id="102"/>
      </w:r>
      <w:r w:rsidR="00E8738B" w:rsidRPr="00BE1403">
        <w:t xml:space="preserve"> This strategy was one that included numerous a</w:t>
      </w:r>
      <w:r w:rsidR="00C02F2E" w:rsidRPr="00BE1403">
        <w:t xml:space="preserve">cts of </w:t>
      </w:r>
      <w:r w:rsidR="00642F3B">
        <w:t>intolerable</w:t>
      </w:r>
      <w:r w:rsidR="00C02F2E" w:rsidRPr="00BE1403">
        <w:t xml:space="preserve"> behaviour: ‘</w:t>
      </w:r>
      <w:r w:rsidR="00E8738B" w:rsidRPr="00BE1403">
        <w:t>concentration camps, murder, rape, the destruction of priceless religious, cultural, and histo</w:t>
      </w:r>
      <w:r w:rsidR="00C02F2E" w:rsidRPr="00BE1403">
        <w:t>rical sites, books, and records.’</w:t>
      </w:r>
      <w:r w:rsidR="00C02F2E" w:rsidRPr="00BE1403">
        <w:rPr>
          <w:rStyle w:val="FootnoteReference"/>
        </w:rPr>
        <w:footnoteReference w:id="103"/>
      </w:r>
      <w:r w:rsidR="00C02F2E" w:rsidRPr="00BE1403">
        <w:t xml:space="preserve"> </w:t>
      </w:r>
      <w:r w:rsidR="00E8738B" w:rsidRPr="00BE1403">
        <w:t>Moreover, that:</w:t>
      </w:r>
    </w:p>
    <w:p w14:paraId="540A5F70" w14:textId="77777777" w:rsidR="00E8738B" w:rsidRPr="00BE1403" w:rsidRDefault="00E8738B" w:rsidP="00BB151F">
      <w:pPr>
        <w:spacing w:line="480" w:lineRule="auto"/>
      </w:pPr>
    </w:p>
    <w:p w14:paraId="62D91F73" w14:textId="09E4F4C3" w:rsidR="00E8738B" w:rsidRPr="00BE1403" w:rsidRDefault="00E8738B" w:rsidP="00BB151F">
      <w:pPr>
        <w:spacing w:line="480" w:lineRule="auto"/>
        <w:ind w:left="567"/>
      </w:pPr>
      <w:r w:rsidRPr="00BE1403">
        <w:t xml:space="preserve">Serb forces have pushed nearly 1.4 million people, three-quarters of Kosovo’s ethnic Albanians, from their homes. They have killed thousands, confiscated identity papers, separated parents from children, buried victims in mass graves, </w:t>
      </w:r>
      <w:proofErr w:type="gramStart"/>
      <w:r w:rsidRPr="00BE1403">
        <w:t>told</w:t>
      </w:r>
      <w:proofErr w:type="gramEnd"/>
      <w:r w:rsidRPr="00BE1403">
        <w:t xml:space="preserve"> Kosovars, ‘Take a last look around, for you will never return to Kosovo.’</w:t>
      </w:r>
      <w:r w:rsidR="00C02F2E" w:rsidRPr="00BE1403">
        <w:rPr>
          <w:rStyle w:val="FootnoteReference"/>
        </w:rPr>
        <w:footnoteReference w:id="104"/>
      </w:r>
    </w:p>
    <w:p w14:paraId="2CFC3710" w14:textId="77777777" w:rsidR="00E8738B" w:rsidRPr="00BE1403" w:rsidRDefault="00E8738B" w:rsidP="00BB151F">
      <w:pPr>
        <w:spacing w:line="480" w:lineRule="auto"/>
      </w:pPr>
    </w:p>
    <w:p w14:paraId="10B4F089" w14:textId="3CE02F74" w:rsidR="00E8738B" w:rsidRPr="00BE1403" w:rsidRDefault="00642F3B" w:rsidP="00BB151F">
      <w:pPr>
        <w:spacing w:line="480" w:lineRule="auto"/>
      </w:pPr>
      <w:r>
        <w:t xml:space="preserve">In contrast to </w:t>
      </w:r>
      <w:r w:rsidR="00E8738B" w:rsidRPr="00BE1403">
        <w:t>not talking about the actual killing in relation to Rwanda, Clinton describes the reality of the Kosovo crisis in bru</w:t>
      </w:r>
      <w:r w:rsidR="00C26154">
        <w:t>tal detail. H</w:t>
      </w:r>
      <w:r w:rsidR="00AC6620" w:rsidRPr="00BE1403">
        <w:t>e even exaggerated</w:t>
      </w:r>
      <w:r w:rsidR="00E8738B" w:rsidRPr="00BE1403">
        <w:t xml:space="preserve"> it. It has</w:t>
      </w:r>
      <w:r w:rsidR="00EE499D" w:rsidRPr="00BE1403">
        <w:t xml:space="preserve"> since</w:t>
      </w:r>
      <w:r w:rsidR="00E8738B" w:rsidRPr="00BE1403">
        <w:t xml:space="preserve"> been revealed that Clinton vastly </w:t>
      </w:r>
      <w:r w:rsidR="00DC2B7A" w:rsidRPr="00BE1403">
        <w:t xml:space="preserve">manipulated the fatality rates to imply </w:t>
      </w:r>
      <w:r>
        <w:t xml:space="preserve">that </w:t>
      </w:r>
      <w:r w:rsidR="00DC2B7A" w:rsidRPr="00BE1403">
        <w:t>significantly more people had died than actually was the case</w:t>
      </w:r>
      <w:r w:rsidR="00C02F2E" w:rsidRPr="00BE1403">
        <w:rPr>
          <w:rStyle w:val="FootnoteReference"/>
        </w:rPr>
        <w:footnoteReference w:id="105"/>
      </w:r>
      <w:r w:rsidR="00C02F2E" w:rsidRPr="00BE1403">
        <w:t>.</w:t>
      </w:r>
      <w:r w:rsidR="00E8738B" w:rsidRPr="00BE1403">
        <w:t xml:space="preserve"> </w:t>
      </w:r>
      <w:r w:rsidR="00874E4A">
        <w:t>He did this to support</w:t>
      </w:r>
      <w:r w:rsidR="00AC6620" w:rsidRPr="00BE1403">
        <w:t xml:space="preserve"> the repeated claim that Kosovo was </w:t>
      </w:r>
      <w:r w:rsidR="00C02F2E" w:rsidRPr="00BE1403">
        <w:t>a ‘</w:t>
      </w:r>
      <w:r w:rsidR="00E8738B" w:rsidRPr="00BE1403">
        <w:t>humanitaria</w:t>
      </w:r>
      <w:r w:rsidR="00C02F2E" w:rsidRPr="00BE1403">
        <w:t>n’</w:t>
      </w:r>
      <w:r w:rsidR="006275C0" w:rsidRPr="00BE1403">
        <w:t xml:space="preserve"> situation</w:t>
      </w:r>
      <w:r w:rsidR="00E15884">
        <w:t xml:space="preserve"> and an unquestionable crime against humanity</w:t>
      </w:r>
      <w:r w:rsidR="00C02F2E" w:rsidRPr="00BE1403">
        <w:rPr>
          <w:rStyle w:val="FootnoteReference"/>
        </w:rPr>
        <w:footnoteReference w:id="106"/>
      </w:r>
      <w:r w:rsidR="00E8738B" w:rsidRPr="00BE1403">
        <w:t>; sp</w:t>
      </w:r>
      <w:r w:rsidR="00EA3580">
        <w:t>ecifically where Clinton said</w:t>
      </w:r>
      <w:r w:rsidR="00E8738B" w:rsidRPr="00BE1403">
        <w:t xml:space="preserve"> this would be the basis of US support in that Americans recognised the need to respond on these grounds</w:t>
      </w:r>
      <w:r w:rsidR="00C02F2E" w:rsidRPr="00BE1403">
        <w:rPr>
          <w:rStyle w:val="FootnoteReference"/>
        </w:rPr>
        <w:footnoteReference w:id="107"/>
      </w:r>
      <w:r w:rsidR="00E8738B" w:rsidRPr="00BE1403">
        <w:t xml:space="preserve">. </w:t>
      </w:r>
      <w:r w:rsidR="00AC6620" w:rsidRPr="00BE1403">
        <w:t>As such, this rhetorical approach</w:t>
      </w:r>
      <w:r w:rsidR="00E8738B" w:rsidRPr="00BE1403">
        <w:t xml:space="preserve"> </w:t>
      </w:r>
      <w:r w:rsidR="00F91ABF">
        <w:t xml:space="preserve">deliberately </w:t>
      </w:r>
      <w:r w:rsidR="00E8738B" w:rsidRPr="00BE1403">
        <w:t xml:space="preserve">opened up the </w:t>
      </w:r>
      <w:r w:rsidR="00F91ABF">
        <w:t xml:space="preserve">rhetorical </w:t>
      </w:r>
      <w:r w:rsidR="00AB0BA5">
        <w:t>case normatively invalidating</w:t>
      </w:r>
      <w:r w:rsidR="00E8738B" w:rsidRPr="00BE1403">
        <w:t xml:space="preserve"> the so</w:t>
      </w:r>
      <w:r w:rsidR="00EA3580">
        <w:t xml:space="preserve">vereignty claim by arguing </w:t>
      </w:r>
      <w:r w:rsidR="00E8738B" w:rsidRPr="00BE1403">
        <w:t>this was beyond tolerability</w:t>
      </w:r>
      <w:r w:rsidR="00AB0BA5">
        <w:t xml:space="preserve"> i.e.</w:t>
      </w:r>
      <w:r w:rsidR="00EB2F90">
        <w:t xml:space="preserve"> the</w:t>
      </w:r>
      <w:r w:rsidR="004307F8">
        <w:t xml:space="preserve"> sovereignty</w:t>
      </w:r>
      <w:r w:rsidR="00EB2F90">
        <w:t xml:space="preserve"> taboo could not stand in light of these circumstances</w:t>
      </w:r>
      <w:r w:rsidR="00E8738B" w:rsidRPr="00BE1403">
        <w:t>.</w:t>
      </w:r>
    </w:p>
    <w:p w14:paraId="5B00AAE9" w14:textId="77777777" w:rsidR="006C4EBC" w:rsidRPr="00BE1403" w:rsidRDefault="006C4EBC" w:rsidP="00BB151F">
      <w:pPr>
        <w:spacing w:line="480" w:lineRule="auto"/>
      </w:pPr>
    </w:p>
    <w:p w14:paraId="5512E76C" w14:textId="47B110BC" w:rsidR="006C4EBC" w:rsidRPr="00BE1403" w:rsidRDefault="006C4EBC" w:rsidP="00BB151F">
      <w:pPr>
        <w:spacing w:line="480" w:lineRule="auto"/>
      </w:pPr>
      <w:r w:rsidRPr="00BE1403">
        <w:t>In relation to</w:t>
      </w:r>
      <w:r w:rsidR="00AC6620" w:rsidRPr="00BE1403">
        <w:t xml:space="preserve"> Milosevic</w:t>
      </w:r>
      <w:r w:rsidRPr="00BE1403">
        <w:t xml:space="preserve"> breaking </w:t>
      </w:r>
      <w:r w:rsidR="00AC6620" w:rsidRPr="00BE1403">
        <w:t xml:space="preserve">international </w:t>
      </w:r>
      <w:r w:rsidRPr="00BE1403">
        <w:t>comm</w:t>
      </w:r>
      <w:r w:rsidR="00642F3B">
        <w:t>itments, this comprised</w:t>
      </w:r>
      <w:r w:rsidR="004D0C91" w:rsidRPr="00BE1403">
        <w:t xml:space="preserve"> a similar </w:t>
      </w:r>
      <w:r w:rsidR="00AC5460" w:rsidRPr="00BE1403">
        <w:t>rhetoric</w:t>
      </w:r>
      <w:r w:rsidRPr="00BE1403">
        <w:t>.</w:t>
      </w:r>
      <w:r w:rsidR="00655D48" w:rsidRPr="00BE1403">
        <w:t xml:space="preserve"> Clinton pushed the line that Serbia had violated key agreements, which then could be used to show they were no longer entitled to sovereignty-based protection</w:t>
      </w:r>
      <w:r w:rsidR="00C349D8">
        <w:t>s</w:t>
      </w:r>
      <w:r w:rsidR="00655D48" w:rsidRPr="00BE1403">
        <w:t>.</w:t>
      </w:r>
      <w:r w:rsidR="009D40AA" w:rsidRPr="00BE1403">
        <w:t xml:space="preserve"> In relation to the massacre at </w:t>
      </w:r>
      <w:proofErr w:type="spellStart"/>
      <w:r w:rsidR="009D40AA" w:rsidRPr="00BE1403">
        <w:t>Racak</w:t>
      </w:r>
      <w:proofErr w:type="spellEnd"/>
      <w:r w:rsidR="009D40AA" w:rsidRPr="00BE1403">
        <w:t xml:space="preserve"> in January 1999 – </w:t>
      </w:r>
      <w:r w:rsidR="00F52C04">
        <w:t>which involved</w:t>
      </w:r>
      <w:r w:rsidR="009D40AA" w:rsidRPr="00BE1403">
        <w:t xml:space="preserve"> the mass</w:t>
      </w:r>
      <w:r w:rsidR="00F52C04">
        <w:t xml:space="preserve"> killing of 45 people</w:t>
      </w:r>
      <w:r w:rsidR="009D40AA" w:rsidRPr="00BE1403">
        <w:t xml:space="preserve">, and </w:t>
      </w:r>
      <w:r w:rsidR="00F52C04">
        <w:t>was a major factor</w:t>
      </w:r>
      <w:r w:rsidR="009D40AA" w:rsidRPr="00BE1403">
        <w:t xml:space="preserve"> in the decision to take interventionist action through NATO – </w:t>
      </w:r>
      <w:r w:rsidR="00CB2540">
        <w:t>this was not only</w:t>
      </w:r>
      <w:r w:rsidR="00B30B74" w:rsidRPr="00BE1403">
        <w:t xml:space="preserve"> portrayed as ‘</w:t>
      </w:r>
      <w:r w:rsidR="009D40AA" w:rsidRPr="00BE1403">
        <w:t>a deliberate and indiscriminate act of murder designed to sow f</w:t>
      </w:r>
      <w:r w:rsidR="00835754" w:rsidRPr="00BE1403">
        <w:t>ear among the people of Kosovo,’</w:t>
      </w:r>
      <w:r w:rsidR="009D40AA" w:rsidRPr="00BE1403">
        <w:t xml:space="preserve"> but a</w:t>
      </w:r>
      <w:r w:rsidR="00B30B74" w:rsidRPr="00BE1403">
        <w:t xml:space="preserve"> ‘</w:t>
      </w:r>
      <w:r w:rsidRPr="00BE1403">
        <w:t>clear violation of the commitments Serbia</w:t>
      </w:r>
      <w:r w:rsidR="009D40AA" w:rsidRPr="00BE1403">
        <w:t>n authorities have made to NATO</w:t>
      </w:r>
      <w:r w:rsidR="00B30B74" w:rsidRPr="00BE1403">
        <w:t>.’</w:t>
      </w:r>
      <w:r w:rsidR="00B30B74" w:rsidRPr="00BE1403">
        <w:rPr>
          <w:rStyle w:val="FootnoteReference"/>
        </w:rPr>
        <w:footnoteReference w:id="108"/>
      </w:r>
      <w:r w:rsidR="00B30B74" w:rsidRPr="00BE1403">
        <w:t xml:space="preserve"> </w:t>
      </w:r>
      <w:r w:rsidR="00CB2540">
        <w:t>It</w:t>
      </w:r>
      <w:r w:rsidR="003A0209" w:rsidRPr="00BE1403">
        <w:t xml:space="preserve"> was not merely a hideous act that violated expectations of humanita</w:t>
      </w:r>
      <w:r w:rsidR="00907C17">
        <w:t>rian behaviour, but the</w:t>
      </w:r>
      <w:r w:rsidR="003A0209" w:rsidRPr="00BE1403">
        <w:t xml:space="preserve"> breaking of a commitment – whereby doing so absolved the US on any respect for Serbian sovereignty.</w:t>
      </w:r>
      <w:r w:rsidR="006275C0" w:rsidRPr="00BE1403">
        <w:t xml:space="preserve"> Similarly, Clinton condemned Milosevic for failing to sign a peace agreement with NATO and Kosovar Albanians in t</w:t>
      </w:r>
      <w:r w:rsidR="00CB3508">
        <w:t>he March of the same year. This situation</w:t>
      </w:r>
      <w:r w:rsidR="006275C0" w:rsidRPr="00BE1403">
        <w:t xml:space="preserve"> was presented as a case in which NATO was justified in conti</w:t>
      </w:r>
      <w:r w:rsidR="00703E8D">
        <w:t>nuing action in the absence of this</w:t>
      </w:r>
      <w:r w:rsidR="006275C0" w:rsidRPr="00BE1403">
        <w:t xml:space="preserve"> </w:t>
      </w:r>
      <w:r w:rsidR="00F52C04">
        <w:t xml:space="preserve">commitment to peace; </w:t>
      </w:r>
      <w:r w:rsidR="00703E8D">
        <w:t>not least where</w:t>
      </w:r>
      <w:r w:rsidR="00B30B74" w:rsidRPr="00BE1403">
        <w:t xml:space="preserve"> not </w:t>
      </w:r>
      <w:r w:rsidR="00703E8D">
        <w:t>doing so</w:t>
      </w:r>
      <w:r w:rsidR="00B30B74" w:rsidRPr="00BE1403">
        <w:t xml:space="preserve"> would ‘</w:t>
      </w:r>
      <w:r w:rsidRPr="00BE1403">
        <w:t>undermine the credibility of NATO, on which stability in Europe and our own credibility de</w:t>
      </w:r>
      <w:r w:rsidR="006275C0" w:rsidRPr="00BE1403">
        <w:t>pend</w:t>
      </w:r>
      <w:r w:rsidR="00B30B74" w:rsidRPr="00BE1403">
        <w:t>.’</w:t>
      </w:r>
      <w:r w:rsidR="00B30B74" w:rsidRPr="00BE1403">
        <w:rPr>
          <w:rStyle w:val="FootnoteReference"/>
        </w:rPr>
        <w:footnoteReference w:id="109"/>
      </w:r>
      <w:r w:rsidR="00B30B74" w:rsidRPr="00BE1403">
        <w:t xml:space="preserve"> </w:t>
      </w:r>
      <w:r w:rsidR="0082324D">
        <w:t>Clinton also attempted</w:t>
      </w:r>
      <w:r w:rsidR="00E12DD7" w:rsidRPr="00BE1403">
        <w:t xml:space="preserve"> to justify why </w:t>
      </w:r>
      <w:r w:rsidR="00250E07" w:rsidRPr="00BE1403">
        <w:t>Milosevic</w:t>
      </w:r>
      <w:r w:rsidR="00E12DD7" w:rsidRPr="00BE1403">
        <w:t xml:space="preserve"> should be deemed a war cri</w:t>
      </w:r>
      <w:r w:rsidR="00545958" w:rsidRPr="00BE1403">
        <w:t>minal</w:t>
      </w:r>
      <w:r w:rsidR="00E12DD7" w:rsidRPr="00BE1403">
        <w:t xml:space="preserve"> – a clear attempt to create further grounds for intervention on the basis of international and legal technicality</w:t>
      </w:r>
      <w:r w:rsidR="00B30B74" w:rsidRPr="00BE1403">
        <w:rPr>
          <w:rStyle w:val="FootnoteReference"/>
        </w:rPr>
        <w:footnoteReference w:id="110"/>
      </w:r>
      <w:r w:rsidR="00B30B74" w:rsidRPr="00BE1403">
        <w:t>.</w:t>
      </w:r>
      <w:r w:rsidR="00582580" w:rsidRPr="00BE1403">
        <w:t xml:space="preserve"> </w:t>
      </w:r>
      <w:r w:rsidR="0082324D">
        <w:t>As such, Clinton was</w:t>
      </w:r>
      <w:r w:rsidR="00250E07" w:rsidRPr="00BE1403">
        <w:t xml:space="preserve"> creating a framewor</w:t>
      </w:r>
      <w:r w:rsidR="0082324D">
        <w:t>k of understanding that disputed</w:t>
      </w:r>
      <w:r w:rsidR="007376B1">
        <w:t>, and normatively invalidated,</w:t>
      </w:r>
      <w:r w:rsidR="00250E07" w:rsidRPr="00BE1403">
        <w:t xml:space="preserve"> expectations concerning </w:t>
      </w:r>
      <w:r w:rsidR="007376B1">
        <w:t xml:space="preserve">the </w:t>
      </w:r>
      <w:r w:rsidR="00250E07" w:rsidRPr="00BE1403">
        <w:t>sovereignty</w:t>
      </w:r>
      <w:r w:rsidR="007376B1">
        <w:t xml:space="preserve"> taboo</w:t>
      </w:r>
      <w:r w:rsidR="00250E07" w:rsidRPr="00BE1403">
        <w:t>. By not only highlighting Kosovo</w:t>
      </w:r>
      <w:r w:rsidR="0082324D">
        <w:t xml:space="preserve"> as</w:t>
      </w:r>
      <w:r w:rsidR="00250E07" w:rsidRPr="00BE1403">
        <w:t xml:space="preserve"> the planned and systemic breach of humanitarian expectations, but also the construction of Milosevic/Serbia</w:t>
      </w:r>
      <w:r w:rsidR="000839AA">
        <w:t xml:space="preserve"> as internationally pariah, </w:t>
      </w:r>
      <w:r w:rsidR="00250E07" w:rsidRPr="00BE1403">
        <w:t xml:space="preserve">so Clinton portrayed this </w:t>
      </w:r>
      <w:r w:rsidR="00544ADA">
        <w:t>in terms</w:t>
      </w:r>
      <w:r w:rsidR="00250E07" w:rsidRPr="00BE1403">
        <w:t xml:space="preserve"> </w:t>
      </w:r>
      <w:r w:rsidR="00544ADA">
        <w:t>with</w:t>
      </w:r>
      <w:r w:rsidR="00250E07" w:rsidRPr="00BE1403">
        <w:t>in which there could be no reasonable</w:t>
      </w:r>
      <w:r w:rsidR="0076410B">
        <w:t xml:space="preserve"> claim to sovereign rights</w:t>
      </w:r>
      <w:r w:rsidR="00250E07" w:rsidRPr="00BE1403">
        <w:t>.</w:t>
      </w:r>
      <w:r w:rsidR="007376B1">
        <w:t xml:space="preserve"> Considerations concerning the sovereignty taboo simply did not apply, under the calculated terms of Clinton’s speech.</w:t>
      </w:r>
    </w:p>
    <w:p w14:paraId="37233DFC" w14:textId="77777777" w:rsidR="006C4EBC" w:rsidRPr="00BE1403" w:rsidRDefault="006C4EBC" w:rsidP="00BB151F">
      <w:pPr>
        <w:spacing w:line="480" w:lineRule="auto"/>
      </w:pPr>
    </w:p>
    <w:p w14:paraId="63667764" w14:textId="1153E58E" w:rsidR="009613D7" w:rsidRPr="00BE1403" w:rsidRDefault="009613D7" w:rsidP="00BB151F">
      <w:pPr>
        <w:spacing w:line="480" w:lineRule="auto"/>
      </w:pPr>
      <w:r w:rsidRPr="00BE1403">
        <w:t>Cl</w:t>
      </w:r>
      <w:r w:rsidR="00636ACB">
        <w:t>inton’s rhetoric on Kosovo demonstrates</w:t>
      </w:r>
      <w:r w:rsidRPr="00BE1403">
        <w:t xml:space="preserve"> that even where an actor is prepared to buy into one taboo</w:t>
      </w:r>
      <w:r w:rsidR="00467CC3" w:rsidRPr="00BE1403">
        <w:t xml:space="preserve"> as the basis of a strategic narrative</w:t>
      </w:r>
      <w:r w:rsidRPr="00BE1403">
        <w:t xml:space="preserve">, i.e. the humanitarian impulse (whether genuinely, because it strategically facilitates an actor’s aims, or – in this case – a combination of both), this does not preclude the need to invalidate the other taboo </w:t>
      </w:r>
      <w:r w:rsidR="00FD7B33">
        <w:t>(i.e. sovereignty). Clinton did</w:t>
      </w:r>
      <w:r w:rsidRPr="00BE1403">
        <w:t xml:space="preserve"> not limit his rhetoric to the morality and com</w:t>
      </w:r>
      <w:r w:rsidR="003441B2">
        <w:t xml:space="preserve">passion of </w:t>
      </w:r>
      <w:r w:rsidR="00A85439">
        <w:t>his audience. It</w:t>
      </w:r>
      <w:r w:rsidR="003441B2">
        <w:t xml:space="preserve"> was</w:t>
      </w:r>
      <w:r w:rsidRPr="00BE1403">
        <w:t xml:space="preserve"> extended out to provide a clear basis on which to dispute claims of sovereign protection. Within the highly emoti</w:t>
      </w:r>
      <w:r w:rsidR="00C73BC1">
        <w:t>ve construction of language</w:t>
      </w:r>
      <w:r w:rsidRPr="00BE1403">
        <w:t xml:space="preserve"> there is </w:t>
      </w:r>
      <w:r w:rsidR="00C73BC1">
        <w:t xml:space="preserve">also </w:t>
      </w:r>
      <w:r w:rsidRPr="00BE1403">
        <w:t xml:space="preserve">a </w:t>
      </w:r>
      <w:r w:rsidR="000839AA">
        <w:t xml:space="preserve">highly practical </w:t>
      </w:r>
      <w:r w:rsidRPr="00BE1403">
        <w:t xml:space="preserve">argument setting out the </w:t>
      </w:r>
      <w:r w:rsidR="00C73BC1">
        <w:t>case for intervention. Moreover, Clinton once again invalidates</w:t>
      </w:r>
      <w:r w:rsidRPr="00BE1403">
        <w:t xml:space="preserve"> the taboo not only to ensure the success of his rhetoric in pro</w:t>
      </w:r>
      <w:r w:rsidR="00C73BC1">
        <w:t>moting the humanitarian case</w:t>
      </w:r>
      <w:r w:rsidRPr="00BE1403">
        <w:t>, but also to deny his potential critics the basis of a counterclaim. It is a rhetorical act of pre-emption.</w:t>
      </w:r>
      <w:r w:rsidR="007D2AAE" w:rsidRPr="00BE1403">
        <w:t xml:space="preserve"> Unlike Rwanda, </w:t>
      </w:r>
      <w:r w:rsidR="00C73BC1">
        <w:t xml:space="preserve">however, </w:t>
      </w:r>
      <w:r w:rsidR="007D2AAE" w:rsidRPr="00BE1403">
        <w:t>this was not a c</w:t>
      </w:r>
      <w:r w:rsidR="00C73BC1">
        <w:t>ase of denying them a narrative</w:t>
      </w:r>
      <w:r w:rsidR="007D2AAE" w:rsidRPr="00BE1403">
        <w:t>, but a way of invalidating their argument before they could even make it. Access to language was irrelevant in that Clinton had</w:t>
      </w:r>
      <w:r w:rsidR="000839AA">
        <w:t xml:space="preserve"> already</w:t>
      </w:r>
      <w:r w:rsidR="007D2AAE" w:rsidRPr="00BE1403">
        <w:t xml:space="preserve"> </w:t>
      </w:r>
      <w:r w:rsidR="00FE0EFD" w:rsidRPr="00BE1403">
        <w:t>u</w:t>
      </w:r>
      <w:r w:rsidR="00C73BC1">
        <w:t>ndermined the foundation</w:t>
      </w:r>
      <w:r w:rsidR="00177CEB" w:rsidRPr="00BE1403">
        <w:t xml:space="preserve"> on which that</w:t>
      </w:r>
      <w:r w:rsidR="00FE0EFD" w:rsidRPr="00BE1403">
        <w:t xml:space="preserve"> language could be used. Of course, this is not to state that criticism did not occur. Clinton did not get away with intervention scot-free in terms of</w:t>
      </w:r>
      <w:r w:rsidR="00CA5656">
        <w:t xml:space="preserve"> negative</w:t>
      </w:r>
      <w:r w:rsidR="00FE0EFD" w:rsidRPr="00BE1403">
        <w:t xml:space="preserve"> political </w:t>
      </w:r>
      <w:r w:rsidR="00C73BC1">
        <w:t>and public reception. H</w:t>
      </w:r>
      <w:r w:rsidR="00FE0EFD" w:rsidRPr="00BE1403">
        <w:t>is rhetorical stance</w:t>
      </w:r>
      <w:r w:rsidR="00C73BC1">
        <w:t>, however,</w:t>
      </w:r>
      <w:r w:rsidR="00FE0EFD" w:rsidRPr="00BE1403">
        <w:t xml:space="preserve"> eased the realisation of his own political desires and limited the barriers to the success of his strategic doctrine.</w:t>
      </w:r>
    </w:p>
    <w:p w14:paraId="15AED1D5" w14:textId="77777777" w:rsidR="009613D7" w:rsidRPr="00BE1403" w:rsidRDefault="009613D7" w:rsidP="00BB151F">
      <w:pPr>
        <w:spacing w:line="480" w:lineRule="auto"/>
      </w:pPr>
    </w:p>
    <w:p w14:paraId="4DA0E241" w14:textId="77777777" w:rsidR="006C4EBC" w:rsidRPr="00BE1403" w:rsidRDefault="006C4EBC" w:rsidP="00BB151F">
      <w:pPr>
        <w:spacing w:line="480" w:lineRule="auto"/>
      </w:pPr>
    </w:p>
    <w:p w14:paraId="35247949" w14:textId="77777777" w:rsidR="000C4AE0" w:rsidRPr="00BE1403" w:rsidRDefault="000C4AE0" w:rsidP="00BB151F">
      <w:pPr>
        <w:spacing w:line="480" w:lineRule="auto"/>
      </w:pPr>
    </w:p>
    <w:p w14:paraId="574FC34E" w14:textId="5A9F8521" w:rsidR="00B82C05" w:rsidRPr="00BE1403" w:rsidRDefault="00115C97" w:rsidP="00BB151F">
      <w:pPr>
        <w:spacing w:line="480" w:lineRule="auto"/>
        <w:rPr>
          <w:b/>
        </w:rPr>
      </w:pPr>
      <w:r>
        <w:rPr>
          <w:b/>
        </w:rPr>
        <w:t>Case s</w:t>
      </w:r>
      <w:r w:rsidR="004F6BFD" w:rsidRPr="00BE1403">
        <w:rPr>
          <w:b/>
        </w:rPr>
        <w:t xml:space="preserve">tudy 3: </w:t>
      </w:r>
      <w:r w:rsidR="00B82C05" w:rsidRPr="00BE1403">
        <w:rPr>
          <w:b/>
        </w:rPr>
        <w:t xml:space="preserve">Obama </w:t>
      </w:r>
      <w:r w:rsidR="00B9010C" w:rsidRPr="00BE1403">
        <w:rPr>
          <w:b/>
        </w:rPr>
        <w:t>and Iraq</w:t>
      </w:r>
    </w:p>
    <w:p w14:paraId="5C8DC5F4" w14:textId="77777777" w:rsidR="001454A1" w:rsidRPr="00BE1403" w:rsidRDefault="001454A1" w:rsidP="00BB151F">
      <w:pPr>
        <w:spacing w:line="480" w:lineRule="auto"/>
      </w:pPr>
    </w:p>
    <w:p w14:paraId="0ABEF882" w14:textId="4DB90B58" w:rsidR="00EB4FAB" w:rsidRPr="00BE1403" w:rsidRDefault="001454A1" w:rsidP="00BB151F">
      <w:pPr>
        <w:spacing w:line="480" w:lineRule="auto"/>
      </w:pPr>
      <w:r w:rsidRPr="00BE1403">
        <w:t>Despite Obama’s</w:t>
      </w:r>
      <w:r w:rsidR="00B117B6" w:rsidRPr="00BE1403">
        <w:t xml:space="preserve"> engagement in Libya</w:t>
      </w:r>
      <w:r w:rsidR="00863C57" w:rsidRPr="00BE1403">
        <w:t>,</w:t>
      </w:r>
      <w:r w:rsidR="00B95233" w:rsidRPr="00BE1403">
        <w:t xml:space="preserve"> </w:t>
      </w:r>
      <w:r w:rsidR="00D0157A" w:rsidRPr="00BE1403">
        <w:t>the president</w:t>
      </w:r>
      <w:r w:rsidR="00B117B6" w:rsidRPr="00BE1403">
        <w:t xml:space="preserve"> long proclaimed an aversion</w:t>
      </w:r>
      <w:r w:rsidR="00B95233" w:rsidRPr="00BE1403">
        <w:t xml:space="preserve"> to</w:t>
      </w:r>
      <w:r w:rsidR="00437A89" w:rsidRPr="00BE1403">
        <w:t xml:space="preserve"> military </w:t>
      </w:r>
      <w:r w:rsidR="00B95233" w:rsidRPr="00BE1403">
        <w:t>intervention</w:t>
      </w:r>
      <w:r w:rsidRPr="00BE1403">
        <w:t xml:space="preserve"> – humanitarian or otherwise.</w:t>
      </w:r>
      <w:r w:rsidR="00791802" w:rsidRPr="00BE1403">
        <w:t xml:space="preserve"> He has</w:t>
      </w:r>
      <w:r w:rsidR="0002492F" w:rsidRPr="00BE1403">
        <w:t xml:space="preserve"> even</w:t>
      </w:r>
      <w:r w:rsidR="00B807B4" w:rsidRPr="00BE1403">
        <w:t xml:space="preserve"> been labelled</w:t>
      </w:r>
      <w:r w:rsidR="00BC2B76" w:rsidRPr="00BE1403">
        <w:t xml:space="preserve"> </w:t>
      </w:r>
      <w:r w:rsidR="007A58AF" w:rsidRPr="00BE1403">
        <w:t xml:space="preserve">a ‘modern </w:t>
      </w:r>
      <w:proofErr w:type="spellStart"/>
      <w:r w:rsidR="00BC2B76" w:rsidRPr="00BE1403">
        <w:t>Jeffersonian</w:t>
      </w:r>
      <w:proofErr w:type="spellEnd"/>
      <w:r w:rsidR="007A58AF" w:rsidRPr="00BE1403">
        <w:t>’</w:t>
      </w:r>
      <w:r w:rsidR="00BC2B76" w:rsidRPr="00BE1403">
        <w:t xml:space="preserve"> because of </w:t>
      </w:r>
      <w:r w:rsidR="00DD3C83" w:rsidRPr="00BE1403">
        <w:rPr>
          <w:lang w:bidi="en-US"/>
        </w:rPr>
        <w:t xml:space="preserve">his resistance to interventionist </w:t>
      </w:r>
      <w:r w:rsidR="00B807B4" w:rsidRPr="00BE1403">
        <w:rPr>
          <w:lang w:bidi="en-US"/>
        </w:rPr>
        <w:t>strategy</w:t>
      </w:r>
      <w:r w:rsidR="00835754" w:rsidRPr="00BE1403">
        <w:rPr>
          <w:rStyle w:val="FootnoteReference"/>
          <w:lang w:bidi="en-US"/>
        </w:rPr>
        <w:footnoteReference w:id="111"/>
      </w:r>
      <w:r w:rsidR="00DD3C83" w:rsidRPr="00BE1403">
        <w:rPr>
          <w:lang w:bidi="en-US"/>
        </w:rPr>
        <w:t xml:space="preserve">. </w:t>
      </w:r>
      <w:r w:rsidR="00912E3B" w:rsidRPr="00BE1403">
        <w:t xml:space="preserve">Obama </w:t>
      </w:r>
      <w:r w:rsidR="00DD3C83" w:rsidRPr="00BE1403">
        <w:t xml:space="preserve">repeatedly </w:t>
      </w:r>
      <w:r w:rsidR="00387B36" w:rsidRPr="00BE1403">
        <w:t>advocated</w:t>
      </w:r>
      <w:r w:rsidR="00DD3C83" w:rsidRPr="00BE1403">
        <w:t xml:space="preserve"> </w:t>
      </w:r>
      <w:r w:rsidR="00387B36" w:rsidRPr="00BE1403">
        <w:t>that</w:t>
      </w:r>
      <w:r w:rsidR="00DD3C83" w:rsidRPr="00BE1403">
        <w:t xml:space="preserve"> US foreign policy would not </w:t>
      </w:r>
      <w:r w:rsidR="00387B36" w:rsidRPr="00BE1403">
        <w:t>adopt</w:t>
      </w:r>
      <w:r w:rsidR="00DD3C83" w:rsidRPr="00BE1403">
        <w:t xml:space="preserve"> armed intervention unl</w:t>
      </w:r>
      <w:r w:rsidR="00A17B25">
        <w:t>ess absolutely necessary for national protection</w:t>
      </w:r>
      <w:r w:rsidR="0060527C" w:rsidRPr="00BE1403">
        <w:t>. In his 2014 State of the Union he stated</w:t>
      </w:r>
      <w:r w:rsidR="00DD3C83" w:rsidRPr="00BE1403">
        <w:t>:</w:t>
      </w:r>
      <w:r w:rsidR="00835754" w:rsidRPr="00BE1403">
        <w:rPr>
          <w:lang w:bidi="en-US"/>
        </w:rPr>
        <w:t xml:space="preserve"> ‘</w:t>
      </w:r>
      <w:r w:rsidR="00DD3C83" w:rsidRPr="00BE1403">
        <w:t>I will not send our troops into harm's way unless it is truly necessary, nor will I allow our sons and daughters to be mired in open-ended co</w:t>
      </w:r>
      <w:r w:rsidR="00835754" w:rsidRPr="00BE1403">
        <w:t>nflicts.’</w:t>
      </w:r>
      <w:r w:rsidR="00835754" w:rsidRPr="00BE1403">
        <w:rPr>
          <w:rStyle w:val="FootnoteReference"/>
        </w:rPr>
        <w:footnoteReference w:id="112"/>
      </w:r>
      <w:r w:rsidR="00835754" w:rsidRPr="00BE1403">
        <w:t xml:space="preserve"> </w:t>
      </w:r>
      <w:r w:rsidR="007B6E6C">
        <w:t>He continues</w:t>
      </w:r>
      <w:r w:rsidR="00387B36" w:rsidRPr="00BE1403">
        <w:t>:</w:t>
      </w:r>
      <w:r w:rsidR="00DD3C83" w:rsidRPr="00BE1403">
        <w:t xml:space="preserve"> </w:t>
      </w:r>
      <w:r w:rsidR="00835754" w:rsidRPr="00BE1403">
        <w:t>‘</w:t>
      </w:r>
      <w:r w:rsidR="00DD3C83" w:rsidRPr="00BE1403">
        <w:t>We must fight the batt</w:t>
      </w:r>
      <w:r w:rsidR="00387B36" w:rsidRPr="00BE1403">
        <w:t xml:space="preserve">les that need to be fought, not… </w:t>
      </w:r>
      <w:r w:rsidR="00DD3C83" w:rsidRPr="00BE1403">
        <w:t>large-scale deployments that drain our strength and may ultimately feed extremism</w:t>
      </w:r>
      <w:r w:rsidR="00835754" w:rsidRPr="00BE1403">
        <w:t>.’</w:t>
      </w:r>
      <w:r w:rsidR="0018452D" w:rsidRPr="00BE1403">
        <w:t xml:space="preserve"> Obama’</w:t>
      </w:r>
      <w:r w:rsidR="000F15A1">
        <w:t>s doctrinal approach wa</w:t>
      </w:r>
      <w:r w:rsidR="00A8301E" w:rsidRPr="00BE1403">
        <w:t xml:space="preserve">s </w:t>
      </w:r>
      <w:r w:rsidR="001F7375" w:rsidRPr="00BE1403">
        <w:t>a</w:t>
      </w:r>
      <w:r w:rsidR="000704CC" w:rsidRPr="00BE1403">
        <w:t xml:space="preserve"> direct</w:t>
      </w:r>
      <w:r w:rsidR="001F7375" w:rsidRPr="00BE1403">
        <w:t xml:space="preserve"> consequence of</w:t>
      </w:r>
      <w:r w:rsidR="00A8301E" w:rsidRPr="00BE1403">
        <w:t xml:space="preserve"> </w:t>
      </w:r>
      <w:r w:rsidR="00AD7027" w:rsidRPr="00BE1403">
        <w:t xml:space="preserve">2003 </w:t>
      </w:r>
      <w:r w:rsidR="00A8301E" w:rsidRPr="00BE1403">
        <w:t>Iraq</w:t>
      </w:r>
      <w:r w:rsidR="00AD7027" w:rsidRPr="00BE1403">
        <w:t xml:space="preserve"> invasion</w:t>
      </w:r>
      <w:r w:rsidR="00A8301E" w:rsidRPr="00BE1403">
        <w:t>.</w:t>
      </w:r>
      <w:r w:rsidR="001F7375" w:rsidRPr="00BE1403">
        <w:t xml:space="preserve"> </w:t>
      </w:r>
      <w:r w:rsidR="000F15A1">
        <w:t>Obama</w:t>
      </w:r>
      <w:r w:rsidR="00030E49" w:rsidRPr="00BE1403">
        <w:t xml:space="preserve"> frequently highlighted this policy as something not to be relived, explicitly where this: has been taken to r</w:t>
      </w:r>
      <w:r w:rsidR="00C15364" w:rsidRPr="00BE1403">
        <w:t>epresent the immoderation of US</w:t>
      </w:r>
      <w:r w:rsidR="00030E49" w:rsidRPr="00BE1403">
        <w:t xml:space="preserve"> intervention; was related to a lack of credible ev</w:t>
      </w:r>
      <w:r w:rsidR="000704CC" w:rsidRPr="00BE1403">
        <w:t>idence; and has</w:t>
      </w:r>
      <w:r w:rsidR="00835754" w:rsidRPr="00BE1403">
        <w:t xml:space="preserve"> made the world ‘weary’</w:t>
      </w:r>
      <w:r w:rsidR="00030E49" w:rsidRPr="00BE1403">
        <w:t xml:space="preserve"> of conflict</w:t>
      </w:r>
      <w:r w:rsidR="00835754" w:rsidRPr="00BE1403">
        <w:rPr>
          <w:rStyle w:val="FootnoteReference"/>
        </w:rPr>
        <w:footnoteReference w:id="113"/>
      </w:r>
      <w:r w:rsidR="00844B1D" w:rsidRPr="00BE1403">
        <w:t xml:space="preserve">. </w:t>
      </w:r>
      <w:r w:rsidR="00030E49" w:rsidRPr="00BE1403">
        <w:t>In relation to thi</w:t>
      </w:r>
      <w:r w:rsidR="00835754" w:rsidRPr="00BE1403">
        <w:t>s last point, Obama would add: ‘</w:t>
      </w:r>
      <w:r w:rsidR="00030E49" w:rsidRPr="00BE1403">
        <w:t>And I assure you, nobody ends u</w:t>
      </w:r>
      <w:r w:rsidR="00835754" w:rsidRPr="00BE1403">
        <w:t>p being more war weary than me.’</w:t>
      </w:r>
      <w:r w:rsidR="007E305F" w:rsidRPr="00BE1403">
        <w:t xml:space="preserve"> </w:t>
      </w:r>
      <w:r w:rsidR="000F15A1">
        <w:t xml:space="preserve">Obama </w:t>
      </w:r>
      <w:r w:rsidR="00166168" w:rsidRPr="00BE1403">
        <w:t>openly admitted the affect of Iraq on his foreign policymaking</w:t>
      </w:r>
      <w:r w:rsidR="007E305F" w:rsidRPr="00BE1403">
        <w:t>. In relation to Syria, he said</w:t>
      </w:r>
      <w:r w:rsidR="00030E49" w:rsidRPr="00BE1403">
        <w:t>: ‘I have resisted calls for military action because we cannot resolve someone else’s civil war through force, particularly after a decade of war in Iraq and Afghanistan.</w:t>
      </w:r>
      <w:r w:rsidR="00835754" w:rsidRPr="00BE1403">
        <w:t>’</w:t>
      </w:r>
      <w:r w:rsidR="00835754" w:rsidRPr="00BE1403">
        <w:rPr>
          <w:rStyle w:val="FootnoteReference"/>
        </w:rPr>
        <w:footnoteReference w:id="114"/>
      </w:r>
      <w:r w:rsidR="00166168" w:rsidRPr="00BE1403">
        <w:t xml:space="preserve"> </w:t>
      </w:r>
      <w:r w:rsidR="0075196D">
        <w:t xml:space="preserve">Instead, </w:t>
      </w:r>
      <w:r w:rsidR="000F15A1">
        <w:t xml:space="preserve">Obama </w:t>
      </w:r>
      <w:r w:rsidR="00EB4FAB" w:rsidRPr="00BE1403">
        <w:t>insisted that the US</w:t>
      </w:r>
      <w:r w:rsidR="00166168" w:rsidRPr="00BE1403">
        <w:t xml:space="preserve"> must ‘avoid the mistakes of the past’</w:t>
      </w:r>
      <w:r w:rsidR="00835754" w:rsidRPr="00BE1403">
        <w:rPr>
          <w:rStyle w:val="FootnoteReference"/>
        </w:rPr>
        <w:footnoteReference w:id="115"/>
      </w:r>
      <w:r w:rsidR="00166168" w:rsidRPr="00BE1403">
        <w:t xml:space="preserve"> and ‘should have learned a lesson from our long and immensely costly incursion in Iraq.’</w:t>
      </w:r>
      <w:r w:rsidR="00835754" w:rsidRPr="00BE1403">
        <w:rPr>
          <w:rStyle w:val="FootnoteReference"/>
        </w:rPr>
        <w:footnoteReference w:id="116"/>
      </w:r>
      <w:r w:rsidR="00835754" w:rsidRPr="00BE1403">
        <w:t xml:space="preserve"> </w:t>
      </w:r>
      <w:r w:rsidR="000F15A1">
        <w:t>He also lay</w:t>
      </w:r>
      <w:r w:rsidR="00EB4FAB" w:rsidRPr="00BE1403">
        <w:t xml:space="preserve"> out the importance of moving away from intervention as a go-to option in respect of foreign policymaking</w:t>
      </w:r>
      <w:r w:rsidR="00835754" w:rsidRPr="00BE1403">
        <w:t>: ‘</w:t>
      </w:r>
      <w:r w:rsidR="00124DA4" w:rsidRPr="00BE1403">
        <w:t xml:space="preserve">The alternative would be for us to play </w:t>
      </w:r>
      <w:proofErr w:type="spellStart"/>
      <w:r w:rsidR="00124DA4" w:rsidRPr="00BE1403">
        <w:t>Whac</w:t>
      </w:r>
      <w:proofErr w:type="spellEnd"/>
      <w:r w:rsidR="00124DA4" w:rsidRPr="00BE1403">
        <w:t>-A-Mole every time there is a terrorist actor inside of any given country, to deploy U.S. troops. And tha</w:t>
      </w:r>
      <w:r w:rsidR="00835754" w:rsidRPr="00BE1403">
        <w:t>t's not a sustainable strategy.’</w:t>
      </w:r>
      <w:r w:rsidR="00835754" w:rsidRPr="00BE1403">
        <w:rPr>
          <w:rStyle w:val="FootnoteReference"/>
        </w:rPr>
        <w:footnoteReference w:id="117"/>
      </w:r>
      <w:r w:rsidR="00835754" w:rsidRPr="00BE1403">
        <w:t xml:space="preserve"> </w:t>
      </w:r>
      <w:r w:rsidR="00166168" w:rsidRPr="00BE1403">
        <w:t>In relation to current issues</w:t>
      </w:r>
      <w:r w:rsidR="00EB4FAB" w:rsidRPr="00BE1403">
        <w:t xml:space="preserve"> in the Middle East, </w:t>
      </w:r>
      <w:r w:rsidR="000F15A1">
        <w:t xml:space="preserve">this </w:t>
      </w:r>
      <w:r w:rsidR="00166168" w:rsidRPr="00BE1403">
        <w:t>translated into an outright, unqualified, and repeated rejection of future intervention</w:t>
      </w:r>
      <w:r w:rsidR="002E6EE5" w:rsidRPr="00BE1403">
        <w:t>: ‘We will not be sending U.S. troops back into combat in Iraq.’</w:t>
      </w:r>
      <w:r w:rsidR="004042F2" w:rsidRPr="00BE1403">
        <w:rPr>
          <w:rStyle w:val="FootnoteReference"/>
        </w:rPr>
        <w:footnoteReference w:id="118"/>
      </w:r>
      <w:r w:rsidR="00F30445" w:rsidRPr="00BE1403">
        <w:t xml:space="preserve"> </w:t>
      </w:r>
    </w:p>
    <w:p w14:paraId="74315C88" w14:textId="77777777" w:rsidR="002E4C77" w:rsidRPr="00BE1403" w:rsidRDefault="002E4C77" w:rsidP="00BB151F">
      <w:pPr>
        <w:spacing w:line="480" w:lineRule="auto"/>
      </w:pPr>
    </w:p>
    <w:p w14:paraId="5C52C97B" w14:textId="504A302A" w:rsidR="008F5FA8" w:rsidRPr="00BE1403" w:rsidRDefault="00EB4FAB" w:rsidP="00BB151F">
      <w:pPr>
        <w:spacing w:line="480" w:lineRule="auto"/>
      </w:pPr>
      <w:r w:rsidRPr="00BE1403">
        <w:t>Constructivist</w:t>
      </w:r>
      <w:r w:rsidR="009B098E" w:rsidRPr="00BE1403">
        <w:t xml:space="preserve"> Tal </w:t>
      </w:r>
      <w:proofErr w:type="spellStart"/>
      <w:r w:rsidR="009B098E" w:rsidRPr="00BE1403">
        <w:t>Dingott</w:t>
      </w:r>
      <w:proofErr w:type="spellEnd"/>
      <w:r w:rsidR="009B098E" w:rsidRPr="00BE1403">
        <w:t xml:space="preserve"> </w:t>
      </w:r>
      <w:proofErr w:type="spellStart"/>
      <w:r w:rsidR="009B098E" w:rsidRPr="00BE1403">
        <w:t>Alkopher</w:t>
      </w:r>
      <w:proofErr w:type="spellEnd"/>
      <w:r w:rsidR="004042F2" w:rsidRPr="00BE1403">
        <w:t xml:space="preserve"> </w:t>
      </w:r>
      <w:r w:rsidRPr="00BE1403">
        <w:t>interprets</w:t>
      </w:r>
      <w:r w:rsidR="00BD7912" w:rsidRPr="00BE1403">
        <w:t xml:space="preserve"> this as a case of norm decline:</w:t>
      </w:r>
      <w:r w:rsidRPr="00BE1403">
        <w:t xml:space="preserve"> the product of the weakening commitment to humanitarian intervention post-Iraq</w:t>
      </w:r>
      <w:r w:rsidR="004042F2" w:rsidRPr="00BE1403">
        <w:rPr>
          <w:rStyle w:val="FootnoteReference"/>
        </w:rPr>
        <w:footnoteReference w:id="119"/>
      </w:r>
      <w:r w:rsidRPr="00BE1403">
        <w:t>.</w:t>
      </w:r>
      <w:r w:rsidR="00D5387E" w:rsidRPr="00BE1403">
        <w:t xml:space="preserve"> </w:t>
      </w:r>
      <w:proofErr w:type="spellStart"/>
      <w:r w:rsidR="00D5387E" w:rsidRPr="00BE1403">
        <w:t>Wi</w:t>
      </w:r>
      <w:r w:rsidR="004042F2" w:rsidRPr="00BE1403">
        <w:t>dmaier</w:t>
      </w:r>
      <w:proofErr w:type="spellEnd"/>
      <w:r w:rsidR="004042F2" w:rsidRPr="00BE1403">
        <w:t xml:space="preserve"> and Glanville </w:t>
      </w:r>
      <w:r w:rsidR="00BC7657">
        <w:t xml:space="preserve">would object </w:t>
      </w:r>
      <w:r w:rsidR="005E390A">
        <w:t>as</w:t>
      </w:r>
      <w:r w:rsidR="00EE67A9" w:rsidRPr="00BE1403">
        <w:t xml:space="preserve"> they</w:t>
      </w:r>
      <w:r w:rsidR="00D5387E" w:rsidRPr="00BE1403">
        <w:t xml:space="preserve"> argue</w:t>
      </w:r>
      <w:r w:rsidR="004675EE" w:rsidRPr="00BE1403">
        <w:t>,</w:t>
      </w:r>
      <w:r w:rsidR="00D5387E" w:rsidRPr="00BE1403">
        <w:t xml:space="preserve"> in contrast</w:t>
      </w:r>
      <w:r w:rsidR="004675EE" w:rsidRPr="00BE1403">
        <w:t>,</w:t>
      </w:r>
      <w:r w:rsidR="00D5387E" w:rsidRPr="00BE1403">
        <w:t xml:space="preserve"> that Obama’s mo</w:t>
      </w:r>
      <w:r w:rsidR="007F0ADD">
        <w:t xml:space="preserve">re pragmatic foreign policy </w:t>
      </w:r>
      <w:r w:rsidR="00D5387E" w:rsidRPr="00BE1403">
        <w:t>facilitated the humanitarian impulse argument, actively promoting concepts such as R2P</w:t>
      </w:r>
      <w:r w:rsidR="000F15A1" w:rsidRPr="00BE1403">
        <w:rPr>
          <w:rStyle w:val="FootnoteReference"/>
        </w:rPr>
        <w:footnoteReference w:id="120"/>
      </w:r>
      <w:r w:rsidR="00D5387E" w:rsidRPr="00BE1403">
        <w:t>.</w:t>
      </w:r>
      <w:r w:rsidR="00EE67A9" w:rsidRPr="00BE1403">
        <w:t xml:space="preserve"> Both stances are problematic, howev</w:t>
      </w:r>
      <w:r w:rsidR="00864F0D" w:rsidRPr="00BE1403">
        <w:t>er</w:t>
      </w:r>
      <w:r w:rsidR="007F0ADD">
        <w:t>. The first is difficult</w:t>
      </w:r>
      <w:r w:rsidR="000F15A1">
        <w:t xml:space="preserve"> because Obama w</w:t>
      </w:r>
      <w:r w:rsidR="00864F0D" w:rsidRPr="00BE1403">
        <w:t>as</w:t>
      </w:r>
      <w:r w:rsidR="00EE67A9" w:rsidRPr="00BE1403">
        <w:t xml:space="preserve"> heavily criticised for refusing to intervene, </w:t>
      </w:r>
      <w:r w:rsidR="00BC7657">
        <w:t>also</w:t>
      </w:r>
      <w:r w:rsidR="00EE67A9" w:rsidRPr="00BE1403">
        <w:t xml:space="preserve"> in Syria, thereby indicating that the humanitarian taboo still has</w:t>
      </w:r>
      <w:r w:rsidR="000F15A1">
        <w:t xml:space="preserve"> substantial</w:t>
      </w:r>
      <w:r w:rsidR="00EE67A9" w:rsidRPr="00BE1403">
        <w:t xml:space="preserve"> weight</w:t>
      </w:r>
      <w:r w:rsidR="007B2502">
        <w:t xml:space="preserve">; specifically, </w:t>
      </w:r>
      <w:r w:rsidR="00E30F93">
        <w:t xml:space="preserve">that it is sufficient </w:t>
      </w:r>
      <w:r w:rsidR="007B2502">
        <w:t>to r</w:t>
      </w:r>
      <w:r w:rsidR="00E30F93">
        <w:t>equire normative invalidation should a policymaker wish to</w:t>
      </w:r>
      <w:r w:rsidR="007B2502">
        <w:t xml:space="preserve"> ignore</w:t>
      </w:r>
      <w:r w:rsidR="00E30F93">
        <w:t xml:space="preserve"> it</w:t>
      </w:r>
      <w:r w:rsidR="007F0ADD">
        <w:t>. The s</w:t>
      </w:r>
      <w:r w:rsidR="00E30F93">
        <w:t>econd viewpoint is also misrepresentative</w:t>
      </w:r>
      <w:r w:rsidR="00EE67A9" w:rsidRPr="00BE1403">
        <w:t xml:space="preserve"> because</w:t>
      </w:r>
      <w:r w:rsidR="005767F5">
        <w:t xml:space="preserve"> Obama’s moderation wa</w:t>
      </w:r>
      <w:r w:rsidR="009B1D68" w:rsidRPr="00BE1403">
        <w:t>s not one that promote</w:t>
      </w:r>
      <w:r w:rsidR="005767F5">
        <w:t>d</w:t>
      </w:r>
      <w:r w:rsidR="009B1D68" w:rsidRPr="00BE1403">
        <w:t xml:space="preserve"> in</w:t>
      </w:r>
      <w:r w:rsidR="005767F5">
        <w:t>tervention, but actively rejected</w:t>
      </w:r>
      <w:r w:rsidR="009B1D68" w:rsidRPr="00BE1403">
        <w:t xml:space="preserve"> it.</w:t>
      </w:r>
      <w:r w:rsidR="00E30F93">
        <w:t xml:space="preserve"> The president’s</w:t>
      </w:r>
      <w:r w:rsidR="00ED5962">
        <w:t xml:space="preserve"> ideological</w:t>
      </w:r>
      <w:r w:rsidR="00E30F93">
        <w:t xml:space="preserve"> approach</w:t>
      </w:r>
      <w:r w:rsidR="009B1D68" w:rsidRPr="00BE1403">
        <w:t xml:space="preserve"> was not unrestrained pragmatism, but pragmatism as expressed through the rejection of heavily unilateral and military-based foreign policy. </w:t>
      </w:r>
      <w:r w:rsidR="00864F0D" w:rsidRPr="00BE1403">
        <w:t>A</w:t>
      </w:r>
      <w:r w:rsidR="005767F5">
        <w:t>s such, to the extent Obama</w:t>
      </w:r>
      <w:r w:rsidR="00864F0D" w:rsidRPr="00BE1403">
        <w:t xml:space="preserve"> still engage</w:t>
      </w:r>
      <w:r w:rsidR="005767F5">
        <w:t>d</w:t>
      </w:r>
      <w:r w:rsidR="00864F0D" w:rsidRPr="00BE1403">
        <w:t xml:space="preserve"> with the humanitarian </w:t>
      </w:r>
      <w:r w:rsidR="006E3584">
        <w:t>taboo</w:t>
      </w:r>
      <w:r w:rsidR="00994B3E">
        <w:t xml:space="preserve"> (where the fact he recognised</w:t>
      </w:r>
      <w:r w:rsidR="00864F0D" w:rsidRPr="00BE1403">
        <w:t xml:space="preserve"> the narrative </w:t>
      </w:r>
      <w:r w:rsidR="00FC1686" w:rsidRPr="00BE1403">
        <w:t xml:space="preserve">again </w:t>
      </w:r>
      <w:r w:rsidR="00994B3E">
        <w:t>demonstrates that this</w:t>
      </w:r>
      <w:r w:rsidR="00864F0D" w:rsidRPr="00BE1403">
        <w:t xml:space="preserve"> is still </w:t>
      </w:r>
      <w:r w:rsidR="00EC6AB3" w:rsidRPr="00BE1403">
        <w:t xml:space="preserve">an </w:t>
      </w:r>
      <w:r w:rsidR="00864F0D" w:rsidRPr="00BE1403">
        <w:t>important</w:t>
      </w:r>
      <w:r w:rsidR="00EC6AB3" w:rsidRPr="00BE1403">
        <w:t xml:space="preserve"> factor</w:t>
      </w:r>
      <w:r w:rsidR="00994B3E">
        <w:t>,</w:t>
      </w:r>
      <w:r w:rsidR="00A22B81" w:rsidRPr="00BE1403">
        <w:t xml:space="preserve"> </w:t>
      </w:r>
      <w:r w:rsidR="00A22B81" w:rsidRPr="00BE1403">
        <w:rPr>
          <w:i/>
        </w:rPr>
        <w:t>contra</w:t>
      </w:r>
      <w:r w:rsidR="00A22B81" w:rsidRPr="00BE1403">
        <w:t xml:space="preserve"> </w:t>
      </w:r>
      <w:proofErr w:type="spellStart"/>
      <w:r w:rsidR="00A22B81" w:rsidRPr="00BE1403">
        <w:t>Aklopher</w:t>
      </w:r>
      <w:proofErr w:type="spellEnd"/>
      <w:r w:rsidR="00BC7657">
        <w:t>), this compri</w:t>
      </w:r>
      <w:r w:rsidR="00994B3E">
        <w:t>sed</w:t>
      </w:r>
      <w:r w:rsidR="00864F0D" w:rsidRPr="00BE1403">
        <w:t xml:space="preserve"> a process of norm</w:t>
      </w:r>
      <w:r w:rsidR="00533403">
        <w:t>ative</w:t>
      </w:r>
      <w:r w:rsidR="00864F0D" w:rsidRPr="00BE1403">
        <w:t xml:space="preserve"> invalidation.</w:t>
      </w:r>
      <w:r w:rsidR="004675EE" w:rsidRPr="00BE1403">
        <w:t xml:space="preserve"> </w:t>
      </w:r>
    </w:p>
    <w:p w14:paraId="3075729B" w14:textId="77777777" w:rsidR="008F5FA8" w:rsidRPr="00BE1403" w:rsidRDefault="008F5FA8" w:rsidP="00BB151F">
      <w:pPr>
        <w:spacing w:line="480" w:lineRule="auto"/>
      </w:pPr>
    </w:p>
    <w:p w14:paraId="71D75713" w14:textId="089A6781" w:rsidR="008F5FA8" w:rsidRPr="00BE1403" w:rsidRDefault="004675EE" w:rsidP="00BB151F">
      <w:pPr>
        <w:spacing w:line="480" w:lineRule="auto"/>
      </w:pPr>
      <w:r w:rsidRPr="00BE1403">
        <w:t>The quotes already outlined in the above paragraph evidence this strategy, specifically one that deni</w:t>
      </w:r>
      <w:r w:rsidR="00241309">
        <w:t>ed</w:t>
      </w:r>
      <w:r w:rsidRPr="00BE1403">
        <w:t xml:space="preserve"> the humanitarian </w:t>
      </w:r>
      <w:r w:rsidR="006E3584">
        <w:t>taboo</w:t>
      </w:r>
      <w:r w:rsidR="00533403">
        <w:t xml:space="preserve"> in favour of </w:t>
      </w:r>
      <w:r w:rsidRPr="00BE1403">
        <w:t>US self-interest.</w:t>
      </w:r>
      <w:r w:rsidR="00FC1686" w:rsidRPr="00BE1403">
        <w:t xml:space="preserve"> </w:t>
      </w:r>
      <w:r w:rsidR="00241309">
        <w:t>Obama did</w:t>
      </w:r>
      <w:r w:rsidR="00410934">
        <w:t xml:space="preserve"> not dispute</w:t>
      </w:r>
      <w:r w:rsidR="00315874">
        <w:t xml:space="preserve"> the humanitarian nature of the</w:t>
      </w:r>
      <w:r w:rsidR="00553525" w:rsidRPr="00BE1403">
        <w:t xml:space="preserve"> crisis – no</w:t>
      </w:r>
      <w:r w:rsidR="00533403">
        <w:t>t only Iraq, but also Syria – ye</w:t>
      </w:r>
      <w:r w:rsidR="00553525" w:rsidRPr="00BE1403">
        <w:t xml:space="preserve">t </w:t>
      </w:r>
      <w:r w:rsidR="00315874">
        <w:t xml:space="preserve">he </w:t>
      </w:r>
      <w:r w:rsidR="00553525" w:rsidRPr="00BE1403">
        <w:t>invalidates this by c</w:t>
      </w:r>
      <w:r w:rsidR="00241309">
        <w:t>reating a case in which the US i</w:t>
      </w:r>
      <w:r w:rsidR="00553525" w:rsidRPr="00BE1403">
        <w:t>s not sufficiently capable o</w:t>
      </w:r>
      <w:r w:rsidR="00315874">
        <w:t>f taking on the task. N</w:t>
      </w:r>
      <w:r w:rsidR="00553525" w:rsidRPr="00BE1403">
        <w:t>orm invalidation takes place where the taboo is constructed as irrelevant in the face of US inability.</w:t>
      </w:r>
      <w:r w:rsidR="008F5FA8" w:rsidRPr="00BE1403">
        <w:t xml:space="preserve"> </w:t>
      </w:r>
      <w:r w:rsidR="00F72C13">
        <w:t>In a further example,</w:t>
      </w:r>
      <w:r w:rsidR="008F5FA8" w:rsidRPr="00BE1403">
        <w:t xml:space="preserve"> Obama</w:t>
      </w:r>
      <w:r w:rsidR="004042F2" w:rsidRPr="00BE1403">
        <w:t xml:space="preserve"> </w:t>
      </w:r>
      <w:r w:rsidR="008F5FA8" w:rsidRPr="00BE1403">
        <w:t>construct</w:t>
      </w:r>
      <w:r w:rsidR="00674ACD" w:rsidRPr="00BE1403">
        <w:t>ed what</w:t>
      </w:r>
      <w:r w:rsidR="0020428E">
        <w:t xml:space="preserve"> the US had</w:t>
      </w:r>
      <w:r w:rsidR="008F5FA8" w:rsidRPr="00BE1403">
        <w:t xml:space="preserve"> already done in respect to inter</w:t>
      </w:r>
      <w:r w:rsidR="00F72C13">
        <w:t>vention</w:t>
      </w:r>
      <w:r w:rsidR="008F5FA8" w:rsidRPr="00BE1403">
        <w:t xml:space="preserve"> in Iraq as an extraordinary sacrifice:</w:t>
      </w:r>
      <w:r w:rsidR="004042F2" w:rsidRPr="00BE1403">
        <w:t xml:space="preserve"> ‘</w:t>
      </w:r>
      <w:r w:rsidR="00AD3EFC" w:rsidRPr="00BE1403">
        <w:t>Over the past decade, American troops have made extraordinary sacrifices to give Iraqis an opportunity to claim their own future.</w:t>
      </w:r>
      <w:r w:rsidR="004042F2" w:rsidRPr="00BE1403">
        <w:t>’</w:t>
      </w:r>
      <w:r w:rsidR="004042F2" w:rsidRPr="00BE1403">
        <w:rPr>
          <w:rStyle w:val="FootnoteReference"/>
        </w:rPr>
        <w:footnoteReference w:id="121"/>
      </w:r>
      <w:r w:rsidR="00AD3EFC" w:rsidRPr="00BE1403">
        <w:t xml:space="preserve"> </w:t>
      </w:r>
      <w:r w:rsidR="006B7949">
        <w:t>Withi</w:t>
      </w:r>
      <w:r w:rsidR="00241309">
        <w:t>n this context, the</w:t>
      </w:r>
      <w:r w:rsidR="008F5FA8" w:rsidRPr="00BE1403">
        <w:t xml:space="preserve"> </w:t>
      </w:r>
      <w:r w:rsidR="0020428E">
        <w:t xml:space="preserve">actions </w:t>
      </w:r>
      <w:r w:rsidR="00241309">
        <w:t>already</w:t>
      </w:r>
      <w:r w:rsidR="00842DA8">
        <w:t xml:space="preserve"> carried out (</w:t>
      </w:r>
      <w:r w:rsidR="008F5FA8" w:rsidRPr="00BE1403">
        <w:t>reg</w:t>
      </w:r>
      <w:r w:rsidR="00842DA8">
        <w:t>ardless</w:t>
      </w:r>
      <w:r w:rsidR="00FC1D32">
        <w:t xml:space="preserve"> of the way </w:t>
      </w:r>
      <w:r w:rsidR="00BF1EF2">
        <w:t>Obama’</w:t>
      </w:r>
      <w:r w:rsidR="00842DA8">
        <w:t>s</w:t>
      </w:r>
      <w:r w:rsidR="000B5FA7">
        <w:t xml:space="preserve"> predecessor Bush</w:t>
      </w:r>
      <w:r w:rsidR="008F5FA8" w:rsidRPr="00BE1403">
        <w:t xml:space="preserve"> constructed this as a respons</w:t>
      </w:r>
      <w:r w:rsidR="00241309">
        <w:t>e to humanitar</w:t>
      </w:r>
      <w:r w:rsidR="001C541F">
        <w:t>ian need)</w:t>
      </w:r>
      <w:r w:rsidR="00241309">
        <w:t xml:space="preserve"> are</w:t>
      </w:r>
      <w:r w:rsidR="008F5FA8" w:rsidRPr="00BE1403">
        <w:t xml:space="preserve"> dismissed as ‘beyond the call of duty.’ The reference </w:t>
      </w:r>
      <w:r w:rsidR="00FC1D32">
        <w:t>to the ‘extraordinary’ indicates</w:t>
      </w:r>
      <w:r w:rsidR="008F5FA8" w:rsidRPr="00BE1403">
        <w:t xml:space="preserve"> that this was not a proportional response to the demand of humanitarian impulse, but a voluntar</w:t>
      </w:r>
      <w:r w:rsidR="0020428E">
        <w:t xml:space="preserve">y, </w:t>
      </w:r>
      <w:r w:rsidR="008F5FA8" w:rsidRPr="00BE1403">
        <w:t>unnecessary</w:t>
      </w:r>
      <w:r w:rsidR="0020428E">
        <w:t>, and excessive</w:t>
      </w:r>
      <w:r w:rsidR="008F5FA8" w:rsidRPr="00BE1403">
        <w:t xml:space="preserve"> gesture on the part of the US</w:t>
      </w:r>
      <w:r w:rsidR="001C541F">
        <w:t>. This was o</w:t>
      </w:r>
      <w:r w:rsidR="008F5FA8" w:rsidRPr="00BE1403">
        <w:t>ne that should not be repeated, in that continui</w:t>
      </w:r>
      <w:r w:rsidR="0020428E">
        <w:t>ng to do more than required would</w:t>
      </w:r>
      <w:r w:rsidR="008F5FA8" w:rsidRPr="00BE1403">
        <w:t xml:space="preserve"> eventually weaken the U</w:t>
      </w:r>
      <w:r w:rsidR="00FC1D32">
        <w:t>S. In this way, Obama constructed</w:t>
      </w:r>
      <w:r w:rsidR="008F5FA8" w:rsidRPr="00BE1403">
        <w:t xml:space="preserve"> the humanitarian ar</w:t>
      </w:r>
      <w:r w:rsidR="0020428E">
        <w:t>gument as irrelevant</w:t>
      </w:r>
      <w:r w:rsidR="008F5FA8" w:rsidRPr="00BE1403">
        <w:t>, or at the very least insufficient</w:t>
      </w:r>
      <w:r w:rsidR="0020428E">
        <w:t>,</w:t>
      </w:r>
      <w:r w:rsidR="008F5FA8" w:rsidRPr="00BE1403">
        <w:t xml:space="preserve"> to compel an already tired US into overstretch.</w:t>
      </w:r>
    </w:p>
    <w:p w14:paraId="7484C835" w14:textId="77777777" w:rsidR="00D61485" w:rsidRPr="00BE1403" w:rsidRDefault="00D61485" w:rsidP="00BB151F">
      <w:pPr>
        <w:spacing w:line="480" w:lineRule="auto"/>
      </w:pPr>
    </w:p>
    <w:p w14:paraId="32528660" w14:textId="55A1EA39" w:rsidR="00B7545D" w:rsidRPr="00BE1403" w:rsidRDefault="00D61485" w:rsidP="00BB151F">
      <w:pPr>
        <w:spacing w:line="480" w:lineRule="auto"/>
      </w:pPr>
      <w:r w:rsidRPr="00BE1403">
        <w:t>In a further layer of rhetorical con</w:t>
      </w:r>
      <w:r w:rsidR="003C3C9E">
        <w:t>struction, Obama also constructed</w:t>
      </w:r>
      <w:r w:rsidRPr="00BE1403">
        <w:t xml:space="preserve"> the push for self-interest </w:t>
      </w:r>
      <w:r w:rsidR="00F712A1" w:rsidRPr="00BE1403">
        <w:t>as a humanitarian action</w:t>
      </w:r>
      <w:r w:rsidR="00AB0511">
        <w:t xml:space="preserve"> in itself,</w:t>
      </w:r>
      <w:r w:rsidR="00B50702" w:rsidRPr="00BE1403">
        <w:t xml:space="preserve"> and not only as a benefit to the US.</w:t>
      </w:r>
      <w:r w:rsidR="000B576E" w:rsidRPr="00BE1403">
        <w:t xml:space="preserve"> </w:t>
      </w:r>
      <w:r w:rsidR="005C35B2" w:rsidRPr="00BE1403">
        <w:t xml:space="preserve">As already highlighted above in relation to Clinton’s </w:t>
      </w:r>
      <w:r w:rsidR="000B576E" w:rsidRPr="00BE1403">
        <w:t>self-interested</w:t>
      </w:r>
      <w:r w:rsidR="005C35B2" w:rsidRPr="00BE1403">
        <w:t xml:space="preserve"> motivation</w:t>
      </w:r>
      <w:r w:rsidR="00AB0511">
        <w:t xml:space="preserve"> with regards</w:t>
      </w:r>
      <w:r w:rsidR="000B576E" w:rsidRPr="00BE1403">
        <w:t xml:space="preserve"> Rwanda</w:t>
      </w:r>
      <w:r w:rsidR="00C46C61">
        <w:t>, while the self-interest argument</w:t>
      </w:r>
      <w:r w:rsidR="005C35B2" w:rsidRPr="00BE1403">
        <w:t xml:space="preserve"> may have sway with aspects of a domestic au</w:t>
      </w:r>
      <w:r w:rsidR="000B576E" w:rsidRPr="00BE1403">
        <w:t xml:space="preserve">dience, merely proclaiming </w:t>
      </w:r>
      <w:r w:rsidR="0034702B">
        <w:t xml:space="preserve">that </w:t>
      </w:r>
      <w:r w:rsidR="005C35B2" w:rsidRPr="00BE1403">
        <w:t>you</w:t>
      </w:r>
      <w:r w:rsidR="000B576E" w:rsidRPr="00BE1403">
        <w:t xml:space="preserve"> are acting </w:t>
      </w:r>
      <w:r w:rsidR="00C46C61">
        <w:t xml:space="preserve">for yourself </w:t>
      </w:r>
      <w:r w:rsidR="000B576E" w:rsidRPr="00BE1403">
        <w:t>tend</w:t>
      </w:r>
      <w:r w:rsidR="002F63D5" w:rsidRPr="00BE1403">
        <w:t>s</w:t>
      </w:r>
      <w:r w:rsidR="000B576E" w:rsidRPr="00BE1403">
        <w:t xml:space="preserve"> to hold little weight, especially when attempting to convince (or at least ward off)</w:t>
      </w:r>
      <w:r w:rsidR="005C35B2" w:rsidRPr="00BE1403">
        <w:t xml:space="preserve"> humanitarian supporters. Obama</w:t>
      </w:r>
      <w:r w:rsidR="00DE361C">
        <w:t>, however,</w:t>
      </w:r>
      <w:r w:rsidR="005C35B2" w:rsidRPr="00BE1403">
        <w:t xml:space="preserve"> effectively covers this up by stating that</w:t>
      </w:r>
      <w:r w:rsidR="00CD1F86" w:rsidRPr="00BE1403">
        <w:t xml:space="preserve"> </w:t>
      </w:r>
      <w:r w:rsidR="004F752E" w:rsidRPr="00BE1403">
        <w:t>non-interventionist</w:t>
      </w:r>
      <w:r w:rsidR="00CD1F86" w:rsidRPr="00BE1403">
        <w:t xml:space="preserve"> policy</w:t>
      </w:r>
      <w:r w:rsidR="004F752E" w:rsidRPr="00BE1403">
        <w:t xml:space="preserve"> </w:t>
      </w:r>
      <w:r w:rsidR="005C35B2" w:rsidRPr="00BE1403">
        <w:t>is compliant wit</w:t>
      </w:r>
      <w:r w:rsidR="000B576E" w:rsidRPr="00BE1403">
        <w:t>h American E</w:t>
      </w:r>
      <w:r w:rsidR="005C35B2" w:rsidRPr="00BE1403">
        <w:t>xceptionalism</w:t>
      </w:r>
      <w:r w:rsidR="000B576E" w:rsidRPr="00BE1403">
        <w:t xml:space="preserve"> (AE)</w:t>
      </w:r>
      <w:r w:rsidR="005C35B2" w:rsidRPr="00BE1403">
        <w:t xml:space="preserve"> and the m</w:t>
      </w:r>
      <w:r w:rsidR="0034702B">
        <w:t>oral values</w:t>
      </w:r>
      <w:r w:rsidR="005C35B2" w:rsidRPr="00BE1403">
        <w:t xml:space="preserve"> underpin</w:t>
      </w:r>
      <w:r w:rsidR="0034702B">
        <w:t>ning</w:t>
      </w:r>
      <w:r w:rsidR="005C35B2" w:rsidRPr="00BE1403">
        <w:t xml:space="preserve"> this.</w:t>
      </w:r>
      <w:r w:rsidR="00ED298D">
        <w:t xml:space="preserve"> H</w:t>
      </w:r>
      <w:r w:rsidR="000B576E" w:rsidRPr="00BE1403">
        <w:t>e</w:t>
      </w:r>
      <w:r w:rsidR="00CD1F86" w:rsidRPr="00BE1403">
        <w:t xml:space="preserve"> </w:t>
      </w:r>
      <w:r w:rsidR="000B576E" w:rsidRPr="00BE1403">
        <w:t>uses</w:t>
      </w:r>
      <w:r w:rsidR="00CD1F86" w:rsidRPr="00BE1403">
        <w:t xml:space="preserve"> the </w:t>
      </w:r>
      <w:r w:rsidR="000B576E" w:rsidRPr="00BE1403">
        <w:t>normative structures</w:t>
      </w:r>
      <w:r w:rsidR="00CD1F86" w:rsidRPr="00BE1403">
        <w:t xml:space="preserve"> </w:t>
      </w:r>
      <w:r w:rsidR="000B576E" w:rsidRPr="00BE1403">
        <w:t xml:space="preserve">associated with </w:t>
      </w:r>
      <w:r w:rsidR="00CD1F86" w:rsidRPr="00BE1403">
        <w:t xml:space="preserve">AE to take the place of the humanitarian impulse – the implication being that this policy is still driven by </w:t>
      </w:r>
      <w:r w:rsidR="000B576E" w:rsidRPr="00BE1403">
        <w:t>proper</w:t>
      </w:r>
      <w:r w:rsidR="00CD1F86" w:rsidRPr="00BE1403">
        <w:t xml:space="preserve"> and moral </w:t>
      </w:r>
      <w:r w:rsidR="00D1399F" w:rsidRPr="00BE1403">
        <w:t>feeling.</w:t>
      </w:r>
      <w:r w:rsidR="00CE4FCE" w:rsidRPr="00BE1403">
        <w:t xml:space="preserve"> People can support non-interv</w:t>
      </w:r>
      <w:r w:rsidR="0034702B">
        <w:t>ention and still do</w:t>
      </w:r>
      <w:r w:rsidR="00CE4FCE" w:rsidRPr="00BE1403">
        <w:t xml:space="preserve"> the </w:t>
      </w:r>
      <w:r w:rsidR="000B576E" w:rsidRPr="00BE1403">
        <w:t>‘</w:t>
      </w:r>
      <w:r w:rsidR="00CE4FCE" w:rsidRPr="00BE1403">
        <w:t>right</w:t>
      </w:r>
      <w:r w:rsidR="000B576E" w:rsidRPr="00BE1403">
        <w:t>’</w:t>
      </w:r>
      <w:r w:rsidR="00CE4FCE" w:rsidRPr="00BE1403">
        <w:t xml:space="preserve"> thing.</w:t>
      </w:r>
      <w:r w:rsidR="000E2FEE" w:rsidRPr="00BE1403">
        <w:t xml:space="preserve"> </w:t>
      </w:r>
      <w:r w:rsidR="00B7545D" w:rsidRPr="00BE1403">
        <w:t xml:space="preserve">In line with the argument above that the US is incapable of </w:t>
      </w:r>
      <w:r w:rsidR="0034702B">
        <w:t>multiple</w:t>
      </w:r>
      <w:r w:rsidR="00B7545D" w:rsidRPr="00BE1403">
        <w:t xml:space="preserve"> acts of </w:t>
      </w:r>
      <w:r w:rsidR="00ED6CBC">
        <w:t>intervention, Obama demonstrates</w:t>
      </w:r>
      <w:r w:rsidR="00B7545D" w:rsidRPr="00BE1403">
        <w:t xml:space="preserve"> that </w:t>
      </w:r>
      <w:r w:rsidR="000E2FEE" w:rsidRPr="00BE1403">
        <w:t xml:space="preserve">AE cannot be achieved without resort to moderation. </w:t>
      </w:r>
      <w:r w:rsidR="00B7545D" w:rsidRPr="00BE1403">
        <w:t xml:space="preserve">The US risks exhaustion, at which point it will not be exceptional any longer. </w:t>
      </w:r>
      <w:r w:rsidR="00177949">
        <w:t xml:space="preserve">Moreover, </w:t>
      </w:r>
      <w:r w:rsidR="000E2FEE" w:rsidRPr="00BE1403">
        <w:t>exceptionalism has</w:t>
      </w:r>
      <w:r w:rsidR="0034702B">
        <w:t xml:space="preserve"> </w:t>
      </w:r>
      <w:r w:rsidR="000E2FEE" w:rsidRPr="00BE1403">
        <w:t>never required the US to intervene in every case</w:t>
      </w:r>
      <w:r w:rsidR="00B7545D" w:rsidRPr="00BE1403">
        <w:t xml:space="preserve"> </w:t>
      </w:r>
      <w:r w:rsidR="0034702B">
        <w:t xml:space="preserve">(as history will attest) and that </w:t>
      </w:r>
      <w:r w:rsidR="00B7545D" w:rsidRPr="00BE1403">
        <w:t xml:space="preserve">the protecting US interests is the best way to exert AE and help the world. </w:t>
      </w:r>
      <w:r w:rsidR="00021B7E">
        <w:t>Obama</w:t>
      </w:r>
      <w:r w:rsidR="000E2FEE" w:rsidRPr="00BE1403">
        <w:t xml:space="preserve"> says</w:t>
      </w:r>
      <w:r w:rsidR="00B7545D" w:rsidRPr="00BE1403">
        <w:t>:</w:t>
      </w:r>
    </w:p>
    <w:p w14:paraId="6561262C" w14:textId="77777777" w:rsidR="00B7545D" w:rsidRPr="00BE1403" w:rsidRDefault="00B7545D" w:rsidP="00BB151F">
      <w:pPr>
        <w:spacing w:line="480" w:lineRule="auto"/>
      </w:pPr>
    </w:p>
    <w:p w14:paraId="7975389D" w14:textId="4A3BB389" w:rsidR="00B7545D" w:rsidRPr="00BE1403" w:rsidRDefault="00B7545D" w:rsidP="00BB151F">
      <w:pPr>
        <w:spacing w:line="480" w:lineRule="auto"/>
        <w:ind w:left="567"/>
      </w:pPr>
      <w:r w:rsidRPr="00BE1403">
        <w:t>[</w:t>
      </w:r>
      <w:proofErr w:type="gramStart"/>
      <w:r w:rsidRPr="00BE1403">
        <w:t>W]</w:t>
      </w:r>
      <w:proofErr w:type="spellStart"/>
      <w:r w:rsidR="000E2FEE" w:rsidRPr="00BE1403">
        <w:t>hile</w:t>
      </w:r>
      <w:proofErr w:type="spellEnd"/>
      <w:proofErr w:type="gramEnd"/>
      <w:r w:rsidR="000E2FEE" w:rsidRPr="00BE1403">
        <w:t xml:space="preserve"> America has never been able to right every wrong, America has made the world a more secure and prosperous place. And our leadership is necessary to underwrite the global security and prosperity that our children and our grandchildren will depend upon. We do so by adhering to a set of core principles: We do whatever is necessary to protect our people</w:t>
      </w:r>
      <w:r w:rsidRPr="00BE1403">
        <w:t>.</w:t>
      </w:r>
      <w:r w:rsidR="004042F2" w:rsidRPr="00BE1403">
        <w:rPr>
          <w:rStyle w:val="FootnoteReference"/>
        </w:rPr>
        <w:footnoteReference w:id="122"/>
      </w:r>
    </w:p>
    <w:p w14:paraId="1615AEAC" w14:textId="77777777" w:rsidR="00B7545D" w:rsidRPr="00BE1403" w:rsidRDefault="00B7545D" w:rsidP="00BB151F">
      <w:pPr>
        <w:spacing w:line="480" w:lineRule="auto"/>
      </w:pPr>
    </w:p>
    <w:p w14:paraId="6FF24B53" w14:textId="04B2B44A" w:rsidR="001867D9" w:rsidRPr="00BE1403" w:rsidRDefault="00B7545D" w:rsidP="00BB151F">
      <w:pPr>
        <w:spacing w:line="480" w:lineRule="auto"/>
      </w:pPr>
      <w:r w:rsidRPr="00BE1403">
        <w:t xml:space="preserve">Obama reconstructs </w:t>
      </w:r>
      <w:r w:rsidR="000E2FEE" w:rsidRPr="00BE1403">
        <w:t xml:space="preserve">AE </w:t>
      </w:r>
      <w:r w:rsidRPr="00BE1403">
        <w:t>as concerned with</w:t>
      </w:r>
      <w:r w:rsidR="000E2FEE" w:rsidRPr="00BE1403">
        <w:t xml:space="preserve"> putting Americans first, where this </w:t>
      </w:r>
      <w:r w:rsidRPr="00BE1403">
        <w:t xml:space="preserve">then </w:t>
      </w:r>
      <w:r w:rsidR="000E2FEE" w:rsidRPr="00BE1403">
        <w:t xml:space="preserve">permits </w:t>
      </w:r>
      <w:r w:rsidRPr="00BE1403">
        <w:t xml:space="preserve">the US to realise its exceptionalism </w:t>
      </w:r>
      <w:r w:rsidR="000E2FEE" w:rsidRPr="00BE1403">
        <w:t xml:space="preserve">and provide security to the world. </w:t>
      </w:r>
      <w:r w:rsidR="0027188D">
        <w:t xml:space="preserve">As </w:t>
      </w:r>
      <w:r w:rsidRPr="00BE1403">
        <w:t>well as invalidating the humanitari</w:t>
      </w:r>
      <w:r w:rsidR="00ED6CBC">
        <w:t>an taboo, Obama also</w:t>
      </w:r>
      <w:r w:rsidRPr="00BE1403">
        <w:t xml:space="preserve"> reconstructs a derived substitute in its place.</w:t>
      </w:r>
      <w:r w:rsidR="00D65307">
        <w:t xml:space="preserve"> This is still concerned with</w:t>
      </w:r>
      <w:r w:rsidR="009F1C26" w:rsidRPr="00BE1403">
        <w:t xml:space="preserve"> upholding the r</w:t>
      </w:r>
      <w:r w:rsidR="00D65307">
        <w:t>ights of people across the globe</w:t>
      </w:r>
      <w:r w:rsidR="009F1C26" w:rsidRPr="00BE1403">
        <w:t xml:space="preserve">, </w:t>
      </w:r>
      <w:r w:rsidR="00E422A3" w:rsidRPr="00BE1403">
        <w:t>but also prioritises US interests a</w:t>
      </w:r>
      <w:r w:rsidR="00D65307">
        <w:t>s a necessary precursor</w:t>
      </w:r>
      <w:r w:rsidR="00E422A3" w:rsidRPr="00BE1403">
        <w:t>.</w:t>
      </w:r>
      <w:r w:rsidR="001867D9" w:rsidRPr="00BE1403">
        <w:t xml:space="preserve"> </w:t>
      </w:r>
      <w:r w:rsidR="00D65307">
        <w:t>Critically</w:t>
      </w:r>
      <w:r w:rsidR="000E2FEE" w:rsidRPr="00BE1403">
        <w:t>, this</w:t>
      </w:r>
      <w:r w:rsidR="00ED6CBC">
        <w:t xml:space="preserve"> i</w:t>
      </w:r>
      <w:r w:rsidR="00D65307">
        <w:t xml:space="preserve">s a limited rhetoric. It </w:t>
      </w:r>
      <w:r w:rsidR="000E2FEE" w:rsidRPr="00BE1403">
        <w:t>appeal</w:t>
      </w:r>
      <w:r w:rsidR="00D65307">
        <w:t>s</w:t>
      </w:r>
      <w:r w:rsidR="000E2FEE" w:rsidRPr="00BE1403">
        <w:t xml:space="preserve"> only to a domestic audience; and in that sense,</w:t>
      </w:r>
      <w:r w:rsidR="00ED6CBC">
        <w:t xml:space="preserve"> it is worth noting that Obama wa</w:t>
      </w:r>
      <w:r w:rsidR="000E2FEE" w:rsidRPr="00BE1403">
        <w:t xml:space="preserve">s still heavily criticised for his foreign policy, especially </w:t>
      </w:r>
      <w:r w:rsidR="001867D9" w:rsidRPr="00BE1403">
        <w:t>concerning non-intervention in</w:t>
      </w:r>
      <w:r w:rsidR="000E2FEE" w:rsidRPr="00BE1403">
        <w:t xml:space="preserve"> Syria. </w:t>
      </w:r>
      <w:r w:rsidR="001867D9" w:rsidRPr="00BE1403">
        <w:t>Yet this</w:t>
      </w:r>
      <w:r w:rsidR="00D65307">
        <w:t xml:space="preserve"> again</w:t>
      </w:r>
      <w:r w:rsidR="001867D9" w:rsidRPr="00BE1403">
        <w:t xml:space="preserve"> supports the main </w:t>
      </w:r>
      <w:r w:rsidR="00D65307">
        <w:t>thesis of this article. It demonstrates</w:t>
      </w:r>
      <w:r w:rsidR="001867D9" w:rsidRPr="00BE1403">
        <w:t xml:space="preserve"> that unless an actor adopts a strategy</w:t>
      </w:r>
      <w:r w:rsidR="00D65307">
        <w:t xml:space="preserve"> that</w:t>
      </w:r>
      <w:r w:rsidR="001867D9" w:rsidRPr="00BE1403">
        <w:t xml:space="preserve"> fully invalidates a taboo (or provides a full substitute, as in the case here), this will weaken the chances of rhetorical success. Actors may be strategic, but </w:t>
      </w:r>
      <w:r w:rsidR="00D65307">
        <w:t>they have to be total in their approach</w:t>
      </w:r>
      <w:r w:rsidR="001867D9" w:rsidRPr="00BE1403">
        <w:t xml:space="preserve"> or they</w:t>
      </w:r>
      <w:r w:rsidR="00D65307">
        <w:t xml:space="preserve"> risk creating</w:t>
      </w:r>
      <w:r w:rsidR="001867D9" w:rsidRPr="00BE1403">
        <w:t xml:space="preserve"> </w:t>
      </w:r>
      <w:r w:rsidR="0071502A">
        <w:t>normative</w:t>
      </w:r>
      <w:r w:rsidR="001867D9" w:rsidRPr="00BE1403">
        <w:t xml:space="preserve"> loopholes that potentially undermine their overall strategy.</w:t>
      </w:r>
    </w:p>
    <w:p w14:paraId="6F54E79F" w14:textId="77777777" w:rsidR="00FD6073" w:rsidRPr="00BE1403" w:rsidRDefault="00FD6073" w:rsidP="00BB151F">
      <w:pPr>
        <w:spacing w:line="480" w:lineRule="auto"/>
      </w:pPr>
    </w:p>
    <w:p w14:paraId="0663CB09" w14:textId="3D34124B" w:rsidR="00674ACD" w:rsidRPr="00BE1403" w:rsidRDefault="00526A66" w:rsidP="00BB151F">
      <w:pPr>
        <w:spacing w:line="480" w:lineRule="auto"/>
      </w:pPr>
      <w:r>
        <w:t xml:space="preserve">Normative </w:t>
      </w:r>
      <w:r w:rsidR="00BD1F74">
        <w:t>cherry picking</w:t>
      </w:r>
      <w:r w:rsidR="007B59FE">
        <w:t xml:space="preserve"> is also relevant to Obama’s</w:t>
      </w:r>
      <w:r w:rsidR="0060419F" w:rsidRPr="00BE1403">
        <w:t xml:space="preserve"> dual invalidation of the</w:t>
      </w:r>
      <w:r w:rsidR="007B59FE">
        <w:t xml:space="preserve"> sovereignty taboo</w:t>
      </w:r>
      <w:r w:rsidR="00FD6073" w:rsidRPr="00BE1403">
        <w:t xml:space="preserve">. </w:t>
      </w:r>
      <w:r w:rsidR="0093478F" w:rsidRPr="00BE1403">
        <w:t xml:space="preserve">As well as a case of US self-interest, </w:t>
      </w:r>
      <w:r w:rsidR="00FD6073" w:rsidRPr="00BE1403">
        <w:t>Obama</w:t>
      </w:r>
      <w:r w:rsidR="0093478F" w:rsidRPr="00BE1403">
        <w:t xml:space="preserve"> also</w:t>
      </w:r>
      <w:r w:rsidR="008C62F6">
        <w:t xml:space="preserve"> presented</w:t>
      </w:r>
      <w:r w:rsidR="0093478F" w:rsidRPr="00BE1403">
        <w:t xml:space="preserve"> </w:t>
      </w:r>
      <w:r w:rsidR="00FD6073" w:rsidRPr="00BE1403">
        <w:t>inter</w:t>
      </w:r>
      <w:r w:rsidR="008C62F6">
        <w:t>vention within the terms that this</w:t>
      </w:r>
      <w:r w:rsidR="00FD6073" w:rsidRPr="00BE1403">
        <w:t xml:space="preserve"> does not work anyway</w:t>
      </w:r>
      <w:r w:rsidR="005C35B2" w:rsidRPr="00BE1403">
        <w:t xml:space="preserve">: </w:t>
      </w:r>
    </w:p>
    <w:p w14:paraId="2CE8DD2E" w14:textId="77777777" w:rsidR="00674ACD" w:rsidRPr="00BE1403" w:rsidRDefault="00674ACD" w:rsidP="00BB151F">
      <w:pPr>
        <w:spacing w:line="480" w:lineRule="auto"/>
      </w:pPr>
    </w:p>
    <w:p w14:paraId="6D607E24" w14:textId="5BC61CA4" w:rsidR="00674ACD" w:rsidRPr="00BE1403" w:rsidRDefault="005C35B2" w:rsidP="00BB151F">
      <w:pPr>
        <w:spacing w:line="480" w:lineRule="auto"/>
        <w:ind w:left="567"/>
      </w:pPr>
      <w:r w:rsidRPr="00BE1403">
        <w:t>And the one thing we have learned is, is that when we do things alone and the countries – the people of those countries – aren’t doing it for themselves, as soon as we leave we start getting into the same problems. So we've got to do things differently.</w:t>
      </w:r>
      <w:r w:rsidR="004042F2" w:rsidRPr="00BE1403">
        <w:rPr>
          <w:rStyle w:val="FootnoteReference"/>
        </w:rPr>
        <w:footnoteReference w:id="123"/>
      </w:r>
    </w:p>
    <w:p w14:paraId="496B137A" w14:textId="77777777" w:rsidR="00674ACD" w:rsidRPr="00BE1403" w:rsidRDefault="00674ACD" w:rsidP="00BB151F">
      <w:pPr>
        <w:spacing w:line="480" w:lineRule="auto"/>
      </w:pPr>
    </w:p>
    <w:p w14:paraId="47152C1E" w14:textId="4FD23A4C" w:rsidR="00F9089B" w:rsidRPr="00BE1403" w:rsidRDefault="00BD1F74" w:rsidP="00BB151F">
      <w:pPr>
        <w:spacing w:line="480" w:lineRule="auto"/>
      </w:pPr>
      <w:r>
        <w:t>Such an approach</w:t>
      </w:r>
      <w:r w:rsidR="001A4478">
        <w:t xml:space="preserve"> ostensibly</w:t>
      </w:r>
      <w:r w:rsidR="00FD6073" w:rsidRPr="00BE1403">
        <w:t xml:space="preserve"> pla</w:t>
      </w:r>
      <w:r w:rsidR="002E34DB">
        <w:t>ys into the sovereignty taboo</w:t>
      </w:r>
      <w:r w:rsidR="00FD6073" w:rsidRPr="00BE1403">
        <w:t xml:space="preserve"> </w:t>
      </w:r>
      <w:r w:rsidR="001A4478">
        <w:t>where</w:t>
      </w:r>
      <w:r w:rsidR="00FD6073" w:rsidRPr="00BE1403">
        <w:t xml:space="preserve"> it implies the country in que</w:t>
      </w:r>
      <w:r w:rsidR="001A4478">
        <w:t>stion should resolve matters</w:t>
      </w:r>
      <w:r w:rsidR="003F73B7">
        <w:t xml:space="preserve"> itself. T</w:t>
      </w:r>
      <w:r w:rsidR="00FD6073" w:rsidRPr="00BE1403">
        <w:t>his is the message Obama conveyed in stating that the only involv</w:t>
      </w:r>
      <w:r w:rsidR="001A4478">
        <w:t>ement the US should have</w:t>
      </w:r>
      <w:r w:rsidR="00FD6073" w:rsidRPr="00BE1403">
        <w:t xml:space="preserve"> was to train and develop the Iraqi army to deal with threats suc</w:t>
      </w:r>
      <w:r w:rsidR="001A4478">
        <w:t>h as Islamic State alone</w:t>
      </w:r>
      <w:r w:rsidR="0032355D" w:rsidRPr="00BE1403">
        <w:t xml:space="preserve">: </w:t>
      </w:r>
      <w:r w:rsidR="004042F2" w:rsidRPr="00BE1403">
        <w:t>‘</w:t>
      </w:r>
      <w:r w:rsidR="0032355D" w:rsidRPr="00BE1403">
        <w:t>American forces will not be returning to combat in Iraq, but we will help Iraqis as they take the fight to terrorists who threaten the Iraqi people, the region, and American interests as well</w:t>
      </w:r>
      <w:r w:rsidR="004042F2" w:rsidRPr="00BE1403">
        <w:t>.’</w:t>
      </w:r>
      <w:r w:rsidR="004042F2" w:rsidRPr="00BE1403">
        <w:rPr>
          <w:rStyle w:val="FootnoteReference"/>
        </w:rPr>
        <w:footnoteReference w:id="124"/>
      </w:r>
      <w:r w:rsidR="0032355D" w:rsidRPr="00BE1403">
        <w:t xml:space="preserve"> </w:t>
      </w:r>
      <w:r>
        <w:t>This plan</w:t>
      </w:r>
      <w:r w:rsidR="00FD6073" w:rsidRPr="00BE1403">
        <w:t xml:space="preserve"> was </w:t>
      </w:r>
      <w:r w:rsidR="001A4478">
        <w:t xml:space="preserve">identified as </w:t>
      </w:r>
      <w:r w:rsidR="00FD6073" w:rsidRPr="00BE1403">
        <w:t xml:space="preserve">the only solution to the crisis, where US intervention would </w:t>
      </w:r>
      <w:r w:rsidR="00F9089B" w:rsidRPr="00BE1403">
        <w:t xml:space="preserve">never solve </w:t>
      </w:r>
      <w:r w:rsidR="00FD6073" w:rsidRPr="00BE1403">
        <w:t>it</w:t>
      </w:r>
      <w:r w:rsidR="00F9089B" w:rsidRPr="00BE1403">
        <w:t xml:space="preserve">: </w:t>
      </w:r>
    </w:p>
    <w:p w14:paraId="4B08CCA8" w14:textId="77777777" w:rsidR="00F9089B" w:rsidRPr="00BE1403" w:rsidRDefault="00F9089B" w:rsidP="00BB151F">
      <w:pPr>
        <w:spacing w:line="480" w:lineRule="auto"/>
      </w:pPr>
    </w:p>
    <w:p w14:paraId="7BA17F3D" w14:textId="58780E18" w:rsidR="00F9089B" w:rsidRPr="00BE1403" w:rsidRDefault="00F9089B" w:rsidP="00BB151F">
      <w:pPr>
        <w:spacing w:line="480" w:lineRule="auto"/>
        <w:ind w:left="567"/>
      </w:pPr>
      <w:r w:rsidRPr="00BE1403">
        <w:t xml:space="preserve">But it [peace] can only last if the people in these countries themselves are able to arrive at the kinds of political accommodations and compromise that any civilized society requires. And so it would be, I think, a big mistake for us to think that we can, on the cheap, simply go in, </w:t>
      </w:r>
      <w:proofErr w:type="gramStart"/>
      <w:r w:rsidRPr="00BE1403">
        <w:t>tamp</w:t>
      </w:r>
      <w:proofErr w:type="gramEnd"/>
      <w:r w:rsidRPr="00BE1403">
        <w:t xml:space="preserve"> everything down again, restart without some fundamental shift in attitudes among the various Iraqi factions. That's why it is so important to have an Iraqi Government on the ground that is taking responsibility that we can </w:t>
      </w:r>
      <w:r w:rsidR="00734459" w:rsidRPr="00BE1403">
        <w:t xml:space="preserve">help, that we can partner </w:t>
      </w:r>
      <w:proofErr w:type="gramStart"/>
      <w:r w:rsidR="00734459" w:rsidRPr="00BE1403">
        <w:t xml:space="preserve">with, </w:t>
      </w:r>
      <w:r w:rsidRPr="00BE1403">
        <w:t>that</w:t>
      </w:r>
      <w:proofErr w:type="gramEnd"/>
      <w:r w:rsidRPr="00BE1403">
        <w:t xml:space="preserve"> has the capacity to get alliances in the region.</w:t>
      </w:r>
      <w:r w:rsidR="004042F2" w:rsidRPr="00BE1403">
        <w:rPr>
          <w:rStyle w:val="FootnoteReference"/>
        </w:rPr>
        <w:footnoteReference w:id="125"/>
      </w:r>
    </w:p>
    <w:p w14:paraId="4A525DD8" w14:textId="77777777" w:rsidR="00F9089B" w:rsidRPr="00BE1403" w:rsidRDefault="00F9089B" w:rsidP="00BB151F">
      <w:pPr>
        <w:spacing w:line="480" w:lineRule="auto"/>
      </w:pPr>
    </w:p>
    <w:p w14:paraId="09C34991" w14:textId="02E7592D" w:rsidR="00FD6073" w:rsidRPr="00BE1403" w:rsidRDefault="001A4478" w:rsidP="00BB151F">
      <w:pPr>
        <w:spacing w:line="480" w:lineRule="auto"/>
      </w:pPr>
      <w:r>
        <w:t>M</w:t>
      </w:r>
      <w:r w:rsidR="00E658A8">
        <w:t>ore bluntly, Obama</w:t>
      </w:r>
      <w:r w:rsidR="00FD6073" w:rsidRPr="00BE1403">
        <w:t xml:space="preserve"> said </w:t>
      </w:r>
      <w:r w:rsidR="00986BCE" w:rsidRPr="00BE1403">
        <w:t>Iraqi</w:t>
      </w:r>
      <w:r w:rsidR="00CD31E7">
        <w:t>s must take charge,</w:t>
      </w:r>
      <w:r w:rsidR="004042F2" w:rsidRPr="00BE1403">
        <w:t xml:space="preserve"> ‘</w:t>
      </w:r>
      <w:r w:rsidR="00CD31E7">
        <w:t>[</w:t>
      </w:r>
      <w:proofErr w:type="gramStart"/>
      <w:r w:rsidR="00CD31E7">
        <w:t>b]</w:t>
      </w:r>
      <w:proofErr w:type="spellStart"/>
      <w:r w:rsidR="004B19E2" w:rsidRPr="00BE1403">
        <w:t>ecause</w:t>
      </w:r>
      <w:proofErr w:type="spellEnd"/>
      <w:proofErr w:type="gramEnd"/>
      <w:r w:rsidR="004B19E2" w:rsidRPr="00BE1403">
        <w:t xml:space="preserve"> ultimately, it is up to the Iraqis to bridge their differences and secure themselves.</w:t>
      </w:r>
      <w:r w:rsidR="004042F2" w:rsidRPr="00BE1403">
        <w:t>’</w:t>
      </w:r>
      <w:r w:rsidR="004042F2" w:rsidRPr="00BE1403">
        <w:rPr>
          <w:rStyle w:val="FootnoteReference"/>
        </w:rPr>
        <w:footnoteReference w:id="126"/>
      </w:r>
      <w:r w:rsidR="00674ACD" w:rsidRPr="00BE1403">
        <w:t xml:space="preserve"> </w:t>
      </w:r>
      <w:r w:rsidR="00076D16" w:rsidRPr="00BE1403">
        <w:t xml:space="preserve">This could be seen </w:t>
      </w:r>
      <w:r>
        <w:t>as</w:t>
      </w:r>
      <w:r w:rsidR="00076D16" w:rsidRPr="00BE1403">
        <w:t xml:space="preserve"> a case of playing the sovereignty card. Yet Obama </w:t>
      </w:r>
      <w:r>
        <w:t>also necessarily invalidates this</w:t>
      </w:r>
      <w:r w:rsidR="00076D16" w:rsidRPr="00BE1403">
        <w:t xml:space="preserve"> taboo when he invokes the US interest argument. As with the rejection of the humanitarian </w:t>
      </w:r>
      <w:r>
        <w:t xml:space="preserve">impulse on the basis of </w:t>
      </w:r>
      <w:r w:rsidR="00B663A2">
        <w:t>US</w:t>
      </w:r>
      <w:r w:rsidR="00131EAD" w:rsidRPr="00BE1403">
        <w:t xml:space="preserve"> interest, so too goes the sovereignty debate. If intervention itself is deemed redundant, then both taboos are invalidated.</w:t>
      </w:r>
      <w:r w:rsidR="00B663A2">
        <w:t xml:space="preserve"> What is seen here, therefore</w:t>
      </w:r>
      <w:r w:rsidR="00654CCE" w:rsidRPr="00BE1403">
        <w:t xml:space="preserve">, is </w:t>
      </w:r>
      <w:r w:rsidR="00B663A2">
        <w:t xml:space="preserve">that same strategic action </w:t>
      </w:r>
      <w:r w:rsidR="00654CCE" w:rsidRPr="00BE1403">
        <w:t>in respect to AE, where aspects of the taboo are still drawn upon in order to shore up the wider rhetorical approach.</w:t>
      </w:r>
      <w:r w:rsidR="00200E61" w:rsidRPr="00BE1403">
        <w:t xml:space="preserve"> Obama breaks apart the taboo he has invalidated and mines it for linguistic resources that can </w:t>
      </w:r>
      <w:r w:rsidR="00A818AC">
        <w:t>still be applied in his favour;</w:t>
      </w:r>
      <w:r w:rsidR="00200E61" w:rsidRPr="00BE1403">
        <w:t xml:space="preserve"> in this case, the idea that this was never </w:t>
      </w:r>
      <w:r w:rsidR="00B663A2">
        <w:t xml:space="preserve">America’s problem </w:t>
      </w:r>
      <w:r w:rsidR="00200E61" w:rsidRPr="00BE1403">
        <w:t>and that it belongs within the sovereign borders of Iraq.</w:t>
      </w:r>
      <w:r w:rsidR="00F77C54" w:rsidRPr="00BE1403">
        <w:t xml:space="preserve"> </w:t>
      </w:r>
    </w:p>
    <w:p w14:paraId="33197B6A" w14:textId="77777777" w:rsidR="00654CCE" w:rsidRPr="00BE1403" w:rsidRDefault="00654CCE" w:rsidP="00BB151F">
      <w:pPr>
        <w:spacing w:line="480" w:lineRule="auto"/>
      </w:pPr>
    </w:p>
    <w:p w14:paraId="748679C2" w14:textId="70B2526A" w:rsidR="00F77C54" w:rsidRPr="00BE1403" w:rsidRDefault="00814D53" w:rsidP="00BB151F">
      <w:pPr>
        <w:spacing w:line="480" w:lineRule="auto"/>
      </w:pPr>
      <w:r>
        <w:t>T</w:t>
      </w:r>
      <w:r w:rsidR="00213F2A" w:rsidRPr="00BE1403">
        <w:t>he process of n</w:t>
      </w:r>
      <w:r w:rsidR="003B53B0">
        <w:t xml:space="preserve">ormative invalidation, while necessary, </w:t>
      </w:r>
      <w:r w:rsidR="00213F2A" w:rsidRPr="00BE1403">
        <w:t>is not l</w:t>
      </w:r>
      <w:r w:rsidR="003B53B0">
        <w:t>imited to one taboo</w:t>
      </w:r>
      <w:r w:rsidR="00213F2A" w:rsidRPr="00BE1403">
        <w:t>. Both can be invalidated, depending on the strategic needs of the actor. Critically, this</w:t>
      </w:r>
      <w:r w:rsidR="00A818AC">
        <w:t xml:space="preserve"> does still involve</w:t>
      </w:r>
      <w:r w:rsidR="00213F2A" w:rsidRPr="00BE1403">
        <w:t xml:space="preserve"> the process of invalidation: an actor cannot simply introduce </w:t>
      </w:r>
      <w:r w:rsidR="003B53B0">
        <w:t>an alternative rhetorical strategy</w:t>
      </w:r>
      <w:r w:rsidR="00213F2A" w:rsidRPr="00BE1403">
        <w:t xml:space="preserve"> without addressing these taboos</w:t>
      </w:r>
      <w:r w:rsidR="003B53B0">
        <w:t xml:space="preserve">. </w:t>
      </w:r>
      <w:r w:rsidR="00AF671F" w:rsidRPr="00BE1403">
        <w:t xml:space="preserve">Yet this </w:t>
      </w:r>
      <w:r w:rsidR="003B53B0">
        <w:t>study demonstrates</w:t>
      </w:r>
      <w:r w:rsidR="00213F2A" w:rsidRPr="00BE1403">
        <w:t xml:space="preserve"> the extent to which an actor can be strategic within the confines of this normative restriction. These ta</w:t>
      </w:r>
      <w:r w:rsidR="003B53B0">
        <w:t>boos are resources</w:t>
      </w:r>
      <w:r w:rsidR="00213F2A" w:rsidRPr="00BE1403">
        <w:t xml:space="preserve">; not just as an entire narrative, but also through individual elements of that narrative that can be </w:t>
      </w:r>
      <w:r w:rsidR="003B53B0">
        <w:t>separated</w:t>
      </w:r>
      <w:r w:rsidR="00213F2A" w:rsidRPr="00BE1403">
        <w:t xml:space="preserve"> according to the desire and the rhetorical skill of the actor. Even following an act of norm</w:t>
      </w:r>
      <w:r w:rsidR="00A818AC">
        <w:t>ative</w:t>
      </w:r>
      <w:r w:rsidR="00213F2A" w:rsidRPr="00BE1403">
        <w:t xml:space="preserve"> invalidation, these can still be </w:t>
      </w:r>
      <w:r w:rsidR="003B53B0">
        <w:t>rhetorically employed to achieve strategic</w:t>
      </w:r>
      <w:r w:rsidR="00213F2A" w:rsidRPr="00BE1403">
        <w:t xml:space="preserve"> ends, as long as this does not disturb the original invalidation. For example, that Obama could only draw on the narrative of humanitarian impulse because this was effectively re-constructed within the context of AE</w:t>
      </w:r>
      <w:r w:rsidR="003B53B0">
        <w:t>,</w:t>
      </w:r>
      <w:r w:rsidR="00213F2A" w:rsidRPr="00BE1403">
        <w:t xml:space="preserve"> and so this did not disrupt the initial </w:t>
      </w:r>
      <w:r w:rsidR="00A818AC">
        <w:t>invalidation</w:t>
      </w:r>
      <w:r w:rsidR="00213F2A" w:rsidRPr="00BE1403">
        <w:t>.</w:t>
      </w:r>
      <w:r w:rsidR="003B53B0">
        <w:t xml:space="preserve"> T</w:t>
      </w:r>
      <w:r w:rsidR="0000071C" w:rsidRPr="00BE1403">
        <w:t xml:space="preserve">his is not simply a question of restraint, </w:t>
      </w:r>
      <w:r w:rsidR="003B53B0">
        <w:t xml:space="preserve">therefore, but strategic control. It is </w:t>
      </w:r>
      <w:r w:rsidR="0000071C" w:rsidRPr="00BE1403">
        <w:t>a case in which an actor, although having to address</w:t>
      </w:r>
      <w:r w:rsidR="003B53B0">
        <w:t xml:space="preserve"> and neutralise</w:t>
      </w:r>
      <w:r w:rsidR="0000071C" w:rsidRPr="00BE1403">
        <w:t xml:space="preserve"> these taboos, can also play with that normative situation in ways that rhetorically benefit their own interests.</w:t>
      </w:r>
    </w:p>
    <w:p w14:paraId="0D20132C" w14:textId="6B27F3E5" w:rsidR="00387B36" w:rsidRPr="00BE1403" w:rsidRDefault="00387B36" w:rsidP="00BB151F">
      <w:pPr>
        <w:tabs>
          <w:tab w:val="left" w:pos="7060"/>
        </w:tabs>
        <w:spacing w:line="480" w:lineRule="auto"/>
      </w:pPr>
    </w:p>
    <w:p w14:paraId="4999EDB5" w14:textId="77777777" w:rsidR="0072793F" w:rsidRPr="00BE1403" w:rsidRDefault="0072793F" w:rsidP="00BB151F">
      <w:pPr>
        <w:spacing w:line="480" w:lineRule="auto"/>
      </w:pPr>
    </w:p>
    <w:p w14:paraId="3141082E" w14:textId="77777777" w:rsidR="0072793F" w:rsidRPr="00BE1403" w:rsidRDefault="0072793F" w:rsidP="00BB151F">
      <w:pPr>
        <w:spacing w:line="480" w:lineRule="auto"/>
      </w:pPr>
    </w:p>
    <w:p w14:paraId="26E394DE" w14:textId="2C0B77BB" w:rsidR="0072793F" w:rsidRPr="00BE1403" w:rsidRDefault="0072793F" w:rsidP="00BB151F">
      <w:pPr>
        <w:spacing w:line="480" w:lineRule="auto"/>
        <w:rPr>
          <w:b/>
        </w:rPr>
      </w:pPr>
      <w:r w:rsidRPr="00BE1403">
        <w:rPr>
          <w:b/>
        </w:rPr>
        <w:t>Conclusion</w:t>
      </w:r>
    </w:p>
    <w:p w14:paraId="4BD1CC62" w14:textId="77777777" w:rsidR="0072793F" w:rsidRPr="00BE1403" w:rsidRDefault="0072793F" w:rsidP="00BB151F">
      <w:pPr>
        <w:spacing w:line="480" w:lineRule="auto"/>
      </w:pPr>
    </w:p>
    <w:p w14:paraId="4A9AB480" w14:textId="471FC91D" w:rsidR="0072793F" w:rsidRPr="00BE1403" w:rsidRDefault="00A91463" w:rsidP="00BB151F">
      <w:pPr>
        <w:spacing w:line="480" w:lineRule="auto"/>
      </w:pPr>
      <w:r w:rsidRPr="00BE1403">
        <w:t>Normative dilemma has typically been reduced to an issue of decision-making.</w:t>
      </w:r>
      <w:r w:rsidR="00BB0882" w:rsidRPr="00BE1403">
        <w:t xml:space="preserve"> Yet norms do not simply influence what actors think, but how they communicate</w:t>
      </w:r>
      <w:r w:rsidR="00BE46F6" w:rsidRPr="00BE1403">
        <w:t xml:space="preserve"> – specifically where this relates to the rhetor</w:t>
      </w:r>
      <w:r w:rsidR="00A818AC">
        <w:t xml:space="preserve">ical strategies </w:t>
      </w:r>
      <w:r w:rsidR="00BE46F6" w:rsidRPr="00BE1403">
        <w:t>employ</w:t>
      </w:r>
      <w:r w:rsidR="00A818AC">
        <w:t>ed</w:t>
      </w:r>
      <w:r w:rsidR="00BE46F6" w:rsidRPr="00BE1403">
        <w:t xml:space="preserve"> to gain support for their poli</w:t>
      </w:r>
      <w:r w:rsidR="00B9239F" w:rsidRPr="00BE1403">
        <w:t>cy and see it enacted.</w:t>
      </w:r>
      <w:r w:rsidR="00A818AC">
        <w:t xml:space="preserve"> Norms</w:t>
      </w:r>
      <w:r w:rsidR="0073612C" w:rsidRPr="00BE1403">
        <w:t xml:space="preserve"> create an ideat</w:t>
      </w:r>
      <w:r w:rsidR="00AF5B2F">
        <w:t>ional framework that</w:t>
      </w:r>
      <w:r w:rsidR="0073612C" w:rsidRPr="00BE1403">
        <w:t xml:space="preserve"> limit and shape the rhetoric actors seek to construct. In the case of intervention, those actors are faced with two competing taboos, each with their own set of expectations and demands that a p</w:t>
      </w:r>
      <w:r w:rsidR="00AF5B2F">
        <w:t>olicy must seemingly fulfil. Yet</w:t>
      </w:r>
      <w:r w:rsidR="0073612C" w:rsidRPr="00BE1403">
        <w:t xml:space="preserve"> the </w:t>
      </w:r>
      <w:r w:rsidR="00AF5B2F">
        <w:t>conflicting</w:t>
      </w:r>
      <w:r w:rsidR="0073612C" w:rsidRPr="00BE1403">
        <w:t xml:space="preserve"> nature of these taboos means no strategy can</w:t>
      </w:r>
      <w:r w:rsidR="0041720E" w:rsidRPr="00BE1403">
        <w:t xml:space="preserve"> </w:t>
      </w:r>
      <w:r w:rsidR="0073612C" w:rsidRPr="00BE1403">
        <w:t>satisfy both.</w:t>
      </w:r>
      <w:r w:rsidR="0041720E" w:rsidRPr="00BE1403">
        <w:t xml:space="preserve"> </w:t>
      </w:r>
      <w:r w:rsidR="00C0377F" w:rsidRPr="00BE1403">
        <w:t>In this situation, one or both of the taboos will necessarily be rejected.</w:t>
      </w:r>
      <w:r w:rsidR="00AF5B2F">
        <w:t xml:space="preserve"> T</w:t>
      </w:r>
      <w:r w:rsidR="004B1D5F" w:rsidRPr="00BE1403">
        <w:t>his</w:t>
      </w:r>
      <w:r w:rsidR="00AF5B2F">
        <w:t xml:space="preserve"> act of rhetorical</w:t>
      </w:r>
      <w:r w:rsidR="004B1D5F" w:rsidRPr="00BE1403">
        <w:t xml:space="preserve"> rejection</w:t>
      </w:r>
      <w:r w:rsidR="00AF5B2F">
        <w:t>, however,</w:t>
      </w:r>
      <w:r w:rsidR="004B1D5F" w:rsidRPr="00BE1403">
        <w:t xml:space="preserve"> does not make those normati</w:t>
      </w:r>
      <w:r w:rsidR="00AF5B2F">
        <w:t>ve demands disappear. T</w:t>
      </w:r>
      <w:r w:rsidR="004B1D5F" w:rsidRPr="00BE1403">
        <w:t>he binary nature of the normative environment sur</w:t>
      </w:r>
      <w:r w:rsidR="00AF5B2F">
        <w:t>rounding intervention means</w:t>
      </w:r>
      <w:r w:rsidR="004B1D5F" w:rsidRPr="00BE1403">
        <w:t xml:space="preserve"> actor</w:t>
      </w:r>
      <w:r w:rsidR="00340C81">
        <w:t xml:space="preserve">s must neutralise the </w:t>
      </w:r>
      <w:r w:rsidR="00340C81" w:rsidRPr="00340C81">
        <w:t>excluded</w:t>
      </w:r>
      <w:r w:rsidR="004B1D5F" w:rsidRPr="00BE1403">
        <w:t xml:space="preserve"> taboo, otherwise its contin</w:t>
      </w:r>
      <w:r w:rsidR="00340C81">
        <w:t>ued influence will undermine</w:t>
      </w:r>
      <w:r w:rsidR="004B1D5F" w:rsidRPr="00BE1403">
        <w:t xml:space="preserve"> rhetor</w:t>
      </w:r>
      <w:r w:rsidR="00340C81">
        <w:t>ical strategy, as well as providing</w:t>
      </w:r>
      <w:r w:rsidR="004B1D5F" w:rsidRPr="00BE1403">
        <w:t xml:space="preserve"> potential critics a more than sound basis on which to </w:t>
      </w:r>
      <w:r w:rsidR="00340C81">
        <w:t>construct</w:t>
      </w:r>
      <w:r w:rsidR="00AF5B2F">
        <w:t xml:space="preserve"> opposition</w:t>
      </w:r>
      <w:r w:rsidR="004B1D5F" w:rsidRPr="00BE1403">
        <w:t>.</w:t>
      </w:r>
      <w:r w:rsidR="00AF5B2F">
        <w:t xml:space="preserve"> This process</w:t>
      </w:r>
      <w:r w:rsidR="00AB00E9" w:rsidRPr="00BE1403">
        <w:t xml:space="preserve"> has been identified her</w:t>
      </w:r>
      <w:r w:rsidR="00AF5B2F">
        <w:t>e as normat</w:t>
      </w:r>
      <w:r w:rsidR="00340C81">
        <w:t>ive invalidation. Any rejected</w:t>
      </w:r>
      <w:r w:rsidR="00AB00E9" w:rsidRPr="00BE1403">
        <w:t xml:space="preserve"> taboo must be invalidated </w:t>
      </w:r>
      <w:r w:rsidR="00AF5B2F">
        <w:t xml:space="preserve">in order for </w:t>
      </w:r>
      <w:r w:rsidR="00AB00E9" w:rsidRPr="00BE1403">
        <w:t>rhetorical strategy to succeed.</w:t>
      </w:r>
    </w:p>
    <w:p w14:paraId="74E37316" w14:textId="77777777" w:rsidR="00AB00E9" w:rsidRPr="00BE1403" w:rsidRDefault="00AB00E9" w:rsidP="00BB151F">
      <w:pPr>
        <w:spacing w:line="480" w:lineRule="auto"/>
      </w:pPr>
    </w:p>
    <w:p w14:paraId="18AD6696" w14:textId="2EE3DBD0" w:rsidR="003643CA" w:rsidRDefault="00AB00E9" w:rsidP="00BB151F">
      <w:pPr>
        <w:spacing w:line="480" w:lineRule="auto"/>
      </w:pPr>
      <w:r w:rsidRPr="00BE1403">
        <w:t xml:space="preserve">This is </w:t>
      </w:r>
      <w:r w:rsidR="00BA5091">
        <w:t>evident</w:t>
      </w:r>
      <w:r w:rsidRPr="00BE1403">
        <w:t xml:space="preserve"> in the case stud</w:t>
      </w:r>
      <w:r w:rsidR="00124842">
        <w:t xml:space="preserve">ies examined here. The rhetorical strategies analysed </w:t>
      </w:r>
      <w:r w:rsidRPr="00BE1403">
        <w:t>have</w:t>
      </w:r>
      <w:r w:rsidR="00124842">
        <w:t xml:space="preserve"> all</w:t>
      </w:r>
      <w:r w:rsidRPr="00BE1403">
        <w:t xml:space="preserve"> specificall</w:t>
      </w:r>
      <w:r w:rsidR="0050171A">
        <w:t>y been designed to take account</w:t>
      </w:r>
      <w:r w:rsidRPr="00BE1403">
        <w:t xml:space="preserve"> not only of the justification given for a specific interventionist stance, but also the taboo</w:t>
      </w:r>
      <w:r w:rsidR="00BA5091">
        <w:t>(s)</w:t>
      </w:r>
      <w:r w:rsidRPr="00BE1403">
        <w:t xml:space="preserve"> not adopted in this respect. Explicit efforts have be</w:t>
      </w:r>
      <w:r w:rsidR="00FE146F">
        <w:t>en made to nullify these normative expectation associated with these taboos</w:t>
      </w:r>
      <w:r w:rsidR="00FA085F">
        <w:t>.</w:t>
      </w:r>
      <w:r w:rsidR="00B93B52" w:rsidRPr="00BE1403">
        <w:t xml:space="preserve"> In the case of Rwanda, this was a situation in which the humanitarian argument was taken out of consideration because of, and in preference to, sovereignty</w:t>
      </w:r>
      <w:r w:rsidR="00FE146F">
        <w:t xml:space="preserve"> claims</w:t>
      </w:r>
      <w:r w:rsidR="00B93B52" w:rsidRPr="00BE1403">
        <w:t xml:space="preserve">. The construction of </w:t>
      </w:r>
      <w:r w:rsidR="00FE146F">
        <w:t>Rwanda as civil conflict defused the</w:t>
      </w:r>
      <w:r w:rsidR="00B93B52" w:rsidRPr="00BE1403">
        <w:t xml:space="preserve"> humanitarian </w:t>
      </w:r>
      <w:r w:rsidR="00FE146F">
        <w:t>stance</w:t>
      </w:r>
      <w:r w:rsidR="00B93B52" w:rsidRPr="00BE1403">
        <w:t xml:space="preserve"> by presenting t</w:t>
      </w:r>
      <w:r w:rsidR="00FE146F">
        <w:t>he situation as one in which</w:t>
      </w:r>
      <w:r w:rsidR="00B93B52" w:rsidRPr="00BE1403">
        <w:t xml:space="preserve"> involvement would be politically wrong. Yet Clinton was</w:t>
      </w:r>
      <w:r w:rsidR="00FE146F">
        <w:t xml:space="preserve"> sufficiently strategic </w:t>
      </w:r>
      <w:r w:rsidR="00B93B52" w:rsidRPr="00BE1403">
        <w:t>not to let this insistence undermine h</w:t>
      </w:r>
      <w:r w:rsidR="00FE146F">
        <w:t>is</w:t>
      </w:r>
      <w:r w:rsidR="00B93B52" w:rsidRPr="00BE1403">
        <w:t xml:space="preserve"> employ</w:t>
      </w:r>
      <w:r w:rsidR="00FE146F">
        <w:t>ment of</w:t>
      </w:r>
      <w:r w:rsidR="00B93B52" w:rsidRPr="00BE1403">
        <w:t xml:space="preserve"> an entirely oppositional strategy in Kosovo. Here humanitarian claims were pushed forward as the moral option, not least w</w:t>
      </w:r>
      <w:r w:rsidR="00FE146F">
        <w:t xml:space="preserve">here these also underpinned </w:t>
      </w:r>
      <w:r w:rsidR="00B93B52" w:rsidRPr="00BE1403">
        <w:t>assertion</w:t>
      </w:r>
      <w:r w:rsidR="00FE146F">
        <w:t>s</w:t>
      </w:r>
      <w:r w:rsidR="00B93B52" w:rsidRPr="00BE1403">
        <w:t xml:space="preserve"> that Milosevic had negated all rights to sovereign protection by failing to respect the responsibilities that sovereignty deman</w:t>
      </w:r>
      <w:r w:rsidR="00D07D2E">
        <w:t>ded. Once again, Clinton engaged</w:t>
      </w:r>
      <w:r w:rsidR="00B93B52" w:rsidRPr="00BE1403">
        <w:t xml:space="preserve"> in a strategic process of normative invalidation, even where this lies in direct contrast to his former strategy. Finally, Obama has shown that rhetorical strategy need not necessarily respect either taboo; but that even here, both taboos still </w:t>
      </w:r>
      <w:r w:rsidR="00D07D2E">
        <w:t>need</w:t>
      </w:r>
      <w:r w:rsidR="00B93B52" w:rsidRPr="00BE1403">
        <w:t xml:space="preserve"> to be invalidated if that strategy is to hold. Yet the Oba</w:t>
      </w:r>
      <w:r w:rsidR="00D07D2E">
        <w:t>ma example also demonstrates the extent to which this process can be</w:t>
      </w:r>
      <w:r w:rsidR="00B93B52" w:rsidRPr="00BE1403">
        <w:t xml:space="preserve"> </w:t>
      </w:r>
      <w:r w:rsidR="002118B6" w:rsidRPr="00BE1403">
        <w:t xml:space="preserve">strategic, </w:t>
      </w:r>
      <w:r w:rsidR="00D07D2E">
        <w:t>where he still</w:t>
      </w:r>
      <w:r w:rsidR="002118B6" w:rsidRPr="00BE1403">
        <w:t xml:space="preserve"> cherry-picks certain aspects of the invalidated taboos</w:t>
      </w:r>
      <w:r w:rsidR="00D07D2E">
        <w:t xml:space="preserve"> in order</w:t>
      </w:r>
      <w:r w:rsidR="002118B6" w:rsidRPr="00BE1403">
        <w:t xml:space="preserve"> to buttress his </w:t>
      </w:r>
      <w:r w:rsidR="00D07D2E">
        <w:t>rhetorical approach</w:t>
      </w:r>
      <w:r w:rsidR="002118B6" w:rsidRPr="00BE1403">
        <w:t xml:space="preserve">. </w:t>
      </w:r>
    </w:p>
    <w:p w14:paraId="2EB2C3EA" w14:textId="77777777" w:rsidR="003643CA" w:rsidRDefault="003643CA" w:rsidP="00BB151F">
      <w:pPr>
        <w:spacing w:line="480" w:lineRule="auto"/>
      </w:pPr>
    </w:p>
    <w:p w14:paraId="5B190322" w14:textId="21265AF7" w:rsidR="00AB00E9" w:rsidRPr="00BE1403" w:rsidRDefault="0050171A" w:rsidP="00BB151F">
      <w:pPr>
        <w:spacing w:line="480" w:lineRule="auto"/>
      </w:pPr>
      <w:r>
        <w:t>T</w:t>
      </w:r>
      <w:r w:rsidR="003643CA">
        <w:t>hese examples demonstrate that a</w:t>
      </w:r>
      <w:r w:rsidR="002118B6" w:rsidRPr="00BE1403">
        <w:t>ctors a</w:t>
      </w:r>
      <w:r w:rsidR="00D07D2E">
        <w:t>re not simply bound by the taboos</w:t>
      </w:r>
      <w:r w:rsidR="002118B6" w:rsidRPr="00BE1403">
        <w:t xml:space="preserve"> characterising their political and</w:t>
      </w:r>
      <w:r w:rsidR="00175688">
        <w:t xml:space="preserve"> social environments. Yes, taboos</w:t>
      </w:r>
      <w:r w:rsidR="002118B6" w:rsidRPr="00BE1403">
        <w:t xml:space="preserve"> restrain, both in terms of behaviour and language. </w:t>
      </w:r>
      <w:r w:rsidR="003643CA">
        <w:t xml:space="preserve">This is especially </w:t>
      </w:r>
      <w:r w:rsidR="00175688">
        <w:t xml:space="preserve">relevant where </w:t>
      </w:r>
      <w:r w:rsidR="003643CA">
        <w:t xml:space="preserve">taboos have legal weight within the international community. </w:t>
      </w:r>
      <w:r w:rsidR="002118B6" w:rsidRPr="00BE1403">
        <w:t>But this is far from the end of the story. Actors are also a</w:t>
      </w:r>
      <w:r w:rsidR="00D07D2E">
        <w:t>gency-driven agents, who can utilise and manipulate</w:t>
      </w:r>
      <w:r w:rsidR="00175688">
        <w:t xml:space="preserve"> </w:t>
      </w:r>
      <w:r w:rsidR="00D56767" w:rsidRPr="00BE1403">
        <w:t>taboos to achieve</w:t>
      </w:r>
      <w:r w:rsidR="002118B6" w:rsidRPr="00BE1403">
        <w:t xml:space="preserve"> their own self-interested ambitions.</w:t>
      </w:r>
      <w:r w:rsidR="00CF5B6B" w:rsidRPr="00BE1403">
        <w:t xml:space="preserve"> </w:t>
      </w:r>
      <w:r w:rsidR="00CF3385">
        <w:t>In the same way that it</w:t>
      </w:r>
      <w:r w:rsidR="003643CA">
        <w:t xml:space="preserve"> has long been recognised that </w:t>
      </w:r>
      <w:r w:rsidR="00CF3385">
        <w:t>actors can put self-interest before</w:t>
      </w:r>
      <w:r w:rsidR="003643CA">
        <w:t xml:space="preserve"> any sense of legal </w:t>
      </w:r>
      <w:r w:rsidR="00B13AED">
        <w:t xml:space="preserve">or conventional obligation, </w:t>
      </w:r>
      <w:r w:rsidR="00612753">
        <w:t>these example</w:t>
      </w:r>
      <w:r w:rsidR="00175688">
        <w:t>s</w:t>
      </w:r>
      <w:r w:rsidR="00612753">
        <w:t xml:space="preserve"> prove</w:t>
      </w:r>
      <w:r w:rsidR="003643CA">
        <w:t xml:space="preserve"> that actors </w:t>
      </w:r>
      <w:r w:rsidR="005F4F3C">
        <w:t>are</w:t>
      </w:r>
      <w:r w:rsidR="00175688">
        <w:t xml:space="preserve"> similarly</w:t>
      </w:r>
      <w:r w:rsidR="005F4F3C">
        <w:t xml:space="preserve"> </w:t>
      </w:r>
      <w:r w:rsidR="006928EA">
        <w:t>strategic</w:t>
      </w:r>
      <w:r w:rsidR="005F4F3C">
        <w:t xml:space="preserve"> in their </w:t>
      </w:r>
      <w:r w:rsidR="00175688">
        <w:t xml:space="preserve">rhetorical </w:t>
      </w:r>
      <w:r w:rsidR="005F4F3C">
        <w:t>dealings with those norms</w:t>
      </w:r>
      <w:r w:rsidR="003643CA">
        <w:t>. Actors</w:t>
      </w:r>
      <w:r w:rsidR="00CF5B6B" w:rsidRPr="00BE1403">
        <w:t xml:space="preserve"> may</w:t>
      </w:r>
      <w:r w:rsidR="00D56767" w:rsidRPr="00BE1403">
        <w:t xml:space="preserve"> play by the rules, but this does not preclude that they can play with the rules also.</w:t>
      </w:r>
    </w:p>
    <w:p w14:paraId="7E1A8B2C" w14:textId="77777777" w:rsidR="000E658F" w:rsidRPr="00BE1403" w:rsidRDefault="000E658F" w:rsidP="00BB151F">
      <w:pPr>
        <w:spacing w:line="480" w:lineRule="auto"/>
      </w:pPr>
    </w:p>
    <w:sectPr w:rsidR="000E658F" w:rsidRPr="00BE1403" w:rsidSect="00DD3C83">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CDF157" w14:textId="77777777" w:rsidR="003F3759" w:rsidRDefault="003F3759" w:rsidP="000030DB">
      <w:r>
        <w:separator/>
      </w:r>
    </w:p>
  </w:endnote>
  <w:endnote w:type="continuationSeparator" w:id="0">
    <w:p w14:paraId="730D2674" w14:textId="77777777" w:rsidR="003F3759" w:rsidRDefault="003F3759" w:rsidP="00003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New Caledonia">
    <w:altName w:val="Times New Roman"/>
    <w:panose1 w:val="00000000000000000000"/>
    <w:charset w:val="4D"/>
    <w:family w:val="roman"/>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86FEFB" w14:textId="77777777" w:rsidR="003F3759" w:rsidRDefault="003F3759" w:rsidP="000030DB">
      <w:r>
        <w:separator/>
      </w:r>
    </w:p>
  </w:footnote>
  <w:footnote w:type="continuationSeparator" w:id="0">
    <w:p w14:paraId="08EC00A1" w14:textId="77777777" w:rsidR="003F3759" w:rsidRDefault="003F3759" w:rsidP="000030DB">
      <w:r>
        <w:continuationSeparator/>
      </w:r>
    </w:p>
  </w:footnote>
  <w:footnote w:id="1">
    <w:p w14:paraId="4BA25829" w14:textId="29089CD0" w:rsidR="003F3759" w:rsidRPr="00237AF4" w:rsidRDefault="003F3759">
      <w:pPr>
        <w:pStyle w:val="FootnoteText"/>
        <w:rPr>
          <w:lang w:val="en-US"/>
        </w:rPr>
      </w:pPr>
      <w:r>
        <w:rPr>
          <w:rStyle w:val="FootnoteReference"/>
        </w:rPr>
        <w:footnoteRef/>
      </w:r>
      <w:r>
        <w:t xml:space="preserve"> </w:t>
      </w:r>
      <w:r>
        <w:rPr>
          <w:lang w:val="en-US"/>
        </w:rPr>
        <w:t xml:space="preserve">Hans J Morgenthau, ‘To Intervene or Not to Intervene’, </w:t>
      </w:r>
      <w:r w:rsidRPr="003F3759">
        <w:rPr>
          <w:i/>
          <w:lang w:val="en-US"/>
        </w:rPr>
        <w:t>Foreign Affairs</w:t>
      </w:r>
      <w:r>
        <w:rPr>
          <w:lang w:val="en-US"/>
        </w:rPr>
        <w:t xml:space="preserve"> 45:3 (1967): 425.</w:t>
      </w:r>
    </w:p>
  </w:footnote>
  <w:footnote w:id="2">
    <w:p w14:paraId="5D61DF19" w14:textId="7B8FC1B0" w:rsidR="003F3759" w:rsidRPr="00664D63" w:rsidRDefault="003F3759">
      <w:pPr>
        <w:pStyle w:val="FootnoteText"/>
        <w:rPr>
          <w:lang w:val="en-US"/>
        </w:rPr>
      </w:pPr>
      <w:r>
        <w:rPr>
          <w:rStyle w:val="FootnoteReference"/>
        </w:rPr>
        <w:footnoteRef/>
      </w:r>
      <w:r>
        <w:t xml:space="preserve"> </w:t>
      </w:r>
      <w:r>
        <w:rPr>
          <w:lang w:val="en-US"/>
        </w:rPr>
        <w:t>‘Rhetorical strategy’ is defined here as the narrative(s) employed by an actor to create a specific view of the decision for (</w:t>
      </w:r>
      <w:proofErr w:type="gramStart"/>
      <w:r>
        <w:rPr>
          <w:lang w:val="en-US"/>
        </w:rPr>
        <w:t>non)intervention</w:t>
      </w:r>
      <w:proofErr w:type="gramEnd"/>
      <w:r>
        <w:rPr>
          <w:lang w:val="en-US"/>
        </w:rPr>
        <w:t>. It is the rhetorical presentation of a policy to be audience in order to convince them to support the case put forward.</w:t>
      </w:r>
    </w:p>
  </w:footnote>
  <w:footnote w:id="3">
    <w:p w14:paraId="20E584AF" w14:textId="73A0975A" w:rsidR="003F3759" w:rsidRPr="00B61248" w:rsidRDefault="003F3759" w:rsidP="008277DB">
      <w:pPr>
        <w:rPr>
          <w:sz w:val="20"/>
          <w:szCs w:val="20"/>
        </w:rPr>
      </w:pPr>
      <w:r w:rsidRPr="008277DB">
        <w:rPr>
          <w:rStyle w:val="FootnoteReference"/>
          <w:sz w:val="20"/>
          <w:szCs w:val="20"/>
        </w:rPr>
        <w:footnoteRef/>
      </w:r>
      <w:r w:rsidRPr="008277DB">
        <w:rPr>
          <w:sz w:val="20"/>
          <w:szCs w:val="20"/>
        </w:rPr>
        <w:t xml:space="preserve"> </w:t>
      </w:r>
      <w:r>
        <w:rPr>
          <w:sz w:val="20"/>
          <w:szCs w:val="20"/>
        </w:rPr>
        <w:t xml:space="preserve">Hutton Webster, </w:t>
      </w:r>
      <w:r w:rsidRPr="003F3759">
        <w:rPr>
          <w:i/>
          <w:sz w:val="20"/>
          <w:szCs w:val="20"/>
        </w:rPr>
        <w:t>Taboo: A Sociological Study</w:t>
      </w:r>
      <w:r>
        <w:rPr>
          <w:sz w:val="20"/>
          <w:szCs w:val="20"/>
        </w:rPr>
        <w:t xml:space="preserve"> (</w:t>
      </w:r>
      <w:r w:rsidRPr="00B61248">
        <w:rPr>
          <w:sz w:val="20"/>
          <w:szCs w:val="20"/>
        </w:rPr>
        <w:t>Stan</w:t>
      </w:r>
      <w:r>
        <w:rPr>
          <w:sz w:val="20"/>
          <w:szCs w:val="20"/>
        </w:rPr>
        <w:t>ford: Stanford University Press, 1942)</w:t>
      </w:r>
      <w:r w:rsidRPr="00B61248">
        <w:rPr>
          <w:sz w:val="20"/>
          <w:szCs w:val="20"/>
        </w:rPr>
        <w:t xml:space="preserve"> </w:t>
      </w:r>
      <w:r>
        <w:rPr>
          <w:sz w:val="20"/>
          <w:szCs w:val="20"/>
        </w:rPr>
        <w:t xml:space="preserve">pp. </w:t>
      </w:r>
      <w:r w:rsidRPr="00B61248">
        <w:rPr>
          <w:sz w:val="20"/>
          <w:szCs w:val="20"/>
        </w:rPr>
        <w:t>13,17.</w:t>
      </w:r>
    </w:p>
  </w:footnote>
  <w:footnote w:id="4">
    <w:p w14:paraId="388F585E" w14:textId="10CDB013" w:rsidR="003F3759" w:rsidRPr="00B61248" w:rsidRDefault="003F3759" w:rsidP="008277DB">
      <w:pPr>
        <w:rPr>
          <w:sz w:val="20"/>
          <w:szCs w:val="20"/>
        </w:rPr>
      </w:pPr>
      <w:r w:rsidRPr="00B61248">
        <w:rPr>
          <w:rStyle w:val="FootnoteReference"/>
          <w:sz w:val="20"/>
          <w:szCs w:val="20"/>
        </w:rPr>
        <w:footnoteRef/>
      </w:r>
      <w:r w:rsidRPr="00B61248">
        <w:rPr>
          <w:sz w:val="20"/>
          <w:szCs w:val="20"/>
        </w:rPr>
        <w:t xml:space="preserve"> Walter </w:t>
      </w:r>
      <w:proofErr w:type="spellStart"/>
      <w:r>
        <w:rPr>
          <w:sz w:val="20"/>
          <w:szCs w:val="20"/>
          <w:lang w:val="en-US"/>
        </w:rPr>
        <w:t>Gantz</w:t>
      </w:r>
      <w:proofErr w:type="spellEnd"/>
      <w:r>
        <w:rPr>
          <w:sz w:val="20"/>
          <w:szCs w:val="20"/>
          <w:lang w:val="en-US"/>
        </w:rPr>
        <w:t>,</w:t>
      </w:r>
      <w:r w:rsidRPr="00B61248">
        <w:rPr>
          <w:sz w:val="20"/>
          <w:szCs w:val="20"/>
          <w:lang w:val="en-US"/>
        </w:rPr>
        <w:t xml:space="preserve"> ‘The Movement of Taboos: A Message-Orientated Approach’, </w:t>
      </w:r>
      <w:r w:rsidRPr="003F3759">
        <w:rPr>
          <w:i/>
          <w:sz w:val="20"/>
          <w:szCs w:val="20"/>
          <w:lang w:val="en-US"/>
        </w:rPr>
        <w:t>Annual Meeting of the Association for Education in Journalism</w:t>
      </w:r>
      <w:r w:rsidRPr="00B61248">
        <w:rPr>
          <w:sz w:val="20"/>
          <w:szCs w:val="20"/>
          <w:lang w:val="en-US"/>
        </w:rPr>
        <w:t>, Seattle, Washington, 13-16 August</w:t>
      </w:r>
      <w:r>
        <w:rPr>
          <w:sz w:val="20"/>
          <w:szCs w:val="20"/>
          <w:lang w:val="en-US"/>
        </w:rPr>
        <w:t>, 1978</w:t>
      </w:r>
      <w:r w:rsidRPr="00B61248">
        <w:rPr>
          <w:sz w:val="20"/>
          <w:szCs w:val="20"/>
          <w:lang w:val="en-US"/>
        </w:rPr>
        <w:t xml:space="preserve">; Kate Allan and </w:t>
      </w:r>
      <w:r>
        <w:rPr>
          <w:sz w:val="20"/>
          <w:szCs w:val="20"/>
          <w:lang w:val="en-US"/>
        </w:rPr>
        <w:t xml:space="preserve">Keith </w:t>
      </w:r>
      <w:proofErr w:type="spellStart"/>
      <w:r>
        <w:rPr>
          <w:sz w:val="20"/>
          <w:szCs w:val="20"/>
          <w:lang w:val="en-US"/>
        </w:rPr>
        <w:t>Burridge</w:t>
      </w:r>
      <w:proofErr w:type="spellEnd"/>
      <w:r>
        <w:rPr>
          <w:sz w:val="20"/>
          <w:szCs w:val="20"/>
          <w:lang w:val="en-US"/>
        </w:rPr>
        <w:t>,</w:t>
      </w:r>
      <w:r w:rsidRPr="00B61248">
        <w:rPr>
          <w:sz w:val="20"/>
          <w:szCs w:val="20"/>
          <w:lang w:val="en-US"/>
        </w:rPr>
        <w:t xml:space="preserve"> </w:t>
      </w:r>
      <w:r w:rsidRPr="003F3759">
        <w:rPr>
          <w:i/>
          <w:sz w:val="20"/>
          <w:szCs w:val="20"/>
          <w:lang w:val="en-US"/>
        </w:rPr>
        <w:t>Forbidden Words: Taboo and the Censoring of Language</w:t>
      </w:r>
      <w:r>
        <w:rPr>
          <w:sz w:val="20"/>
          <w:szCs w:val="20"/>
          <w:lang w:val="en-US"/>
        </w:rPr>
        <w:t xml:space="preserve"> (</w:t>
      </w:r>
      <w:r w:rsidRPr="00B61248">
        <w:rPr>
          <w:sz w:val="20"/>
          <w:szCs w:val="20"/>
          <w:lang w:val="en-US"/>
        </w:rPr>
        <w:t>Cambridge: C</w:t>
      </w:r>
      <w:r>
        <w:rPr>
          <w:sz w:val="20"/>
          <w:szCs w:val="20"/>
          <w:lang w:val="en-US"/>
        </w:rPr>
        <w:t xml:space="preserve">ambridge </w:t>
      </w:r>
      <w:r w:rsidRPr="00B61248">
        <w:rPr>
          <w:sz w:val="20"/>
          <w:szCs w:val="20"/>
          <w:lang w:val="en-US"/>
        </w:rPr>
        <w:t>U</w:t>
      </w:r>
      <w:r>
        <w:rPr>
          <w:sz w:val="20"/>
          <w:szCs w:val="20"/>
          <w:lang w:val="en-US"/>
        </w:rPr>
        <w:t xml:space="preserve">niversity </w:t>
      </w:r>
      <w:r w:rsidRPr="00B61248">
        <w:rPr>
          <w:sz w:val="20"/>
          <w:szCs w:val="20"/>
          <w:lang w:val="en-US"/>
        </w:rPr>
        <w:t>P</w:t>
      </w:r>
      <w:r>
        <w:rPr>
          <w:sz w:val="20"/>
          <w:szCs w:val="20"/>
          <w:lang w:val="en-US"/>
        </w:rPr>
        <w:t>ress, 2006)</w:t>
      </w:r>
      <w:r w:rsidRPr="00B61248">
        <w:rPr>
          <w:sz w:val="20"/>
          <w:szCs w:val="20"/>
          <w:lang w:val="en-US"/>
        </w:rPr>
        <w:t>.</w:t>
      </w:r>
    </w:p>
  </w:footnote>
  <w:footnote w:id="5">
    <w:p w14:paraId="657C88CD" w14:textId="6C2429F3" w:rsidR="003F3759" w:rsidRPr="00B61248" w:rsidRDefault="003F3759" w:rsidP="008277DB">
      <w:pPr>
        <w:rPr>
          <w:sz w:val="20"/>
          <w:szCs w:val="20"/>
          <w:lang w:val="en-US"/>
        </w:rPr>
      </w:pPr>
      <w:r w:rsidRPr="00B61248">
        <w:rPr>
          <w:rStyle w:val="FootnoteReference"/>
          <w:sz w:val="20"/>
          <w:szCs w:val="20"/>
        </w:rPr>
        <w:footnoteRef/>
      </w:r>
      <w:r w:rsidRPr="00B61248">
        <w:rPr>
          <w:sz w:val="20"/>
          <w:szCs w:val="20"/>
        </w:rPr>
        <w:t xml:space="preserve"> Nina </w:t>
      </w:r>
      <w:proofErr w:type="spellStart"/>
      <w:r w:rsidRPr="00B61248">
        <w:rPr>
          <w:sz w:val="20"/>
          <w:szCs w:val="20"/>
        </w:rPr>
        <w:t>Tannenwald</w:t>
      </w:r>
      <w:proofErr w:type="spellEnd"/>
      <w:r>
        <w:rPr>
          <w:sz w:val="20"/>
          <w:szCs w:val="20"/>
        </w:rPr>
        <w:t>,</w:t>
      </w:r>
      <w:r w:rsidRPr="00B61248">
        <w:rPr>
          <w:sz w:val="20"/>
          <w:szCs w:val="20"/>
        </w:rPr>
        <w:t xml:space="preserve"> </w:t>
      </w:r>
      <w:r w:rsidRPr="003F3759">
        <w:rPr>
          <w:i/>
          <w:sz w:val="20"/>
          <w:szCs w:val="20"/>
        </w:rPr>
        <w:t>The Nuclear Taboo: The United States and the Non-Use of Nuclear Weapons Since 1945</w:t>
      </w:r>
      <w:r>
        <w:rPr>
          <w:sz w:val="20"/>
          <w:szCs w:val="20"/>
        </w:rPr>
        <w:t xml:space="preserve"> (</w:t>
      </w:r>
      <w:r w:rsidRPr="00B61248">
        <w:rPr>
          <w:sz w:val="20"/>
          <w:szCs w:val="20"/>
        </w:rPr>
        <w:t>Cambridge: Cambridge University Press</w:t>
      </w:r>
      <w:r>
        <w:rPr>
          <w:sz w:val="20"/>
          <w:szCs w:val="20"/>
        </w:rPr>
        <w:t>, 2007)</w:t>
      </w:r>
      <w:r w:rsidRPr="00B61248">
        <w:rPr>
          <w:sz w:val="20"/>
          <w:szCs w:val="20"/>
        </w:rPr>
        <w:t xml:space="preserve">: 11. See also: George </w:t>
      </w:r>
      <w:r w:rsidRPr="00B61248">
        <w:rPr>
          <w:sz w:val="20"/>
          <w:szCs w:val="20"/>
          <w:lang w:val="en-US"/>
        </w:rPr>
        <w:t>Quester</w:t>
      </w:r>
      <w:r>
        <w:rPr>
          <w:sz w:val="20"/>
          <w:szCs w:val="20"/>
          <w:lang w:val="en-US"/>
        </w:rPr>
        <w:t>,</w:t>
      </w:r>
      <w:r w:rsidRPr="00B61248">
        <w:rPr>
          <w:sz w:val="20"/>
          <w:szCs w:val="20"/>
          <w:lang w:val="en-US"/>
        </w:rPr>
        <w:t xml:space="preserve"> ‘If the Nuclear Taboo Gets Broken’, </w:t>
      </w:r>
      <w:r w:rsidRPr="003F3759">
        <w:rPr>
          <w:i/>
          <w:sz w:val="20"/>
          <w:szCs w:val="20"/>
          <w:lang w:val="en-US"/>
        </w:rPr>
        <w:t>Naval War College Review</w:t>
      </w:r>
      <w:r>
        <w:rPr>
          <w:sz w:val="20"/>
          <w:szCs w:val="20"/>
          <w:lang w:val="en-US"/>
        </w:rPr>
        <w:t xml:space="preserve"> 58:</w:t>
      </w:r>
      <w:r w:rsidRPr="00B61248">
        <w:rPr>
          <w:sz w:val="20"/>
          <w:szCs w:val="20"/>
          <w:lang w:val="en-US"/>
        </w:rPr>
        <w:t>2</w:t>
      </w:r>
      <w:r>
        <w:rPr>
          <w:sz w:val="20"/>
          <w:szCs w:val="20"/>
          <w:lang w:val="en-US"/>
        </w:rPr>
        <w:t xml:space="preserve"> (2005), p.</w:t>
      </w:r>
      <w:r w:rsidRPr="00B61248">
        <w:rPr>
          <w:sz w:val="20"/>
          <w:szCs w:val="20"/>
          <w:lang w:val="en-US"/>
        </w:rPr>
        <w:t xml:space="preserve"> 74; Richard </w:t>
      </w:r>
      <w:r>
        <w:rPr>
          <w:sz w:val="20"/>
          <w:szCs w:val="20"/>
        </w:rPr>
        <w:t>Price,</w:t>
      </w:r>
      <w:r w:rsidRPr="00B61248">
        <w:rPr>
          <w:sz w:val="20"/>
          <w:szCs w:val="20"/>
        </w:rPr>
        <w:t xml:space="preserve"> ‘International Norms and the Mines Taboo: Pulls Towards Compliance’, </w:t>
      </w:r>
      <w:r w:rsidRPr="003F3759">
        <w:rPr>
          <w:i/>
          <w:sz w:val="20"/>
          <w:szCs w:val="20"/>
        </w:rPr>
        <w:t>Canadian Foreign Policy Journal</w:t>
      </w:r>
      <w:r>
        <w:rPr>
          <w:sz w:val="20"/>
          <w:szCs w:val="20"/>
        </w:rPr>
        <w:t xml:space="preserve"> 5:</w:t>
      </w:r>
      <w:r w:rsidRPr="00B61248">
        <w:rPr>
          <w:sz w:val="20"/>
          <w:szCs w:val="20"/>
        </w:rPr>
        <w:t>3</w:t>
      </w:r>
      <w:r>
        <w:rPr>
          <w:sz w:val="20"/>
          <w:szCs w:val="20"/>
        </w:rPr>
        <w:t xml:space="preserve"> (1998), p.</w:t>
      </w:r>
      <w:r w:rsidRPr="00B61248">
        <w:rPr>
          <w:sz w:val="20"/>
          <w:szCs w:val="20"/>
        </w:rPr>
        <w:t xml:space="preserve"> 115.</w:t>
      </w:r>
    </w:p>
  </w:footnote>
  <w:footnote w:id="6">
    <w:p w14:paraId="425B46DC" w14:textId="5840537A" w:rsidR="003F3759" w:rsidRPr="00B61248" w:rsidRDefault="003F3759">
      <w:pPr>
        <w:pStyle w:val="FootnoteText"/>
        <w:rPr>
          <w:szCs w:val="20"/>
          <w:lang w:val="en-US"/>
        </w:rPr>
      </w:pPr>
      <w:r w:rsidRPr="00B61248">
        <w:rPr>
          <w:rStyle w:val="FootnoteReference"/>
          <w:szCs w:val="20"/>
        </w:rPr>
        <w:footnoteRef/>
      </w:r>
      <w:r w:rsidRPr="00B61248">
        <w:rPr>
          <w:szCs w:val="20"/>
        </w:rPr>
        <w:t xml:space="preserve"> Annika </w:t>
      </w:r>
      <w:proofErr w:type="spellStart"/>
      <w:r>
        <w:rPr>
          <w:szCs w:val="20"/>
          <w:lang w:val="en-US"/>
        </w:rPr>
        <w:t>Bjorkdahl</w:t>
      </w:r>
      <w:proofErr w:type="spellEnd"/>
      <w:r>
        <w:rPr>
          <w:szCs w:val="20"/>
          <w:lang w:val="en-US"/>
        </w:rPr>
        <w:t>,</w:t>
      </w:r>
      <w:r w:rsidRPr="00B61248">
        <w:rPr>
          <w:szCs w:val="20"/>
          <w:lang w:val="en-US"/>
        </w:rPr>
        <w:t xml:space="preserve"> ‘Norms in International Relations: Some Conceptual and Methodological Reflections’, </w:t>
      </w:r>
      <w:r w:rsidRPr="003F3759">
        <w:rPr>
          <w:i/>
          <w:szCs w:val="20"/>
          <w:lang w:val="en-US"/>
        </w:rPr>
        <w:t>Cambridge Review of International Affairs</w:t>
      </w:r>
      <w:r>
        <w:rPr>
          <w:szCs w:val="20"/>
          <w:lang w:val="en-US"/>
        </w:rPr>
        <w:t xml:space="preserve"> 15:</w:t>
      </w:r>
      <w:r w:rsidRPr="00B61248">
        <w:rPr>
          <w:szCs w:val="20"/>
          <w:lang w:val="en-US"/>
        </w:rPr>
        <w:t>1</w:t>
      </w:r>
      <w:r>
        <w:rPr>
          <w:szCs w:val="20"/>
          <w:lang w:val="en-US"/>
        </w:rPr>
        <w:t xml:space="preserve"> (2002), p.</w:t>
      </w:r>
      <w:r w:rsidRPr="00B61248">
        <w:rPr>
          <w:szCs w:val="20"/>
          <w:lang w:val="en-US"/>
        </w:rPr>
        <w:t xml:space="preserve"> 13</w:t>
      </w:r>
      <w:r>
        <w:rPr>
          <w:szCs w:val="20"/>
          <w:lang w:val="en-US"/>
        </w:rPr>
        <w:t>.</w:t>
      </w:r>
    </w:p>
  </w:footnote>
  <w:footnote w:id="7">
    <w:p w14:paraId="32E4EA57" w14:textId="20CF9491" w:rsidR="003F3759" w:rsidRPr="000B2216" w:rsidRDefault="003F3759">
      <w:pPr>
        <w:pStyle w:val="FootnoteText"/>
        <w:rPr>
          <w:bCs/>
          <w:szCs w:val="20"/>
          <w:lang w:val="en-US" w:bidi="en-US"/>
        </w:rPr>
      </w:pPr>
      <w:r w:rsidRPr="00B61248">
        <w:rPr>
          <w:rStyle w:val="FootnoteReference"/>
          <w:szCs w:val="20"/>
        </w:rPr>
        <w:footnoteRef/>
      </w:r>
      <w:r>
        <w:rPr>
          <w:szCs w:val="20"/>
        </w:rPr>
        <w:t xml:space="preserve"> Peter </w:t>
      </w:r>
      <w:proofErr w:type="spellStart"/>
      <w:r>
        <w:rPr>
          <w:szCs w:val="20"/>
        </w:rPr>
        <w:t>Katzenstein</w:t>
      </w:r>
      <w:proofErr w:type="spellEnd"/>
      <w:r>
        <w:rPr>
          <w:szCs w:val="20"/>
        </w:rPr>
        <w:t>,</w:t>
      </w:r>
      <w:r w:rsidRPr="00B61248">
        <w:rPr>
          <w:szCs w:val="20"/>
        </w:rPr>
        <w:t xml:space="preserve"> ‘Introduction: Alternative Perspectives on National Security’, </w:t>
      </w:r>
      <w:r w:rsidRPr="00B61248">
        <w:rPr>
          <w:szCs w:val="20"/>
          <w:lang w:val="en-US" w:bidi="en-US"/>
        </w:rPr>
        <w:t xml:space="preserve">in Peter </w:t>
      </w:r>
      <w:proofErr w:type="spellStart"/>
      <w:r w:rsidRPr="00B61248">
        <w:rPr>
          <w:szCs w:val="20"/>
          <w:lang w:val="en-US" w:bidi="en-US"/>
        </w:rPr>
        <w:t>Katzenstein</w:t>
      </w:r>
      <w:proofErr w:type="spellEnd"/>
      <w:r w:rsidRPr="00B61248">
        <w:rPr>
          <w:szCs w:val="20"/>
          <w:lang w:val="en-US" w:bidi="en-US"/>
        </w:rPr>
        <w:t xml:space="preserve"> (ed)</w:t>
      </w:r>
      <w:r>
        <w:rPr>
          <w:szCs w:val="20"/>
          <w:lang w:val="en-US" w:bidi="en-US"/>
        </w:rPr>
        <w:t>,</w:t>
      </w:r>
      <w:r w:rsidRPr="00B61248">
        <w:rPr>
          <w:szCs w:val="20"/>
          <w:lang w:val="en-US" w:bidi="en-US"/>
        </w:rPr>
        <w:t xml:space="preserve"> </w:t>
      </w:r>
      <w:r w:rsidRPr="003F3759">
        <w:rPr>
          <w:i/>
          <w:szCs w:val="20"/>
          <w:lang w:val="en-US" w:bidi="en-US"/>
        </w:rPr>
        <w:t>The Culture of National Security: Norms and Identity in World Politics</w:t>
      </w:r>
      <w:r w:rsidRPr="00B61248">
        <w:rPr>
          <w:szCs w:val="20"/>
          <w:lang w:val="en-US" w:bidi="en-US"/>
        </w:rPr>
        <w:t xml:space="preserve"> (New York: Columbia University Press</w:t>
      </w:r>
      <w:r>
        <w:rPr>
          <w:szCs w:val="20"/>
          <w:lang w:val="en-US" w:bidi="en-US"/>
        </w:rPr>
        <w:t>, 1996</w:t>
      </w:r>
      <w:r w:rsidRPr="00B61248">
        <w:rPr>
          <w:szCs w:val="20"/>
          <w:lang w:val="en-US" w:bidi="en-US"/>
        </w:rPr>
        <w:t>)</w:t>
      </w:r>
      <w:r>
        <w:rPr>
          <w:bCs/>
          <w:szCs w:val="20"/>
          <w:lang w:val="en-US" w:bidi="en-US"/>
        </w:rPr>
        <w:t>, p.</w:t>
      </w:r>
      <w:r w:rsidRPr="00B61248">
        <w:rPr>
          <w:bCs/>
          <w:szCs w:val="20"/>
          <w:lang w:val="en-US" w:bidi="en-US"/>
        </w:rPr>
        <w:t xml:space="preserve"> 5.</w:t>
      </w:r>
      <w:r>
        <w:rPr>
          <w:bCs/>
          <w:szCs w:val="20"/>
          <w:lang w:val="en-US" w:bidi="en-US"/>
        </w:rPr>
        <w:t xml:space="preserve"> The concept of ‘proper’ behavior is also employed by Martha </w:t>
      </w:r>
      <w:proofErr w:type="spellStart"/>
      <w:r>
        <w:rPr>
          <w:bCs/>
          <w:szCs w:val="20"/>
          <w:lang w:val="en-US" w:bidi="en-US"/>
        </w:rPr>
        <w:t>Finnemore</w:t>
      </w:r>
      <w:proofErr w:type="spellEnd"/>
      <w:r>
        <w:rPr>
          <w:bCs/>
          <w:szCs w:val="20"/>
          <w:lang w:val="en-US" w:bidi="en-US"/>
        </w:rPr>
        <w:t xml:space="preserve"> and Kathryn </w:t>
      </w:r>
      <w:proofErr w:type="spellStart"/>
      <w:r>
        <w:rPr>
          <w:bCs/>
          <w:szCs w:val="20"/>
          <w:lang w:val="en-US" w:bidi="en-US"/>
        </w:rPr>
        <w:t>Sikkink</w:t>
      </w:r>
      <w:proofErr w:type="spellEnd"/>
      <w:r>
        <w:rPr>
          <w:bCs/>
          <w:szCs w:val="20"/>
          <w:lang w:val="en-US" w:bidi="en-US"/>
        </w:rPr>
        <w:t xml:space="preserve">, ‘International Norm Dynamics and Political Change’, </w:t>
      </w:r>
      <w:r w:rsidRPr="003F3759">
        <w:rPr>
          <w:bCs/>
          <w:i/>
          <w:szCs w:val="20"/>
          <w:lang w:val="en-US" w:bidi="en-US"/>
        </w:rPr>
        <w:t>International Organization</w:t>
      </w:r>
      <w:r>
        <w:rPr>
          <w:bCs/>
          <w:szCs w:val="20"/>
          <w:lang w:val="en-US" w:bidi="en-US"/>
        </w:rPr>
        <w:t xml:space="preserve"> 52:4 (1998): 891.</w:t>
      </w:r>
    </w:p>
  </w:footnote>
  <w:footnote w:id="8">
    <w:p w14:paraId="29622F6D" w14:textId="738ACB7D" w:rsidR="003F3759" w:rsidRPr="00B61248" w:rsidRDefault="003F3759">
      <w:pPr>
        <w:pStyle w:val="FootnoteText"/>
        <w:rPr>
          <w:szCs w:val="20"/>
          <w:lang w:val="en-US"/>
        </w:rPr>
      </w:pPr>
      <w:r w:rsidRPr="00B61248">
        <w:rPr>
          <w:rStyle w:val="FootnoteReference"/>
          <w:szCs w:val="20"/>
        </w:rPr>
        <w:footnoteRef/>
      </w:r>
      <w:r w:rsidRPr="00B61248">
        <w:rPr>
          <w:szCs w:val="20"/>
        </w:rPr>
        <w:t xml:space="preserve"> </w:t>
      </w:r>
      <w:proofErr w:type="spellStart"/>
      <w:r>
        <w:rPr>
          <w:szCs w:val="20"/>
          <w:lang w:val="en-US"/>
        </w:rPr>
        <w:t>Tannenwald</w:t>
      </w:r>
      <w:proofErr w:type="spellEnd"/>
      <w:r>
        <w:rPr>
          <w:szCs w:val="20"/>
          <w:lang w:val="en-US"/>
        </w:rPr>
        <w:t xml:space="preserve"> (2007), p.</w:t>
      </w:r>
      <w:r w:rsidRPr="00B61248">
        <w:rPr>
          <w:szCs w:val="20"/>
          <w:lang w:val="en-US"/>
        </w:rPr>
        <w:t xml:space="preserve"> 10.</w:t>
      </w:r>
    </w:p>
  </w:footnote>
  <w:footnote w:id="9">
    <w:p w14:paraId="6CD37A1D" w14:textId="19AFE2AB" w:rsidR="003F3759" w:rsidRPr="00B61248" w:rsidRDefault="003F3759" w:rsidP="008277DB">
      <w:pPr>
        <w:rPr>
          <w:sz w:val="20"/>
          <w:szCs w:val="20"/>
        </w:rPr>
      </w:pPr>
      <w:r w:rsidRPr="00B61248">
        <w:rPr>
          <w:rStyle w:val="FootnoteReference"/>
          <w:sz w:val="20"/>
          <w:szCs w:val="20"/>
        </w:rPr>
        <w:footnoteRef/>
      </w:r>
      <w:r w:rsidRPr="00B61248">
        <w:rPr>
          <w:sz w:val="20"/>
          <w:szCs w:val="20"/>
        </w:rPr>
        <w:t xml:space="preserve"> Gary </w:t>
      </w:r>
      <w:proofErr w:type="spellStart"/>
      <w:r>
        <w:rPr>
          <w:sz w:val="20"/>
          <w:szCs w:val="20"/>
          <w:lang w:val="en-US"/>
        </w:rPr>
        <w:t>Goertz</w:t>
      </w:r>
      <w:proofErr w:type="spellEnd"/>
      <w:r>
        <w:rPr>
          <w:sz w:val="20"/>
          <w:szCs w:val="20"/>
          <w:lang w:val="en-US"/>
        </w:rPr>
        <w:t xml:space="preserve"> and Paul F. Diehl,</w:t>
      </w:r>
      <w:r w:rsidRPr="00B61248">
        <w:rPr>
          <w:sz w:val="20"/>
          <w:szCs w:val="20"/>
          <w:lang w:val="en-US"/>
        </w:rPr>
        <w:t xml:space="preserve"> ‘Towards a Theory of International Norms: Some Conceptual and Measurement Issues’, </w:t>
      </w:r>
      <w:r w:rsidRPr="003F3759">
        <w:rPr>
          <w:i/>
          <w:sz w:val="20"/>
          <w:szCs w:val="20"/>
          <w:lang w:val="en-US"/>
        </w:rPr>
        <w:t>Journal of Conflict Resolution</w:t>
      </w:r>
      <w:r>
        <w:rPr>
          <w:sz w:val="20"/>
          <w:szCs w:val="20"/>
          <w:lang w:val="en-US"/>
        </w:rPr>
        <w:t xml:space="preserve"> 36:</w:t>
      </w:r>
      <w:r w:rsidRPr="00B61248">
        <w:rPr>
          <w:sz w:val="20"/>
          <w:szCs w:val="20"/>
          <w:lang w:val="en-US"/>
        </w:rPr>
        <w:t>4</w:t>
      </w:r>
      <w:r>
        <w:rPr>
          <w:sz w:val="20"/>
          <w:szCs w:val="20"/>
          <w:lang w:val="en-US"/>
        </w:rPr>
        <w:t xml:space="preserve"> (2012), pp.</w:t>
      </w:r>
      <w:r w:rsidRPr="00B61248">
        <w:rPr>
          <w:sz w:val="20"/>
          <w:szCs w:val="20"/>
          <w:lang w:val="en-US"/>
        </w:rPr>
        <w:t xml:space="preserve"> 634-64.</w:t>
      </w:r>
    </w:p>
  </w:footnote>
  <w:footnote w:id="10">
    <w:p w14:paraId="0A18173E" w14:textId="2E03C450" w:rsidR="003F3759" w:rsidRPr="00B61248" w:rsidRDefault="003F3759" w:rsidP="00AD053C">
      <w:pPr>
        <w:rPr>
          <w:sz w:val="20"/>
          <w:szCs w:val="20"/>
        </w:rPr>
      </w:pPr>
      <w:r w:rsidRPr="00B61248">
        <w:rPr>
          <w:rStyle w:val="FootnoteReference"/>
          <w:sz w:val="20"/>
          <w:szCs w:val="20"/>
        </w:rPr>
        <w:footnoteRef/>
      </w:r>
      <w:r>
        <w:rPr>
          <w:sz w:val="20"/>
          <w:szCs w:val="20"/>
        </w:rPr>
        <w:t xml:space="preserve"> Jeffrey </w:t>
      </w:r>
      <w:proofErr w:type="spellStart"/>
      <w:r>
        <w:rPr>
          <w:sz w:val="20"/>
          <w:szCs w:val="20"/>
        </w:rPr>
        <w:t>Sluka</w:t>
      </w:r>
      <w:proofErr w:type="spellEnd"/>
      <w:r>
        <w:rPr>
          <w:sz w:val="20"/>
          <w:szCs w:val="20"/>
        </w:rPr>
        <w:t>,</w:t>
      </w:r>
      <w:r w:rsidRPr="00B61248">
        <w:rPr>
          <w:sz w:val="20"/>
          <w:szCs w:val="20"/>
        </w:rPr>
        <w:t xml:space="preserve"> ‘Terrorism and Taboo: An Anthropological Perspective on Political Violence Against Citizens’, </w:t>
      </w:r>
      <w:r w:rsidRPr="003F3759">
        <w:rPr>
          <w:i/>
          <w:sz w:val="20"/>
          <w:szCs w:val="20"/>
        </w:rPr>
        <w:t>Critical Studies on Terrorism</w:t>
      </w:r>
      <w:r>
        <w:rPr>
          <w:sz w:val="20"/>
          <w:szCs w:val="20"/>
        </w:rPr>
        <w:t xml:space="preserve"> 1:</w:t>
      </w:r>
      <w:r w:rsidRPr="00B61248">
        <w:rPr>
          <w:sz w:val="20"/>
          <w:szCs w:val="20"/>
        </w:rPr>
        <w:t>2</w:t>
      </w:r>
      <w:r>
        <w:rPr>
          <w:sz w:val="20"/>
          <w:szCs w:val="20"/>
        </w:rPr>
        <w:t xml:space="preserve"> (2008), pp.</w:t>
      </w:r>
      <w:r w:rsidRPr="00B61248">
        <w:rPr>
          <w:sz w:val="20"/>
          <w:szCs w:val="20"/>
        </w:rPr>
        <w:t xml:space="preserve"> 167-83.</w:t>
      </w:r>
    </w:p>
  </w:footnote>
  <w:footnote w:id="11">
    <w:p w14:paraId="0E4FD8D7" w14:textId="595BEEE8" w:rsidR="003F3759" w:rsidRPr="00B61248" w:rsidRDefault="003F3759" w:rsidP="00AD053C">
      <w:pPr>
        <w:rPr>
          <w:sz w:val="20"/>
          <w:szCs w:val="20"/>
        </w:rPr>
      </w:pPr>
      <w:r w:rsidRPr="00B61248">
        <w:rPr>
          <w:rStyle w:val="FootnoteReference"/>
          <w:sz w:val="20"/>
          <w:szCs w:val="20"/>
        </w:rPr>
        <w:footnoteRef/>
      </w:r>
      <w:r>
        <w:rPr>
          <w:sz w:val="20"/>
          <w:szCs w:val="20"/>
        </w:rPr>
        <w:t xml:space="preserve"> Janice Gross Stein,</w:t>
      </w:r>
      <w:r w:rsidRPr="00B61248">
        <w:rPr>
          <w:sz w:val="20"/>
          <w:szCs w:val="20"/>
        </w:rPr>
        <w:t xml:space="preserve"> ‘Taboos and Regional Security Regimes’ </w:t>
      </w:r>
      <w:r w:rsidRPr="003F3759">
        <w:rPr>
          <w:i/>
          <w:sz w:val="20"/>
          <w:szCs w:val="20"/>
        </w:rPr>
        <w:t>Journal of Strategic Studies</w:t>
      </w:r>
      <w:r>
        <w:rPr>
          <w:sz w:val="20"/>
          <w:szCs w:val="20"/>
        </w:rPr>
        <w:t xml:space="preserve"> 26:</w:t>
      </w:r>
      <w:r w:rsidRPr="00B61248">
        <w:rPr>
          <w:sz w:val="20"/>
          <w:szCs w:val="20"/>
        </w:rPr>
        <w:t>3</w:t>
      </w:r>
      <w:r>
        <w:rPr>
          <w:sz w:val="20"/>
          <w:szCs w:val="20"/>
        </w:rPr>
        <w:t xml:space="preserve"> (2010), pp.</w:t>
      </w:r>
      <w:r w:rsidRPr="00B61248">
        <w:rPr>
          <w:sz w:val="20"/>
          <w:szCs w:val="20"/>
        </w:rPr>
        <w:t xml:space="preserve"> 6-81.</w:t>
      </w:r>
    </w:p>
  </w:footnote>
  <w:footnote w:id="12">
    <w:p w14:paraId="26DC71F7" w14:textId="7E395004" w:rsidR="003F3759" w:rsidRPr="00B61248" w:rsidRDefault="003F3759" w:rsidP="00AD053C">
      <w:pPr>
        <w:rPr>
          <w:sz w:val="20"/>
          <w:szCs w:val="20"/>
        </w:rPr>
      </w:pPr>
      <w:r w:rsidRPr="00B61248">
        <w:rPr>
          <w:rStyle w:val="FootnoteReference"/>
          <w:sz w:val="20"/>
          <w:szCs w:val="20"/>
        </w:rPr>
        <w:footnoteRef/>
      </w:r>
      <w:r>
        <w:rPr>
          <w:sz w:val="20"/>
          <w:szCs w:val="20"/>
        </w:rPr>
        <w:t xml:space="preserve"> Gunter Frankenberg,</w:t>
      </w:r>
      <w:r w:rsidRPr="00B61248">
        <w:rPr>
          <w:sz w:val="20"/>
          <w:szCs w:val="20"/>
        </w:rPr>
        <w:t xml:space="preserve"> ‘Torture and Taboo: An Essay Comparing Paradigms of Comparative Law’, </w:t>
      </w:r>
      <w:r w:rsidRPr="003F3759">
        <w:rPr>
          <w:i/>
          <w:sz w:val="20"/>
          <w:szCs w:val="20"/>
        </w:rPr>
        <w:t>American Journal of Comparative Law</w:t>
      </w:r>
      <w:r>
        <w:rPr>
          <w:sz w:val="20"/>
          <w:szCs w:val="20"/>
        </w:rPr>
        <w:t xml:space="preserve"> 56:</w:t>
      </w:r>
      <w:r w:rsidRPr="00B61248">
        <w:rPr>
          <w:sz w:val="20"/>
          <w:szCs w:val="20"/>
        </w:rPr>
        <w:t>2</w:t>
      </w:r>
      <w:r>
        <w:rPr>
          <w:sz w:val="20"/>
          <w:szCs w:val="20"/>
        </w:rPr>
        <w:t xml:space="preserve"> (2008), pp.</w:t>
      </w:r>
      <w:r w:rsidRPr="00B61248">
        <w:rPr>
          <w:sz w:val="20"/>
          <w:szCs w:val="20"/>
        </w:rPr>
        <w:t xml:space="preserve"> 403-22.</w:t>
      </w:r>
    </w:p>
  </w:footnote>
  <w:footnote w:id="13">
    <w:p w14:paraId="06CAAC4B" w14:textId="5B7261BD" w:rsidR="003F3759" w:rsidRPr="00B61248" w:rsidRDefault="003F3759" w:rsidP="00AD053C">
      <w:pPr>
        <w:rPr>
          <w:sz w:val="20"/>
          <w:szCs w:val="20"/>
          <w:lang w:val="en-US"/>
        </w:rPr>
      </w:pPr>
      <w:r w:rsidRPr="00B61248">
        <w:rPr>
          <w:rStyle w:val="FootnoteReference"/>
          <w:sz w:val="20"/>
          <w:szCs w:val="20"/>
        </w:rPr>
        <w:footnoteRef/>
      </w:r>
      <w:r w:rsidRPr="00B61248">
        <w:rPr>
          <w:sz w:val="20"/>
          <w:szCs w:val="20"/>
        </w:rPr>
        <w:t xml:space="preserve"> Richard </w:t>
      </w:r>
      <w:r>
        <w:rPr>
          <w:sz w:val="20"/>
          <w:szCs w:val="20"/>
          <w:lang w:val="en-US"/>
        </w:rPr>
        <w:t>Price,</w:t>
      </w:r>
      <w:r w:rsidRPr="00B61248">
        <w:rPr>
          <w:sz w:val="20"/>
          <w:szCs w:val="20"/>
          <w:lang w:val="en-US"/>
        </w:rPr>
        <w:t xml:space="preserve"> ‘A Genealogy of the Chemical Weapons Taboo’</w:t>
      </w:r>
      <w:r>
        <w:rPr>
          <w:sz w:val="20"/>
          <w:szCs w:val="20"/>
          <w:lang w:val="en-US"/>
        </w:rPr>
        <w:t xml:space="preserve">, </w:t>
      </w:r>
      <w:r w:rsidRPr="003F3759">
        <w:rPr>
          <w:i/>
          <w:sz w:val="20"/>
          <w:szCs w:val="20"/>
          <w:lang w:val="en-US"/>
        </w:rPr>
        <w:t>International Organization</w:t>
      </w:r>
      <w:r>
        <w:rPr>
          <w:sz w:val="20"/>
          <w:szCs w:val="20"/>
          <w:lang w:val="en-US"/>
        </w:rPr>
        <w:t xml:space="preserve"> 49:</w:t>
      </w:r>
      <w:r w:rsidRPr="00B61248">
        <w:rPr>
          <w:sz w:val="20"/>
          <w:szCs w:val="20"/>
          <w:lang w:val="en-US"/>
        </w:rPr>
        <w:t>1</w:t>
      </w:r>
      <w:r>
        <w:rPr>
          <w:sz w:val="20"/>
          <w:szCs w:val="20"/>
          <w:lang w:val="en-US"/>
        </w:rPr>
        <w:t xml:space="preserve"> (1995), pp.</w:t>
      </w:r>
      <w:r w:rsidRPr="00B61248">
        <w:rPr>
          <w:sz w:val="20"/>
          <w:szCs w:val="20"/>
          <w:lang w:val="en-US"/>
        </w:rPr>
        <w:t xml:space="preserve"> 73-103.</w:t>
      </w:r>
    </w:p>
  </w:footnote>
  <w:footnote w:id="14">
    <w:p w14:paraId="6EC90974" w14:textId="41009121" w:rsidR="003F3759" w:rsidRPr="00B61248" w:rsidRDefault="003F3759" w:rsidP="00AD053C">
      <w:pPr>
        <w:rPr>
          <w:sz w:val="20"/>
          <w:szCs w:val="20"/>
        </w:rPr>
      </w:pPr>
      <w:r w:rsidRPr="00B61248">
        <w:rPr>
          <w:rStyle w:val="FootnoteReference"/>
          <w:sz w:val="20"/>
          <w:szCs w:val="20"/>
        </w:rPr>
        <w:footnoteRef/>
      </w:r>
      <w:r>
        <w:rPr>
          <w:sz w:val="20"/>
          <w:szCs w:val="20"/>
        </w:rPr>
        <w:t xml:space="preserve"> Eric. A. </w:t>
      </w:r>
      <w:proofErr w:type="spellStart"/>
      <w:r>
        <w:rPr>
          <w:sz w:val="20"/>
          <w:szCs w:val="20"/>
        </w:rPr>
        <w:t>Heinze</w:t>
      </w:r>
      <w:proofErr w:type="spellEnd"/>
      <w:r>
        <w:rPr>
          <w:sz w:val="20"/>
          <w:szCs w:val="20"/>
        </w:rPr>
        <w:t>,</w:t>
      </w:r>
      <w:r w:rsidR="00583B42">
        <w:rPr>
          <w:sz w:val="20"/>
          <w:szCs w:val="20"/>
        </w:rPr>
        <w:t xml:space="preserve"> ‘Humanitarian Intervention: Morality and International Law on Intolerable Violations of Human R</w:t>
      </w:r>
      <w:r w:rsidRPr="00B61248">
        <w:rPr>
          <w:sz w:val="20"/>
          <w:szCs w:val="20"/>
        </w:rPr>
        <w:t xml:space="preserve">ights’, </w:t>
      </w:r>
      <w:r w:rsidRPr="003F3759">
        <w:rPr>
          <w:i/>
          <w:sz w:val="20"/>
          <w:szCs w:val="20"/>
        </w:rPr>
        <w:t>The International Journal of Human Rights</w:t>
      </w:r>
      <w:r>
        <w:rPr>
          <w:sz w:val="20"/>
          <w:szCs w:val="20"/>
        </w:rPr>
        <w:t xml:space="preserve"> 8:</w:t>
      </w:r>
      <w:r w:rsidRPr="00B61248">
        <w:rPr>
          <w:sz w:val="20"/>
          <w:szCs w:val="20"/>
        </w:rPr>
        <w:t>4</w:t>
      </w:r>
      <w:r>
        <w:rPr>
          <w:sz w:val="20"/>
          <w:szCs w:val="20"/>
        </w:rPr>
        <w:t xml:space="preserve"> (2004), p.</w:t>
      </w:r>
      <w:r w:rsidRPr="00B61248">
        <w:rPr>
          <w:sz w:val="20"/>
          <w:szCs w:val="20"/>
        </w:rPr>
        <w:t xml:space="preserve"> 471.</w:t>
      </w:r>
    </w:p>
  </w:footnote>
  <w:footnote w:id="15">
    <w:p w14:paraId="7E65FB24" w14:textId="56FD5C29" w:rsidR="003F3759" w:rsidRPr="00B61248" w:rsidRDefault="003F3759">
      <w:pPr>
        <w:pStyle w:val="FootnoteText"/>
        <w:rPr>
          <w:szCs w:val="20"/>
          <w:lang w:val="en-US"/>
        </w:rPr>
      </w:pPr>
      <w:r w:rsidRPr="00B61248">
        <w:rPr>
          <w:rStyle w:val="FootnoteReference"/>
          <w:szCs w:val="20"/>
        </w:rPr>
        <w:footnoteRef/>
      </w:r>
      <w:r w:rsidRPr="00B61248">
        <w:rPr>
          <w:szCs w:val="20"/>
        </w:rPr>
        <w:t xml:space="preserve"> Jeffrey </w:t>
      </w:r>
      <w:r w:rsidRPr="00B61248">
        <w:rPr>
          <w:szCs w:val="20"/>
          <w:lang w:val="en-US"/>
        </w:rPr>
        <w:t>Pickerin</w:t>
      </w:r>
      <w:r>
        <w:rPr>
          <w:szCs w:val="20"/>
          <w:lang w:val="en-US"/>
        </w:rPr>
        <w:t xml:space="preserve">g and </w:t>
      </w:r>
      <w:proofErr w:type="spellStart"/>
      <w:r>
        <w:rPr>
          <w:szCs w:val="20"/>
          <w:lang w:val="en-US"/>
        </w:rPr>
        <w:t>Emizet</w:t>
      </w:r>
      <w:proofErr w:type="spellEnd"/>
      <w:r>
        <w:rPr>
          <w:szCs w:val="20"/>
          <w:lang w:val="en-US"/>
        </w:rPr>
        <w:t xml:space="preserve"> F. Kisangani,</w:t>
      </w:r>
      <w:r w:rsidRPr="00B61248">
        <w:rPr>
          <w:szCs w:val="20"/>
          <w:lang w:val="en-US"/>
        </w:rPr>
        <w:t xml:space="preserve"> ‘The International Military Intervention Debate: An Updated Resource for Conflict Scholars</w:t>
      </w:r>
      <w:r>
        <w:rPr>
          <w:szCs w:val="20"/>
          <w:lang w:val="en-US"/>
        </w:rPr>
        <w:t xml:space="preserve">’, </w:t>
      </w:r>
      <w:r w:rsidRPr="003F3759">
        <w:rPr>
          <w:i/>
          <w:szCs w:val="20"/>
          <w:lang w:val="en-US"/>
        </w:rPr>
        <w:t>Journal of Peace Research</w:t>
      </w:r>
      <w:r>
        <w:rPr>
          <w:szCs w:val="20"/>
          <w:lang w:val="en-US"/>
        </w:rPr>
        <w:t xml:space="preserve"> 46:</w:t>
      </w:r>
      <w:r w:rsidRPr="00B61248">
        <w:rPr>
          <w:szCs w:val="20"/>
          <w:lang w:val="en-US"/>
        </w:rPr>
        <w:t>4</w:t>
      </w:r>
      <w:r>
        <w:rPr>
          <w:szCs w:val="20"/>
          <w:lang w:val="en-US"/>
        </w:rPr>
        <w:t xml:space="preserve"> (2009), p.</w:t>
      </w:r>
      <w:r w:rsidRPr="00B61248">
        <w:rPr>
          <w:szCs w:val="20"/>
          <w:lang w:val="en-US"/>
        </w:rPr>
        <w:t xml:space="preserve"> 589.</w:t>
      </w:r>
    </w:p>
  </w:footnote>
  <w:footnote w:id="16">
    <w:p w14:paraId="652848DD" w14:textId="5DB8AE39" w:rsidR="003F3759" w:rsidRPr="00B61248" w:rsidRDefault="003F3759" w:rsidP="00AD053C">
      <w:pPr>
        <w:rPr>
          <w:sz w:val="20"/>
          <w:szCs w:val="20"/>
          <w:lang w:val="en-US"/>
        </w:rPr>
      </w:pPr>
      <w:r w:rsidRPr="00B61248">
        <w:rPr>
          <w:rStyle w:val="FootnoteReference"/>
          <w:sz w:val="20"/>
          <w:szCs w:val="20"/>
        </w:rPr>
        <w:footnoteRef/>
      </w:r>
      <w:r w:rsidRPr="00B61248">
        <w:rPr>
          <w:sz w:val="20"/>
          <w:szCs w:val="20"/>
        </w:rPr>
        <w:t xml:space="preserve"> Nicholas Whe</w:t>
      </w:r>
      <w:r>
        <w:rPr>
          <w:sz w:val="20"/>
          <w:szCs w:val="20"/>
        </w:rPr>
        <w:t>eler,</w:t>
      </w:r>
      <w:r w:rsidRPr="00B61248">
        <w:rPr>
          <w:sz w:val="20"/>
          <w:szCs w:val="20"/>
        </w:rPr>
        <w:t xml:space="preserve"> </w:t>
      </w:r>
      <w:r w:rsidRPr="003F3759">
        <w:rPr>
          <w:i/>
          <w:sz w:val="20"/>
          <w:szCs w:val="20"/>
        </w:rPr>
        <w:t>Saving Strangers: Humanitarian Intervention in International Society</w:t>
      </w:r>
      <w:r w:rsidRPr="00B61248">
        <w:rPr>
          <w:sz w:val="20"/>
          <w:szCs w:val="20"/>
        </w:rPr>
        <w:t xml:space="preserve"> </w:t>
      </w:r>
      <w:r>
        <w:rPr>
          <w:sz w:val="20"/>
          <w:szCs w:val="20"/>
        </w:rPr>
        <w:t>(</w:t>
      </w:r>
      <w:r w:rsidRPr="00B61248">
        <w:rPr>
          <w:sz w:val="20"/>
          <w:szCs w:val="20"/>
        </w:rPr>
        <w:t>Oxford: Oxford University Press</w:t>
      </w:r>
      <w:r>
        <w:rPr>
          <w:sz w:val="20"/>
          <w:szCs w:val="20"/>
        </w:rPr>
        <w:t>, 2000)</w:t>
      </w:r>
      <w:r w:rsidRPr="00B61248">
        <w:rPr>
          <w:sz w:val="20"/>
          <w:szCs w:val="20"/>
        </w:rPr>
        <w:t xml:space="preserve">; Alex. J. </w:t>
      </w:r>
      <w:r>
        <w:rPr>
          <w:sz w:val="20"/>
          <w:szCs w:val="20"/>
          <w:lang w:val="en-US"/>
        </w:rPr>
        <w:t>Bellamy,</w:t>
      </w:r>
      <w:r w:rsidRPr="00B61248">
        <w:rPr>
          <w:sz w:val="20"/>
          <w:szCs w:val="20"/>
          <w:lang w:val="en-US"/>
        </w:rPr>
        <w:t xml:space="preserve"> ‘Kosovo and the Advent of Sovereignty as Responsibility’, </w:t>
      </w:r>
      <w:r w:rsidRPr="003F3759">
        <w:rPr>
          <w:i/>
          <w:sz w:val="20"/>
          <w:szCs w:val="20"/>
          <w:lang w:val="en-US"/>
        </w:rPr>
        <w:t xml:space="preserve">Journal of Intervention and </w:t>
      </w:r>
      <w:proofErr w:type="spellStart"/>
      <w:r w:rsidRPr="003F3759">
        <w:rPr>
          <w:i/>
          <w:sz w:val="20"/>
          <w:szCs w:val="20"/>
          <w:lang w:val="en-US"/>
        </w:rPr>
        <w:t>Statebuilding</w:t>
      </w:r>
      <w:proofErr w:type="spellEnd"/>
      <w:r>
        <w:rPr>
          <w:sz w:val="20"/>
          <w:szCs w:val="20"/>
          <w:lang w:val="en-US"/>
        </w:rPr>
        <w:t xml:space="preserve"> 3:</w:t>
      </w:r>
      <w:r w:rsidRPr="00B61248">
        <w:rPr>
          <w:sz w:val="20"/>
          <w:szCs w:val="20"/>
          <w:lang w:val="en-US"/>
        </w:rPr>
        <w:t>2</w:t>
      </w:r>
      <w:r>
        <w:rPr>
          <w:sz w:val="20"/>
          <w:szCs w:val="20"/>
          <w:lang w:val="en-US"/>
        </w:rPr>
        <w:t xml:space="preserve"> (2009), pp.</w:t>
      </w:r>
      <w:r w:rsidRPr="00B61248">
        <w:rPr>
          <w:sz w:val="20"/>
          <w:szCs w:val="20"/>
          <w:lang w:val="en-US"/>
        </w:rPr>
        <w:t xml:space="preserve"> 163-84;</w:t>
      </w:r>
      <w:r w:rsidRPr="00B61248">
        <w:rPr>
          <w:sz w:val="20"/>
          <w:szCs w:val="20"/>
        </w:rPr>
        <w:t xml:space="preserve"> </w:t>
      </w:r>
      <w:proofErr w:type="spellStart"/>
      <w:r w:rsidRPr="00B61248">
        <w:rPr>
          <w:sz w:val="20"/>
          <w:szCs w:val="20"/>
        </w:rPr>
        <w:t>Kle</w:t>
      </w:r>
      <w:r>
        <w:rPr>
          <w:sz w:val="20"/>
          <w:szCs w:val="20"/>
        </w:rPr>
        <w:t>dja</w:t>
      </w:r>
      <w:proofErr w:type="spellEnd"/>
      <w:r>
        <w:rPr>
          <w:sz w:val="20"/>
          <w:szCs w:val="20"/>
        </w:rPr>
        <w:t xml:space="preserve"> </w:t>
      </w:r>
      <w:proofErr w:type="spellStart"/>
      <w:r>
        <w:rPr>
          <w:sz w:val="20"/>
          <w:szCs w:val="20"/>
        </w:rPr>
        <w:t>Mulaj</w:t>
      </w:r>
      <w:proofErr w:type="spellEnd"/>
      <w:r>
        <w:rPr>
          <w:sz w:val="20"/>
          <w:szCs w:val="20"/>
        </w:rPr>
        <w:t>,</w:t>
      </w:r>
      <w:r w:rsidRPr="00B61248">
        <w:rPr>
          <w:sz w:val="20"/>
          <w:szCs w:val="20"/>
        </w:rPr>
        <w:t xml:space="preserve"> ‘Dilemmas of Reacting to Mass Atrocities: Humanitarian Intervention to End Violent Conflict in the Western Bal</w:t>
      </w:r>
      <w:r>
        <w:rPr>
          <w:sz w:val="20"/>
          <w:szCs w:val="20"/>
        </w:rPr>
        <w:t xml:space="preserve">kans’, </w:t>
      </w:r>
      <w:r w:rsidRPr="003F3759">
        <w:rPr>
          <w:i/>
          <w:sz w:val="20"/>
          <w:szCs w:val="20"/>
        </w:rPr>
        <w:t>Democracy and Security</w:t>
      </w:r>
      <w:r>
        <w:rPr>
          <w:sz w:val="20"/>
          <w:szCs w:val="20"/>
        </w:rPr>
        <w:t xml:space="preserve"> 7:</w:t>
      </w:r>
      <w:r w:rsidRPr="00B61248">
        <w:rPr>
          <w:sz w:val="20"/>
          <w:szCs w:val="20"/>
        </w:rPr>
        <w:t>2</w:t>
      </w:r>
      <w:r>
        <w:rPr>
          <w:sz w:val="20"/>
          <w:szCs w:val="20"/>
        </w:rPr>
        <w:t xml:space="preserve"> (2011), </w:t>
      </w:r>
      <w:proofErr w:type="gramStart"/>
      <w:r>
        <w:rPr>
          <w:sz w:val="20"/>
          <w:szCs w:val="20"/>
        </w:rPr>
        <w:t>p</w:t>
      </w:r>
      <w:proofErr w:type="gramEnd"/>
      <w:r>
        <w:rPr>
          <w:sz w:val="20"/>
          <w:szCs w:val="20"/>
        </w:rPr>
        <w:t>. 141.</w:t>
      </w:r>
    </w:p>
  </w:footnote>
  <w:footnote w:id="17">
    <w:p w14:paraId="52FB52D5" w14:textId="5E7BE263" w:rsidR="003F3759" w:rsidRPr="00B61248" w:rsidRDefault="003F3759" w:rsidP="00AD053C">
      <w:pPr>
        <w:rPr>
          <w:sz w:val="20"/>
          <w:szCs w:val="20"/>
          <w:lang w:val="en-US"/>
        </w:rPr>
      </w:pPr>
      <w:r w:rsidRPr="00B61248">
        <w:rPr>
          <w:rStyle w:val="FootnoteReference"/>
          <w:sz w:val="20"/>
          <w:szCs w:val="20"/>
        </w:rPr>
        <w:footnoteRef/>
      </w:r>
      <w:r w:rsidRPr="00B61248">
        <w:rPr>
          <w:sz w:val="20"/>
          <w:szCs w:val="20"/>
        </w:rPr>
        <w:t xml:space="preserve"> Amir </w:t>
      </w:r>
      <w:r>
        <w:rPr>
          <w:sz w:val="20"/>
          <w:szCs w:val="20"/>
          <w:lang w:val="en-US"/>
        </w:rPr>
        <w:t>Pasic and Thomas G. Weiss,</w:t>
      </w:r>
      <w:r w:rsidRPr="00B61248">
        <w:rPr>
          <w:sz w:val="20"/>
          <w:szCs w:val="20"/>
          <w:lang w:val="en-US"/>
        </w:rPr>
        <w:t xml:space="preserve"> ‘The Politics of Rescue: Yugoslavia’s Wars sand the Humanitarian Impulse’, </w:t>
      </w:r>
      <w:r w:rsidRPr="003F3759">
        <w:rPr>
          <w:i/>
          <w:sz w:val="20"/>
          <w:szCs w:val="20"/>
          <w:lang w:val="en-US"/>
        </w:rPr>
        <w:t>Ethics and International Affairs</w:t>
      </w:r>
      <w:r>
        <w:rPr>
          <w:sz w:val="20"/>
          <w:szCs w:val="20"/>
          <w:lang w:val="en-US"/>
        </w:rPr>
        <w:t xml:space="preserve"> 11:</w:t>
      </w:r>
      <w:r w:rsidRPr="00B61248">
        <w:rPr>
          <w:sz w:val="20"/>
          <w:szCs w:val="20"/>
          <w:lang w:val="en-US"/>
        </w:rPr>
        <w:t>1</w:t>
      </w:r>
      <w:r>
        <w:rPr>
          <w:sz w:val="20"/>
          <w:szCs w:val="20"/>
          <w:lang w:val="en-US"/>
        </w:rPr>
        <w:t xml:space="preserve"> (1997), pp.</w:t>
      </w:r>
      <w:r w:rsidRPr="00B61248">
        <w:rPr>
          <w:sz w:val="20"/>
          <w:szCs w:val="20"/>
          <w:lang w:val="en-US"/>
        </w:rPr>
        <w:t xml:space="preserve"> 105-31.</w:t>
      </w:r>
    </w:p>
  </w:footnote>
  <w:footnote w:id="18">
    <w:p w14:paraId="28B37D8B" w14:textId="2C7DC3E3" w:rsidR="003F3759" w:rsidRPr="00B61248" w:rsidRDefault="003F3759">
      <w:pPr>
        <w:pStyle w:val="FootnoteText"/>
        <w:rPr>
          <w:szCs w:val="20"/>
          <w:lang w:val="en-US"/>
        </w:rPr>
      </w:pPr>
      <w:r w:rsidRPr="00B61248">
        <w:rPr>
          <w:rStyle w:val="FootnoteReference"/>
          <w:szCs w:val="20"/>
        </w:rPr>
        <w:footnoteRef/>
      </w:r>
      <w:r w:rsidRPr="00B61248">
        <w:rPr>
          <w:szCs w:val="20"/>
        </w:rPr>
        <w:t xml:space="preserve"> </w:t>
      </w:r>
      <w:proofErr w:type="gramStart"/>
      <w:r w:rsidRPr="00B61248">
        <w:rPr>
          <w:szCs w:val="20"/>
          <w:lang w:val="en-US"/>
        </w:rPr>
        <w:t>To the extent that any suffering can be considered legitimate.</w:t>
      </w:r>
      <w:proofErr w:type="gramEnd"/>
    </w:p>
  </w:footnote>
  <w:footnote w:id="19">
    <w:p w14:paraId="66056857" w14:textId="31C7064C" w:rsidR="003F3759" w:rsidRPr="00B61248" w:rsidRDefault="003F3759">
      <w:pPr>
        <w:pStyle w:val="FootnoteText"/>
        <w:rPr>
          <w:szCs w:val="20"/>
          <w:lang w:val="en-US"/>
        </w:rPr>
      </w:pPr>
      <w:r w:rsidRPr="00B61248">
        <w:rPr>
          <w:rStyle w:val="FootnoteReference"/>
          <w:szCs w:val="20"/>
        </w:rPr>
        <w:footnoteRef/>
      </w:r>
      <w:r w:rsidRPr="00B61248">
        <w:rPr>
          <w:szCs w:val="20"/>
        </w:rPr>
        <w:t xml:space="preserve"> Kofi </w:t>
      </w:r>
      <w:r>
        <w:rPr>
          <w:szCs w:val="20"/>
          <w:lang w:val="en-US"/>
        </w:rPr>
        <w:t>Annan,</w:t>
      </w:r>
      <w:r w:rsidRPr="00B61248">
        <w:rPr>
          <w:szCs w:val="20"/>
          <w:lang w:val="en-US"/>
        </w:rPr>
        <w:t xml:space="preserve"> ‘Intervention’, </w:t>
      </w:r>
      <w:r w:rsidRPr="003F3759">
        <w:rPr>
          <w:i/>
          <w:szCs w:val="20"/>
          <w:lang w:val="en-US"/>
        </w:rPr>
        <w:t>Medicine, Conflict and Survival</w:t>
      </w:r>
      <w:r>
        <w:rPr>
          <w:szCs w:val="20"/>
          <w:lang w:val="en-US"/>
        </w:rPr>
        <w:t xml:space="preserve"> 15:</w:t>
      </w:r>
      <w:r w:rsidRPr="00B61248">
        <w:rPr>
          <w:szCs w:val="20"/>
          <w:lang w:val="en-US"/>
        </w:rPr>
        <w:t>2</w:t>
      </w:r>
      <w:r>
        <w:rPr>
          <w:szCs w:val="20"/>
          <w:lang w:val="en-US"/>
        </w:rPr>
        <w:t xml:space="preserve"> (1999), p.</w:t>
      </w:r>
      <w:r w:rsidRPr="00B61248">
        <w:rPr>
          <w:szCs w:val="20"/>
          <w:lang w:val="en-US"/>
        </w:rPr>
        <w:t xml:space="preserve"> 116.</w:t>
      </w:r>
    </w:p>
  </w:footnote>
  <w:footnote w:id="20">
    <w:p w14:paraId="2D254B17" w14:textId="72732D8F" w:rsidR="003F3759" w:rsidRPr="00B61248" w:rsidRDefault="003F3759">
      <w:pPr>
        <w:pStyle w:val="FootnoteText"/>
        <w:rPr>
          <w:szCs w:val="20"/>
          <w:lang w:val="en-US"/>
        </w:rPr>
      </w:pPr>
      <w:r w:rsidRPr="00B61248">
        <w:rPr>
          <w:rStyle w:val="FootnoteReference"/>
          <w:szCs w:val="20"/>
        </w:rPr>
        <w:footnoteRef/>
      </w:r>
      <w:r>
        <w:rPr>
          <w:szCs w:val="20"/>
        </w:rPr>
        <w:t xml:space="preserve"> Aidan </w:t>
      </w:r>
      <w:proofErr w:type="spellStart"/>
      <w:r>
        <w:rPr>
          <w:szCs w:val="20"/>
        </w:rPr>
        <w:t>Hehir</w:t>
      </w:r>
      <w:proofErr w:type="spellEnd"/>
      <w:r>
        <w:rPr>
          <w:szCs w:val="20"/>
        </w:rPr>
        <w:t>,</w:t>
      </w:r>
      <w:r w:rsidR="00583B42">
        <w:rPr>
          <w:szCs w:val="20"/>
        </w:rPr>
        <w:t xml:space="preserve"> ‘The Responsibility to Protect in International Political Discourse: Encouraging Statement of I</w:t>
      </w:r>
      <w:r w:rsidRPr="00B61248">
        <w:rPr>
          <w:szCs w:val="20"/>
        </w:rPr>
        <w:t>ntent o</w:t>
      </w:r>
      <w:r w:rsidR="00583B42">
        <w:rPr>
          <w:szCs w:val="20"/>
        </w:rPr>
        <w:t>r Illusory P</w:t>
      </w:r>
      <w:r w:rsidRPr="00B61248">
        <w:rPr>
          <w:szCs w:val="20"/>
        </w:rPr>
        <w:t>latitudes?</w:t>
      </w:r>
      <w:proofErr w:type="gramStart"/>
      <w:r w:rsidRPr="00B61248">
        <w:rPr>
          <w:szCs w:val="20"/>
        </w:rPr>
        <w:t>’,</w:t>
      </w:r>
      <w:proofErr w:type="gramEnd"/>
      <w:r w:rsidRPr="00B61248">
        <w:rPr>
          <w:szCs w:val="20"/>
        </w:rPr>
        <w:t xml:space="preserve"> </w:t>
      </w:r>
      <w:r w:rsidRPr="003F3759">
        <w:rPr>
          <w:i/>
          <w:szCs w:val="20"/>
        </w:rPr>
        <w:t>The International Journal of Human Rights</w:t>
      </w:r>
      <w:r>
        <w:rPr>
          <w:szCs w:val="20"/>
        </w:rPr>
        <w:t xml:space="preserve"> 15:</w:t>
      </w:r>
      <w:r w:rsidRPr="00B61248">
        <w:rPr>
          <w:szCs w:val="20"/>
        </w:rPr>
        <w:t>8</w:t>
      </w:r>
      <w:r>
        <w:rPr>
          <w:szCs w:val="20"/>
        </w:rPr>
        <w:t xml:space="preserve"> (2011), p.</w:t>
      </w:r>
      <w:r w:rsidRPr="00B61248">
        <w:rPr>
          <w:szCs w:val="20"/>
        </w:rPr>
        <w:t xml:space="preserve"> 1332.</w:t>
      </w:r>
    </w:p>
  </w:footnote>
  <w:footnote w:id="21">
    <w:p w14:paraId="68D429A4" w14:textId="6454118F" w:rsidR="003F3759" w:rsidRPr="00B61248" w:rsidRDefault="003F3759">
      <w:pPr>
        <w:pStyle w:val="FootnoteText"/>
        <w:rPr>
          <w:szCs w:val="20"/>
          <w:lang w:val="en-US"/>
        </w:rPr>
      </w:pPr>
      <w:r w:rsidRPr="00B61248">
        <w:rPr>
          <w:rStyle w:val="FootnoteReference"/>
          <w:szCs w:val="20"/>
        </w:rPr>
        <w:footnoteRef/>
      </w:r>
      <w:r>
        <w:rPr>
          <w:szCs w:val="20"/>
        </w:rPr>
        <w:t xml:space="preserve"> Daniel </w:t>
      </w:r>
      <w:proofErr w:type="spellStart"/>
      <w:r>
        <w:rPr>
          <w:szCs w:val="20"/>
        </w:rPr>
        <w:t>Fiott</w:t>
      </w:r>
      <w:proofErr w:type="spellEnd"/>
      <w:r>
        <w:rPr>
          <w:szCs w:val="20"/>
        </w:rPr>
        <w:t>,</w:t>
      </w:r>
      <w:r w:rsidRPr="00B61248">
        <w:rPr>
          <w:szCs w:val="20"/>
        </w:rPr>
        <w:t xml:space="preserve"> ‘Realist Thought and Humanitarian Intervention’, </w:t>
      </w:r>
      <w:r w:rsidRPr="003F3759">
        <w:rPr>
          <w:i/>
          <w:szCs w:val="20"/>
        </w:rPr>
        <w:t>The International History Review</w:t>
      </w:r>
      <w:r>
        <w:rPr>
          <w:szCs w:val="20"/>
        </w:rPr>
        <w:t xml:space="preserve"> 35:</w:t>
      </w:r>
      <w:r w:rsidRPr="00B61248">
        <w:rPr>
          <w:szCs w:val="20"/>
        </w:rPr>
        <w:t>4</w:t>
      </w:r>
      <w:r>
        <w:rPr>
          <w:szCs w:val="20"/>
        </w:rPr>
        <w:t xml:space="preserve"> (2013), p.</w:t>
      </w:r>
      <w:r w:rsidRPr="00B61248">
        <w:rPr>
          <w:szCs w:val="20"/>
        </w:rPr>
        <w:t xml:space="preserve"> 767.</w:t>
      </w:r>
    </w:p>
  </w:footnote>
  <w:footnote w:id="22">
    <w:p w14:paraId="108492C2" w14:textId="10BFDDDB" w:rsidR="003F3759" w:rsidRPr="00B61248" w:rsidRDefault="003F3759" w:rsidP="008D16B8">
      <w:pPr>
        <w:rPr>
          <w:sz w:val="20"/>
          <w:szCs w:val="20"/>
          <w:lang w:val="en-US"/>
        </w:rPr>
      </w:pPr>
      <w:r w:rsidRPr="00B61248">
        <w:rPr>
          <w:rStyle w:val="FootnoteReference"/>
          <w:sz w:val="20"/>
          <w:szCs w:val="20"/>
        </w:rPr>
        <w:footnoteRef/>
      </w:r>
      <w:r w:rsidRPr="00B61248">
        <w:rPr>
          <w:sz w:val="20"/>
          <w:szCs w:val="20"/>
        </w:rPr>
        <w:t xml:space="preserve"> Major Mark </w:t>
      </w:r>
      <w:r>
        <w:rPr>
          <w:sz w:val="20"/>
          <w:szCs w:val="20"/>
          <w:lang w:val="en-US"/>
        </w:rPr>
        <w:t>Adams,</w:t>
      </w:r>
      <w:r w:rsidRPr="00B61248">
        <w:rPr>
          <w:sz w:val="20"/>
          <w:szCs w:val="20"/>
          <w:lang w:val="en-US"/>
        </w:rPr>
        <w:t xml:space="preserve"> ‘A Duty to I</w:t>
      </w:r>
      <w:r>
        <w:rPr>
          <w:sz w:val="20"/>
          <w:szCs w:val="20"/>
          <w:lang w:val="en-US"/>
        </w:rPr>
        <w:t xml:space="preserve">ntervene?’ </w:t>
      </w:r>
      <w:r w:rsidRPr="003F3759">
        <w:rPr>
          <w:i/>
          <w:sz w:val="20"/>
          <w:szCs w:val="20"/>
          <w:lang w:val="en-US"/>
        </w:rPr>
        <w:t>The RUSI Journal</w:t>
      </w:r>
      <w:r>
        <w:rPr>
          <w:sz w:val="20"/>
          <w:szCs w:val="20"/>
          <w:lang w:val="en-US"/>
        </w:rPr>
        <w:t xml:space="preserve"> 145:</w:t>
      </w:r>
      <w:r w:rsidRPr="00B61248">
        <w:rPr>
          <w:sz w:val="20"/>
          <w:szCs w:val="20"/>
          <w:lang w:val="en-US"/>
        </w:rPr>
        <w:t>6</w:t>
      </w:r>
      <w:r>
        <w:rPr>
          <w:sz w:val="20"/>
          <w:szCs w:val="20"/>
          <w:lang w:val="en-US"/>
        </w:rPr>
        <w:t xml:space="preserve"> (2000), p.</w:t>
      </w:r>
      <w:r w:rsidRPr="00B61248">
        <w:rPr>
          <w:sz w:val="20"/>
          <w:szCs w:val="20"/>
          <w:lang w:val="en-US"/>
        </w:rPr>
        <w:t xml:space="preserve"> 32-36.</w:t>
      </w:r>
    </w:p>
  </w:footnote>
  <w:footnote w:id="23">
    <w:p w14:paraId="53FE8F1B" w14:textId="63F9B168" w:rsidR="003F3759" w:rsidRPr="00B61248" w:rsidRDefault="003F3759">
      <w:pPr>
        <w:pStyle w:val="FootnoteText"/>
        <w:rPr>
          <w:szCs w:val="20"/>
          <w:lang w:val="en-US"/>
        </w:rPr>
      </w:pPr>
      <w:r w:rsidRPr="00B61248">
        <w:rPr>
          <w:rStyle w:val="FootnoteReference"/>
          <w:szCs w:val="20"/>
        </w:rPr>
        <w:footnoteRef/>
      </w:r>
      <w:r>
        <w:rPr>
          <w:szCs w:val="20"/>
        </w:rPr>
        <w:t xml:space="preserve"> </w:t>
      </w:r>
      <w:proofErr w:type="gramStart"/>
      <w:r>
        <w:rPr>
          <w:szCs w:val="20"/>
        </w:rPr>
        <w:t>Thomas G. Weiss,</w:t>
      </w:r>
      <w:r w:rsidRPr="00B61248">
        <w:rPr>
          <w:szCs w:val="20"/>
        </w:rPr>
        <w:t xml:space="preserve"> ‘The Sunset of Humanitarian Intervention?</w:t>
      </w:r>
      <w:proofErr w:type="gramEnd"/>
      <w:r w:rsidRPr="00B61248">
        <w:rPr>
          <w:szCs w:val="20"/>
        </w:rPr>
        <w:t xml:space="preserve"> The Responsibility to Protect in a Unip</w:t>
      </w:r>
      <w:r>
        <w:rPr>
          <w:szCs w:val="20"/>
        </w:rPr>
        <w:t xml:space="preserve">olar Era’, </w:t>
      </w:r>
      <w:r w:rsidRPr="003F3759">
        <w:rPr>
          <w:i/>
          <w:szCs w:val="20"/>
        </w:rPr>
        <w:t>Security Dialogue</w:t>
      </w:r>
      <w:r>
        <w:rPr>
          <w:szCs w:val="20"/>
        </w:rPr>
        <w:t xml:space="preserve"> 35:</w:t>
      </w:r>
      <w:r w:rsidRPr="00B61248">
        <w:rPr>
          <w:szCs w:val="20"/>
        </w:rPr>
        <w:t>2</w:t>
      </w:r>
      <w:r>
        <w:rPr>
          <w:szCs w:val="20"/>
        </w:rPr>
        <w:t xml:space="preserve"> (2004), p.</w:t>
      </w:r>
      <w:r w:rsidRPr="00B61248">
        <w:rPr>
          <w:szCs w:val="20"/>
        </w:rPr>
        <w:t xml:space="preserve"> 141.</w:t>
      </w:r>
    </w:p>
  </w:footnote>
  <w:footnote w:id="24">
    <w:p w14:paraId="16265449" w14:textId="0860AA7F" w:rsidR="003F3759" w:rsidRPr="00B61248" w:rsidRDefault="003F3759" w:rsidP="008D16B8">
      <w:pPr>
        <w:rPr>
          <w:sz w:val="20"/>
          <w:szCs w:val="20"/>
        </w:rPr>
      </w:pPr>
      <w:r w:rsidRPr="00B61248">
        <w:rPr>
          <w:rStyle w:val="FootnoteReference"/>
          <w:sz w:val="20"/>
          <w:szCs w:val="20"/>
        </w:rPr>
        <w:footnoteRef/>
      </w:r>
      <w:r>
        <w:rPr>
          <w:sz w:val="20"/>
          <w:szCs w:val="20"/>
        </w:rPr>
        <w:t xml:space="preserve"> Noam Chomsky,</w:t>
      </w:r>
      <w:r w:rsidRPr="00B61248">
        <w:rPr>
          <w:sz w:val="20"/>
          <w:szCs w:val="20"/>
        </w:rPr>
        <w:t xml:space="preserve"> ‘The Current Bombings: Behind the Rhetoric’, </w:t>
      </w:r>
      <w:r w:rsidRPr="003F3759">
        <w:rPr>
          <w:i/>
          <w:sz w:val="20"/>
          <w:szCs w:val="20"/>
        </w:rPr>
        <w:t>Z-Net</w:t>
      </w:r>
      <w:r>
        <w:rPr>
          <w:sz w:val="20"/>
          <w:szCs w:val="20"/>
        </w:rPr>
        <w:t xml:space="preserve"> (2009), available at:</w:t>
      </w:r>
      <w:r w:rsidRPr="00B61248">
        <w:rPr>
          <w:sz w:val="20"/>
          <w:szCs w:val="20"/>
        </w:rPr>
        <w:t xml:space="preserve"> https://chomsky.info/199903__/;</w:t>
      </w:r>
      <w:r>
        <w:rPr>
          <w:sz w:val="20"/>
          <w:szCs w:val="20"/>
        </w:rPr>
        <w:t xml:space="preserve"> </w:t>
      </w:r>
      <w:proofErr w:type="spellStart"/>
      <w:r>
        <w:rPr>
          <w:sz w:val="20"/>
          <w:szCs w:val="20"/>
        </w:rPr>
        <w:t>Stanlake</w:t>
      </w:r>
      <w:proofErr w:type="spellEnd"/>
      <w:r>
        <w:rPr>
          <w:sz w:val="20"/>
          <w:szCs w:val="20"/>
        </w:rPr>
        <w:t xml:space="preserve"> J.T.M. </w:t>
      </w:r>
      <w:proofErr w:type="spellStart"/>
      <w:r>
        <w:rPr>
          <w:sz w:val="20"/>
          <w:szCs w:val="20"/>
        </w:rPr>
        <w:t>Samkange</w:t>
      </w:r>
      <w:proofErr w:type="spellEnd"/>
      <w:r>
        <w:rPr>
          <w:sz w:val="20"/>
          <w:szCs w:val="20"/>
        </w:rPr>
        <w:t>,</w:t>
      </w:r>
      <w:r w:rsidRPr="00B61248">
        <w:rPr>
          <w:sz w:val="20"/>
          <w:szCs w:val="20"/>
        </w:rPr>
        <w:t xml:space="preserve"> ‘African Perspectives on Intervention and State Sovereign</w:t>
      </w:r>
      <w:r>
        <w:rPr>
          <w:sz w:val="20"/>
          <w:szCs w:val="20"/>
        </w:rPr>
        <w:t xml:space="preserve">ty’, </w:t>
      </w:r>
      <w:r w:rsidRPr="003F3759">
        <w:rPr>
          <w:i/>
          <w:sz w:val="20"/>
          <w:szCs w:val="20"/>
        </w:rPr>
        <w:t>African Security Review</w:t>
      </w:r>
      <w:r>
        <w:rPr>
          <w:sz w:val="20"/>
          <w:szCs w:val="20"/>
        </w:rPr>
        <w:t xml:space="preserve"> 11:</w:t>
      </w:r>
      <w:r w:rsidRPr="00B61248">
        <w:rPr>
          <w:sz w:val="20"/>
          <w:szCs w:val="20"/>
        </w:rPr>
        <w:t>1</w:t>
      </w:r>
      <w:r>
        <w:rPr>
          <w:sz w:val="20"/>
          <w:szCs w:val="20"/>
        </w:rPr>
        <w:t xml:space="preserve"> (2002), pp.</w:t>
      </w:r>
      <w:r w:rsidRPr="00B61248">
        <w:rPr>
          <w:sz w:val="20"/>
          <w:szCs w:val="20"/>
        </w:rPr>
        <w:t xml:space="preserve"> 73-74.</w:t>
      </w:r>
    </w:p>
  </w:footnote>
  <w:footnote w:id="25">
    <w:p w14:paraId="595D7822" w14:textId="654FFFAF" w:rsidR="003F3759" w:rsidRPr="00B61248" w:rsidRDefault="003F3759" w:rsidP="008D16B8">
      <w:pPr>
        <w:rPr>
          <w:sz w:val="20"/>
          <w:szCs w:val="20"/>
        </w:rPr>
      </w:pPr>
      <w:r w:rsidRPr="00B61248">
        <w:rPr>
          <w:rStyle w:val="FootnoteReference"/>
          <w:sz w:val="20"/>
          <w:szCs w:val="20"/>
        </w:rPr>
        <w:footnoteRef/>
      </w:r>
      <w:r w:rsidRPr="00B61248">
        <w:rPr>
          <w:sz w:val="20"/>
          <w:szCs w:val="20"/>
        </w:rPr>
        <w:t xml:space="preserve"> </w:t>
      </w:r>
      <w:proofErr w:type="gramStart"/>
      <w:r w:rsidRPr="00B61248">
        <w:rPr>
          <w:sz w:val="20"/>
          <w:szCs w:val="20"/>
        </w:rPr>
        <w:t xml:space="preserve">S. Neil MacFarlane, </w:t>
      </w:r>
      <w:proofErr w:type="spellStart"/>
      <w:r w:rsidRPr="00B61248">
        <w:rPr>
          <w:sz w:val="20"/>
          <w:szCs w:val="20"/>
        </w:rPr>
        <w:t>Carolin</w:t>
      </w:r>
      <w:proofErr w:type="spellEnd"/>
      <w:r w:rsidRPr="00B61248">
        <w:rPr>
          <w:sz w:val="20"/>
          <w:szCs w:val="20"/>
        </w:rPr>
        <w:t xml:space="preserve"> J. </w:t>
      </w:r>
      <w:proofErr w:type="spellStart"/>
      <w:r w:rsidRPr="00B61248">
        <w:rPr>
          <w:sz w:val="20"/>
          <w:szCs w:val="20"/>
        </w:rPr>
        <w:t>Thiel</w:t>
      </w:r>
      <w:r>
        <w:rPr>
          <w:sz w:val="20"/>
          <w:szCs w:val="20"/>
        </w:rPr>
        <w:t>king</w:t>
      </w:r>
      <w:proofErr w:type="spellEnd"/>
      <w:r>
        <w:rPr>
          <w:sz w:val="20"/>
          <w:szCs w:val="20"/>
        </w:rPr>
        <w:t>, and Thomas G. Weiss,</w:t>
      </w:r>
      <w:r w:rsidRPr="00B61248">
        <w:rPr>
          <w:sz w:val="20"/>
          <w:szCs w:val="20"/>
        </w:rPr>
        <w:t xml:space="preserve"> </w:t>
      </w:r>
      <w:r w:rsidR="00583B42">
        <w:rPr>
          <w:sz w:val="20"/>
          <w:szCs w:val="20"/>
        </w:rPr>
        <w:t>‘The Responsibility to Protect?</w:t>
      </w:r>
      <w:proofErr w:type="gramEnd"/>
      <w:r w:rsidR="00583B42">
        <w:rPr>
          <w:sz w:val="20"/>
          <w:szCs w:val="20"/>
        </w:rPr>
        <w:t xml:space="preserve"> Is Anyone Interested in Humanitarian I</w:t>
      </w:r>
      <w:r w:rsidRPr="00B61248">
        <w:rPr>
          <w:sz w:val="20"/>
          <w:szCs w:val="20"/>
        </w:rPr>
        <w:t>ntervent</w:t>
      </w:r>
      <w:r>
        <w:rPr>
          <w:sz w:val="20"/>
          <w:szCs w:val="20"/>
        </w:rPr>
        <w:t>ion?</w:t>
      </w:r>
      <w:proofErr w:type="gramStart"/>
      <w:r>
        <w:rPr>
          <w:sz w:val="20"/>
          <w:szCs w:val="20"/>
        </w:rPr>
        <w:t>’,</w:t>
      </w:r>
      <w:proofErr w:type="gramEnd"/>
      <w:r>
        <w:rPr>
          <w:sz w:val="20"/>
          <w:szCs w:val="20"/>
        </w:rPr>
        <w:t xml:space="preserve"> </w:t>
      </w:r>
      <w:r w:rsidRPr="003F3759">
        <w:rPr>
          <w:i/>
          <w:sz w:val="20"/>
          <w:szCs w:val="20"/>
        </w:rPr>
        <w:t>Third World Quarterly</w:t>
      </w:r>
      <w:r>
        <w:rPr>
          <w:sz w:val="20"/>
          <w:szCs w:val="20"/>
        </w:rPr>
        <w:t xml:space="preserve"> 25:</w:t>
      </w:r>
      <w:r w:rsidRPr="00B61248">
        <w:rPr>
          <w:sz w:val="20"/>
          <w:szCs w:val="20"/>
        </w:rPr>
        <w:t>5</w:t>
      </w:r>
      <w:r>
        <w:rPr>
          <w:sz w:val="20"/>
          <w:szCs w:val="20"/>
        </w:rPr>
        <w:t xml:space="preserve"> (2004), p. 977; James </w:t>
      </w:r>
      <w:proofErr w:type="spellStart"/>
      <w:r>
        <w:rPr>
          <w:sz w:val="20"/>
          <w:szCs w:val="20"/>
        </w:rPr>
        <w:t>Kurth</w:t>
      </w:r>
      <w:proofErr w:type="spellEnd"/>
      <w:r>
        <w:rPr>
          <w:sz w:val="20"/>
          <w:szCs w:val="20"/>
        </w:rPr>
        <w:t>,</w:t>
      </w:r>
      <w:r w:rsidRPr="00B61248">
        <w:rPr>
          <w:sz w:val="20"/>
          <w:szCs w:val="20"/>
        </w:rPr>
        <w:t xml:space="preserve"> ‘Humanitarian Intervention After Iraq: Legal Ideals vs</w:t>
      </w:r>
      <w:r>
        <w:rPr>
          <w:sz w:val="20"/>
          <w:szCs w:val="20"/>
        </w:rPr>
        <w:t xml:space="preserve">. Military Realities’, </w:t>
      </w:r>
      <w:proofErr w:type="spellStart"/>
      <w:r w:rsidRPr="003F3759">
        <w:rPr>
          <w:i/>
          <w:sz w:val="20"/>
          <w:szCs w:val="20"/>
        </w:rPr>
        <w:t>Orbis</w:t>
      </w:r>
      <w:proofErr w:type="spellEnd"/>
      <w:r>
        <w:rPr>
          <w:sz w:val="20"/>
          <w:szCs w:val="20"/>
        </w:rPr>
        <w:t xml:space="preserve"> 50:</w:t>
      </w:r>
      <w:r w:rsidRPr="00B61248">
        <w:rPr>
          <w:sz w:val="20"/>
          <w:szCs w:val="20"/>
        </w:rPr>
        <w:t>1</w:t>
      </w:r>
      <w:r>
        <w:rPr>
          <w:sz w:val="20"/>
          <w:szCs w:val="20"/>
        </w:rPr>
        <w:t xml:space="preserve"> (2006), pp.</w:t>
      </w:r>
      <w:r w:rsidRPr="00B61248">
        <w:rPr>
          <w:sz w:val="20"/>
          <w:szCs w:val="20"/>
        </w:rPr>
        <w:t xml:space="preserve"> 87-101;</w:t>
      </w:r>
      <w:r>
        <w:rPr>
          <w:sz w:val="20"/>
          <w:szCs w:val="20"/>
          <w:lang w:val="en-US"/>
        </w:rPr>
        <w:t xml:space="preserve"> Andrew </w:t>
      </w:r>
      <w:proofErr w:type="spellStart"/>
      <w:r>
        <w:rPr>
          <w:sz w:val="20"/>
          <w:szCs w:val="20"/>
          <w:lang w:val="en-US"/>
        </w:rPr>
        <w:t>Cottey</w:t>
      </w:r>
      <w:proofErr w:type="spellEnd"/>
      <w:r w:rsidR="00583B42">
        <w:rPr>
          <w:sz w:val="20"/>
          <w:szCs w:val="20"/>
          <w:lang w:val="en-US"/>
        </w:rPr>
        <w:t xml:space="preserve"> ‘Beyond Humanitarian Intervention: The New Politics of Peacekeeping and I</w:t>
      </w:r>
      <w:r w:rsidRPr="00B61248">
        <w:rPr>
          <w:sz w:val="20"/>
          <w:szCs w:val="20"/>
          <w:lang w:val="en-US"/>
        </w:rPr>
        <w:t>nterven</w:t>
      </w:r>
      <w:r>
        <w:rPr>
          <w:sz w:val="20"/>
          <w:szCs w:val="20"/>
          <w:lang w:val="en-US"/>
        </w:rPr>
        <w:t xml:space="preserve">tion’, </w:t>
      </w:r>
      <w:r w:rsidRPr="003F3759">
        <w:rPr>
          <w:i/>
          <w:sz w:val="20"/>
          <w:szCs w:val="20"/>
          <w:lang w:val="en-US"/>
        </w:rPr>
        <w:t>Contemporary Politics</w:t>
      </w:r>
      <w:r>
        <w:rPr>
          <w:sz w:val="20"/>
          <w:szCs w:val="20"/>
          <w:lang w:val="en-US"/>
        </w:rPr>
        <w:t xml:space="preserve"> 14:</w:t>
      </w:r>
      <w:r w:rsidRPr="00B61248">
        <w:rPr>
          <w:sz w:val="20"/>
          <w:szCs w:val="20"/>
          <w:lang w:val="en-US"/>
        </w:rPr>
        <w:t>4</w:t>
      </w:r>
      <w:r>
        <w:rPr>
          <w:sz w:val="20"/>
          <w:szCs w:val="20"/>
          <w:lang w:val="en-US"/>
        </w:rPr>
        <w:t xml:space="preserve"> (2008), p.</w:t>
      </w:r>
      <w:r w:rsidRPr="00B61248">
        <w:rPr>
          <w:sz w:val="20"/>
          <w:szCs w:val="20"/>
          <w:lang w:val="en-US"/>
        </w:rPr>
        <w:t xml:space="preserve"> 429.</w:t>
      </w:r>
    </w:p>
  </w:footnote>
  <w:footnote w:id="26">
    <w:p w14:paraId="6996C7D6" w14:textId="20260F9C" w:rsidR="003F3759" w:rsidRPr="00B61248" w:rsidRDefault="003F3759" w:rsidP="008D16B8">
      <w:pPr>
        <w:rPr>
          <w:sz w:val="20"/>
          <w:szCs w:val="20"/>
        </w:rPr>
      </w:pPr>
      <w:r w:rsidRPr="00B61248">
        <w:rPr>
          <w:rStyle w:val="FootnoteReference"/>
          <w:sz w:val="20"/>
          <w:szCs w:val="20"/>
        </w:rPr>
        <w:footnoteRef/>
      </w:r>
      <w:r w:rsidRPr="00B61248">
        <w:rPr>
          <w:sz w:val="20"/>
          <w:szCs w:val="20"/>
        </w:rPr>
        <w:t xml:space="preserve"> </w:t>
      </w:r>
      <w:proofErr w:type="spellStart"/>
      <w:r w:rsidRPr="00B61248">
        <w:rPr>
          <w:sz w:val="20"/>
          <w:szCs w:val="20"/>
        </w:rPr>
        <w:t>Adekeye</w:t>
      </w:r>
      <w:proofErr w:type="spellEnd"/>
      <w:r w:rsidRPr="00B61248">
        <w:rPr>
          <w:sz w:val="20"/>
          <w:szCs w:val="20"/>
        </w:rPr>
        <w:t xml:space="preserve"> </w:t>
      </w:r>
      <w:proofErr w:type="spellStart"/>
      <w:r>
        <w:rPr>
          <w:sz w:val="20"/>
          <w:szCs w:val="20"/>
          <w:lang w:val="en-US"/>
        </w:rPr>
        <w:t>Adebajo</w:t>
      </w:r>
      <w:proofErr w:type="spellEnd"/>
      <w:r>
        <w:rPr>
          <w:sz w:val="20"/>
          <w:szCs w:val="20"/>
          <w:lang w:val="en-US"/>
        </w:rPr>
        <w:t>,</w:t>
      </w:r>
      <w:r w:rsidR="00583B42">
        <w:rPr>
          <w:sz w:val="20"/>
          <w:szCs w:val="20"/>
          <w:lang w:val="en-US"/>
        </w:rPr>
        <w:t xml:space="preserve"> ‘The Revolt A</w:t>
      </w:r>
      <w:r w:rsidRPr="00B61248">
        <w:rPr>
          <w:sz w:val="20"/>
          <w:szCs w:val="20"/>
          <w:lang w:val="en-US"/>
        </w:rPr>
        <w:t>gai</w:t>
      </w:r>
      <w:r w:rsidR="00583B42">
        <w:rPr>
          <w:sz w:val="20"/>
          <w:szCs w:val="20"/>
          <w:lang w:val="en-US"/>
        </w:rPr>
        <w:t>nst the West: Intervention and S</w:t>
      </w:r>
      <w:r w:rsidRPr="00B61248">
        <w:rPr>
          <w:sz w:val="20"/>
          <w:szCs w:val="20"/>
          <w:lang w:val="en-US"/>
        </w:rPr>
        <w:t>overei</w:t>
      </w:r>
      <w:r>
        <w:rPr>
          <w:sz w:val="20"/>
          <w:szCs w:val="20"/>
          <w:lang w:val="en-US"/>
        </w:rPr>
        <w:t xml:space="preserve">gnty’, </w:t>
      </w:r>
      <w:r w:rsidRPr="003F3759">
        <w:rPr>
          <w:i/>
          <w:sz w:val="20"/>
          <w:szCs w:val="20"/>
          <w:lang w:val="en-US"/>
        </w:rPr>
        <w:t xml:space="preserve">Third World Quarterly </w:t>
      </w:r>
      <w:r>
        <w:rPr>
          <w:sz w:val="20"/>
          <w:szCs w:val="20"/>
          <w:lang w:val="en-US"/>
        </w:rPr>
        <w:t>37:</w:t>
      </w:r>
      <w:r w:rsidRPr="00B61248">
        <w:rPr>
          <w:sz w:val="20"/>
          <w:szCs w:val="20"/>
          <w:lang w:val="en-US"/>
        </w:rPr>
        <w:t>7</w:t>
      </w:r>
      <w:r>
        <w:rPr>
          <w:sz w:val="20"/>
          <w:szCs w:val="20"/>
          <w:lang w:val="en-US"/>
        </w:rPr>
        <w:t xml:space="preserve"> (2016), pp.</w:t>
      </w:r>
      <w:r w:rsidRPr="00B61248">
        <w:rPr>
          <w:sz w:val="20"/>
          <w:szCs w:val="20"/>
          <w:lang w:val="en-US"/>
        </w:rPr>
        <w:t xml:space="preserve"> 1187-202. </w:t>
      </w:r>
    </w:p>
  </w:footnote>
  <w:footnote w:id="27">
    <w:p w14:paraId="3C1985C7" w14:textId="34FD5983" w:rsidR="003F3759" w:rsidRPr="00B61248" w:rsidRDefault="003F3759">
      <w:pPr>
        <w:pStyle w:val="FootnoteText"/>
        <w:rPr>
          <w:szCs w:val="20"/>
          <w:lang w:val="en-US"/>
        </w:rPr>
      </w:pPr>
      <w:r w:rsidRPr="00B61248">
        <w:rPr>
          <w:rStyle w:val="FootnoteReference"/>
          <w:szCs w:val="20"/>
        </w:rPr>
        <w:footnoteRef/>
      </w:r>
      <w:r w:rsidRPr="00B61248">
        <w:rPr>
          <w:szCs w:val="20"/>
        </w:rPr>
        <w:t xml:space="preserve"> </w:t>
      </w:r>
      <w:r>
        <w:rPr>
          <w:szCs w:val="20"/>
          <w:lang w:val="en-US"/>
        </w:rPr>
        <w:t>Weiss (2004), p.</w:t>
      </w:r>
      <w:r w:rsidRPr="00B61248">
        <w:rPr>
          <w:szCs w:val="20"/>
          <w:lang w:val="en-US"/>
        </w:rPr>
        <w:t xml:space="preserve"> 135.</w:t>
      </w:r>
    </w:p>
  </w:footnote>
  <w:footnote w:id="28">
    <w:p w14:paraId="5E77815D" w14:textId="1AF4D5E1" w:rsidR="003F3759" w:rsidRPr="00B61248" w:rsidRDefault="003F3759">
      <w:pPr>
        <w:pStyle w:val="FootnoteText"/>
        <w:rPr>
          <w:szCs w:val="20"/>
          <w:lang w:val="en-US"/>
        </w:rPr>
      </w:pPr>
      <w:r w:rsidRPr="00B61248">
        <w:rPr>
          <w:rStyle w:val="FootnoteReference"/>
          <w:szCs w:val="20"/>
        </w:rPr>
        <w:footnoteRef/>
      </w:r>
      <w:r>
        <w:rPr>
          <w:szCs w:val="20"/>
        </w:rPr>
        <w:t xml:space="preserve"> </w:t>
      </w:r>
      <w:proofErr w:type="spellStart"/>
      <w:r>
        <w:rPr>
          <w:szCs w:val="20"/>
        </w:rPr>
        <w:t>Rajan</w:t>
      </w:r>
      <w:proofErr w:type="spellEnd"/>
      <w:r>
        <w:rPr>
          <w:szCs w:val="20"/>
        </w:rPr>
        <w:t xml:space="preserve"> </w:t>
      </w:r>
      <w:proofErr w:type="spellStart"/>
      <w:r>
        <w:rPr>
          <w:szCs w:val="20"/>
        </w:rPr>
        <w:t>Menon</w:t>
      </w:r>
      <w:proofErr w:type="spellEnd"/>
      <w:r>
        <w:rPr>
          <w:szCs w:val="20"/>
        </w:rPr>
        <w:t>,</w:t>
      </w:r>
      <w:r w:rsidRPr="00B61248">
        <w:rPr>
          <w:szCs w:val="20"/>
        </w:rPr>
        <w:t xml:space="preserve"> ‘Pious Words, Puny Deeds: The ‘International Community’ and Mass Atrocities’, </w:t>
      </w:r>
      <w:r w:rsidRPr="003F3759">
        <w:rPr>
          <w:i/>
          <w:szCs w:val="20"/>
        </w:rPr>
        <w:t>Ethics and International Affairs</w:t>
      </w:r>
      <w:r>
        <w:rPr>
          <w:szCs w:val="20"/>
        </w:rPr>
        <w:t xml:space="preserve"> 23:</w:t>
      </w:r>
      <w:r w:rsidRPr="00B61248">
        <w:rPr>
          <w:szCs w:val="20"/>
        </w:rPr>
        <w:t>3</w:t>
      </w:r>
      <w:r>
        <w:rPr>
          <w:szCs w:val="20"/>
        </w:rPr>
        <w:t xml:space="preserve"> (2009), p.</w:t>
      </w:r>
      <w:r w:rsidRPr="00B61248">
        <w:rPr>
          <w:szCs w:val="20"/>
        </w:rPr>
        <w:t xml:space="preserve"> 237.</w:t>
      </w:r>
    </w:p>
  </w:footnote>
  <w:footnote w:id="29">
    <w:p w14:paraId="244F3097" w14:textId="53E5322E" w:rsidR="003F3759" w:rsidRPr="00B61248" w:rsidRDefault="003F3759">
      <w:pPr>
        <w:pStyle w:val="FootnoteText"/>
        <w:rPr>
          <w:szCs w:val="20"/>
          <w:lang w:val="en-US"/>
        </w:rPr>
      </w:pPr>
      <w:r w:rsidRPr="00B61248">
        <w:rPr>
          <w:rStyle w:val="FootnoteReference"/>
          <w:szCs w:val="20"/>
        </w:rPr>
        <w:footnoteRef/>
      </w:r>
      <w:r w:rsidRPr="00B61248">
        <w:rPr>
          <w:szCs w:val="20"/>
        </w:rPr>
        <w:t xml:space="preserve"> Alex J. </w:t>
      </w:r>
      <w:r>
        <w:rPr>
          <w:szCs w:val="20"/>
          <w:lang w:val="en-US"/>
        </w:rPr>
        <w:t>Bellamy,</w:t>
      </w:r>
      <w:r w:rsidR="00583B42">
        <w:rPr>
          <w:szCs w:val="20"/>
          <w:lang w:val="en-US"/>
        </w:rPr>
        <w:t xml:space="preserve"> ‘Motives, Outcomes, Intent and the Legitimacy of H</w:t>
      </w:r>
      <w:r w:rsidRPr="00B61248">
        <w:rPr>
          <w:szCs w:val="20"/>
          <w:lang w:val="en-US"/>
        </w:rPr>
        <w:t>uman</w:t>
      </w:r>
      <w:r w:rsidR="00583B42">
        <w:rPr>
          <w:szCs w:val="20"/>
          <w:lang w:val="en-US"/>
        </w:rPr>
        <w:t>itarian I</w:t>
      </w:r>
      <w:r w:rsidRPr="00B61248">
        <w:rPr>
          <w:szCs w:val="20"/>
          <w:lang w:val="en-US"/>
        </w:rPr>
        <w:t>nterventio</w:t>
      </w:r>
      <w:r>
        <w:rPr>
          <w:szCs w:val="20"/>
          <w:lang w:val="en-US"/>
        </w:rPr>
        <w:t xml:space="preserve">n’ </w:t>
      </w:r>
      <w:r w:rsidRPr="003F3759">
        <w:rPr>
          <w:i/>
          <w:szCs w:val="20"/>
          <w:lang w:val="en-US"/>
        </w:rPr>
        <w:t xml:space="preserve">Journal of Military Ethics </w:t>
      </w:r>
      <w:r>
        <w:rPr>
          <w:szCs w:val="20"/>
          <w:lang w:val="en-US"/>
        </w:rPr>
        <w:t>3:</w:t>
      </w:r>
      <w:r w:rsidRPr="00B61248">
        <w:rPr>
          <w:szCs w:val="20"/>
          <w:lang w:val="en-US"/>
        </w:rPr>
        <w:t>3</w:t>
      </w:r>
      <w:r>
        <w:rPr>
          <w:szCs w:val="20"/>
          <w:lang w:val="en-US"/>
        </w:rPr>
        <w:t xml:space="preserve"> (2004), pp.</w:t>
      </w:r>
      <w:r w:rsidRPr="00B61248">
        <w:rPr>
          <w:szCs w:val="20"/>
          <w:lang w:val="en-US"/>
        </w:rPr>
        <w:t xml:space="preserve"> 216-32.</w:t>
      </w:r>
    </w:p>
  </w:footnote>
  <w:footnote w:id="30">
    <w:p w14:paraId="3EAB742A" w14:textId="4447F494" w:rsidR="003F3759" w:rsidRPr="0075052C" w:rsidRDefault="003F3759">
      <w:pPr>
        <w:pStyle w:val="FootnoteText"/>
        <w:rPr>
          <w:szCs w:val="20"/>
        </w:rPr>
      </w:pPr>
      <w:r w:rsidRPr="00B61248">
        <w:rPr>
          <w:rStyle w:val="FootnoteReference"/>
          <w:szCs w:val="20"/>
        </w:rPr>
        <w:footnoteRef/>
      </w:r>
      <w:r>
        <w:rPr>
          <w:szCs w:val="20"/>
        </w:rPr>
        <w:t xml:space="preserve"> Luke Glanville, ‘</w:t>
      </w:r>
      <w:r w:rsidR="00583B42">
        <w:rPr>
          <w:szCs w:val="20"/>
        </w:rPr>
        <w:t>Norms, Interests and Humanitarian I</w:t>
      </w:r>
      <w:r w:rsidRPr="00B61248">
        <w:rPr>
          <w:szCs w:val="20"/>
        </w:rPr>
        <w:t xml:space="preserve">ntervention’, </w:t>
      </w:r>
      <w:r w:rsidRPr="003F3759">
        <w:rPr>
          <w:i/>
          <w:szCs w:val="20"/>
        </w:rPr>
        <w:t xml:space="preserve">Global Change, Peace and Security </w:t>
      </w:r>
      <w:r>
        <w:rPr>
          <w:szCs w:val="20"/>
        </w:rPr>
        <w:t>18:</w:t>
      </w:r>
      <w:r w:rsidRPr="00B61248">
        <w:rPr>
          <w:szCs w:val="20"/>
        </w:rPr>
        <w:t>3</w:t>
      </w:r>
      <w:r>
        <w:rPr>
          <w:szCs w:val="20"/>
        </w:rPr>
        <w:t xml:space="preserve"> (2006), p.</w:t>
      </w:r>
      <w:r w:rsidRPr="00B61248">
        <w:rPr>
          <w:szCs w:val="20"/>
        </w:rPr>
        <w:t xml:space="preserve"> 155.</w:t>
      </w:r>
    </w:p>
  </w:footnote>
  <w:footnote w:id="31">
    <w:p w14:paraId="3F432447" w14:textId="0F7240F2" w:rsidR="003F3759" w:rsidRPr="00B61248" w:rsidRDefault="003F3759">
      <w:pPr>
        <w:pStyle w:val="FootnoteText"/>
        <w:rPr>
          <w:szCs w:val="20"/>
          <w:lang w:val="en-US"/>
        </w:rPr>
      </w:pPr>
      <w:r w:rsidRPr="00B61248">
        <w:rPr>
          <w:rStyle w:val="FootnoteReference"/>
          <w:szCs w:val="20"/>
        </w:rPr>
        <w:footnoteRef/>
      </w:r>
      <w:r>
        <w:rPr>
          <w:szCs w:val="20"/>
        </w:rPr>
        <w:t xml:space="preserve"> Price (1998), p. </w:t>
      </w:r>
      <w:r w:rsidRPr="00B61248">
        <w:rPr>
          <w:szCs w:val="20"/>
        </w:rPr>
        <w:t>105.</w:t>
      </w:r>
    </w:p>
  </w:footnote>
  <w:footnote w:id="32">
    <w:p w14:paraId="034EA07A" w14:textId="4A148EEA" w:rsidR="003F3759" w:rsidRPr="00367FCC" w:rsidRDefault="003F3759">
      <w:pPr>
        <w:pStyle w:val="FootnoteText"/>
        <w:rPr>
          <w:lang w:val="en-US"/>
        </w:rPr>
      </w:pPr>
      <w:r>
        <w:rPr>
          <w:rStyle w:val="FootnoteReference"/>
        </w:rPr>
        <w:footnoteRef/>
      </w:r>
      <w:r>
        <w:t xml:space="preserve"> Ibid. pp. 116-17.</w:t>
      </w:r>
    </w:p>
  </w:footnote>
  <w:footnote w:id="33">
    <w:p w14:paraId="15E2B04E" w14:textId="689F779C" w:rsidR="003F3759" w:rsidRPr="00B61248" w:rsidRDefault="003F3759" w:rsidP="001C5C4E">
      <w:pPr>
        <w:rPr>
          <w:sz w:val="20"/>
          <w:szCs w:val="20"/>
          <w:lang w:val="en-US"/>
        </w:rPr>
      </w:pPr>
      <w:r w:rsidRPr="00B61248">
        <w:rPr>
          <w:rStyle w:val="FootnoteReference"/>
          <w:sz w:val="20"/>
          <w:szCs w:val="20"/>
        </w:rPr>
        <w:footnoteRef/>
      </w:r>
      <w:r w:rsidRPr="00B61248">
        <w:rPr>
          <w:sz w:val="20"/>
          <w:szCs w:val="20"/>
        </w:rPr>
        <w:t xml:space="preserve"> </w:t>
      </w:r>
      <w:r w:rsidRPr="00B61248">
        <w:rPr>
          <w:sz w:val="20"/>
          <w:szCs w:val="20"/>
          <w:lang w:val="en-US"/>
        </w:rPr>
        <w:t xml:space="preserve">Amongst others: Kelly Kate </w:t>
      </w:r>
      <w:r w:rsidRPr="00B61248">
        <w:rPr>
          <w:sz w:val="20"/>
          <w:szCs w:val="20"/>
        </w:rPr>
        <w:t>Pe</w:t>
      </w:r>
      <w:r>
        <w:rPr>
          <w:sz w:val="20"/>
          <w:szCs w:val="20"/>
        </w:rPr>
        <w:t>ase and David P. Forsythe,</w:t>
      </w:r>
      <w:r w:rsidRPr="00B61248">
        <w:rPr>
          <w:sz w:val="20"/>
          <w:szCs w:val="20"/>
        </w:rPr>
        <w:t xml:space="preserve"> ‘Human Rights, Humanitarian Intervention, and World Polit</w:t>
      </w:r>
      <w:r>
        <w:rPr>
          <w:sz w:val="20"/>
          <w:szCs w:val="20"/>
        </w:rPr>
        <w:t xml:space="preserve">ics’, </w:t>
      </w:r>
      <w:r w:rsidRPr="003F3759">
        <w:rPr>
          <w:i/>
          <w:sz w:val="20"/>
          <w:szCs w:val="20"/>
        </w:rPr>
        <w:t>Human Rights Quarterly</w:t>
      </w:r>
      <w:r>
        <w:rPr>
          <w:sz w:val="20"/>
          <w:szCs w:val="20"/>
        </w:rPr>
        <w:t xml:space="preserve"> 15:</w:t>
      </w:r>
      <w:r w:rsidRPr="00B61248">
        <w:rPr>
          <w:sz w:val="20"/>
          <w:szCs w:val="20"/>
        </w:rPr>
        <w:t>2</w:t>
      </w:r>
      <w:r>
        <w:rPr>
          <w:sz w:val="20"/>
          <w:szCs w:val="20"/>
        </w:rPr>
        <w:t xml:space="preserve"> (1996), pp. 290-314; John </w:t>
      </w:r>
      <w:proofErr w:type="spellStart"/>
      <w:r>
        <w:rPr>
          <w:sz w:val="20"/>
          <w:szCs w:val="20"/>
        </w:rPr>
        <w:t>Charvet</w:t>
      </w:r>
      <w:proofErr w:type="spellEnd"/>
      <w:r>
        <w:rPr>
          <w:sz w:val="20"/>
          <w:szCs w:val="20"/>
        </w:rPr>
        <w:t>,</w:t>
      </w:r>
      <w:r w:rsidRPr="00B61248">
        <w:rPr>
          <w:sz w:val="20"/>
          <w:szCs w:val="20"/>
        </w:rPr>
        <w:t xml:space="preserve"> ‘The Idea of State Sovereignty and the Right of Humanitarian Intervention’ </w:t>
      </w:r>
      <w:r w:rsidRPr="003F3759">
        <w:rPr>
          <w:i/>
          <w:sz w:val="20"/>
          <w:szCs w:val="20"/>
        </w:rPr>
        <w:t xml:space="preserve">International Political Science Review </w:t>
      </w:r>
      <w:r>
        <w:rPr>
          <w:sz w:val="20"/>
          <w:szCs w:val="20"/>
        </w:rPr>
        <w:t>18:</w:t>
      </w:r>
      <w:r w:rsidRPr="00B61248">
        <w:rPr>
          <w:sz w:val="20"/>
          <w:szCs w:val="20"/>
        </w:rPr>
        <w:t>1</w:t>
      </w:r>
      <w:r>
        <w:rPr>
          <w:sz w:val="20"/>
          <w:szCs w:val="20"/>
        </w:rPr>
        <w:t xml:space="preserve"> (1997), pp.</w:t>
      </w:r>
      <w:r w:rsidRPr="00B61248">
        <w:rPr>
          <w:sz w:val="20"/>
          <w:szCs w:val="20"/>
        </w:rPr>
        <w:t xml:space="preserve"> 39-48; M. </w:t>
      </w:r>
      <w:proofErr w:type="spellStart"/>
      <w:r>
        <w:rPr>
          <w:sz w:val="20"/>
          <w:szCs w:val="20"/>
          <w:lang w:val="en-US"/>
        </w:rPr>
        <w:t>Ayoob</w:t>
      </w:r>
      <w:proofErr w:type="spellEnd"/>
      <w:r>
        <w:rPr>
          <w:sz w:val="20"/>
          <w:szCs w:val="20"/>
          <w:lang w:val="en-US"/>
        </w:rPr>
        <w:t>,</w:t>
      </w:r>
      <w:r w:rsidRPr="00B61248">
        <w:rPr>
          <w:sz w:val="20"/>
          <w:szCs w:val="20"/>
          <w:lang w:val="en-US"/>
        </w:rPr>
        <w:t xml:space="preserve"> ‘Humanitarian Intervention and State Sovereignty’, </w:t>
      </w:r>
      <w:r w:rsidRPr="003F3759">
        <w:rPr>
          <w:i/>
          <w:sz w:val="20"/>
          <w:szCs w:val="20"/>
          <w:lang w:val="en-US"/>
        </w:rPr>
        <w:t>The International Journal of Human Rights</w:t>
      </w:r>
      <w:r>
        <w:rPr>
          <w:sz w:val="20"/>
          <w:szCs w:val="20"/>
          <w:lang w:val="en-US"/>
        </w:rPr>
        <w:t xml:space="preserve"> 6:</w:t>
      </w:r>
      <w:r w:rsidRPr="00B61248">
        <w:rPr>
          <w:sz w:val="20"/>
          <w:szCs w:val="20"/>
          <w:lang w:val="en-US"/>
        </w:rPr>
        <w:t>1</w:t>
      </w:r>
      <w:r>
        <w:rPr>
          <w:sz w:val="20"/>
          <w:szCs w:val="20"/>
          <w:lang w:val="en-US"/>
        </w:rPr>
        <w:t xml:space="preserve"> (2002), pp.</w:t>
      </w:r>
      <w:r w:rsidRPr="00B61248">
        <w:rPr>
          <w:sz w:val="20"/>
          <w:szCs w:val="20"/>
          <w:lang w:val="en-US"/>
        </w:rPr>
        <w:t xml:space="preserve"> 81-102; Andreas </w:t>
      </w:r>
      <w:r>
        <w:rPr>
          <w:sz w:val="20"/>
          <w:szCs w:val="20"/>
        </w:rPr>
        <w:t>Anderson,</w:t>
      </w:r>
      <w:r w:rsidR="00583B42">
        <w:rPr>
          <w:sz w:val="20"/>
          <w:szCs w:val="20"/>
        </w:rPr>
        <w:t xml:space="preserve"> ‘Democracy and Susceptibility to UN I</w:t>
      </w:r>
      <w:r w:rsidRPr="00B61248">
        <w:rPr>
          <w:sz w:val="20"/>
          <w:szCs w:val="20"/>
        </w:rPr>
        <w:t>ntervention’</w:t>
      </w:r>
      <w:r>
        <w:rPr>
          <w:sz w:val="20"/>
          <w:szCs w:val="20"/>
        </w:rPr>
        <w:t xml:space="preserve">, </w:t>
      </w:r>
      <w:r w:rsidRPr="003F3759">
        <w:rPr>
          <w:i/>
          <w:sz w:val="20"/>
          <w:szCs w:val="20"/>
        </w:rPr>
        <w:t>International Peacekeeping</w:t>
      </w:r>
      <w:r>
        <w:rPr>
          <w:sz w:val="20"/>
          <w:szCs w:val="20"/>
        </w:rPr>
        <w:t xml:space="preserve"> 13:</w:t>
      </w:r>
      <w:r w:rsidRPr="00B61248">
        <w:rPr>
          <w:sz w:val="20"/>
          <w:szCs w:val="20"/>
        </w:rPr>
        <w:t>2</w:t>
      </w:r>
      <w:r>
        <w:rPr>
          <w:sz w:val="20"/>
          <w:szCs w:val="20"/>
        </w:rPr>
        <w:t xml:space="preserve"> (2006), pp. 185-86; A.O. </w:t>
      </w:r>
      <w:proofErr w:type="spellStart"/>
      <w:r>
        <w:rPr>
          <w:sz w:val="20"/>
          <w:szCs w:val="20"/>
        </w:rPr>
        <w:t>Enabulele</w:t>
      </w:r>
      <w:proofErr w:type="spellEnd"/>
      <w:r>
        <w:rPr>
          <w:sz w:val="20"/>
          <w:szCs w:val="20"/>
        </w:rPr>
        <w:t>,</w:t>
      </w:r>
      <w:r w:rsidR="00583B42">
        <w:rPr>
          <w:sz w:val="20"/>
          <w:szCs w:val="20"/>
        </w:rPr>
        <w:t xml:space="preserve"> ‘Humanitarian Intervention and Territorial Sovereignty: The Dilemma of Two Strange B</w:t>
      </w:r>
      <w:r w:rsidRPr="00B61248">
        <w:rPr>
          <w:sz w:val="20"/>
          <w:szCs w:val="20"/>
        </w:rPr>
        <w:t xml:space="preserve">edfellows’, </w:t>
      </w:r>
      <w:r w:rsidRPr="003F3759">
        <w:rPr>
          <w:i/>
          <w:sz w:val="20"/>
          <w:szCs w:val="20"/>
        </w:rPr>
        <w:t>The International Journal of Human Rights</w:t>
      </w:r>
      <w:r>
        <w:rPr>
          <w:sz w:val="20"/>
          <w:szCs w:val="20"/>
        </w:rPr>
        <w:t xml:space="preserve"> 14:</w:t>
      </w:r>
      <w:r w:rsidRPr="00B61248">
        <w:rPr>
          <w:sz w:val="20"/>
          <w:szCs w:val="20"/>
        </w:rPr>
        <w:t>3</w:t>
      </w:r>
      <w:r>
        <w:rPr>
          <w:sz w:val="20"/>
          <w:szCs w:val="20"/>
        </w:rPr>
        <w:t xml:space="preserve"> (2010), pp.</w:t>
      </w:r>
      <w:r w:rsidRPr="00B61248">
        <w:rPr>
          <w:sz w:val="20"/>
          <w:szCs w:val="20"/>
        </w:rPr>
        <w:t xml:space="preserve"> </w:t>
      </w:r>
      <w:r>
        <w:rPr>
          <w:sz w:val="20"/>
          <w:szCs w:val="20"/>
        </w:rPr>
        <w:t xml:space="preserve">407-24; Alexis </w:t>
      </w:r>
      <w:proofErr w:type="spellStart"/>
      <w:r>
        <w:rPr>
          <w:sz w:val="20"/>
          <w:szCs w:val="20"/>
        </w:rPr>
        <w:t>Heraclides</w:t>
      </w:r>
      <w:proofErr w:type="spellEnd"/>
      <w:r>
        <w:rPr>
          <w:sz w:val="20"/>
          <w:szCs w:val="20"/>
        </w:rPr>
        <w:t>,</w:t>
      </w:r>
      <w:r w:rsidRPr="00B61248">
        <w:rPr>
          <w:sz w:val="20"/>
          <w:szCs w:val="20"/>
        </w:rPr>
        <w:t xml:space="preserve"> ‘Humanitarian Intervention in the 19</w:t>
      </w:r>
      <w:r w:rsidRPr="00B61248">
        <w:rPr>
          <w:sz w:val="20"/>
          <w:szCs w:val="20"/>
          <w:vertAlign w:val="superscript"/>
        </w:rPr>
        <w:t>th</w:t>
      </w:r>
      <w:r w:rsidRPr="00B61248">
        <w:rPr>
          <w:sz w:val="20"/>
          <w:szCs w:val="20"/>
        </w:rPr>
        <w:t xml:space="preserve"> Century: The Heyday of a Controvers</w:t>
      </w:r>
      <w:r>
        <w:rPr>
          <w:sz w:val="20"/>
          <w:szCs w:val="20"/>
        </w:rPr>
        <w:t xml:space="preserve">ial Concept’, </w:t>
      </w:r>
      <w:r w:rsidRPr="003F3759">
        <w:rPr>
          <w:i/>
          <w:sz w:val="20"/>
          <w:szCs w:val="20"/>
        </w:rPr>
        <w:t xml:space="preserve">Global Society </w:t>
      </w:r>
      <w:r>
        <w:rPr>
          <w:sz w:val="20"/>
          <w:szCs w:val="20"/>
        </w:rPr>
        <w:t>26:</w:t>
      </w:r>
      <w:r w:rsidRPr="00B61248">
        <w:rPr>
          <w:sz w:val="20"/>
          <w:szCs w:val="20"/>
        </w:rPr>
        <w:t>2</w:t>
      </w:r>
      <w:r>
        <w:rPr>
          <w:sz w:val="20"/>
          <w:szCs w:val="20"/>
        </w:rPr>
        <w:t xml:space="preserve"> (2012), p. 216; Michael Steinberg,</w:t>
      </w:r>
      <w:r w:rsidR="00583B42">
        <w:rPr>
          <w:sz w:val="20"/>
          <w:szCs w:val="20"/>
        </w:rPr>
        <w:t xml:space="preserve"> ‘Reforming the Notion of National Sovereignty by External I</w:t>
      </w:r>
      <w:r w:rsidRPr="00B61248">
        <w:rPr>
          <w:sz w:val="20"/>
          <w:szCs w:val="20"/>
        </w:rPr>
        <w:t>ntervention’,</w:t>
      </w:r>
      <w:r>
        <w:rPr>
          <w:sz w:val="20"/>
          <w:szCs w:val="20"/>
        </w:rPr>
        <w:t xml:space="preserve"> </w:t>
      </w:r>
      <w:r w:rsidRPr="003F3759">
        <w:rPr>
          <w:i/>
          <w:sz w:val="20"/>
          <w:szCs w:val="20"/>
        </w:rPr>
        <w:t>Defense &amp; Security Analysis</w:t>
      </w:r>
      <w:r>
        <w:rPr>
          <w:sz w:val="20"/>
          <w:szCs w:val="20"/>
        </w:rPr>
        <w:t xml:space="preserve"> 29:</w:t>
      </w:r>
      <w:r w:rsidRPr="00B61248">
        <w:rPr>
          <w:sz w:val="20"/>
          <w:szCs w:val="20"/>
        </w:rPr>
        <w:t>1</w:t>
      </w:r>
      <w:r>
        <w:rPr>
          <w:sz w:val="20"/>
          <w:szCs w:val="20"/>
        </w:rPr>
        <w:t xml:space="preserve"> (2013), pp.</w:t>
      </w:r>
      <w:r w:rsidRPr="00B61248">
        <w:rPr>
          <w:sz w:val="20"/>
          <w:szCs w:val="20"/>
        </w:rPr>
        <w:t xml:space="preserve"> 68-75.</w:t>
      </w:r>
    </w:p>
  </w:footnote>
  <w:footnote w:id="34">
    <w:p w14:paraId="44C9B3B7" w14:textId="0D054113" w:rsidR="003F3759" w:rsidRPr="00B61248" w:rsidRDefault="003F3759">
      <w:pPr>
        <w:pStyle w:val="FootnoteText"/>
        <w:rPr>
          <w:szCs w:val="20"/>
          <w:lang w:val="en-US"/>
        </w:rPr>
      </w:pPr>
      <w:r w:rsidRPr="00B61248">
        <w:rPr>
          <w:rStyle w:val="FootnoteReference"/>
          <w:szCs w:val="20"/>
        </w:rPr>
        <w:footnoteRef/>
      </w:r>
      <w:r>
        <w:rPr>
          <w:szCs w:val="20"/>
        </w:rPr>
        <w:t xml:space="preserve"> Georg Sorensen,</w:t>
      </w:r>
      <w:r w:rsidRPr="00B61248">
        <w:rPr>
          <w:szCs w:val="20"/>
        </w:rPr>
        <w:t xml:space="preserve"> ‘Sovereignty: Change and Continuity in a Fundamental Ins</w:t>
      </w:r>
      <w:r>
        <w:rPr>
          <w:szCs w:val="20"/>
        </w:rPr>
        <w:t xml:space="preserve">titution’, </w:t>
      </w:r>
      <w:r w:rsidRPr="003F3759">
        <w:rPr>
          <w:i/>
          <w:szCs w:val="20"/>
        </w:rPr>
        <w:t xml:space="preserve">Political Studies </w:t>
      </w:r>
      <w:r>
        <w:rPr>
          <w:szCs w:val="20"/>
        </w:rPr>
        <w:t>47:</w:t>
      </w:r>
      <w:r w:rsidRPr="00B61248">
        <w:rPr>
          <w:szCs w:val="20"/>
        </w:rPr>
        <w:t>3</w:t>
      </w:r>
      <w:r>
        <w:rPr>
          <w:szCs w:val="20"/>
        </w:rPr>
        <w:t xml:space="preserve"> (1999), pp.</w:t>
      </w:r>
      <w:r w:rsidRPr="00B61248">
        <w:rPr>
          <w:szCs w:val="20"/>
        </w:rPr>
        <w:t xml:space="preserve"> 590-604.</w:t>
      </w:r>
    </w:p>
  </w:footnote>
  <w:footnote w:id="35">
    <w:p w14:paraId="455E8A6D" w14:textId="3BEC986A" w:rsidR="003F3759" w:rsidRPr="00B61248" w:rsidRDefault="003F3759" w:rsidP="001C5C4E">
      <w:pPr>
        <w:rPr>
          <w:sz w:val="20"/>
          <w:szCs w:val="20"/>
          <w:lang w:val="en-US"/>
        </w:rPr>
      </w:pPr>
      <w:r w:rsidRPr="00B61248">
        <w:rPr>
          <w:rStyle w:val="FootnoteReference"/>
          <w:sz w:val="20"/>
          <w:szCs w:val="20"/>
        </w:rPr>
        <w:footnoteRef/>
      </w:r>
      <w:r>
        <w:rPr>
          <w:sz w:val="20"/>
          <w:szCs w:val="20"/>
        </w:rPr>
        <w:t xml:space="preserve"> Robert Jackson,</w:t>
      </w:r>
      <w:r w:rsidRPr="00B61248">
        <w:rPr>
          <w:sz w:val="20"/>
          <w:szCs w:val="20"/>
        </w:rPr>
        <w:t xml:space="preserve"> ‘Sovereignty in World Politics: A Glance at the Conceptual and Historical L</w:t>
      </w:r>
      <w:r>
        <w:rPr>
          <w:sz w:val="20"/>
          <w:szCs w:val="20"/>
        </w:rPr>
        <w:t xml:space="preserve">andscape’, </w:t>
      </w:r>
      <w:r w:rsidRPr="003F3759">
        <w:rPr>
          <w:i/>
          <w:sz w:val="20"/>
          <w:szCs w:val="20"/>
        </w:rPr>
        <w:t>Political Studies</w:t>
      </w:r>
      <w:r>
        <w:rPr>
          <w:sz w:val="20"/>
          <w:szCs w:val="20"/>
        </w:rPr>
        <w:t xml:space="preserve"> 47:</w:t>
      </w:r>
      <w:r w:rsidRPr="00B61248">
        <w:rPr>
          <w:sz w:val="20"/>
          <w:szCs w:val="20"/>
        </w:rPr>
        <w:t>3</w:t>
      </w:r>
      <w:r>
        <w:rPr>
          <w:sz w:val="20"/>
          <w:szCs w:val="20"/>
        </w:rPr>
        <w:t xml:space="preserve"> (1999), pp. 431-56; </w:t>
      </w:r>
      <w:proofErr w:type="spellStart"/>
      <w:r>
        <w:rPr>
          <w:sz w:val="20"/>
          <w:szCs w:val="20"/>
        </w:rPr>
        <w:t>Etain</w:t>
      </w:r>
      <w:proofErr w:type="spellEnd"/>
      <w:r>
        <w:rPr>
          <w:sz w:val="20"/>
          <w:szCs w:val="20"/>
        </w:rPr>
        <w:t xml:space="preserve"> </w:t>
      </w:r>
      <w:proofErr w:type="spellStart"/>
      <w:r>
        <w:rPr>
          <w:sz w:val="20"/>
          <w:szCs w:val="20"/>
        </w:rPr>
        <w:t>Tannam</w:t>
      </w:r>
      <w:proofErr w:type="spellEnd"/>
      <w:r>
        <w:rPr>
          <w:sz w:val="20"/>
          <w:szCs w:val="20"/>
        </w:rPr>
        <w:t>,</w:t>
      </w:r>
      <w:r w:rsidRPr="00B61248">
        <w:rPr>
          <w:sz w:val="20"/>
          <w:szCs w:val="20"/>
        </w:rPr>
        <w:t xml:space="preserve"> ‘International Intervention in Ethnic Conflict: Competin</w:t>
      </w:r>
      <w:r>
        <w:rPr>
          <w:sz w:val="20"/>
          <w:szCs w:val="20"/>
        </w:rPr>
        <w:t xml:space="preserve">g Approaches’, </w:t>
      </w:r>
      <w:proofErr w:type="spellStart"/>
      <w:r w:rsidRPr="003F3759">
        <w:rPr>
          <w:i/>
          <w:sz w:val="20"/>
          <w:szCs w:val="20"/>
        </w:rPr>
        <w:t>Ethnopolitics</w:t>
      </w:r>
      <w:proofErr w:type="spellEnd"/>
      <w:r>
        <w:rPr>
          <w:sz w:val="20"/>
          <w:szCs w:val="20"/>
        </w:rPr>
        <w:t xml:space="preserve"> 11:</w:t>
      </w:r>
      <w:r w:rsidRPr="00B61248">
        <w:rPr>
          <w:sz w:val="20"/>
          <w:szCs w:val="20"/>
        </w:rPr>
        <w:t>4</w:t>
      </w:r>
      <w:r>
        <w:rPr>
          <w:sz w:val="20"/>
          <w:szCs w:val="20"/>
        </w:rPr>
        <w:t xml:space="preserve"> (2012), p.</w:t>
      </w:r>
      <w:r w:rsidRPr="00B61248">
        <w:rPr>
          <w:sz w:val="20"/>
          <w:szCs w:val="20"/>
        </w:rPr>
        <w:t xml:space="preserve"> 342; Sarah </w:t>
      </w:r>
      <w:proofErr w:type="spellStart"/>
      <w:r w:rsidRPr="00B61248">
        <w:rPr>
          <w:sz w:val="20"/>
          <w:szCs w:val="20"/>
          <w:lang w:val="en-US"/>
        </w:rPr>
        <w:t>Brockmeier</w:t>
      </w:r>
      <w:proofErr w:type="spellEnd"/>
      <w:r w:rsidRPr="00B61248">
        <w:rPr>
          <w:sz w:val="20"/>
          <w:szCs w:val="20"/>
          <w:lang w:val="en-US"/>
        </w:rPr>
        <w:t xml:space="preserve">, </w:t>
      </w:r>
      <w:proofErr w:type="spellStart"/>
      <w:r w:rsidRPr="00B61248">
        <w:rPr>
          <w:sz w:val="20"/>
          <w:szCs w:val="20"/>
          <w:lang w:val="en-US"/>
        </w:rPr>
        <w:t>Gerr</w:t>
      </w:r>
      <w:r>
        <w:rPr>
          <w:sz w:val="20"/>
          <w:szCs w:val="20"/>
          <w:lang w:val="en-US"/>
        </w:rPr>
        <w:t>it</w:t>
      </w:r>
      <w:proofErr w:type="spellEnd"/>
      <w:r>
        <w:rPr>
          <w:sz w:val="20"/>
          <w:szCs w:val="20"/>
          <w:lang w:val="en-US"/>
        </w:rPr>
        <w:t xml:space="preserve"> Kurtz, and Julian Junk,</w:t>
      </w:r>
      <w:r w:rsidR="00583B42">
        <w:rPr>
          <w:sz w:val="20"/>
          <w:szCs w:val="20"/>
          <w:lang w:val="en-US"/>
        </w:rPr>
        <w:t xml:space="preserve"> ‘Emerging Norm and Rhetorical Tools: Europe and a Responsibility to P</w:t>
      </w:r>
      <w:r w:rsidRPr="00B61248">
        <w:rPr>
          <w:sz w:val="20"/>
          <w:szCs w:val="20"/>
          <w:lang w:val="en-US"/>
        </w:rPr>
        <w:t xml:space="preserve">rotect’, </w:t>
      </w:r>
      <w:r w:rsidRPr="003F3759">
        <w:rPr>
          <w:i/>
          <w:sz w:val="20"/>
          <w:szCs w:val="20"/>
          <w:lang w:val="en-US"/>
        </w:rPr>
        <w:t>Conflict, Security &amp; Development</w:t>
      </w:r>
      <w:r>
        <w:rPr>
          <w:sz w:val="20"/>
          <w:szCs w:val="20"/>
          <w:lang w:val="en-US"/>
        </w:rPr>
        <w:t xml:space="preserve"> 14:</w:t>
      </w:r>
      <w:r w:rsidRPr="00B61248">
        <w:rPr>
          <w:sz w:val="20"/>
          <w:szCs w:val="20"/>
          <w:lang w:val="en-US"/>
        </w:rPr>
        <w:t>4</w:t>
      </w:r>
      <w:r>
        <w:rPr>
          <w:sz w:val="20"/>
          <w:szCs w:val="20"/>
          <w:lang w:val="en-US"/>
        </w:rPr>
        <w:t xml:space="preserve"> (2014), pp.</w:t>
      </w:r>
      <w:r w:rsidRPr="00B61248">
        <w:rPr>
          <w:sz w:val="20"/>
          <w:szCs w:val="20"/>
          <w:lang w:val="en-US"/>
        </w:rPr>
        <w:t xml:space="preserve"> 429-60.</w:t>
      </w:r>
    </w:p>
  </w:footnote>
  <w:footnote w:id="36">
    <w:p w14:paraId="2ABBCA5D" w14:textId="4F13150A" w:rsidR="003F3759" w:rsidRPr="00B61248" w:rsidRDefault="003F3759" w:rsidP="00E70814">
      <w:pPr>
        <w:rPr>
          <w:sz w:val="20"/>
          <w:szCs w:val="20"/>
        </w:rPr>
      </w:pPr>
      <w:r w:rsidRPr="00B61248">
        <w:rPr>
          <w:rStyle w:val="FootnoteReference"/>
          <w:sz w:val="20"/>
          <w:szCs w:val="20"/>
        </w:rPr>
        <w:footnoteRef/>
      </w:r>
      <w:r>
        <w:rPr>
          <w:sz w:val="20"/>
          <w:szCs w:val="20"/>
        </w:rPr>
        <w:t xml:space="preserve"> Cynthia Weber,</w:t>
      </w:r>
      <w:r w:rsidRPr="00B61248">
        <w:rPr>
          <w:sz w:val="20"/>
          <w:szCs w:val="20"/>
        </w:rPr>
        <w:t xml:space="preserve"> </w:t>
      </w:r>
      <w:r w:rsidRPr="003F3759">
        <w:rPr>
          <w:i/>
          <w:sz w:val="20"/>
          <w:szCs w:val="20"/>
        </w:rPr>
        <w:t>Simulating Sovereignty: Intervention, the State and Symbolic Exchange</w:t>
      </w:r>
      <w:r w:rsidRPr="00B61248">
        <w:rPr>
          <w:sz w:val="20"/>
          <w:szCs w:val="20"/>
        </w:rPr>
        <w:t xml:space="preserve"> </w:t>
      </w:r>
      <w:r>
        <w:rPr>
          <w:sz w:val="20"/>
          <w:szCs w:val="20"/>
        </w:rPr>
        <w:t>(</w:t>
      </w:r>
      <w:r w:rsidRPr="00B61248">
        <w:rPr>
          <w:sz w:val="20"/>
          <w:szCs w:val="20"/>
        </w:rPr>
        <w:t>Cambridge: Cambridge University Press</w:t>
      </w:r>
      <w:r>
        <w:rPr>
          <w:sz w:val="20"/>
          <w:szCs w:val="20"/>
        </w:rPr>
        <w:t>, 1994); Eric K. Leonard,</w:t>
      </w:r>
      <w:r w:rsidRPr="00B61248">
        <w:rPr>
          <w:sz w:val="20"/>
          <w:szCs w:val="20"/>
        </w:rPr>
        <w:t xml:space="preserve"> ‘Seeking Sovereignty: Gaining Understanding through Critical Anal</w:t>
      </w:r>
      <w:r>
        <w:rPr>
          <w:sz w:val="20"/>
          <w:szCs w:val="20"/>
        </w:rPr>
        <w:t xml:space="preserve">ysis’, </w:t>
      </w:r>
      <w:r w:rsidRPr="003F3759">
        <w:rPr>
          <w:i/>
          <w:sz w:val="20"/>
          <w:szCs w:val="20"/>
        </w:rPr>
        <w:t>New Political Science</w:t>
      </w:r>
      <w:r>
        <w:rPr>
          <w:sz w:val="20"/>
          <w:szCs w:val="20"/>
        </w:rPr>
        <w:t xml:space="preserve"> 23:</w:t>
      </w:r>
      <w:r w:rsidRPr="00B61248">
        <w:rPr>
          <w:sz w:val="20"/>
          <w:szCs w:val="20"/>
        </w:rPr>
        <w:t>3</w:t>
      </w:r>
      <w:r>
        <w:rPr>
          <w:sz w:val="20"/>
          <w:szCs w:val="20"/>
        </w:rPr>
        <w:t xml:space="preserve"> (2001)</w:t>
      </w:r>
      <w:proofErr w:type="gramStart"/>
      <w:r>
        <w:rPr>
          <w:sz w:val="20"/>
          <w:szCs w:val="20"/>
        </w:rPr>
        <w:t>,pp</w:t>
      </w:r>
      <w:proofErr w:type="gramEnd"/>
      <w:r>
        <w:rPr>
          <w:sz w:val="20"/>
          <w:szCs w:val="20"/>
        </w:rPr>
        <w:t xml:space="preserve">. 407-28; </w:t>
      </w:r>
      <w:proofErr w:type="spellStart"/>
      <w:r>
        <w:rPr>
          <w:sz w:val="20"/>
          <w:szCs w:val="20"/>
        </w:rPr>
        <w:t>Ersun</w:t>
      </w:r>
      <w:proofErr w:type="spellEnd"/>
      <w:r>
        <w:rPr>
          <w:sz w:val="20"/>
          <w:szCs w:val="20"/>
        </w:rPr>
        <w:t xml:space="preserve"> </w:t>
      </w:r>
      <w:proofErr w:type="spellStart"/>
      <w:r>
        <w:rPr>
          <w:sz w:val="20"/>
          <w:szCs w:val="20"/>
        </w:rPr>
        <w:t>Kurtulus</w:t>
      </w:r>
      <w:proofErr w:type="spellEnd"/>
      <w:r>
        <w:rPr>
          <w:sz w:val="20"/>
          <w:szCs w:val="20"/>
        </w:rPr>
        <w:t>,</w:t>
      </w:r>
      <w:r w:rsidRPr="00B61248">
        <w:rPr>
          <w:sz w:val="20"/>
          <w:szCs w:val="20"/>
        </w:rPr>
        <w:t xml:space="preserve"> ‘Theories of Sovereignty: An Interdisciplinary Ap</w:t>
      </w:r>
      <w:r>
        <w:rPr>
          <w:sz w:val="20"/>
          <w:szCs w:val="20"/>
        </w:rPr>
        <w:t xml:space="preserve">proach’ </w:t>
      </w:r>
      <w:r w:rsidRPr="003F3759">
        <w:rPr>
          <w:i/>
          <w:sz w:val="20"/>
          <w:szCs w:val="20"/>
        </w:rPr>
        <w:t>Global Society</w:t>
      </w:r>
      <w:r>
        <w:rPr>
          <w:sz w:val="20"/>
          <w:szCs w:val="20"/>
        </w:rPr>
        <w:t xml:space="preserve"> 18:</w:t>
      </w:r>
      <w:r w:rsidRPr="00B61248">
        <w:rPr>
          <w:sz w:val="20"/>
          <w:szCs w:val="20"/>
        </w:rPr>
        <w:t>4</w:t>
      </w:r>
      <w:r>
        <w:rPr>
          <w:sz w:val="20"/>
          <w:szCs w:val="20"/>
        </w:rPr>
        <w:t xml:space="preserve"> (2004), pp.</w:t>
      </w:r>
      <w:r w:rsidRPr="00B61248">
        <w:rPr>
          <w:sz w:val="20"/>
          <w:szCs w:val="20"/>
        </w:rPr>
        <w:t xml:space="preserve"> 347-71.</w:t>
      </w:r>
    </w:p>
  </w:footnote>
  <w:footnote w:id="37">
    <w:p w14:paraId="7A286D90" w14:textId="542572D2" w:rsidR="003F3759" w:rsidRPr="00B61248" w:rsidRDefault="003F3759" w:rsidP="00E70814">
      <w:pPr>
        <w:rPr>
          <w:sz w:val="20"/>
          <w:szCs w:val="20"/>
          <w:lang w:val="en-US"/>
        </w:rPr>
      </w:pPr>
      <w:r w:rsidRPr="00B61248">
        <w:rPr>
          <w:rStyle w:val="FootnoteReference"/>
          <w:sz w:val="20"/>
          <w:szCs w:val="20"/>
        </w:rPr>
        <w:footnoteRef/>
      </w:r>
      <w:r w:rsidRPr="00B61248">
        <w:rPr>
          <w:sz w:val="20"/>
          <w:szCs w:val="20"/>
        </w:rPr>
        <w:t xml:space="preserve"> </w:t>
      </w:r>
      <w:r>
        <w:rPr>
          <w:sz w:val="20"/>
          <w:szCs w:val="20"/>
          <w:lang w:val="en-US"/>
        </w:rPr>
        <w:t>United Nations, Charter of the United Nations (1945), a</w:t>
      </w:r>
      <w:r w:rsidRPr="00B61248">
        <w:rPr>
          <w:sz w:val="20"/>
          <w:szCs w:val="20"/>
          <w:lang w:val="en-US"/>
        </w:rPr>
        <w:t>vailable</w:t>
      </w:r>
      <w:r>
        <w:rPr>
          <w:sz w:val="20"/>
          <w:szCs w:val="20"/>
          <w:lang w:val="en-US"/>
        </w:rPr>
        <w:t xml:space="preserve"> at</w:t>
      </w:r>
      <w:r w:rsidRPr="00B61248">
        <w:rPr>
          <w:sz w:val="20"/>
          <w:szCs w:val="20"/>
          <w:lang w:val="en-US"/>
        </w:rPr>
        <w:t>:</w:t>
      </w:r>
      <w:r w:rsidRPr="00B61248">
        <w:rPr>
          <w:sz w:val="20"/>
          <w:szCs w:val="20"/>
        </w:rPr>
        <w:t xml:space="preserve"> </w:t>
      </w:r>
      <w:r w:rsidRPr="00B61248">
        <w:rPr>
          <w:sz w:val="20"/>
          <w:szCs w:val="20"/>
          <w:lang w:val="en-US"/>
        </w:rPr>
        <w:t>www.un.org/en/charter-united-nations/</w:t>
      </w:r>
    </w:p>
  </w:footnote>
  <w:footnote w:id="38">
    <w:p w14:paraId="30FA3E86" w14:textId="28C1A99F" w:rsidR="003F3759" w:rsidRPr="00B61248" w:rsidRDefault="003F3759">
      <w:pPr>
        <w:pStyle w:val="FootnoteText"/>
        <w:rPr>
          <w:szCs w:val="20"/>
          <w:lang w:val="en-US"/>
        </w:rPr>
      </w:pPr>
      <w:r w:rsidRPr="00B61248">
        <w:rPr>
          <w:rStyle w:val="FootnoteReference"/>
          <w:szCs w:val="20"/>
        </w:rPr>
        <w:footnoteRef/>
      </w:r>
      <w:r>
        <w:rPr>
          <w:szCs w:val="20"/>
        </w:rPr>
        <w:t xml:space="preserve"> </w:t>
      </w:r>
      <w:proofErr w:type="spellStart"/>
      <w:r>
        <w:rPr>
          <w:szCs w:val="20"/>
        </w:rPr>
        <w:t>Mateja</w:t>
      </w:r>
      <w:proofErr w:type="spellEnd"/>
      <w:r>
        <w:rPr>
          <w:szCs w:val="20"/>
        </w:rPr>
        <w:t xml:space="preserve"> Peter,</w:t>
      </w:r>
      <w:r w:rsidR="00583B42">
        <w:rPr>
          <w:szCs w:val="20"/>
        </w:rPr>
        <w:t xml:space="preserve"> ‘The Politics of Self-Defence: Beyond a Legal Understanding of International N</w:t>
      </w:r>
      <w:r w:rsidRPr="00B61248">
        <w:rPr>
          <w:szCs w:val="20"/>
        </w:rPr>
        <w:t xml:space="preserve">orms’, </w:t>
      </w:r>
      <w:r w:rsidRPr="003F3759">
        <w:rPr>
          <w:i/>
          <w:szCs w:val="20"/>
        </w:rPr>
        <w:t>Cambridge Review of International Affairs</w:t>
      </w:r>
      <w:r>
        <w:rPr>
          <w:szCs w:val="20"/>
        </w:rPr>
        <w:t xml:space="preserve"> 24:</w:t>
      </w:r>
      <w:r w:rsidRPr="00B61248">
        <w:rPr>
          <w:szCs w:val="20"/>
        </w:rPr>
        <w:t>2</w:t>
      </w:r>
      <w:r>
        <w:rPr>
          <w:szCs w:val="20"/>
        </w:rPr>
        <w:t xml:space="preserve"> (2011), p.</w:t>
      </w:r>
      <w:r w:rsidRPr="00B61248">
        <w:rPr>
          <w:szCs w:val="20"/>
        </w:rPr>
        <w:t xml:space="preserve"> 245.</w:t>
      </w:r>
    </w:p>
  </w:footnote>
  <w:footnote w:id="39">
    <w:p w14:paraId="1E7CB27B" w14:textId="6491921B" w:rsidR="003F3759" w:rsidRPr="00B61248" w:rsidRDefault="003F3759" w:rsidP="00C74502">
      <w:pPr>
        <w:pStyle w:val="FootnoteText"/>
        <w:rPr>
          <w:szCs w:val="20"/>
          <w:lang w:val="en-US"/>
        </w:rPr>
      </w:pPr>
      <w:r w:rsidRPr="00B61248">
        <w:rPr>
          <w:rStyle w:val="FootnoteReference"/>
          <w:szCs w:val="20"/>
        </w:rPr>
        <w:footnoteRef/>
      </w:r>
      <w:r w:rsidRPr="00B61248">
        <w:rPr>
          <w:szCs w:val="20"/>
        </w:rPr>
        <w:t xml:space="preserve"> </w:t>
      </w:r>
      <w:proofErr w:type="gramStart"/>
      <w:r w:rsidRPr="00B61248">
        <w:rPr>
          <w:szCs w:val="20"/>
          <w:lang w:val="en-US"/>
        </w:rPr>
        <w:t xml:space="preserve">UN </w:t>
      </w:r>
      <w:r>
        <w:rPr>
          <w:szCs w:val="20"/>
          <w:lang w:val="en-US"/>
        </w:rPr>
        <w:t>(</w:t>
      </w:r>
      <w:r w:rsidRPr="00B61248">
        <w:rPr>
          <w:szCs w:val="20"/>
          <w:lang w:val="en-US"/>
        </w:rPr>
        <w:t>1945</w:t>
      </w:r>
      <w:r>
        <w:rPr>
          <w:szCs w:val="20"/>
          <w:lang w:val="en-US"/>
        </w:rPr>
        <w:t>).</w:t>
      </w:r>
      <w:proofErr w:type="gramEnd"/>
    </w:p>
  </w:footnote>
  <w:footnote w:id="40">
    <w:p w14:paraId="30332AFD" w14:textId="70BAD410" w:rsidR="003F3759" w:rsidRPr="00B61248" w:rsidRDefault="003F3759">
      <w:pPr>
        <w:pStyle w:val="FootnoteText"/>
        <w:rPr>
          <w:szCs w:val="20"/>
          <w:lang w:val="en-US"/>
        </w:rPr>
      </w:pPr>
      <w:r w:rsidRPr="00B61248">
        <w:rPr>
          <w:rStyle w:val="FootnoteReference"/>
          <w:szCs w:val="20"/>
        </w:rPr>
        <w:footnoteRef/>
      </w:r>
      <w:r>
        <w:rPr>
          <w:szCs w:val="20"/>
        </w:rPr>
        <w:t xml:space="preserve"> </w:t>
      </w:r>
      <w:proofErr w:type="gramStart"/>
      <w:r>
        <w:rPr>
          <w:szCs w:val="20"/>
        </w:rPr>
        <w:t>Robert Knox,</w:t>
      </w:r>
      <w:r w:rsidR="00583B42">
        <w:rPr>
          <w:szCs w:val="20"/>
        </w:rPr>
        <w:t xml:space="preserve"> ‘Civilizing Interventions?</w:t>
      </w:r>
      <w:proofErr w:type="gramEnd"/>
      <w:r w:rsidR="00583B42">
        <w:rPr>
          <w:szCs w:val="20"/>
        </w:rPr>
        <w:t xml:space="preserve"> Race, War and International L</w:t>
      </w:r>
      <w:r w:rsidRPr="00B61248">
        <w:rPr>
          <w:szCs w:val="20"/>
        </w:rPr>
        <w:t xml:space="preserve">aw’, </w:t>
      </w:r>
      <w:r w:rsidRPr="003F3759">
        <w:rPr>
          <w:i/>
          <w:szCs w:val="20"/>
        </w:rPr>
        <w:t>Cambridge Review of International Affairs</w:t>
      </w:r>
      <w:r>
        <w:rPr>
          <w:szCs w:val="20"/>
        </w:rPr>
        <w:t xml:space="preserve"> 26:</w:t>
      </w:r>
      <w:r w:rsidRPr="00B61248">
        <w:rPr>
          <w:szCs w:val="20"/>
        </w:rPr>
        <w:t>1</w:t>
      </w:r>
      <w:r>
        <w:rPr>
          <w:szCs w:val="20"/>
        </w:rPr>
        <w:t xml:space="preserve"> (2013), p.</w:t>
      </w:r>
      <w:r w:rsidRPr="00B61248">
        <w:rPr>
          <w:szCs w:val="20"/>
        </w:rPr>
        <w:t xml:space="preserve"> 114.</w:t>
      </w:r>
    </w:p>
  </w:footnote>
  <w:footnote w:id="41">
    <w:p w14:paraId="422E1A5B" w14:textId="142CEAA4" w:rsidR="003F3759" w:rsidRPr="00B61248" w:rsidRDefault="003F3759">
      <w:pPr>
        <w:pStyle w:val="FootnoteText"/>
        <w:rPr>
          <w:szCs w:val="20"/>
          <w:lang w:val="en-US"/>
        </w:rPr>
      </w:pPr>
      <w:r w:rsidRPr="00B61248">
        <w:rPr>
          <w:rStyle w:val="FootnoteReference"/>
          <w:szCs w:val="20"/>
        </w:rPr>
        <w:footnoteRef/>
      </w:r>
      <w:r w:rsidRPr="00B61248">
        <w:rPr>
          <w:szCs w:val="20"/>
        </w:rPr>
        <w:t xml:space="preserve"> Stevie </w:t>
      </w:r>
      <w:r>
        <w:rPr>
          <w:szCs w:val="20"/>
          <w:lang w:val="en-US"/>
        </w:rPr>
        <w:t>Martin,</w:t>
      </w:r>
      <w:r w:rsidRPr="00B61248">
        <w:rPr>
          <w:szCs w:val="20"/>
          <w:lang w:val="en-US"/>
        </w:rPr>
        <w:t xml:space="preserve"> ‘Sovereignty and the Responsibility to P</w:t>
      </w:r>
      <w:r>
        <w:rPr>
          <w:szCs w:val="20"/>
          <w:lang w:val="en-US"/>
        </w:rPr>
        <w:t xml:space="preserve">rotect’, </w:t>
      </w:r>
      <w:r w:rsidRPr="003F3759">
        <w:rPr>
          <w:i/>
          <w:szCs w:val="20"/>
          <w:lang w:val="en-US"/>
        </w:rPr>
        <w:t>Griffith Law Review</w:t>
      </w:r>
      <w:r>
        <w:rPr>
          <w:szCs w:val="20"/>
          <w:lang w:val="en-US"/>
        </w:rPr>
        <w:t xml:space="preserve"> 20:</w:t>
      </w:r>
      <w:r w:rsidRPr="00B61248">
        <w:rPr>
          <w:szCs w:val="20"/>
          <w:lang w:val="en-US"/>
        </w:rPr>
        <w:t>1</w:t>
      </w:r>
      <w:r>
        <w:rPr>
          <w:szCs w:val="20"/>
          <w:lang w:val="en-US"/>
        </w:rPr>
        <w:t xml:space="preserve"> (2011), p.</w:t>
      </w:r>
      <w:r w:rsidRPr="00B61248">
        <w:rPr>
          <w:szCs w:val="20"/>
          <w:lang w:val="en-US"/>
        </w:rPr>
        <w:t xml:space="preserve"> 153.</w:t>
      </w:r>
    </w:p>
  </w:footnote>
  <w:footnote w:id="42">
    <w:p w14:paraId="44636E3C" w14:textId="24661ACD" w:rsidR="003F3759" w:rsidRPr="00B61248" w:rsidRDefault="003F3759">
      <w:pPr>
        <w:pStyle w:val="FootnoteText"/>
        <w:rPr>
          <w:szCs w:val="20"/>
          <w:lang w:val="en-US"/>
        </w:rPr>
      </w:pPr>
      <w:r w:rsidRPr="00B61248">
        <w:rPr>
          <w:rStyle w:val="FootnoteReference"/>
          <w:szCs w:val="20"/>
        </w:rPr>
        <w:footnoteRef/>
      </w:r>
      <w:r w:rsidRPr="00B61248">
        <w:rPr>
          <w:szCs w:val="20"/>
        </w:rPr>
        <w:t xml:space="preserve"> </w:t>
      </w:r>
      <w:r w:rsidRPr="00B61248">
        <w:rPr>
          <w:szCs w:val="20"/>
          <w:lang w:val="en-US"/>
        </w:rPr>
        <w:t xml:space="preserve">UN </w:t>
      </w:r>
      <w:r>
        <w:rPr>
          <w:szCs w:val="20"/>
          <w:lang w:val="en-US"/>
        </w:rPr>
        <w:t>(</w:t>
      </w:r>
      <w:r w:rsidRPr="00B61248">
        <w:rPr>
          <w:szCs w:val="20"/>
          <w:lang w:val="en-US"/>
        </w:rPr>
        <w:t>1945</w:t>
      </w:r>
      <w:r>
        <w:rPr>
          <w:szCs w:val="20"/>
          <w:lang w:val="en-US"/>
        </w:rPr>
        <w:t>)</w:t>
      </w:r>
      <w:proofErr w:type="gramStart"/>
      <w:r w:rsidRPr="00B61248">
        <w:rPr>
          <w:szCs w:val="20"/>
          <w:lang w:val="en-US"/>
        </w:rPr>
        <w:t>;</w:t>
      </w:r>
      <w:proofErr w:type="gramEnd"/>
      <w:r w:rsidRPr="00B61248">
        <w:rPr>
          <w:szCs w:val="20"/>
          <w:lang w:val="en-US"/>
        </w:rPr>
        <w:t xml:space="preserve"> Ian </w:t>
      </w:r>
      <w:proofErr w:type="spellStart"/>
      <w:r>
        <w:rPr>
          <w:szCs w:val="20"/>
        </w:rPr>
        <w:t>Hurd</w:t>
      </w:r>
      <w:proofErr w:type="spellEnd"/>
      <w:r>
        <w:rPr>
          <w:szCs w:val="20"/>
        </w:rPr>
        <w:t>,</w:t>
      </w:r>
      <w:r w:rsidRPr="00B61248">
        <w:rPr>
          <w:szCs w:val="20"/>
        </w:rPr>
        <w:t xml:space="preserve"> ‘Is Humanitarian Intervention Legal? The Rule of Law in an Incoherent World’, </w:t>
      </w:r>
      <w:r w:rsidRPr="003F3759">
        <w:rPr>
          <w:i/>
          <w:szCs w:val="20"/>
        </w:rPr>
        <w:t>Ethics and International Affairs</w:t>
      </w:r>
      <w:r>
        <w:rPr>
          <w:szCs w:val="20"/>
        </w:rPr>
        <w:t xml:space="preserve"> 25:</w:t>
      </w:r>
      <w:r w:rsidRPr="00B61248">
        <w:rPr>
          <w:szCs w:val="20"/>
        </w:rPr>
        <w:t>3</w:t>
      </w:r>
      <w:r>
        <w:rPr>
          <w:szCs w:val="20"/>
        </w:rPr>
        <w:t xml:space="preserve"> (2011), p.</w:t>
      </w:r>
      <w:r w:rsidRPr="00B61248">
        <w:rPr>
          <w:szCs w:val="20"/>
        </w:rPr>
        <w:t xml:space="preserve"> 303</w:t>
      </w:r>
      <w:proofErr w:type="gramStart"/>
      <w:r w:rsidRPr="00B61248">
        <w:rPr>
          <w:szCs w:val="20"/>
        </w:rPr>
        <w:t>;</w:t>
      </w:r>
      <w:proofErr w:type="gramEnd"/>
      <w:r w:rsidRPr="00B61248">
        <w:rPr>
          <w:szCs w:val="20"/>
        </w:rPr>
        <w:t xml:space="preserve"> Diana </w:t>
      </w:r>
      <w:proofErr w:type="spellStart"/>
      <w:r w:rsidRPr="00B61248">
        <w:rPr>
          <w:szCs w:val="20"/>
        </w:rPr>
        <w:t>Pank</w:t>
      </w:r>
      <w:r>
        <w:rPr>
          <w:szCs w:val="20"/>
        </w:rPr>
        <w:t>e</w:t>
      </w:r>
      <w:proofErr w:type="spellEnd"/>
      <w:r>
        <w:rPr>
          <w:szCs w:val="20"/>
        </w:rPr>
        <w:t xml:space="preserve"> and Ulrich </w:t>
      </w:r>
      <w:proofErr w:type="spellStart"/>
      <w:r>
        <w:rPr>
          <w:szCs w:val="20"/>
        </w:rPr>
        <w:t>Petersohn</w:t>
      </w:r>
      <w:proofErr w:type="spellEnd"/>
      <w:r>
        <w:rPr>
          <w:szCs w:val="20"/>
        </w:rPr>
        <w:t>,</w:t>
      </w:r>
      <w:r w:rsidRPr="00B61248">
        <w:rPr>
          <w:szCs w:val="20"/>
        </w:rPr>
        <w:t xml:space="preserve"> ‘Why International Norms Disappear Sometimes’, </w:t>
      </w:r>
      <w:r w:rsidRPr="003F3759">
        <w:rPr>
          <w:i/>
          <w:szCs w:val="20"/>
        </w:rPr>
        <w:t xml:space="preserve">European Journal of International Relations </w:t>
      </w:r>
      <w:r>
        <w:rPr>
          <w:szCs w:val="20"/>
        </w:rPr>
        <w:t>18:</w:t>
      </w:r>
      <w:r w:rsidRPr="00B61248">
        <w:rPr>
          <w:szCs w:val="20"/>
        </w:rPr>
        <w:t>4</w:t>
      </w:r>
      <w:r>
        <w:rPr>
          <w:szCs w:val="20"/>
        </w:rPr>
        <w:t xml:space="preserve"> (2012), p.</w:t>
      </w:r>
      <w:r w:rsidRPr="00B61248">
        <w:rPr>
          <w:szCs w:val="20"/>
        </w:rPr>
        <w:t xml:space="preserve"> 733.</w:t>
      </w:r>
    </w:p>
  </w:footnote>
  <w:footnote w:id="43">
    <w:p w14:paraId="491EF6DF" w14:textId="72042905" w:rsidR="003F3759" w:rsidRPr="00B61248" w:rsidRDefault="003F3759" w:rsidP="00822DB6">
      <w:pPr>
        <w:rPr>
          <w:sz w:val="20"/>
          <w:szCs w:val="20"/>
        </w:rPr>
      </w:pPr>
      <w:r w:rsidRPr="00B61248">
        <w:rPr>
          <w:rStyle w:val="FootnoteReference"/>
          <w:sz w:val="20"/>
          <w:szCs w:val="20"/>
        </w:rPr>
        <w:footnoteRef/>
      </w:r>
      <w:r>
        <w:rPr>
          <w:sz w:val="20"/>
          <w:szCs w:val="20"/>
        </w:rPr>
        <w:t xml:space="preserve"> </w:t>
      </w:r>
      <w:proofErr w:type="gramStart"/>
      <w:r>
        <w:rPr>
          <w:sz w:val="20"/>
          <w:szCs w:val="20"/>
        </w:rPr>
        <w:t>D</w:t>
      </w:r>
      <w:r w:rsidRPr="00B61248">
        <w:rPr>
          <w:sz w:val="20"/>
          <w:szCs w:val="20"/>
        </w:rPr>
        <w:t>a</w:t>
      </w:r>
      <w:r>
        <w:rPr>
          <w:sz w:val="20"/>
          <w:szCs w:val="20"/>
        </w:rPr>
        <w:t>w</w:t>
      </w:r>
      <w:r w:rsidRPr="00B61248">
        <w:rPr>
          <w:sz w:val="20"/>
          <w:szCs w:val="20"/>
        </w:rPr>
        <w:t xml:space="preserve">n L. </w:t>
      </w:r>
      <w:proofErr w:type="spellStart"/>
      <w:r w:rsidRPr="00B61248">
        <w:rPr>
          <w:sz w:val="20"/>
          <w:szCs w:val="20"/>
        </w:rPr>
        <w:t>Rothe</w:t>
      </w:r>
      <w:proofErr w:type="spellEnd"/>
      <w:r w:rsidRPr="00B61248">
        <w:rPr>
          <w:sz w:val="20"/>
          <w:szCs w:val="20"/>
        </w:rPr>
        <w:t xml:space="preserve"> a</w:t>
      </w:r>
      <w:r>
        <w:rPr>
          <w:sz w:val="20"/>
          <w:szCs w:val="20"/>
        </w:rPr>
        <w:t>nd Christopher W. Mullins,</w:t>
      </w:r>
      <w:r w:rsidRPr="00B61248">
        <w:rPr>
          <w:sz w:val="20"/>
          <w:szCs w:val="20"/>
        </w:rPr>
        <w:t xml:space="preserve"> ‘The Death of State Sovereignty?</w:t>
      </w:r>
      <w:proofErr w:type="gramEnd"/>
      <w:r w:rsidRPr="00B61248">
        <w:rPr>
          <w:sz w:val="20"/>
          <w:szCs w:val="20"/>
        </w:rPr>
        <w:t xml:space="preserve"> An Empirical Exploration’, </w:t>
      </w:r>
      <w:r w:rsidRPr="003F3759">
        <w:rPr>
          <w:i/>
          <w:sz w:val="20"/>
          <w:szCs w:val="20"/>
        </w:rPr>
        <w:t>International Journal of Comparative and Applied Criminal Justice</w:t>
      </w:r>
      <w:r>
        <w:rPr>
          <w:sz w:val="20"/>
          <w:szCs w:val="20"/>
        </w:rPr>
        <w:t xml:space="preserve"> 34:</w:t>
      </w:r>
      <w:r w:rsidRPr="00B61248">
        <w:rPr>
          <w:sz w:val="20"/>
          <w:szCs w:val="20"/>
        </w:rPr>
        <w:t>1</w:t>
      </w:r>
      <w:r>
        <w:rPr>
          <w:sz w:val="20"/>
          <w:szCs w:val="20"/>
        </w:rPr>
        <w:t xml:space="preserve"> (2010), pp. 79-96; Jarvis </w:t>
      </w:r>
      <w:proofErr w:type="spellStart"/>
      <w:r>
        <w:rPr>
          <w:sz w:val="20"/>
          <w:szCs w:val="20"/>
        </w:rPr>
        <w:t>Matiya</w:t>
      </w:r>
      <w:proofErr w:type="spellEnd"/>
      <w:r>
        <w:rPr>
          <w:sz w:val="20"/>
          <w:szCs w:val="20"/>
        </w:rPr>
        <w:t>,</w:t>
      </w:r>
      <w:r w:rsidR="00583B42">
        <w:rPr>
          <w:sz w:val="20"/>
          <w:szCs w:val="20"/>
        </w:rPr>
        <w:t xml:space="preserve"> ‘Can There be a Human Rights Approach to International I</w:t>
      </w:r>
      <w:r w:rsidRPr="00B61248">
        <w:rPr>
          <w:sz w:val="20"/>
          <w:szCs w:val="20"/>
        </w:rPr>
        <w:t>ntervention?</w:t>
      </w:r>
      <w:proofErr w:type="gramStart"/>
      <w:r>
        <w:rPr>
          <w:sz w:val="20"/>
          <w:szCs w:val="20"/>
        </w:rPr>
        <w:t>’,</w:t>
      </w:r>
      <w:proofErr w:type="gramEnd"/>
      <w:r>
        <w:rPr>
          <w:sz w:val="20"/>
          <w:szCs w:val="20"/>
        </w:rPr>
        <w:t xml:space="preserve"> </w:t>
      </w:r>
      <w:r w:rsidRPr="003F3759">
        <w:rPr>
          <w:i/>
          <w:sz w:val="20"/>
          <w:szCs w:val="20"/>
        </w:rPr>
        <w:t>Commonwealth Law Bulletin</w:t>
      </w:r>
      <w:r>
        <w:rPr>
          <w:sz w:val="20"/>
          <w:szCs w:val="20"/>
        </w:rPr>
        <w:t xml:space="preserve"> 39:</w:t>
      </w:r>
      <w:r w:rsidRPr="00B61248">
        <w:rPr>
          <w:sz w:val="20"/>
          <w:szCs w:val="20"/>
        </w:rPr>
        <w:t>1</w:t>
      </w:r>
      <w:r>
        <w:rPr>
          <w:sz w:val="20"/>
          <w:szCs w:val="20"/>
        </w:rPr>
        <w:t xml:space="preserve"> (2013), p.</w:t>
      </w:r>
      <w:r w:rsidRPr="00B61248">
        <w:rPr>
          <w:sz w:val="20"/>
          <w:szCs w:val="20"/>
        </w:rPr>
        <w:t xml:space="preserve"> 107.</w:t>
      </w:r>
    </w:p>
  </w:footnote>
  <w:footnote w:id="44">
    <w:p w14:paraId="517C3F36" w14:textId="0FCF9E0E" w:rsidR="003F3759" w:rsidRPr="00B61248" w:rsidRDefault="003F3759" w:rsidP="00742214">
      <w:pPr>
        <w:rPr>
          <w:sz w:val="20"/>
          <w:szCs w:val="20"/>
        </w:rPr>
      </w:pPr>
      <w:r w:rsidRPr="00B61248">
        <w:rPr>
          <w:rStyle w:val="FootnoteReference"/>
          <w:sz w:val="20"/>
          <w:szCs w:val="20"/>
        </w:rPr>
        <w:footnoteRef/>
      </w:r>
      <w:r w:rsidRPr="00B61248">
        <w:rPr>
          <w:sz w:val="20"/>
          <w:szCs w:val="20"/>
        </w:rPr>
        <w:t xml:space="preserve"> Sarah </w:t>
      </w:r>
      <w:proofErr w:type="spellStart"/>
      <w:r w:rsidRPr="00B61248">
        <w:rPr>
          <w:sz w:val="20"/>
          <w:szCs w:val="20"/>
          <w:lang w:val="en-US"/>
        </w:rPr>
        <w:t>Brockmeier</w:t>
      </w:r>
      <w:proofErr w:type="spellEnd"/>
      <w:r w:rsidRPr="00B61248">
        <w:rPr>
          <w:sz w:val="20"/>
          <w:szCs w:val="20"/>
          <w:lang w:val="en-US"/>
        </w:rPr>
        <w:t xml:space="preserve">, Oliver </w:t>
      </w:r>
      <w:proofErr w:type="spellStart"/>
      <w:r>
        <w:rPr>
          <w:sz w:val="20"/>
          <w:szCs w:val="20"/>
          <w:lang w:val="en-US"/>
        </w:rPr>
        <w:t>Stuenkel</w:t>
      </w:r>
      <w:proofErr w:type="spellEnd"/>
      <w:r>
        <w:rPr>
          <w:sz w:val="20"/>
          <w:szCs w:val="20"/>
          <w:lang w:val="en-US"/>
        </w:rPr>
        <w:t xml:space="preserve">, and Marcos </w:t>
      </w:r>
      <w:proofErr w:type="spellStart"/>
      <w:r>
        <w:rPr>
          <w:sz w:val="20"/>
          <w:szCs w:val="20"/>
          <w:lang w:val="en-US"/>
        </w:rPr>
        <w:t>Tourinho</w:t>
      </w:r>
      <w:proofErr w:type="spellEnd"/>
      <w:r>
        <w:rPr>
          <w:sz w:val="20"/>
          <w:szCs w:val="20"/>
          <w:lang w:val="en-US"/>
        </w:rPr>
        <w:t>,</w:t>
      </w:r>
      <w:r w:rsidRPr="00B61248">
        <w:rPr>
          <w:sz w:val="20"/>
          <w:szCs w:val="20"/>
          <w:lang w:val="en-US"/>
        </w:rPr>
        <w:t xml:space="preserve"> ‘The Impact of the Libya Intervention Debates on Norms of</w:t>
      </w:r>
      <w:r>
        <w:rPr>
          <w:sz w:val="20"/>
          <w:szCs w:val="20"/>
          <w:lang w:val="en-US"/>
        </w:rPr>
        <w:t xml:space="preserve"> Protection’, </w:t>
      </w:r>
      <w:r w:rsidRPr="003F3759">
        <w:rPr>
          <w:i/>
          <w:sz w:val="20"/>
          <w:szCs w:val="20"/>
          <w:lang w:val="en-US"/>
        </w:rPr>
        <w:t>Global Society</w:t>
      </w:r>
      <w:r>
        <w:rPr>
          <w:sz w:val="20"/>
          <w:szCs w:val="20"/>
          <w:lang w:val="en-US"/>
        </w:rPr>
        <w:t xml:space="preserve"> 30:</w:t>
      </w:r>
      <w:r w:rsidRPr="00B61248">
        <w:rPr>
          <w:sz w:val="20"/>
          <w:szCs w:val="20"/>
          <w:lang w:val="en-US"/>
        </w:rPr>
        <w:t>1</w:t>
      </w:r>
      <w:r>
        <w:rPr>
          <w:sz w:val="20"/>
          <w:szCs w:val="20"/>
          <w:lang w:val="en-US"/>
        </w:rPr>
        <w:t xml:space="preserve"> (2016), pp.</w:t>
      </w:r>
      <w:r w:rsidRPr="00B61248">
        <w:rPr>
          <w:sz w:val="20"/>
          <w:szCs w:val="20"/>
          <w:lang w:val="en-US"/>
        </w:rPr>
        <w:t xml:space="preserve"> 113-33.</w:t>
      </w:r>
    </w:p>
  </w:footnote>
  <w:footnote w:id="45">
    <w:p w14:paraId="354D550B" w14:textId="6236EF30" w:rsidR="003F3759" w:rsidRPr="00B61248" w:rsidRDefault="003F3759">
      <w:pPr>
        <w:pStyle w:val="FootnoteText"/>
        <w:rPr>
          <w:szCs w:val="20"/>
          <w:lang w:val="en-US"/>
        </w:rPr>
      </w:pPr>
      <w:r w:rsidRPr="00B61248">
        <w:rPr>
          <w:rStyle w:val="FootnoteReference"/>
          <w:szCs w:val="20"/>
        </w:rPr>
        <w:footnoteRef/>
      </w:r>
      <w:r w:rsidRPr="00B61248">
        <w:rPr>
          <w:szCs w:val="20"/>
        </w:rPr>
        <w:t xml:space="preserve"> P.A.</w:t>
      </w:r>
      <w:r>
        <w:rPr>
          <w:szCs w:val="20"/>
        </w:rPr>
        <w:t xml:space="preserve"> Hayman and John Williams,</w:t>
      </w:r>
      <w:r w:rsidRPr="00B61248">
        <w:rPr>
          <w:szCs w:val="20"/>
        </w:rPr>
        <w:t xml:space="preserve"> ‘</w:t>
      </w:r>
      <w:proofErr w:type="spellStart"/>
      <w:r w:rsidRPr="00B61248">
        <w:rPr>
          <w:szCs w:val="20"/>
        </w:rPr>
        <w:t>Westphalian</w:t>
      </w:r>
      <w:proofErr w:type="spellEnd"/>
      <w:r w:rsidRPr="00B61248">
        <w:rPr>
          <w:szCs w:val="20"/>
        </w:rPr>
        <w:t xml:space="preserve"> Sovereignty: Rights, Intervention, Meaning </w:t>
      </w:r>
      <w:r>
        <w:rPr>
          <w:szCs w:val="20"/>
        </w:rPr>
        <w:t xml:space="preserve">and Context’, </w:t>
      </w:r>
      <w:r w:rsidRPr="003F3759">
        <w:rPr>
          <w:i/>
          <w:szCs w:val="20"/>
        </w:rPr>
        <w:t>Global Society</w:t>
      </w:r>
      <w:r>
        <w:rPr>
          <w:szCs w:val="20"/>
        </w:rPr>
        <w:t xml:space="preserve"> 20:</w:t>
      </w:r>
      <w:r w:rsidRPr="00B61248">
        <w:rPr>
          <w:szCs w:val="20"/>
        </w:rPr>
        <w:t>4</w:t>
      </w:r>
      <w:r>
        <w:rPr>
          <w:szCs w:val="20"/>
        </w:rPr>
        <w:t xml:space="preserve"> (2006), pp.</w:t>
      </w:r>
      <w:r w:rsidRPr="00B61248">
        <w:rPr>
          <w:szCs w:val="20"/>
        </w:rPr>
        <w:t xml:space="preserve"> 521-41.</w:t>
      </w:r>
    </w:p>
  </w:footnote>
  <w:footnote w:id="46">
    <w:p w14:paraId="61CE5B1C" w14:textId="7B924C75" w:rsidR="003F3759" w:rsidRPr="00B61248" w:rsidRDefault="003F3759">
      <w:pPr>
        <w:pStyle w:val="FootnoteText"/>
        <w:rPr>
          <w:szCs w:val="20"/>
          <w:lang w:val="en-US"/>
        </w:rPr>
      </w:pPr>
      <w:r w:rsidRPr="00B61248">
        <w:rPr>
          <w:rStyle w:val="FootnoteReference"/>
          <w:szCs w:val="20"/>
        </w:rPr>
        <w:footnoteRef/>
      </w:r>
      <w:r>
        <w:rPr>
          <w:szCs w:val="20"/>
        </w:rPr>
        <w:t xml:space="preserve"> </w:t>
      </w:r>
      <w:proofErr w:type="spellStart"/>
      <w:r>
        <w:rPr>
          <w:szCs w:val="20"/>
        </w:rPr>
        <w:t>Selv</w:t>
      </w:r>
      <w:r w:rsidRPr="00B61248">
        <w:rPr>
          <w:szCs w:val="20"/>
        </w:rPr>
        <w:t>er</w:t>
      </w:r>
      <w:proofErr w:type="spellEnd"/>
      <w:r w:rsidRPr="00B61248">
        <w:rPr>
          <w:szCs w:val="20"/>
        </w:rPr>
        <w:t xml:space="preserve"> B. </w:t>
      </w:r>
      <w:proofErr w:type="spellStart"/>
      <w:r>
        <w:rPr>
          <w:szCs w:val="20"/>
          <w:lang w:val="en-US"/>
        </w:rPr>
        <w:t>Shain</w:t>
      </w:r>
      <w:proofErr w:type="spellEnd"/>
      <w:r>
        <w:rPr>
          <w:szCs w:val="20"/>
          <w:lang w:val="en-US"/>
        </w:rPr>
        <w:t>,</w:t>
      </w:r>
      <w:r w:rsidRPr="00B61248">
        <w:rPr>
          <w:szCs w:val="20"/>
          <w:lang w:val="en-US"/>
        </w:rPr>
        <w:t xml:space="preserve"> ‘How Exception Became the Norm: Normalizing Intervention as an Exercise in Risk Management in Kosovo’, </w:t>
      </w:r>
      <w:r w:rsidRPr="003F3759">
        <w:rPr>
          <w:i/>
          <w:szCs w:val="20"/>
          <w:lang w:val="en-US"/>
        </w:rPr>
        <w:t>Journal of Balkan and Near Eastern Studies</w:t>
      </w:r>
      <w:r>
        <w:rPr>
          <w:szCs w:val="20"/>
          <w:lang w:val="en-US"/>
        </w:rPr>
        <w:t xml:space="preserve"> 15:</w:t>
      </w:r>
      <w:r w:rsidRPr="00B61248">
        <w:rPr>
          <w:szCs w:val="20"/>
          <w:lang w:val="en-US"/>
        </w:rPr>
        <w:t>1</w:t>
      </w:r>
      <w:r>
        <w:rPr>
          <w:szCs w:val="20"/>
          <w:lang w:val="en-US"/>
        </w:rPr>
        <w:t xml:space="preserve"> (2013), pp.</w:t>
      </w:r>
      <w:r w:rsidRPr="00B61248">
        <w:rPr>
          <w:szCs w:val="20"/>
          <w:lang w:val="en-US"/>
        </w:rPr>
        <w:t xml:space="preserve"> 17-36.</w:t>
      </w:r>
    </w:p>
  </w:footnote>
  <w:footnote w:id="47">
    <w:p w14:paraId="1B2C9106" w14:textId="3C95E0F8" w:rsidR="003F3759" w:rsidRPr="00B61248" w:rsidRDefault="003F3759">
      <w:pPr>
        <w:pStyle w:val="FootnoteText"/>
        <w:rPr>
          <w:szCs w:val="20"/>
          <w:lang w:val="en-US"/>
        </w:rPr>
      </w:pPr>
      <w:r w:rsidRPr="00B61248">
        <w:rPr>
          <w:rStyle w:val="FootnoteReference"/>
          <w:szCs w:val="20"/>
        </w:rPr>
        <w:footnoteRef/>
      </w:r>
      <w:r>
        <w:rPr>
          <w:szCs w:val="20"/>
        </w:rPr>
        <w:t xml:space="preserve"> Jennifer </w:t>
      </w:r>
      <w:proofErr w:type="spellStart"/>
      <w:r>
        <w:rPr>
          <w:szCs w:val="20"/>
        </w:rPr>
        <w:t>Szende</w:t>
      </w:r>
      <w:proofErr w:type="spellEnd"/>
      <w:r>
        <w:rPr>
          <w:szCs w:val="20"/>
        </w:rPr>
        <w:t>,</w:t>
      </w:r>
      <w:r w:rsidR="00583B42">
        <w:rPr>
          <w:szCs w:val="20"/>
        </w:rPr>
        <w:t xml:space="preserve"> ‘Selective Humanitarian Intervention: Moral Reason and Collective A</w:t>
      </w:r>
      <w:r w:rsidRPr="00B61248">
        <w:rPr>
          <w:szCs w:val="20"/>
        </w:rPr>
        <w:t>gen</w:t>
      </w:r>
      <w:r>
        <w:rPr>
          <w:szCs w:val="20"/>
        </w:rPr>
        <w:t xml:space="preserve">ts’, </w:t>
      </w:r>
      <w:r w:rsidRPr="003F3759">
        <w:rPr>
          <w:i/>
          <w:szCs w:val="20"/>
        </w:rPr>
        <w:t xml:space="preserve">Journal of Global Ethics </w:t>
      </w:r>
      <w:r>
        <w:rPr>
          <w:szCs w:val="20"/>
        </w:rPr>
        <w:t>8:</w:t>
      </w:r>
      <w:r w:rsidRPr="00B61248">
        <w:rPr>
          <w:szCs w:val="20"/>
        </w:rPr>
        <w:t>1</w:t>
      </w:r>
      <w:r>
        <w:rPr>
          <w:szCs w:val="20"/>
        </w:rPr>
        <w:t xml:space="preserve"> (2012), pp.</w:t>
      </w:r>
      <w:r w:rsidRPr="00B61248">
        <w:rPr>
          <w:szCs w:val="20"/>
        </w:rPr>
        <w:t xml:space="preserve"> 64-65.</w:t>
      </w:r>
    </w:p>
  </w:footnote>
  <w:footnote w:id="48">
    <w:p w14:paraId="256E7FF3" w14:textId="56834F1D" w:rsidR="003F3759" w:rsidRPr="00B61248" w:rsidRDefault="003F3759">
      <w:pPr>
        <w:pStyle w:val="FootnoteText"/>
        <w:rPr>
          <w:szCs w:val="20"/>
          <w:lang w:val="en-US"/>
        </w:rPr>
      </w:pPr>
      <w:r w:rsidRPr="00B61248">
        <w:rPr>
          <w:rStyle w:val="FootnoteReference"/>
          <w:szCs w:val="20"/>
        </w:rPr>
        <w:footnoteRef/>
      </w:r>
      <w:r w:rsidRPr="00B61248">
        <w:rPr>
          <w:szCs w:val="20"/>
        </w:rPr>
        <w:t xml:space="preserve"> Bell</w:t>
      </w:r>
      <w:r>
        <w:rPr>
          <w:szCs w:val="20"/>
        </w:rPr>
        <w:t>amy (2009); Ramesh Thakur,</w:t>
      </w:r>
      <w:r w:rsidRPr="00B61248">
        <w:rPr>
          <w:szCs w:val="20"/>
        </w:rPr>
        <w:t xml:space="preserve"> ‘Intervention, Sovereignty and the Responsibility to Protect: Experiences f</w:t>
      </w:r>
      <w:r>
        <w:rPr>
          <w:szCs w:val="20"/>
        </w:rPr>
        <w:t xml:space="preserve">rom ICSS’, </w:t>
      </w:r>
      <w:r w:rsidRPr="003F3759">
        <w:rPr>
          <w:i/>
          <w:szCs w:val="20"/>
        </w:rPr>
        <w:t>Security Dialogue</w:t>
      </w:r>
      <w:r>
        <w:rPr>
          <w:szCs w:val="20"/>
        </w:rPr>
        <w:t xml:space="preserve"> 33:</w:t>
      </w:r>
      <w:r w:rsidRPr="00B61248">
        <w:rPr>
          <w:szCs w:val="20"/>
        </w:rPr>
        <w:t>3</w:t>
      </w:r>
      <w:r>
        <w:rPr>
          <w:szCs w:val="20"/>
        </w:rPr>
        <w:t xml:space="preserve"> (2002), pp. 323-40; </w:t>
      </w:r>
      <w:proofErr w:type="spellStart"/>
      <w:r>
        <w:rPr>
          <w:szCs w:val="20"/>
        </w:rPr>
        <w:t>Amitai</w:t>
      </w:r>
      <w:proofErr w:type="spellEnd"/>
      <w:r>
        <w:rPr>
          <w:szCs w:val="20"/>
        </w:rPr>
        <w:t xml:space="preserve"> </w:t>
      </w:r>
      <w:proofErr w:type="spellStart"/>
      <w:r>
        <w:rPr>
          <w:szCs w:val="20"/>
        </w:rPr>
        <w:t>Etzioni</w:t>
      </w:r>
      <w:proofErr w:type="spellEnd"/>
      <w:r>
        <w:rPr>
          <w:szCs w:val="20"/>
        </w:rPr>
        <w:t>,</w:t>
      </w:r>
      <w:r w:rsidRPr="00B61248">
        <w:rPr>
          <w:szCs w:val="20"/>
        </w:rPr>
        <w:t xml:space="preserve"> ‘Sovereignty as Res</w:t>
      </w:r>
      <w:r>
        <w:rPr>
          <w:szCs w:val="20"/>
        </w:rPr>
        <w:t xml:space="preserve">ponsibility’, </w:t>
      </w:r>
      <w:proofErr w:type="spellStart"/>
      <w:r w:rsidRPr="003F3759">
        <w:rPr>
          <w:i/>
          <w:szCs w:val="20"/>
        </w:rPr>
        <w:t>Orbis</w:t>
      </w:r>
      <w:proofErr w:type="spellEnd"/>
      <w:r>
        <w:rPr>
          <w:szCs w:val="20"/>
        </w:rPr>
        <w:t xml:space="preserve"> 50:</w:t>
      </w:r>
      <w:r w:rsidRPr="00B61248">
        <w:rPr>
          <w:szCs w:val="20"/>
        </w:rPr>
        <w:t>1</w:t>
      </w:r>
      <w:r>
        <w:rPr>
          <w:szCs w:val="20"/>
        </w:rPr>
        <w:t xml:space="preserve"> (2006), pp. 71-85; Luke Glanville,</w:t>
      </w:r>
      <w:r w:rsidR="00583B42">
        <w:rPr>
          <w:szCs w:val="20"/>
        </w:rPr>
        <w:t xml:space="preserve"> ‘The Antecedents of ‘Sovereignty as R</w:t>
      </w:r>
      <w:r w:rsidRPr="00B61248">
        <w:rPr>
          <w:szCs w:val="20"/>
        </w:rPr>
        <w:t xml:space="preserve">esponsibility’, </w:t>
      </w:r>
      <w:r w:rsidRPr="003F3759">
        <w:rPr>
          <w:i/>
          <w:szCs w:val="20"/>
        </w:rPr>
        <w:t>European Journal of International Relations</w:t>
      </w:r>
      <w:r>
        <w:rPr>
          <w:szCs w:val="20"/>
        </w:rPr>
        <w:t xml:space="preserve"> 17:</w:t>
      </w:r>
      <w:r w:rsidRPr="00B61248">
        <w:rPr>
          <w:szCs w:val="20"/>
        </w:rPr>
        <w:t>2</w:t>
      </w:r>
      <w:r>
        <w:rPr>
          <w:szCs w:val="20"/>
        </w:rPr>
        <w:t xml:space="preserve"> (2010), pp.</w:t>
      </w:r>
      <w:r w:rsidRPr="00B61248">
        <w:rPr>
          <w:szCs w:val="20"/>
        </w:rPr>
        <w:t xml:space="preserve"> 233-55.</w:t>
      </w:r>
    </w:p>
  </w:footnote>
  <w:footnote w:id="49">
    <w:p w14:paraId="3F3E3ACD" w14:textId="625D3A0A" w:rsidR="003F3759" w:rsidRPr="00B61248" w:rsidRDefault="003F3759">
      <w:pPr>
        <w:pStyle w:val="FootnoteText"/>
        <w:rPr>
          <w:szCs w:val="20"/>
          <w:lang w:val="en-US"/>
        </w:rPr>
      </w:pPr>
      <w:r w:rsidRPr="00B61248">
        <w:rPr>
          <w:rStyle w:val="FootnoteReference"/>
          <w:szCs w:val="20"/>
        </w:rPr>
        <w:footnoteRef/>
      </w:r>
      <w:r w:rsidRPr="00B61248">
        <w:rPr>
          <w:szCs w:val="20"/>
        </w:rPr>
        <w:t xml:space="preserve"> Joelle </w:t>
      </w:r>
      <w:r>
        <w:rPr>
          <w:szCs w:val="20"/>
          <w:lang w:val="en-US"/>
        </w:rPr>
        <w:t>Tanguy,</w:t>
      </w:r>
      <w:r w:rsidRPr="00B61248">
        <w:rPr>
          <w:szCs w:val="20"/>
          <w:lang w:val="en-US"/>
        </w:rPr>
        <w:t xml:space="preserve"> ‘Redefining Sovereignty and Intervention’, </w:t>
      </w:r>
      <w:r w:rsidRPr="003F3759">
        <w:rPr>
          <w:i/>
          <w:szCs w:val="20"/>
          <w:lang w:val="en-US"/>
        </w:rPr>
        <w:t>Ethics and International Affairs</w:t>
      </w:r>
      <w:r>
        <w:rPr>
          <w:szCs w:val="20"/>
          <w:lang w:val="en-US"/>
        </w:rPr>
        <w:t xml:space="preserve"> 17:</w:t>
      </w:r>
      <w:r w:rsidRPr="00B61248">
        <w:rPr>
          <w:szCs w:val="20"/>
          <w:lang w:val="en-US"/>
        </w:rPr>
        <w:t>1</w:t>
      </w:r>
      <w:r>
        <w:rPr>
          <w:szCs w:val="20"/>
          <w:lang w:val="en-US"/>
        </w:rPr>
        <w:t xml:space="preserve"> (2003), pp.</w:t>
      </w:r>
      <w:r w:rsidRPr="00B61248">
        <w:rPr>
          <w:szCs w:val="20"/>
          <w:lang w:val="en-US"/>
        </w:rPr>
        <w:t xml:space="preserve"> 141-48; David </w:t>
      </w:r>
      <w:r>
        <w:rPr>
          <w:szCs w:val="20"/>
        </w:rPr>
        <w:t>Chandler,</w:t>
      </w:r>
      <w:r w:rsidRPr="00B61248">
        <w:rPr>
          <w:szCs w:val="20"/>
        </w:rPr>
        <w:t xml:space="preserve"> ‘</w:t>
      </w:r>
      <w:proofErr w:type="spellStart"/>
      <w:r w:rsidRPr="00B61248">
        <w:rPr>
          <w:szCs w:val="20"/>
        </w:rPr>
        <w:t>Reconceptualizing</w:t>
      </w:r>
      <w:proofErr w:type="spellEnd"/>
      <w:r w:rsidRPr="00B61248">
        <w:rPr>
          <w:szCs w:val="20"/>
        </w:rPr>
        <w:t xml:space="preserve"> International Intervention: </w:t>
      </w:r>
      <w:proofErr w:type="spellStart"/>
      <w:r w:rsidRPr="00B61248">
        <w:rPr>
          <w:szCs w:val="20"/>
        </w:rPr>
        <w:t>Statebuilding</w:t>
      </w:r>
      <w:proofErr w:type="spellEnd"/>
      <w:r w:rsidRPr="00B61248">
        <w:rPr>
          <w:szCs w:val="20"/>
        </w:rPr>
        <w:t xml:space="preserve">, ‘Organic Processes’ and the Limits of Casual Knowledge’ </w:t>
      </w:r>
      <w:r w:rsidRPr="003F3759">
        <w:rPr>
          <w:i/>
          <w:szCs w:val="20"/>
        </w:rPr>
        <w:t xml:space="preserve">Journal of Intervention and </w:t>
      </w:r>
      <w:proofErr w:type="spellStart"/>
      <w:r w:rsidRPr="003F3759">
        <w:rPr>
          <w:i/>
          <w:szCs w:val="20"/>
        </w:rPr>
        <w:t>Statebuilding</w:t>
      </w:r>
      <w:proofErr w:type="spellEnd"/>
      <w:r>
        <w:rPr>
          <w:szCs w:val="20"/>
        </w:rPr>
        <w:t xml:space="preserve"> 9:</w:t>
      </w:r>
      <w:r w:rsidRPr="00B61248">
        <w:rPr>
          <w:szCs w:val="20"/>
        </w:rPr>
        <w:t>1</w:t>
      </w:r>
      <w:r>
        <w:rPr>
          <w:szCs w:val="20"/>
        </w:rPr>
        <w:t xml:space="preserve"> (2015), p.</w:t>
      </w:r>
      <w:r w:rsidRPr="00B61248">
        <w:rPr>
          <w:szCs w:val="20"/>
        </w:rPr>
        <w:t xml:space="preserve"> 74.</w:t>
      </w:r>
    </w:p>
  </w:footnote>
  <w:footnote w:id="50">
    <w:p w14:paraId="05D1A8CE" w14:textId="3AF17FE9" w:rsidR="003F3759" w:rsidRPr="00B61248" w:rsidRDefault="003F3759">
      <w:pPr>
        <w:pStyle w:val="FootnoteText"/>
        <w:rPr>
          <w:szCs w:val="20"/>
          <w:lang w:val="en-US"/>
        </w:rPr>
      </w:pPr>
      <w:r w:rsidRPr="00B61248">
        <w:rPr>
          <w:rStyle w:val="FootnoteReference"/>
          <w:szCs w:val="20"/>
        </w:rPr>
        <w:footnoteRef/>
      </w:r>
      <w:r w:rsidRPr="00B61248">
        <w:rPr>
          <w:szCs w:val="20"/>
        </w:rPr>
        <w:t xml:space="preserve"> </w:t>
      </w:r>
      <w:proofErr w:type="spellStart"/>
      <w:r w:rsidRPr="00B61248">
        <w:rPr>
          <w:szCs w:val="20"/>
        </w:rPr>
        <w:t>Jakkie</w:t>
      </w:r>
      <w:proofErr w:type="spellEnd"/>
      <w:r w:rsidRPr="00B61248">
        <w:rPr>
          <w:szCs w:val="20"/>
        </w:rPr>
        <w:t xml:space="preserve"> </w:t>
      </w:r>
      <w:proofErr w:type="spellStart"/>
      <w:r w:rsidRPr="00B61248">
        <w:rPr>
          <w:szCs w:val="20"/>
        </w:rPr>
        <w:t>Cil</w:t>
      </w:r>
      <w:r>
        <w:rPr>
          <w:szCs w:val="20"/>
        </w:rPr>
        <w:t>liers</w:t>
      </w:r>
      <w:proofErr w:type="spellEnd"/>
      <w:r>
        <w:rPr>
          <w:szCs w:val="20"/>
        </w:rPr>
        <w:t xml:space="preserve"> and Kathryn </w:t>
      </w:r>
      <w:proofErr w:type="spellStart"/>
      <w:r>
        <w:rPr>
          <w:szCs w:val="20"/>
        </w:rPr>
        <w:t>Sturman</w:t>
      </w:r>
      <w:proofErr w:type="spellEnd"/>
      <w:r>
        <w:rPr>
          <w:szCs w:val="20"/>
        </w:rPr>
        <w:t>,</w:t>
      </w:r>
      <w:r w:rsidRPr="00B61248">
        <w:rPr>
          <w:szCs w:val="20"/>
        </w:rPr>
        <w:t xml:space="preserve"> ‘The Right Interventi</w:t>
      </w:r>
      <w:r>
        <w:rPr>
          <w:szCs w:val="20"/>
        </w:rPr>
        <w:t xml:space="preserve">on’, </w:t>
      </w:r>
      <w:r w:rsidRPr="003F3759">
        <w:rPr>
          <w:i/>
          <w:szCs w:val="20"/>
        </w:rPr>
        <w:t>African Security Review</w:t>
      </w:r>
      <w:r>
        <w:rPr>
          <w:szCs w:val="20"/>
        </w:rPr>
        <w:t xml:space="preserve"> 11:</w:t>
      </w:r>
      <w:r w:rsidRPr="00B61248">
        <w:rPr>
          <w:szCs w:val="20"/>
        </w:rPr>
        <w:t>3</w:t>
      </w:r>
      <w:r>
        <w:rPr>
          <w:szCs w:val="20"/>
        </w:rPr>
        <w:t xml:space="preserve"> (2002), p.</w:t>
      </w:r>
      <w:r w:rsidRPr="00B61248">
        <w:rPr>
          <w:szCs w:val="20"/>
        </w:rPr>
        <w:t xml:space="preserve"> 28.</w:t>
      </w:r>
    </w:p>
  </w:footnote>
  <w:footnote w:id="51">
    <w:p w14:paraId="43EB78A8" w14:textId="27C8C1F9" w:rsidR="003F3759" w:rsidRPr="00B61248" w:rsidRDefault="003F3759">
      <w:pPr>
        <w:pStyle w:val="FootnoteText"/>
        <w:rPr>
          <w:szCs w:val="20"/>
          <w:lang w:val="en-US"/>
        </w:rPr>
      </w:pPr>
      <w:r w:rsidRPr="00B61248">
        <w:rPr>
          <w:rStyle w:val="FootnoteReference"/>
          <w:szCs w:val="20"/>
        </w:rPr>
        <w:footnoteRef/>
      </w:r>
      <w:r>
        <w:rPr>
          <w:szCs w:val="20"/>
        </w:rPr>
        <w:t xml:space="preserve"> Jeffrey W. </w:t>
      </w:r>
      <w:proofErr w:type="spellStart"/>
      <w:r>
        <w:rPr>
          <w:szCs w:val="20"/>
        </w:rPr>
        <w:t>Legro</w:t>
      </w:r>
      <w:proofErr w:type="spellEnd"/>
      <w:r>
        <w:rPr>
          <w:szCs w:val="20"/>
        </w:rPr>
        <w:t>,</w:t>
      </w:r>
      <w:r w:rsidR="00583B42">
        <w:rPr>
          <w:szCs w:val="20"/>
        </w:rPr>
        <w:t xml:space="preserve"> ‘Which Norms Matter? Revisiting the “F</w:t>
      </w:r>
      <w:r w:rsidRPr="00B61248">
        <w:rPr>
          <w:szCs w:val="20"/>
        </w:rPr>
        <w:t>ail</w:t>
      </w:r>
      <w:r w:rsidR="00583B42">
        <w:rPr>
          <w:szCs w:val="20"/>
        </w:rPr>
        <w:t>ure” of I</w:t>
      </w:r>
      <w:r w:rsidRPr="00B61248">
        <w:rPr>
          <w:szCs w:val="20"/>
        </w:rPr>
        <w:t>nternationalism’</w:t>
      </w:r>
      <w:r>
        <w:rPr>
          <w:szCs w:val="20"/>
        </w:rPr>
        <w:t xml:space="preserve">, </w:t>
      </w:r>
      <w:r w:rsidRPr="003F3759">
        <w:rPr>
          <w:i/>
          <w:szCs w:val="20"/>
        </w:rPr>
        <w:t>International Organization</w:t>
      </w:r>
      <w:r>
        <w:rPr>
          <w:szCs w:val="20"/>
        </w:rPr>
        <w:t xml:space="preserve"> 51:</w:t>
      </w:r>
      <w:r w:rsidRPr="00B61248">
        <w:rPr>
          <w:szCs w:val="20"/>
        </w:rPr>
        <w:t>1</w:t>
      </w:r>
      <w:r>
        <w:rPr>
          <w:szCs w:val="20"/>
        </w:rPr>
        <w:t xml:space="preserve"> (1997), pp.</w:t>
      </w:r>
      <w:r w:rsidRPr="00B61248">
        <w:rPr>
          <w:szCs w:val="20"/>
        </w:rPr>
        <w:t xml:space="preserve"> 31-63.</w:t>
      </w:r>
    </w:p>
  </w:footnote>
  <w:footnote w:id="52">
    <w:p w14:paraId="42B1A05F" w14:textId="4884B19F" w:rsidR="003F3759" w:rsidRPr="00B61248" w:rsidRDefault="003F3759">
      <w:pPr>
        <w:pStyle w:val="FootnoteText"/>
        <w:rPr>
          <w:szCs w:val="20"/>
          <w:lang w:val="en-US"/>
        </w:rPr>
      </w:pPr>
      <w:r w:rsidRPr="00B61248">
        <w:rPr>
          <w:rStyle w:val="FootnoteReference"/>
          <w:szCs w:val="20"/>
        </w:rPr>
        <w:footnoteRef/>
      </w:r>
      <w:r w:rsidRPr="00B61248">
        <w:rPr>
          <w:szCs w:val="20"/>
        </w:rPr>
        <w:t xml:space="preserve"> Robert </w:t>
      </w:r>
      <w:r>
        <w:rPr>
          <w:szCs w:val="20"/>
          <w:lang w:val="en-US"/>
        </w:rPr>
        <w:t>Axelrod,</w:t>
      </w:r>
      <w:r w:rsidRPr="00B61248">
        <w:rPr>
          <w:szCs w:val="20"/>
          <w:lang w:val="en-US"/>
        </w:rPr>
        <w:t xml:space="preserve"> ‘An Evolutionary Approach to Norms’, </w:t>
      </w:r>
      <w:r w:rsidRPr="003F3759">
        <w:rPr>
          <w:i/>
          <w:szCs w:val="20"/>
          <w:lang w:val="en-US"/>
        </w:rPr>
        <w:t>American Political Science Review</w:t>
      </w:r>
      <w:r>
        <w:rPr>
          <w:szCs w:val="20"/>
          <w:lang w:val="en-US"/>
        </w:rPr>
        <w:t xml:space="preserve"> 80:</w:t>
      </w:r>
      <w:r w:rsidRPr="00B61248">
        <w:rPr>
          <w:szCs w:val="20"/>
          <w:lang w:val="en-US"/>
        </w:rPr>
        <w:t>4</w:t>
      </w:r>
      <w:r>
        <w:rPr>
          <w:szCs w:val="20"/>
          <w:lang w:val="en-US"/>
        </w:rPr>
        <w:t xml:space="preserve"> (1986), pp.</w:t>
      </w:r>
      <w:r w:rsidRPr="00B61248">
        <w:rPr>
          <w:szCs w:val="20"/>
          <w:lang w:val="en-US"/>
        </w:rPr>
        <w:t xml:space="preserve"> 1095-111.</w:t>
      </w:r>
    </w:p>
  </w:footnote>
  <w:footnote w:id="53">
    <w:p w14:paraId="6D467494" w14:textId="449B677A" w:rsidR="003F3759" w:rsidRPr="00B61248" w:rsidRDefault="003F3759" w:rsidP="003370A5">
      <w:pPr>
        <w:rPr>
          <w:sz w:val="20"/>
          <w:szCs w:val="20"/>
          <w:lang w:val="en-US"/>
        </w:rPr>
      </w:pPr>
      <w:r w:rsidRPr="00B61248">
        <w:rPr>
          <w:rStyle w:val="FootnoteReference"/>
          <w:sz w:val="20"/>
          <w:szCs w:val="20"/>
        </w:rPr>
        <w:footnoteRef/>
      </w:r>
      <w:r w:rsidRPr="00B61248">
        <w:rPr>
          <w:sz w:val="20"/>
          <w:szCs w:val="20"/>
        </w:rPr>
        <w:t xml:space="preserve"> Michelle </w:t>
      </w:r>
      <w:r>
        <w:rPr>
          <w:sz w:val="20"/>
          <w:szCs w:val="20"/>
          <w:lang w:val="en-US"/>
        </w:rPr>
        <w:t>Bentley,</w:t>
      </w:r>
      <w:r w:rsidRPr="00B61248">
        <w:rPr>
          <w:sz w:val="20"/>
          <w:szCs w:val="20"/>
          <w:lang w:val="en-US"/>
        </w:rPr>
        <w:t xml:space="preserve"> </w:t>
      </w:r>
      <w:r w:rsidRPr="003F3759">
        <w:rPr>
          <w:i/>
          <w:sz w:val="20"/>
          <w:szCs w:val="20"/>
          <w:lang w:val="en-US"/>
        </w:rPr>
        <w:t>Syria and the Chemical Weapons Taboo: Exploiting the Forbidden</w:t>
      </w:r>
      <w:r w:rsidRPr="00B61248">
        <w:rPr>
          <w:sz w:val="20"/>
          <w:szCs w:val="20"/>
          <w:lang w:val="en-US"/>
        </w:rPr>
        <w:t xml:space="preserve"> (Manchester: Manchester University Press</w:t>
      </w:r>
      <w:r>
        <w:rPr>
          <w:sz w:val="20"/>
          <w:szCs w:val="20"/>
          <w:lang w:val="en-US"/>
        </w:rPr>
        <w:t>, 2016</w:t>
      </w:r>
      <w:r w:rsidRPr="00B61248">
        <w:rPr>
          <w:sz w:val="20"/>
          <w:szCs w:val="20"/>
          <w:lang w:val="en-US"/>
        </w:rPr>
        <w:t>).</w:t>
      </w:r>
    </w:p>
  </w:footnote>
  <w:footnote w:id="54">
    <w:p w14:paraId="3CCD674A" w14:textId="6AE25678" w:rsidR="003F3759" w:rsidRPr="00B61248" w:rsidRDefault="003F3759">
      <w:pPr>
        <w:pStyle w:val="FootnoteText"/>
        <w:rPr>
          <w:szCs w:val="20"/>
          <w:lang w:val="en-US"/>
        </w:rPr>
      </w:pPr>
      <w:r w:rsidRPr="00B61248">
        <w:rPr>
          <w:rStyle w:val="FootnoteReference"/>
          <w:szCs w:val="20"/>
        </w:rPr>
        <w:footnoteRef/>
      </w:r>
      <w:r>
        <w:rPr>
          <w:szCs w:val="20"/>
        </w:rPr>
        <w:t xml:space="preserve"> Myron Weiner,</w:t>
      </w:r>
      <w:r w:rsidRPr="00B61248">
        <w:rPr>
          <w:szCs w:val="20"/>
        </w:rPr>
        <w:t xml:space="preserve"> ‘The Clash of Norms: Dilemmas in Refugee Policies’</w:t>
      </w:r>
      <w:r>
        <w:rPr>
          <w:szCs w:val="20"/>
        </w:rPr>
        <w:t xml:space="preserve">, </w:t>
      </w:r>
      <w:r w:rsidRPr="003F3759">
        <w:rPr>
          <w:i/>
          <w:szCs w:val="20"/>
        </w:rPr>
        <w:t>Journal of Refugee Studies</w:t>
      </w:r>
      <w:r>
        <w:rPr>
          <w:szCs w:val="20"/>
        </w:rPr>
        <w:t xml:space="preserve"> 11:</w:t>
      </w:r>
      <w:r w:rsidRPr="00B61248">
        <w:rPr>
          <w:szCs w:val="20"/>
        </w:rPr>
        <w:t>4</w:t>
      </w:r>
      <w:r>
        <w:rPr>
          <w:szCs w:val="20"/>
        </w:rPr>
        <w:t xml:space="preserve"> (1998), pp.</w:t>
      </w:r>
      <w:r w:rsidRPr="00B61248">
        <w:rPr>
          <w:szCs w:val="20"/>
        </w:rPr>
        <w:t xml:space="preserve"> </w:t>
      </w:r>
      <w:r>
        <w:rPr>
          <w:szCs w:val="20"/>
        </w:rPr>
        <w:t>433-53</w:t>
      </w:r>
      <w:proofErr w:type="gramStart"/>
      <w:r>
        <w:rPr>
          <w:szCs w:val="20"/>
        </w:rPr>
        <w:t>;</w:t>
      </w:r>
      <w:proofErr w:type="gramEnd"/>
      <w:r>
        <w:rPr>
          <w:szCs w:val="20"/>
        </w:rPr>
        <w:t xml:space="preserve"> Vaughn P. Shannon,</w:t>
      </w:r>
      <w:r w:rsidRPr="00B61248">
        <w:rPr>
          <w:szCs w:val="20"/>
        </w:rPr>
        <w:t xml:space="preserve"> ‘Norms Are What States Make of Them: The Political Psychology of Norm Violation’, </w:t>
      </w:r>
      <w:r w:rsidRPr="003F3759">
        <w:rPr>
          <w:i/>
          <w:szCs w:val="20"/>
        </w:rPr>
        <w:t>International Studies Quarterly</w:t>
      </w:r>
      <w:r>
        <w:rPr>
          <w:szCs w:val="20"/>
        </w:rPr>
        <w:t xml:space="preserve"> 44:</w:t>
      </w:r>
      <w:r w:rsidRPr="00B61248">
        <w:rPr>
          <w:szCs w:val="20"/>
        </w:rPr>
        <w:t>2</w:t>
      </w:r>
      <w:r>
        <w:rPr>
          <w:szCs w:val="20"/>
        </w:rPr>
        <w:t xml:space="preserve"> (2000), pp.</w:t>
      </w:r>
      <w:r w:rsidRPr="00B61248">
        <w:rPr>
          <w:szCs w:val="20"/>
        </w:rPr>
        <w:t xml:space="preserve"> 293-316.</w:t>
      </w:r>
    </w:p>
  </w:footnote>
  <w:footnote w:id="55">
    <w:p w14:paraId="3B065F7F" w14:textId="1055BA76" w:rsidR="003F3759" w:rsidRPr="00B61248" w:rsidRDefault="003F3759">
      <w:pPr>
        <w:pStyle w:val="FootnoteText"/>
        <w:rPr>
          <w:szCs w:val="20"/>
          <w:lang w:val="en-US"/>
        </w:rPr>
      </w:pPr>
      <w:r w:rsidRPr="00B61248">
        <w:rPr>
          <w:rStyle w:val="FootnoteReference"/>
          <w:szCs w:val="20"/>
        </w:rPr>
        <w:footnoteRef/>
      </w:r>
      <w:r w:rsidRPr="00B61248">
        <w:rPr>
          <w:szCs w:val="20"/>
        </w:rPr>
        <w:t xml:space="preserve"> Stephen D. </w:t>
      </w:r>
      <w:r>
        <w:rPr>
          <w:szCs w:val="20"/>
          <w:lang w:val="en-US"/>
        </w:rPr>
        <w:t>Krasner,</w:t>
      </w:r>
      <w:r w:rsidRPr="00B61248">
        <w:rPr>
          <w:szCs w:val="20"/>
          <w:lang w:val="en-US"/>
        </w:rPr>
        <w:t xml:space="preserve"> </w:t>
      </w:r>
      <w:r w:rsidRPr="003F3759">
        <w:rPr>
          <w:i/>
          <w:szCs w:val="20"/>
          <w:lang w:val="en-US"/>
        </w:rPr>
        <w:t>Sovereignty: Organized Hypocrisy</w:t>
      </w:r>
      <w:r>
        <w:rPr>
          <w:szCs w:val="20"/>
          <w:lang w:val="en-US"/>
        </w:rPr>
        <w:t xml:space="preserve"> (</w:t>
      </w:r>
      <w:r w:rsidRPr="00B61248">
        <w:rPr>
          <w:szCs w:val="20"/>
          <w:lang w:val="en-US"/>
        </w:rPr>
        <w:t>Princeton: Princeton University Press</w:t>
      </w:r>
      <w:r>
        <w:rPr>
          <w:szCs w:val="20"/>
          <w:lang w:val="en-US"/>
        </w:rPr>
        <w:t>, 1999)</w:t>
      </w:r>
      <w:r w:rsidRPr="00B61248">
        <w:rPr>
          <w:szCs w:val="20"/>
          <w:lang w:val="en-US"/>
        </w:rPr>
        <w:t>.</w:t>
      </w:r>
    </w:p>
  </w:footnote>
  <w:footnote w:id="56">
    <w:p w14:paraId="675713BC" w14:textId="52D1F263" w:rsidR="003F3759" w:rsidRPr="00B61248" w:rsidRDefault="003F3759" w:rsidP="003370A5">
      <w:pPr>
        <w:rPr>
          <w:sz w:val="20"/>
          <w:szCs w:val="20"/>
        </w:rPr>
      </w:pPr>
      <w:r w:rsidRPr="00B61248">
        <w:rPr>
          <w:rStyle w:val="FootnoteReference"/>
          <w:sz w:val="20"/>
          <w:szCs w:val="20"/>
        </w:rPr>
        <w:footnoteRef/>
      </w:r>
      <w:r w:rsidRPr="00B61248">
        <w:rPr>
          <w:sz w:val="20"/>
          <w:szCs w:val="20"/>
        </w:rPr>
        <w:t xml:space="preserve"> Marshall </w:t>
      </w:r>
      <w:r>
        <w:rPr>
          <w:sz w:val="20"/>
          <w:szCs w:val="20"/>
          <w:lang w:val="en-US"/>
        </w:rPr>
        <w:t>Cohen,</w:t>
      </w:r>
      <w:r w:rsidRPr="00B61248">
        <w:rPr>
          <w:sz w:val="20"/>
          <w:szCs w:val="20"/>
          <w:lang w:val="en-US"/>
        </w:rPr>
        <w:t xml:space="preserve"> ‘Moral Skepticism and International Relations’, </w:t>
      </w:r>
      <w:r w:rsidRPr="003F3759">
        <w:rPr>
          <w:i/>
          <w:sz w:val="20"/>
          <w:szCs w:val="20"/>
          <w:lang w:val="en-US"/>
        </w:rPr>
        <w:t>Philosophy and Public Affairs</w:t>
      </w:r>
      <w:r>
        <w:rPr>
          <w:sz w:val="20"/>
          <w:szCs w:val="20"/>
          <w:lang w:val="en-US"/>
        </w:rPr>
        <w:t xml:space="preserve"> 13:</w:t>
      </w:r>
      <w:r w:rsidRPr="00B61248">
        <w:rPr>
          <w:sz w:val="20"/>
          <w:szCs w:val="20"/>
          <w:lang w:val="en-US"/>
        </w:rPr>
        <w:t>4</w:t>
      </w:r>
      <w:r>
        <w:rPr>
          <w:sz w:val="20"/>
          <w:szCs w:val="20"/>
          <w:lang w:val="en-US"/>
        </w:rPr>
        <w:t xml:space="preserve"> (1984), pp. 299-346; Paul Dixon,</w:t>
      </w:r>
      <w:r w:rsidRPr="00B61248">
        <w:rPr>
          <w:sz w:val="20"/>
          <w:szCs w:val="20"/>
          <w:lang w:val="en-US"/>
        </w:rPr>
        <w:t xml:space="preserve"> ‘“There is Nothing Politically Right that is Morally Wrong”? Beyond Realism and Idealism in the Northern Ireland Peace Proce</w:t>
      </w:r>
      <w:r>
        <w:rPr>
          <w:sz w:val="20"/>
          <w:szCs w:val="20"/>
          <w:lang w:val="en-US"/>
        </w:rPr>
        <w:t xml:space="preserve">ss’, </w:t>
      </w:r>
      <w:r w:rsidRPr="003F3759">
        <w:rPr>
          <w:i/>
          <w:sz w:val="20"/>
          <w:szCs w:val="20"/>
          <w:lang w:val="en-US"/>
        </w:rPr>
        <w:t>Irish Political Studies</w:t>
      </w:r>
      <w:r>
        <w:rPr>
          <w:sz w:val="20"/>
          <w:szCs w:val="20"/>
          <w:lang w:val="en-US"/>
        </w:rPr>
        <w:t xml:space="preserve"> 29:</w:t>
      </w:r>
      <w:r w:rsidRPr="00B61248">
        <w:rPr>
          <w:sz w:val="20"/>
          <w:szCs w:val="20"/>
          <w:lang w:val="en-US"/>
        </w:rPr>
        <w:t>2</w:t>
      </w:r>
      <w:r>
        <w:rPr>
          <w:sz w:val="20"/>
          <w:szCs w:val="20"/>
          <w:lang w:val="en-US"/>
        </w:rPr>
        <w:t xml:space="preserve"> (2004), pp.</w:t>
      </w:r>
      <w:r w:rsidRPr="00B61248">
        <w:rPr>
          <w:sz w:val="20"/>
          <w:szCs w:val="20"/>
          <w:lang w:val="en-US"/>
        </w:rPr>
        <w:t xml:space="preserve"> </w:t>
      </w:r>
      <w:r>
        <w:rPr>
          <w:sz w:val="20"/>
          <w:szCs w:val="20"/>
          <w:lang w:val="en-US"/>
        </w:rPr>
        <w:t xml:space="preserve">236-57; </w:t>
      </w:r>
      <w:proofErr w:type="spellStart"/>
      <w:r>
        <w:rPr>
          <w:sz w:val="20"/>
          <w:szCs w:val="20"/>
          <w:lang w:val="en-US"/>
        </w:rPr>
        <w:t>Jannika</w:t>
      </w:r>
      <w:proofErr w:type="spellEnd"/>
      <w:r>
        <w:rPr>
          <w:sz w:val="20"/>
          <w:szCs w:val="20"/>
          <w:lang w:val="en-US"/>
        </w:rPr>
        <w:t xml:space="preserve"> </w:t>
      </w:r>
      <w:proofErr w:type="spellStart"/>
      <w:r>
        <w:rPr>
          <w:sz w:val="20"/>
          <w:szCs w:val="20"/>
          <w:lang w:val="en-US"/>
        </w:rPr>
        <w:t>Brostrom</w:t>
      </w:r>
      <w:proofErr w:type="spellEnd"/>
      <w:r>
        <w:rPr>
          <w:sz w:val="20"/>
          <w:szCs w:val="20"/>
          <w:lang w:val="en-US"/>
        </w:rPr>
        <w:t>,</w:t>
      </w:r>
      <w:r w:rsidR="00583B42">
        <w:rPr>
          <w:sz w:val="20"/>
          <w:szCs w:val="20"/>
          <w:lang w:val="en-US"/>
        </w:rPr>
        <w:t xml:space="preserve"> ‘Morality and the National Interest: Towards a “Moral Realist” Research A</w:t>
      </w:r>
      <w:r w:rsidRPr="00B61248">
        <w:rPr>
          <w:sz w:val="20"/>
          <w:szCs w:val="20"/>
          <w:lang w:val="en-US"/>
        </w:rPr>
        <w:t xml:space="preserve">genda’, </w:t>
      </w:r>
      <w:r w:rsidRPr="003F3759">
        <w:rPr>
          <w:i/>
          <w:sz w:val="20"/>
          <w:szCs w:val="20"/>
          <w:lang w:val="en-US"/>
        </w:rPr>
        <w:t>Cambridge Review of International Affairs</w:t>
      </w:r>
      <w:r>
        <w:rPr>
          <w:sz w:val="20"/>
          <w:szCs w:val="20"/>
          <w:lang w:val="en-US"/>
        </w:rPr>
        <w:t xml:space="preserve"> (2015), available at:</w:t>
      </w:r>
      <w:r w:rsidRPr="00B61248">
        <w:t xml:space="preserve"> </w:t>
      </w:r>
      <w:r w:rsidRPr="00B61248">
        <w:rPr>
          <w:sz w:val="20"/>
          <w:szCs w:val="20"/>
          <w:lang w:val="en-US"/>
        </w:rPr>
        <w:t>www.tandfonline.com/doi/full/10.1080/09557571.2015.1015488</w:t>
      </w:r>
    </w:p>
  </w:footnote>
  <w:footnote w:id="57">
    <w:p w14:paraId="4BA2808B" w14:textId="1B3BFB74" w:rsidR="003F3759" w:rsidRPr="00B61248" w:rsidRDefault="003F3759">
      <w:pPr>
        <w:pStyle w:val="FootnoteText"/>
        <w:rPr>
          <w:szCs w:val="20"/>
          <w:lang w:val="en-US"/>
        </w:rPr>
      </w:pPr>
      <w:r w:rsidRPr="00B61248">
        <w:rPr>
          <w:rStyle w:val="FootnoteReference"/>
          <w:szCs w:val="20"/>
        </w:rPr>
        <w:footnoteRef/>
      </w:r>
      <w:r w:rsidRPr="00B61248">
        <w:rPr>
          <w:szCs w:val="20"/>
        </w:rPr>
        <w:t xml:space="preserve"> </w:t>
      </w:r>
      <w:r w:rsidRPr="00B61248">
        <w:rPr>
          <w:szCs w:val="20"/>
          <w:lang w:val="en-US"/>
        </w:rPr>
        <w:t xml:space="preserve">In discussing this normative situation, this is not to suggest that it will always remain so. Norms come and go, as to their relationships with other norms; nor are they essentialist in my interpretation. The identified dilemma, therefore, is limited to its history and present use. </w:t>
      </w:r>
      <w:r>
        <w:rPr>
          <w:szCs w:val="20"/>
          <w:lang w:val="en-US"/>
        </w:rPr>
        <w:t xml:space="preserve">It may be that one, or both, taboos will disappear and actors will be either free or subject to other/new considerations in terms of their construction of rhetorical strategy. </w:t>
      </w:r>
      <w:r w:rsidRPr="00B61248">
        <w:rPr>
          <w:szCs w:val="20"/>
          <w:lang w:val="en-US"/>
        </w:rPr>
        <w:t>Yet the conclusions surrounding how actors deal with normative dilemma in respect to rhetorical strategy still hold.</w:t>
      </w:r>
      <w:r>
        <w:rPr>
          <w:szCs w:val="20"/>
          <w:lang w:val="en-US"/>
        </w:rPr>
        <w:t xml:space="preserve"> And unless either taboo is effectively removed from current understanding (for whatever reason), both will continue to exert a major influence over how an actor communicates a decision of intervention and will shape the nature of the rhetorical strategy employed in doing so.</w:t>
      </w:r>
    </w:p>
  </w:footnote>
  <w:footnote w:id="58">
    <w:p w14:paraId="5A253E08" w14:textId="76673796" w:rsidR="003F3759" w:rsidRPr="00B61248" w:rsidRDefault="003F3759" w:rsidP="00ED065C">
      <w:pPr>
        <w:rPr>
          <w:sz w:val="20"/>
          <w:szCs w:val="20"/>
        </w:rPr>
      </w:pPr>
      <w:r w:rsidRPr="00B61248">
        <w:rPr>
          <w:rStyle w:val="FootnoteReference"/>
          <w:sz w:val="20"/>
          <w:szCs w:val="20"/>
        </w:rPr>
        <w:footnoteRef/>
      </w:r>
      <w:r w:rsidRPr="00B61248">
        <w:rPr>
          <w:sz w:val="20"/>
          <w:szCs w:val="20"/>
        </w:rPr>
        <w:t xml:space="preserve"> Roxanne </w:t>
      </w:r>
      <w:r>
        <w:rPr>
          <w:rFonts w:cs="Helvetica"/>
          <w:sz w:val="20"/>
          <w:szCs w:val="20"/>
          <w:lang w:val="en-US" w:bidi="en-US"/>
        </w:rPr>
        <w:t>Doty,</w:t>
      </w:r>
      <w:r w:rsidRPr="00B61248">
        <w:rPr>
          <w:rFonts w:cs="Helvetica"/>
          <w:sz w:val="20"/>
          <w:szCs w:val="20"/>
          <w:lang w:val="en-US" w:bidi="en-US"/>
        </w:rPr>
        <w:t xml:space="preserve"> </w:t>
      </w:r>
      <w:r w:rsidRPr="003F3759">
        <w:rPr>
          <w:i/>
          <w:sz w:val="20"/>
          <w:szCs w:val="20"/>
        </w:rPr>
        <w:t>Imperial Encounters: The Politics of Representation in North-South Relations</w:t>
      </w:r>
      <w:r w:rsidRPr="00B61248">
        <w:rPr>
          <w:sz w:val="20"/>
          <w:szCs w:val="20"/>
        </w:rPr>
        <w:t xml:space="preserve"> </w:t>
      </w:r>
      <w:r>
        <w:rPr>
          <w:sz w:val="20"/>
          <w:szCs w:val="20"/>
        </w:rPr>
        <w:t>(</w:t>
      </w:r>
      <w:r w:rsidRPr="00B61248">
        <w:rPr>
          <w:sz w:val="20"/>
          <w:szCs w:val="20"/>
        </w:rPr>
        <w:t>Minneapolis: University of Minnesota Press</w:t>
      </w:r>
      <w:r>
        <w:rPr>
          <w:sz w:val="20"/>
          <w:szCs w:val="20"/>
        </w:rPr>
        <w:t>, 1996)</w:t>
      </w:r>
      <w:r w:rsidRPr="00B61248">
        <w:rPr>
          <w:sz w:val="20"/>
          <w:szCs w:val="20"/>
        </w:rPr>
        <w:t xml:space="preserve">; Jennifer </w:t>
      </w:r>
      <w:r>
        <w:rPr>
          <w:rFonts w:cs="Helvetica"/>
          <w:sz w:val="20"/>
          <w:szCs w:val="20"/>
          <w:lang w:val="en-US" w:bidi="en-US"/>
        </w:rPr>
        <w:t>Milliken,</w:t>
      </w:r>
      <w:r w:rsidRPr="00B61248">
        <w:rPr>
          <w:sz w:val="20"/>
          <w:szCs w:val="20"/>
        </w:rPr>
        <w:t xml:space="preserve"> ‘The Study of Discourse in International Relations: A Critique of Research and Methods’, </w:t>
      </w:r>
      <w:r w:rsidRPr="003F3759">
        <w:rPr>
          <w:i/>
          <w:sz w:val="20"/>
          <w:szCs w:val="20"/>
        </w:rPr>
        <w:t xml:space="preserve">European Journal of International Relations </w:t>
      </w:r>
      <w:r>
        <w:rPr>
          <w:sz w:val="20"/>
          <w:szCs w:val="20"/>
        </w:rPr>
        <w:t>5:</w:t>
      </w:r>
      <w:r w:rsidRPr="00B61248">
        <w:rPr>
          <w:sz w:val="20"/>
          <w:szCs w:val="20"/>
        </w:rPr>
        <w:t>2</w:t>
      </w:r>
      <w:r>
        <w:rPr>
          <w:sz w:val="20"/>
          <w:szCs w:val="20"/>
        </w:rPr>
        <w:t xml:space="preserve"> (1999), pp.</w:t>
      </w:r>
      <w:r w:rsidRPr="00B61248">
        <w:rPr>
          <w:sz w:val="20"/>
          <w:szCs w:val="20"/>
        </w:rPr>
        <w:t xml:space="preserve"> 225-54; </w:t>
      </w:r>
      <w:proofErr w:type="spellStart"/>
      <w:r w:rsidRPr="00B61248">
        <w:rPr>
          <w:sz w:val="20"/>
          <w:szCs w:val="20"/>
        </w:rPr>
        <w:t>Lene</w:t>
      </w:r>
      <w:proofErr w:type="spellEnd"/>
      <w:r w:rsidRPr="00B61248">
        <w:rPr>
          <w:sz w:val="20"/>
          <w:szCs w:val="20"/>
        </w:rPr>
        <w:t xml:space="preserve"> </w:t>
      </w:r>
      <w:r>
        <w:rPr>
          <w:sz w:val="20"/>
          <w:szCs w:val="20"/>
          <w:lang w:val="en-US" w:bidi="en-US"/>
        </w:rPr>
        <w:t>Hansen,</w:t>
      </w:r>
      <w:r w:rsidRPr="00B61248">
        <w:rPr>
          <w:sz w:val="20"/>
          <w:szCs w:val="20"/>
          <w:lang w:val="en-US" w:bidi="en-US"/>
        </w:rPr>
        <w:t xml:space="preserve"> </w:t>
      </w:r>
      <w:r w:rsidRPr="003F3759">
        <w:rPr>
          <w:i/>
          <w:sz w:val="20"/>
          <w:szCs w:val="20"/>
        </w:rPr>
        <w:t>Security as Practice: Discourse Analysis and the Bosnian War</w:t>
      </w:r>
      <w:r w:rsidRPr="003F3759">
        <w:rPr>
          <w:i/>
          <w:sz w:val="20"/>
          <w:szCs w:val="20"/>
          <w:lang w:val="en-US" w:bidi="en-US"/>
        </w:rPr>
        <w:t xml:space="preserve"> </w:t>
      </w:r>
      <w:r>
        <w:rPr>
          <w:sz w:val="20"/>
          <w:szCs w:val="20"/>
          <w:lang w:val="en-US" w:bidi="en-US"/>
        </w:rPr>
        <w:t>(</w:t>
      </w:r>
      <w:r w:rsidRPr="00B61248">
        <w:rPr>
          <w:sz w:val="20"/>
          <w:szCs w:val="20"/>
          <w:lang w:val="en-US" w:bidi="en-US"/>
        </w:rPr>
        <w:t>London: Routledge</w:t>
      </w:r>
      <w:r>
        <w:rPr>
          <w:sz w:val="20"/>
          <w:szCs w:val="20"/>
          <w:lang w:val="en-US" w:bidi="en-US"/>
        </w:rPr>
        <w:t>, 2006)</w:t>
      </w:r>
      <w:r w:rsidRPr="00B61248">
        <w:rPr>
          <w:sz w:val="20"/>
          <w:szCs w:val="20"/>
          <w:lang w:val="en-US" w:bidi="en-US"/>
        </w:rPr>
        <w:t xml:space="preserve">; Charlotte </w:t>
      </w:r>
      <w:r>
        <w:rPr>
          <w:sz w:val="20"/>
          <w:szCs w:val="20"/>
        </w:rPr>
        <w:t>Epstein,</w:t>
      </w:r>
      <w:r w:rsidRPr="00B61248">
        <w:rPr>
          <w:sz w:val="20"/>
          <w:szCs w:val="20"/>
        </w:rPr>
        <w:t xml:space="preserve"> </w:t>
      </w:r>
      <w:r w:rsidRPr="003F3759">
        <w:rPr>
          <w:i/>
          <w:sz w:val="20"/>
          <w:szCs w:val="20"/>
        </w:rPr>
        <w:t xml:space="preserve">The Power of Words in International Relations: Birth of an Anti-Whaling Discourse </w:t>
      </w:r>
      <w:r>
        <w:rPr>
          <w:sz w:val="20"/>
          <w:szCs w:val="20"/>
        </w:rPr>
        <w:t>(</w:t>
      </w:r>
      <w:r w:rsidRPr="00B61248">
        <w:rPr>
          <w:sz w:val="20"/>
          <w:szCs w:val="20"/>
        </w:rPr>
        <w:t>Cambridge MA: MIT Press</w:t>
      </w:r>
      <w:r>
        <w:rPr>
          <w:sz w:val="20"/>
          <w:szCs w:val="20"/>
        </w:rPr>
        <w:t>, 2008); Charlotte Epstein,</w:t>
      </w:r>
      <w:r w:rsidRPr="00B61248">
        <w:rPr>
          <w:sz w:val="20"/>
          <w:szCs w:val="20"/>
        </w:rPr>
        <w:t xml:space="preserve"> ‘Theorizing Agency in Hobbes’ Wake: The Rational Actor, the Self, or the Speaking Subject?’</w:t>
      </w:r>
      <w:r>
        <w:rPr>
          <w:sz w:val="20"/>
          <w:szCs w:val="20"/>
        </w:rPr>
        <w:t xml:space="preserve">, </w:t>
      </w:r>
      <w:r w:rsidRPr="003F3759">
        <w:rPr>
          <w:i/>
          <w:sz w:val="20"/>
          <w:szCs w:val="20"/>
        </w:rPr>
        <w:t>International Organization</w:t>
      </w:r>
      <w:r>
        <w:rPr>
          <w:sz w:val="20"/>
          <w:szCs w:val="20"/>
        </w:rPr>
        <w:t xml:space="preserve"> 67:</w:t>
      </w:r>
      <w:r w:rsidRPr="00B61248">
        <w:rPr>
          <w:sz w:val="20"/>
          <w:szCs w:val="20"/>
        </w:rPr>
        <w:t>2</w:t>
      </w:r>
      <w:r>
        <w:rPr>
          <w:sz w:val="20"/>
          <w:szCs w:val="20"/>
        </w:rPr>
        <w:t xml:space="preserve"> (2013), pp. 287-316; Ron R. Krebs,</w:t>
      </w:r>
      <w:r w:rsidRPr="00B61248">
        <w:rPr>
          <w:sz w:val="20"/>
          <w:szCs w:val="20"/>
        </w:rPr>
        <w:t xml:space="preserve"> </w:t>
      </w:r>
      <w:r w:rsidRPr="003F3759">
        <w:rPr>
          <w:i/>
          <w:sz w:val="20"/>
          <w:szCs w:val="20"/>
        </w:rPr>
        <w:t xml:space="preserve">Narrative and the Making of US National Security </w:t>
      </w:r>
      <w:r>
        <w:rPr>
          <w:sz w:val="20"/>
          <w:szCs w:val="20"/>
        </w:rPr>
        <w:t>(</w:t>
      </w:r>
      <w:r w:rsidRPr="00B61248">
        <w:rPr>
          <w:sz w:val="20"/>
          <w:szCs w:val="20"/>
        </w:rPr>
        <w:t>Cambridge: Cambridge University Press</w:t>
      </w:r>
      <w:r>
        <w:rPr>
          <w:sz w:val="20"/>
          <w:szCs w:val="20"/>
        </w:rPr>
        <w:t>, 2015)</w:t>
      </w:r>
      <w:r w:rsidRPr="00B61248">
        <w:rPr>
          <w:sz w:val="20"/>
          <w:szCs w:val="20"/>
        </w:rPr>
        <w:t>.</w:t>
      </w:r>
    </w:p>
  </w:footnote>
  <w:footnote w:id="59">
    <w:p w14:paraId="61C99B6F" w14:textId="77777777" w:rsidR="003F3759" w:rsidRPr="00B61248" w:rsidRDefault="003F3759" w:rsidP="00ED065C">
      <w:pPr>
        <w:pStyle w:val="FootnoteText"/>
        <w:rPr>
          <w:szCs w:val="20"/>
          <w:lang w:val="en-US"/>
        </w:rPr>
      </w:pPr>
      <w:r w:rsidRPr="00B61248">
        <w:rPr>
          <w:rStyle w:val="FootnoteReference"/>
          <w:szCs w:val="20"/>
        </w:rPr>
        <w:footnoteRef/>
      </w:r>
      <w:r w:rsidRPr="00B61248">
        <w:rPr>
          <w:szCs w:val="20"/>
        </w:rPr>
        <w:t xml:space="preserve"> Ron R. </w:t>
      </w:r>
      <w:r w:rsidRPr="00B61248">
        <w:rPr>
          <w:szCs w:val="20"/>
          <w:lang w:val="en-US"/>
        </w:rPr>
        <w:t>Krebs and</w:t>
      </w:r>
      <w:r>
        <w:rPr>
          <w:szCs w:val="20"/>
          <w:lang w:val="en-US"/>
        </w:rPr>
        <w:t xml:space="preserve"> Patrick Thaddeus Jackson,</w:t>
      </w:r>
      <w:r w:rsidRPr="00B61248">
        <w:rPr>
          <w:szCs w:val="20"/>
          <w:lang w:val="en-US"/>
        </w:rPr>
        <w:t xml:space="preserve"> </w:t>
      </w:r>
      <w:r>
        <w:rPr>
          <w:szCs w:val="20"/>
          <w:lang w:val="en-US"/>
        </w:rPr>
        <w:t>‘</w:t>
      </w:r>
      <w:r w:rsidRPr="00B61248">
        <w:rPr>
          <w:szCs w:val="20"/>
          <w:lang w:val="en-US"/>
        </w:rPr>
        <w:t xml:space="preserve">Twisting Tongues and Twisting Arms: The Power of Political Rhetoric. </w:t>
      </w:r>
      <w:r w:rsidRPr="003F3759">
        <w:rPr>
          <w:i/>
          <w:szCs w:val="20"/>
          <w:lang w:val="en-US"/>
        </w:rPr>
        <w:t>European Journal of International Relations</w:t>
      </w:r>
      <w:r>
        <w:rPr>
          <w:szCs w:val="20"/>
          <w:lang w:val="en-US"/>
        </w:rPr>
        <w:t xml:space="preserve"> 13:</w:t>
      </w:r>
      <w:r w:rsidRPr="00B61248">
        <w:rPr>
          <w:szCs w:val="20"/>
          <w:lang w:val="en-US"/>
        </w:rPr>
        <w:t>1</w:t>
      </w:r>
      <w:r>
        <w:rPr>
          <w:szCs w:val="20"/>
          <w:lang w:val="en-US"/>
        </w:rPr>
        <w:t xml:space="preserve"> (2007), pp.</w:t>
      </w:r>
      <w:r w:rsidRPr="00B61248">
        <w:rPr>
          <w:szCs w:val="20"/>
          <w:lang w:val="en-US"/>
        </w:rPr>
        <w:t xml:space="preserve"> 35-66.</w:t>
      </w:r>
    </w:p>
  </w:footnote>
  <w:footnote w:id="60">
    <w:p w14:paraId="7A17B182" w14:textId="798DA2C3" w:rsidR="003F3759" w:rsidRPr="00ED065C" w:rsidRDefault="003F3759">
      <w:pPr>
        <w:pStyle w:val="FootnoteText"/>
        <w:rPr>
          <w:lang w:val="en-US"/>
        </w:rPr>
      </w:pPr>
      <w:r>
        <w:rPr>
          <w:rStyle w:val="FootnoteReference"/>
        </w:rPr>
        <w:footnoteRef/>
      </w:r>
      <w:r>
        <w:t xml:space="preserve"> E.g. </w:t>
      </w:r>
      <w:r w:rsidRPr="000614B1">
        <w:t xml:space="preserve">Martha </w:t>
      </w:r>
      <w:proofErr w:type="spellStart"/>
      <w:r w:rsidRPr="000614B1">
        <w:t>Finnemore</w:t>
      </w:r>
      <w:proofErr w:type="spellEnd"/>
      <w:r w:rsidRPr="000614B1">
        <w:t xml:space="preserve"> and Kathryn </w:t>
      </w:r>
      <w:proofErr w:type="spellStart"/>
      <w:r w:rsidRPr="000614B1">
        <w:t>Sikkink</w:t>
      </w:r>
      <w:proofErr w:type="spellEnd"/>
      <w:r w:rsidRPr="000614B1">
        <w:t xml:space="preserve">, ‘International Norm Dynamics and Political Change’, </w:t>
      </w:r>
      <w:r w:rsidRPr="003F3759">
        <w:rPr>
          <w:i/>
        </w:rPr>
        <w:t>International Organization</w:t>
      </w:r>
      <w:r w:rsidRPr="000614B1">
        <w:t xml:space="preserve"> 52:4 (1998), pp. 887-917.</w:t>
      </w:r>
    </w:p>
  </w:footnote>
  <w:footnote w:id="61">
    <w:p w14:paraId="70AF57E8" w14:textId="5A857DA7" w:rsidR="003F3759" w:rsidRPr="00B61248" w:rsidRDefault="003F3759">
      <w:pPr>
        <w:pStyle w:val="FootnoteText"/>
        <w:rPr>
          <w:szCs w:val="20"/>
          <w:lang w:val="en-US"/>
        </w:rPr>
      </w:pPr>
      <w:r w:rsidRPr="00B61248">
        <w:rPr>
          <w:rStyle w:val="FootnoteReference"/>
          <w:szCs w:val="20"/>
        </w:rPr>
        <w:footnoteRef/>
      </w:r>
      <w:r w:rsidRPr="00B61248">
        <w:rPr>
          <w:szCs w:val="20"/>
        </w:rPr>
        <w:t xml:space="preserve"> Beatrice De </w:t>
      </w:r>
      <w:proofErr w:type="spellStart"/>
      <w:r w:rsidRPr="00B61248">
        <w:rPr>
          <w:szCs w:val="20"/>
        </w:rPr>
        <w:t>Graaf</w:t>
      </w:r>
      <w:proofErr w:type="spellEnd"/>
      <w:r w:rsidRPr="00B61248">
        <w:rPr>
          <w:szCs w:val="20"/>
        </w:rPr>
        <w:t xml:space="preserve">, George </w:t>
      </w:r>
      <w:proofErr w:type="spellStart"/>
      <w:r w:rsidRPr="00B61248">
        <w:rPr>
          <w:szCs w:val="20"/>
        </w:rPr>
        <w:t>Dim</w:t>
      </w:r>
      <w:r>
        <w:rPr>
          <w:szCs w:val="20"/>
        </w:rPr>
        <w:t>itriu</w:t>
      </w:r>
      <w:proofErr w:type="spellEnd"/>
      <w:r>
        <w:rPr>
          <w:szCs w:val="20"/>
        </w:rPr>
        <w:t xml:space="preserve">, and Jens </w:t>
      </w:r>
      <w:proofErr w:type="spellStart"/>
      <w:r>
        <w:rPr>
          <w:szCs w:val="20"/>
        </w:rPr>
        <w:t>Ringsmose</w:t>
      </w:r>
      <w:proofErr w:type="spellEnd"/>
      <w:r>
        <w:rPr>
          <w:szCs w:val="20"/>
        </w:rPr>
        <w:t>,</w:t>
      </w:r>
      <w:r w:rsidRPr="00B61248">
        <w:rPr>
          <w:szCs w:val="20"/>
        </w:rPr>
        <w:t xml:space="preserve"> ‘Shaping Societies for War: Strategic Narratives and Public Opinion’, in Beatrice De </w:t>
      </w:r>
      <w:proofErr w:type="spellStart"/>
      <w:r w:rsidRPr="00B61248">
        <w:rPr>
          <w:szCs w:val="20"/>
        </w:rPr>
        <w:t>Graaf</w:t>
      </w:r>
      <w:proofErr w:type="spellEnd"/>
      <w:r w:rsidRPr="00B61248">
        <w:rPr>
          <w:szCs w:val="20"/>
        </w:rPr>
        <w:t xml:space="preserve">, George </w:t>
      </w:r>
      <w:proofErr w:type="spellStart"/>
      <w:r w:rsidRPr="00B61248">
        <w:rPr>
          <w:szCs w:val="20"/>
        </w:rPr>
        <w:t>Dimitriu</w:t>
      </w:r>
      <w:proofErr w:type="spellEnd"/>
      <w:r w:rsidRPr="00B61248">
        <w:rPr>
          <w:szCs w:val="20"/>
        </w:rPr>
        <w:t xml:space="preserve"> and Jens </w:t>
      </w:r>
      <w:proofErr w:type="spellStart"/>
      <w:r w:rsidRPr="00B61248">
        <w:rPr>
          <w:szCs w:val="20"/>
        </w:rPr>
        <w:t>Ringsmose</w:t>
      </w:r>
      <w:proofErr w:type="spellEnd"/>
      <w:r w:rsidRPr="00B61248">
        <w:rPr>
          <w:szCs w:val="20"/>
        </w:rPr>
        <w:t xml:space="preserve"> (</w:t>
      </w:r>
      <w:proofErr w:type="spellStart"/>
      <w:r w:rsidRPr="00B61248">
        <w:rPr>
          <w:szCs w:val="20"/>
        </w:rPr>
        <w:t>eds</w:t>
      </w:r>
      <w:proofErr w:type="spellEnd"/>
      <w:r w:rsidRPr="00B61248">
        <w:rPr>
          <w:szCs w:val="20"/>
        </w:rPr>
        <w:t>)</w:t>
      </w:r>
      <w:r>
        <w:rPr>
          <w:szCs w:val="20"/>
        </w:rPr>
        <w:t>,</w:t>
      </w:r>
      <w:r w:rsidRPr="00B61248">
        <w:rPr>
          <w:szCs w:val="20"/>
        </w:rPr>
        <w:t xml:space="preserve"> </w:t>
      </w:r>
      <w:r w:rsidRPr="003F3759">
        <w:rPr>
          <w:i/>
          <w:szCs w:val="20"/>
        </w:rPr>
        <w:t>Strategic Narratives, Public Opinion, and War</w:t>
      </w:r>
      <w:r w:rsidRPr="00B61248">
        <w:rPr>
          <w:szCs w:val="20"/>
        </w:rPr>
        <w:t xml:space="preserve"> (London: Routledge</w:t>
      </w:r>
      <w:r>
        <w:rPr>
          <w:szCs w:val="20"/>
        </w:rPr>
        <w:t>, 2015</w:t>
      </w:r>
      <w:r w:rsidRPr="00B61248">
        <w:rPr>
          <w:szCs w:val="20"/>
        </w:rPr>
        <w:t>): 3-14; Krebs (2015).</w:t>
      </w:r>
    </w:p>
  </w:footnote>
  <w:footnote w:id="62">
    <w:p w14:paraId="6996B702" w14:textId="533CEE92" w:rsidR="003F3759" w:rsidRPr="00B61248" w:rsidRDefault="003F3759">
      <w:pPr>
        <w:pStyle w:val="FootnoteText"/>
        <w:rPr>
          <w:szCs w:val="20"/>
          <w:lang w:val="en-US"/>
        </w:rPr>
      </w:pPr>
      <w:r w:rsidRPr="00B61248">
        <w:rPr>
          <w:rStyle w:val="FootnoteReference"/>
          <w:szCs w:val="20"/>
        </w:rPr>
        <w:footnoteRef/>
      </w:r>
      <w:r w:rsidRPr="00B61248">
        <w:rPr>
          <w:szCs w:val="20"/>
        </w:rPr>
        <w:t xml:space="preserve"> Alister Miskimmon, Ben O’Lou</w:t>
      </w:r>
      <w:r>
        <w:rPr>
          <w:szCs w:val="20"/>
        </w:rPr>
        <w:t xml:space="preserve">ghlin, and Laura Roselle, </w:t>
      </w:r>
      <w:r w:rsidRPr="003F3759">
        <w:rPr>
          <w:i/>
          <w:szCs w:val="20"/>
        </w:rPr>
        <w:t xml:space="preserve">Strategic Narratives: Communication Power and the New World Order </w:t>
      </w:r>
      <w:r>
        <w:rPr>
          <w:szCs w:val="20"/>
        </w:rPr>
        <w:t>(</w:t>
      </w:r>
      <w:r w:rsidRPr="00B61248">
        <w:rPr>
          <w:szCs w:val="20"/>
        </w:rPr>
        <w:t>New York: Routledge</w:t>
      </w:r>
      <w:r>
        <w:rPr>
          <w:szCs w:val="20"/>
        </w:rPr>
        <w:t>, 2013), p.</w:t>
      </w:r>
      <w:r w:rsidRPr="00B61248">
        <w:rPr>
          <w:szCs w:val="20"/>
        </w:rPr>
        <w:t xml:space="preserve"> 2.</w:t>
      </w:r>
    </w:p>
  </w:footnote>
  <w:footnote w:id="63">
    <w:p w14:paraId="03868689" w14:textId="76DC5F86" w:rsidR="003F3759" w:rsidRPr="004211E5" w:rsidRDefault="003F3759" w:rsidP="00A74DB7">
      <w:pPr>
        <w:rPr>
          <w:sz w:val="20"/>
          <w:szCs w:val="20"/>
          <w:lang w:val="en-US"/>
        </w:rPr>
      </w:pPr>
      <w:r w:rsidRPr="004211E5">
        <w:rPr>
          <w:rStyle w:val="FootnoteReference"/>
          <w:sz w:val="20"/>
          <w:szCs w:val="20"/>
        </w:rPr>
        <w:footnoteRef/>
      </w:r>
      <w:r w:rsidRPr="004211E5">
        <w:rPr>
          <w:sz w:val="20"/>
          <w:szCs w:val="20"/>
        </w:rPr>
        <w:t xml:space="preserve"> Lawrence Freedman, ‘The Transformation of Strategic Affairs’, </w:t>
      </w:r>
      <w:r w:rsidRPr="003F3759">
        <w:rPr>
          <w:i/>
          <w:sz w:val="20"/>
          <w:szCs w:val="20"/>
        </w:rPr>
        <w:t>The Adelphi Papers</w:t>
      </w:r>
      <w:r w:rsidRPr="004211E5">
        <w:rPr>
          <w:sz w:val="20"/>
          <w:szCs w:val="20"/>
        </w:rPr>
        <w:t xml:space="preserve"> 45:379 (2006), p. </w:t>
      </w:r>
      <w:r>
        <w:rPr>
          <w:sz w:val="20"/>
          <w:szCs w:val="20"/>
          <w:lang w:val="en-US"/>
        </w:rPr>
        <w:t xml:space="preserve">22. </w:t>
      </w:r>
      <w:r w:rsidRPr="00B61248">
        <w:rPr>
          <w:sz w:val="20"/>
          <w:szCs w:val="20"/>
          <w:lang w:val="en-US"/>
        </w:rPr>
        <w:t xml:space="preserve">See also: Maarten </w:t>
      </w:r>
      <w:proofErr w:type="spellStart"/>
      <w:r>
        <w:rPr>
          <w:sz w:val="20"/>
          <w:szCs w:val="20"/>
        </w:rPr>
        <w:t>Hajer</w:t>
      </w:r>
      <w:proofErr w:type="spellEnd"/>
      <w:r>
        <w:rPr>
          <w:sz w:val="20"/>
          <w:szCs w:val="20"/>
        </w:rPr>
        <w:t>,</w:t>
      </w:r>
      <w:r w:rsidRPr="00B61248">
        <w:rPr>
          <w:sz w:val="20"/>
          <w:szCs w:val="20"/>
        </w:rPr>
        <w:t xml:space="preserve"> </w:t>
      </w:r>
      <w:r w:rsidRPr="003F3759">
        <w:rPr>
          <w:i/>
          <w:sz w:val="20"/>
          <w:szCs w:val="20"/>
        </w:rPr>
        <w:t xml:space="preserve">The Politics of Environmental Discourse: Ecological Modernization and the Policy Process </w:t>
      </w:r>
      <w:r w:rsidRPr="00B61248">
        <w:rPr>
          <w:sz w:val="20"/>
          <w:szCs w:val="20"/>
        </w:rPr>
        <w:t>(Oxford: Clarendon</w:t>
      </w:r>
      <w:r>
        <w:rPr>
          <w:sz w:val="20"/>
          <w:szCs w:val="20"/>
        </w:rPr>
        <w:t>, 1997</w:t>
      </w:r>
      <w:r w:rsidRPr="00B61248">
        <w:rPr>
          <w:sz w:val="20"/>
          <w:szCs w:val="20"/>
        </w:rPr>
        <w:t>);</w:t>
      </w:r>
      <w:r>
        <w:rPr>
          <w:sz w:val="20"/>
          <w:szCs w:val="20"/>
          <w:lang w:val="en-US" w:bidi="en-US"/>
        </w:rPr>
        <w:t xml:space="preserve"> </w:t>
      </w:r>
      <w:proofErr w:type="spellStart"/>
      <w:r>
        <w:rPr>
          <w:sz w:val="20"/>
          <w:szCs w:val="20"/>
          <w:lang w:val="en-US" w:bidi="en-US"/>
        </w:rPr>
        <w:t>Gearoid</w:t>
      </w:r>
      <w:proofErr w:type="spellEnd"/>
      <w:r>
        <w:rPr>
          <w:sz w:val="20"/>
          <w:szCs w:val="20"/>
          <w:lang w:val="en-US" w:bidi="en-US"/>
        </w:rPr>
        <w:t xml:space="preserve"> </w:t>
      </w:r>
      <w:proofErr w:type="spellStart"/>
      <w:r>
        <w:rPr>
          <w:sz w:val="20"/>
          <w:szCs w:val="20"/>
          <w:lang w:val="en-US" w:bidi="en-US"/>
        </w:rPr>
        <w:t>O’Tuathail</w:t>
      </w:r>
      <w:proofErr w:type="spellEnd"/>
      <w:r>
        <w:rPr>
          <w:sz w:val="20"/>
          <w:szCs w:val="20"/>
          <w:lang w:val="en-US" w:bidi="en-US"/>
        </w:rPr>
        <w:t>,</w:t>
      </w:r>
      <w:r w:rsidRPr="00B61248">
        <w:rPr>
          <w:sz w:val="20"/>
          <w:szCs w:val="20"/>
          <w:lang w:val="en-US" w:bidi="en-US"/>
        </w:rPr>
        <w:t xml:space="preserve"> ‘Theorizing Practical Geopolitical Reasoning: The Case of the United States: Response to the War in </w:t>
      </w:r>
      <w:r>
        <w:rPr>
          <w:sz w:val="20"/>
          <w:szCs w:val="20"/>
          <w:lang w:val="en-US" w:bidi="en-US"/>
        </w:rPr>
        <w:t xml:space="preserve">Bosnia’, </w:t>
      </w:r>
      <w:r w:rsidRPr="003F3759">
        <w:rPr>
          <w:i/>
          <w:sz w:val="20"/>
          <w:szCs w:val="20"/>
          <w:lang w:val="en-US" w:bidi="en-US"/>
        </w:rPr>
        <w:t>Political Geography 21</w:t>
      </w:r>
      <w:r>
        <w:rPr>
          <w:sz w:val="20"/>
          <w:szCs w:val="20"/>
          <w:lang w:val="en-US" w:bidi="en-US"/>
        </w:rPr>
        <w:t>:</w:t>
      </w:r>
      <w:r w:rsidRPr="00B61248">
        <w:rPr>
          <w:sz w:val="20"/>
          <w:szCs w:val="20"/>
          <w:lang w:val="en-US" w:bidi="en-US"/>
        </w:rPr>
        <w:t>5</w:t>
      </w:r>
      <w:r>
        <w:rPr>
          <w:sz w:val="20"/>
          <w:szCs w:val="20"/>
          <w:lang w:val="en-US" w:bidi="en-US"/>
        </w:rPr>
        <w:t xml:space="preserve"> (2002), pp.</w:t>
      </w:r>
      <w:r w:rsidRPr="00B61248">
        <w:rPr>
          <w:sz w:val="20"/>
          <w:szCs w:val="20"/>
          <w:lang w:val="en-US" w:bidi="en-US"/>
        </w:rPr>
        <w:t xml:space="preserve"> 601-28;</w:t>
      </w:r>
      <w:r>
        <w:rPr>
          <w:sz w:val="20"/>
          <w:szCs w:val="20"/>
        </w:rPr>
        <w:t xml:space="preserve"> George R. </w:t>
      </w:r>
      <w:proofErr w:type="spellStart"/>
      <w:r>
        <w:rPr>
          <w:sz w:val="20"/>
          <w:szCs w:val="20"/>
        </w:rPr>
        <w:t>Dimitriu</w:t>
      </w:r>
      <w:proofErr w:type="spellEnd"/>
      <w:r>
        <w:rPr>
          <w:sz w:val="20"/>
          <w:szCs w:val="20"/>
        </w:rPr>
        <w:t>,</w:t>
      </w:r>
      <w:r w:rsidRPr="00B61248">
        <w:rPr>
          <w:sz w:val="20"/>
          <w:szCs w:val="20"/>
        </w:rPr>
        <w:t xml:space="preserve"> ‘Winning the Story War: Strategic Communication and the Conflict in Afghanist</w:t>
      </w:r>
      <w:r>
        <w:rPr>
          <w:sz w:val="20"/>
          <w:szCs w:val="20"/>
        </w:rPr>
        <w:t xml:space="preserve">an’, </w:t>
      </w:r>
      <w:r w:rsidRPr="003F3759">
        <w:rPr>
          <w:i/>
          <w:sz w:val="20"/>
          <w:szCs w:val="20"/>
        </w:rPr>
        <w:t>Public Relations Review</w:t>
      </w:r>
      <w:r>
        <w:rPr>
          <w:sz w:val="20"/>
          <w:szCs w:val="20"/>
        </w:rPr>
        <w:t xml:space="preserve"> 38:</w:t>
      </w:r>
      <w:r w:rsidRPr="00B61248">
        <w:rPr>
          <w:sz w:val="20"/>
          <w:szCs w:val="20"/>
        </w:rPr>
        <w:t>2</w:t>
      </w:r>
      <w:r>
        <w:rPr>
          <w:sz w:val="20"/>
          <w:szCs w:val="20"/>
        </w:rPr>
        <w:t xml:space="preserve"> (2011), pp.</w:t>
      </w:r>
      <w:r w:rsidRPr="00B61248">
        <w:rPr>
          <w:sz w:val="20"/>
          <w:szCs w:val="20"/>
        </w:rPr>
        <w:t xml:space="preserve"> 195-207.</w:t>
      </w:r>
    </w:p>
  </w:footnote>
  <w:footnote w:id="64">
    <w:p w14:paraId="58247AE8" w14:textId="156C975A" w:rsidR="003F3759" w:rsidRPr="00B61248" w:rsidRDefault="003F3759">
      <w:pPr>
        <w:pStyle w:val="FootnoteText"/>
        <w:rPr>
          <w:szCs w:val="20"/>
          <w:lang w:val="en-US"/>
        </w:rPr>
      </w:pPr>
      <w:r w:rsidRPr="00B61248">
        <w:rPr>
          <w:rStyle w:val="FootnoteReference"/>
          <w:szCs w:val="20"/>
        </w:rPr>
        <w:footnoteRef/>
      </w:r>
      <w:r w:rsidRPr="00B61248">
        <w:rPr>
          <w:szCs w:val="20"/>
        </w:rPr>
        <w:t xml:space="preserve"> John </w:t>
      </w:r>
      <w:proofErr w:type="spellStart"/>
      <w:r w:rsidRPr="00B61248">
        <w:rPr>
          <w:szCs w:val="20"/>
        </w:rPr>
        <w:t>Ar</w:t>
      </w:r>
      <w:r>
        <w:rPr>
          <w:szCs w:val="20"/>
        </w:rPr>
        <w:t>quilla</w:t>
      </w:r>
      <w:proofErr w:type="spellEnd"/>
      <w:r>
        <w:rPr>
          <w:szCs w:val="20"/>
        </w:rPr>
        <w:t xml:space="preserve"> and David </w:t>
      </w:r>
      <w:proofErr w:type="spellStart"/>
      <w:r>
        <w:rPr>
          <w:szCs w:val="20"/>
        </w:rPr>
        <w:t>Rondfelt</w:t>
      </w:r>
      <w:proofErr w:type="spellEnd"/>
      <w:r>
        <w:rPr>
          <w:szCs w:val="20"/>
        </w:rPr>
        <w:t>,</w:t>
      </w:r>
      <w:r w:rsidRPr="00B61248">
        <w:rPr>
          <w:szCs w:val="20"/>
        </w:rPr>
        <w:t xml:space="preserve"> ‘What Next for Networks and </w:t>
      </w:r>
      <w:proofErr w:type="spellStart"/>
      <w:r w:rsidRPr="00B61248">
        <w:rPr>
          <w:szCs w:val="20"/>
        </w:rPr>
        <w:t>Netwars</w:t>
      </w:r>
      <w:proofErr w:type="spellEnd"/>
      <w:r w:rsidRPr="00B61248">
        <w:rPr>
          <w:szCs w:val="20"/>
        </w:rPr>
        <w:t xml:space="preserve">’, in John </w:t>
      </w:r>
      <w:proofErr w:type="spellStart"/>
      <w:r w:rsidRPr="00B61248">
        <w:rPr>
          <w:szCs w:val="20"/>
        </w:rPr>
        <w:t>Arquilla</w:t>
      </w:r>
      <w:proofErr w:type="spellEnd"/>
      <w:r w:rsidRPr="00B61248">
        <w:rPr>
          <w:szCs w:val="20"/>
        </w:rPr>
        <w:t xml:space="preserve"> and David </w:t>
      </w:r>
      <w:proofErr w:type="spellStart"/>
      <w:r w:rsidRPr="00B61248">
        <w:rPr>
          <w:szCs w:val="20"/>
        </w:rPr>
        <w:t>Rondfelt</w:t>
      </w:r>
      <w:proofErr w:type="spellEnd"/>
      <w:r w:rsidRPr="00B61248">
        <w:rPr>
          <w:szCs w:val="20"/>
        </w:rPr>
        <w:t xml:space="preserve"> (</w:t>
      </w:r>
      <w:proofErr w:type="spellStart"/>
      <w:r w:rsidRPr="00B61248">
        <w:rPr>
          <w:szCs w:val="20"/>
        </w:rPr>
        <w:t>eds</w:t>
      </w:r>
      <w:proofErr w:type="spellEnd"/>
      <w:r w:rsidRPr="00B61248">
        <w:rPr>
          <w:szCs w:val="20"/>
        </w:rPr>
        <w:t>)</w:t>
      </w:r>
      <w:r>
        <w:rPr>
          <w:szCs w:val="20"/>
        </w:rPr>
        <w:t>,</w:t>
      </w:r>
      <w:r w:rsidRPr="00B61248">
        <w:rPr>
          <w:szCs w:val="20"/>
        </w:rPr>
        <w:t xml:space="preserve"> </w:t>
      </w:r>
      <w:r w:rsidRPr="003F3759">
        <w:rPr>
          <w:i/>
          <w:szCs w:val="20"/>
        </w:rPr>
        <w:t xml:space="preserve">Networks and </w:t>
      </w:r>
      <w:proofErr w:type="spellStart"/>
      <w:r w:rsidRPr="003F3759">
        <w:rPr>
          <w:i/>
          <w:szCs w:val="20"/>
        </w:rPr>
        <w:t>Netwars</w:t>
      </w:r>
      <w:proofErr w:type="spellEnd"/>
      <w:r w:rsidRPr="003F3759">
        <w:rPr>
          <w:i/>
          <w:szCs w:val="20"/>
        </w:rPr>
        <w:t>: The Future of Terror, Crime and Militancy</w:t>
      </w:r>
      <w:r w:rsidRPr="00B61248">
        <w:rPr>
          <w:szCs w:val="20"/>
        </w:rPr>
        <w:t xml:space="preserve"> (Santa Monica CA: RAND</w:t>
      </w:r>
      <w:r>
        <w:rPr>
          <w:szCs w:val="20"/>
        </w:rPr>
        <w:t>, 2001), p.</w:t>
      </w:r>
      <w:r w:rsidRPr="00B61248">
        <w:rPr>
          <w:szCs w:val="20"/>
        </w:rPr>
        <w:t xml:space="preserve"> 328.</w:t>
      </w:r>
    </w:p>
  </w:footnote>
  <w:footnote w:id="65">
    <w:p w14:paraId="33877FB2" w14:textId="7ED03901" w:rsidR="003F3759" w:rsidRPr="00B61248" w:rsidRDefault="003F3759">
      <w:pPr>
        <w:pStyle w:val="FootnoteText"/>
        <w:rPr>
          <w:szCs w:val="20"/>
          <w:lang w:val="en-US"/>
        </w:rPr>
      </w:pPr>
      <w:r w:rsidRPr="00B61248">
        <w:rPr>
          <w:rStyle w:val="FootnoteReference"/>
          <w:szCs w:val="20"/>
        </w:rPr>
        <w:footnoteRef/>
      </w:r>
      <w:r>
        <w:rPr>
          <w:szCs w:val="20"/>
        </w:rPr>
        <w:t xml:space="preserve"> </w:t>
      </w:r>
      <w:proofErr w:type="gramStart"/>
      <w:r>
        <w:rPr>
          <w:szCs w:val="20"/>
        </w:rPr>
        <w:t>Miskimmon et al (2013), p.</w:t>
      </w:r>
      <w:r w:rsidRPr="00B61248">
        <w:rPr>
          <w:szCs w:val="20"/>
        </w:rPr>
        <w:t xml:space="preserve"> 3.</w:t>
      </w:r>
      <w:proofErr w:type="gramEnd"/>
    </w:p>
  </w:footnote>
  <w:footnote w:id="66">
    <w:p w14:paraId="5572785C" w14:textId="711307D1" w:rsidR="003F3759" w:rsidRPr="00B61248" w:rsidRDefault="003F3759">
      <w:pPr>
        <w:pStyle w:val="FootnoteText"/>
        <w:rPr>
          <w:szCs w:val="20"/>
          <w:lang w:val="en-US"/>
        </w:rPr>
      </w:pPr>
      <w:r w:rsidRPr="00B61248">
        <w:rPr>
          <w:rStyle w:val="FootnoteReference"/>
          <w:szCs w:val="20"/>
        </w:rPr>
        <w:footnoteRef/>
      </w:r>
      <w:r>
        <w:rPr>
          <w:szCs w:val="20"/>
        </w:rPr>
        <w:t xml:space="preserve"> Per M. </w:t>
      </w:r>
      <w:proofErr w:type="spellStart"/>
      <w:r>
        <w:rPr>
          <w:szCs w:val="20"/>
        </w:rPr>
        <w:t>Norheim-Martinsen</w:t>
      </w:r>
      <w:proofErr w:type="spellEnd"/>
      <w:r>
        <w:rPr>
          <w:szCs w:val="20"/>
        </w:rPr>
        <w:t>,</w:t>
      </w:r>
      <w:r w:rsidRPr="00B61248">
        <w:rPr>
          <w:szCs w:val="20"/>
        </w:rPr>
        <w:t xml:space="preserve"> ‘EU Strategic Culture: When the Means Becomes the End’, </w:t>
      </w:r>
      <w:r w:rsidRPr="003F3759">
        <w:rPr>
          <w:i/>
          <w:szCs w:val="20"/>
        </w:rPr>
        <w:t>Contemporary Security Policy</w:t>
      </w:r>
      <w:r>
        <w:rPr>
          <w:szCs w:val="20"/>
        </w:rPr>
        <w:t xml:space="preserve"> 32:</w:t>
      </w:r>
      <w:r w:rsidRPr="00B61248">
        <w:rPr>
          <w:szCs w:val="20"/>
        </w:rPr>
        <w:t>3</w:t>
      </w:r>
      <w:r>
        <w:rPr>
          <w:szCs w:val="20"/>
        </w:rPr>
        <w:t xml:space="preserve"> (2011), p.</w:t>
      </w:r>
      <w:r w:rsidRPr="00B61248">
        <w:rPr>
          <w:szCs w:val="20"/>
        </w:rPr>
        <w:t xml:space="preserve"> 521.</w:t>
      </w:r>
    </w:p>
  </w:footnote>
  <w:footnote w:id="67">
    <w:p w14:paraId="3B3A52C9" w14:textId="3D3795D9" w:rsidR="003F3759" w:rsidRPr="00B61248" w:rsidRDefault="003F3759">
      <w:pPr>
        <w:pStyle w:val="FootnoteText"/>
        <w:rPr>
          <w:szCs w:val="20"/>
          <w:lang w:val="en-US"/>
        </w:rPr>
      </w:pPr>
      <w:r w:rsidRPr="00B61248">
        <w:rPr>
          <w:rStyle w:val="FootnoteReference"/>
          <w:szCs w:val="20"/>
        </w:rPr>
        <w:footnoteRef/>
      </w:r>
      <w:r w:rsidRPr="00B61248">
        <w:rPr>
          <w:szCs w:val="20"/>
        </w:rPr>
        <w:t xml:space="preserve"> </w:t>
      </w:r>
      <w:r>
        <w:rPr>
          <w:szCs w:val="20"/>
        </w:rPr>
        <w:t xml:space="preserve">Michelle </w:t>
      </w:r>
      <w:r>
        <w:rPr>
          <w:szCs w:val="20"/>
          <w:lang w:val="en-US"/>
        </w:rPr>
        <w:t xml:space="preserve">Bentley, </w:t>
      </w:r>
      <w:r w:rsidRPr="003F3759">
        <w:rPr>
          <w:i/>
          <w:szCs w:val="20"/>
          <w:lang w:val="en-US"/>
        </w:rPr>
        <w:t>Weapons of Mass Destruction and US Foreign Policy: The Strategic Use of a Concept</w:t>
      </w:r>
      <w:r>
        <w:rPr>
          <w:szCs w:val="20"/>
          <w:lang w:val="en-US"/>
        </w:rPr>
        <w:t xml:space="preserve"> (London: Routledge, 2014</w:t>
      </w:r>
      <w:r w:rsidRPr="00B61248">
        <w:rPr>
          <w:szCs w:val="20"/>
          <w:lang w:val="en-US"/>
        </w:rPr>
        <w:t>)</w:t>
      </w:r>
      <w:r>
        <w:rPr>
          <w:szCs w:val="20"/>
          <w:lang w:val="en-US"/>
        </w:rPr>
        <w:t>.</w:t>
      </w:r>
    </w:p>
  </w:footnote>
  <w:footnote w:id="68">
    <w:p w14:paraId="17A4F8EE" w14:textId="6FD193B7" w:rsidR="003F3759" w:rsidRPr="00B61248" w:rsidRDefault="003F3759">
      <w:pPr>
        <w:pStyle w:val="FootnoteText"/>
        <w:rPr>
          <w:szCs w:val="20"/>
          <w:lang w:val="en-US"/>
        </w:rPr>
      </w:pPr>
      <w:r w:rsidRPr="00B61248">
        <w:rPr>
          <w:rStyle w:val="FootnoteReference"/>
          <w:szCs w:val="20"/>
        </w:rPr>
        <w:footnoteRef/>
      </w:r>
      <w:r w:rsidRPr="00B61248">
        <w:rPr>
          <w:szCs w:val="20"/>
        </w:rPr>
        <w:t xml:space="preserve"> Quentin </w:t>
      </w:r>
      <w:r>
        <w:rPr>
          <w:szCs w:val="20"/>
          <w:lang w:val="en-US" w:bidi="en-US"/>
        </w:rPr>
        <w:t>Skinner,</w:t>
      </w:r>
      <w:r w:rsidRPr="00B61248">
        <w:rPr>
          <w:szCs w:val="20"/>
          <w:lang w:val="en-US" w:bidi="en-US"/>
        </w:rPr>
        <w:t xml:space="preserve"> ‘Some Problems in the Analysis of Political Though</w:t>
      </w:r>
      <w:r>
        <w:rPr>
          <w:szCs w:val="20"/>
          <w:lang w:val="en-US" w:bidi="en-US"/>
        </w:rPr>
        <w:t xml:space="preserve">t and Action’, </w:t>
      </w:r>
      <w:r w:rsidRPr="003F3759">
        <w:rPr>
          <w:i/>
          <w:szCs w:val="20"/>
          <w:lang w:val="en-US" w:bidi="en-US"/>
        </w:rPr>
        <w:t>Political Theory</w:t>
      </w:r>
      <w:r w:rsidRPr="00B61248">
        <w:rPr>
          <w:szCs w:val="20"/>
          <w:lang w:val="en-US" w:bidi="en-US"/>
        </w:rPr>
        <w:t xml:space="preserve"> </w:t>
      </w:r>
      <w:r w:rsidRPr="00B61248">
        <w:rPr>
          <w:bCs/>
          <w:szCs w:val="20"/>
          <w:lang w:val="en-US" w:bidi="en-US"/>
        </w:rPr>
        <w:t>2</w:t>
      </w:r>
      <w:r>
        <w:rPr>
          <w:szCs w:val="20"/>
          <w:lang w:val="en-US" w:bidi="en-US"/>
        </w:rPr>
        <w:t>:</w:t>
      </w:r>
      <w:r w:rsidRPr="00B61248">
        <w:rPr>
          <w:szCs w:val="20"/>
          <w:lang w:val="en-US" w:bidi="en-US"/>
        </w:rPr>
        <w:t>3</w:t>
      </w:r>
      <w:r>
        <w:rPr>
          <w:szCs w:val="20"/>
          <w:lang w:val="en-US" w:bidi="en-US"/>
        </w:rPr>
        <w:t xml:space="preserve"> (1974), p.</w:t>
      </w:r>
      <w:r w:rsidRPr="00B61248">
        <w:rPr>
          <w:szCs w:val="20"/>
          <w:lang w:val="en-US" w:bidi="en-US"/>
        </w:rPr>
        <w:t xml:space="preserve"> 293.</w:t>
      </w:r>
    </w:p>
  </w:footnote>
  <w:footnote w:id="69">
    <w:p w14:paraId="23EA3764" w14:textId="015AEABC" w:rsidR="003F3759" w:rsidRPr="001D2E86" w:rsidRDefault="003F3759">
      <w:pPr>
        <w:pStyle w:val="FootnoteText"/>
        <w:rPr>
          <w:lang w:val="en-US"/>
        </w:rPr>
      </w:pPr>
      <w:r>
        <w:rPr>
          <w:rStyle w:val="FootnoteReference"/>
        </w:rPr>
        <w:footnoteRef/>
      </w:r>
      <w:r>
        <w:t xml:space="preserve"> Quentin Skinner, ‘Meaning and Understanding in the History of Ideas’, </w:t>
      </w:r>
      <w:r w:rsidRPr="003F3759">
        <w:rPr>
          <w:i/>
        </w:rPr>
        <w:t>History and Theory</w:t>
      </w:r>
      <w:r>
        <w:t xml:space="preserve"> 8:1 (1969), p. 49; ‘Conventions and the Understanding of Speech Acts’, </w:t>
      </w:r>
      <w:r w:rsidRPr="003F3759">
        <w:rPr>
          <w:i/>
        </w:rPr>
        <w:t>The Philosophical Quarterly</w:t>
      </w:r>
      <w:r>
        <w:t xml:space="preserve"> 20:79 (1970), pp. 118-38; ‘Hermeneutics and the Role of History’, </w:t>
      </w:r>
      <w:r w:rsidRPr="003F3759">
        <w:rPr>
          <w:i/>
        </w:rPr>
        <w:t>New Literary History</w:t>
      </w:r>
      <w:r>
        <w:t xml:space="preserve"> 7:1 (1975), p. 216; ‘Introduction: Seeing Things Their Way’, in Quentin Skinner (ed), </w:t>
      </w:r>
      <w:r w:rsidRPr="003F3759">
        <w:rPr>
          <w:i/>
        </w:rPr>
        <w:t>Visions of Politics: Volume 1</w:t>
      </w:r>
      <w:r>
        <w:t xml:space="preserve"> (Cambridge: Cambridge University Press, 2002), p. 7.</w:t>
      </w:r>
    </w:p>
  </w:footnote>
  <w:footnote w:id="70">
    <w:p w14:paraId="3A48AA83" w14:textId="0E734D6C" w:rsidR="003F3759" w:rsidRPr="006C3AB4" w:rsidRDefault="003F3759">
      <w:pPr>
        <w:pStyle w:val="FootnoteText"/>
        <w:rPr>
          <w:lang w:val="en-US"/>
        </w:rPr>
      </w:pPr>
      <w:r>
        <w:rPr>
          <w:rStyle w:val="FootnoteReference"/>
        </w:rPr>
        <w:footnoteRef/>
      </w:r>
      <w:r>
        <w:t xml:space="preserve"> </w:t>
      </w:r>
      <w:r>
        <w:rPr>
          <w:lang w:val="en-US"/>
        </w:rPr>
        <w:t>Bentley 2016</w:t>
      </w:r>
    </w:p>
  </w:footnote>
  <w:footnote w:id="71">
    <w:p w14:paraId="402BAACA" w14:textId="40FBC284" w:rsidR="003F3759" w:rsidRPr="002705EF" w:rsidRDefault="003F3759">
      <w:pPr>
        <w:pStyle w:val="FootnoteText"/>
        <w:rPr>
          <w:lang w:val="en-US"/>
        </w:rPr>
      </w:pPr>
      <w:r>
        <w:rPr>
          <w:rStyle w:val="FootnoteReference"/>
        </w:rPr>
        <w:footnoteRef/>
      </w:r>
      <w:r>
        <w:t xml:space="preserve"> Daniela </w:t>
      </w:r>
      <w:proofErr w:type="spellStart"/>
      <w:r>
        <w:t>Kroslak</w:t>
      </w:r>
      <w:proofErr w:type="spellEnd"/>
      <w:r>
        <w:t xml:space="preserve">, </w:t>
      </w:r>
      <w:r w:rsidRPr="003F3759">
        <w:rPr>
          <w:i/>
        </w:rPr>
        <w:t>The Role of France in the Rwandan Genocide</w:t>
      </w:r>
      <w:r>
        <w:t xml:space="preserve"> (London, C. Hurst &amp; Co, 2007); Andrew Wallis, </w:t>
      </w:r>
      <w:r w:rsidRPr="003F3759">
        <w:rPr>
          <w:i/>
        </w:rPr>
        <w:t>Silent Accomplice: The Untold Story of France’s Role in the Rwandan Genocide</w:t>
      </w:r>
      <w:r>
        <w:t xml:space="preserve"> (London: I.B. </w:t>
      </w:r>
      <w:proofErr w:type="spellStart"/>
      <w:r>
        <w:t>Tauris</w:t>
      </w:r>
      <w:proofErr w:type="spellEnd"/>
      <w:r>
        <w:t xml:space="preserve"> &amp; Co, 2014).</w:t>
      </w:r>
    </w:p>
  </w:footnote>
  <w:footnote w:id="72">
    <w:p w14:paraId="62D2CBDB" w14:textId="45E2D3C4" w:rsidR="003F3759" w:rsidRPr="004A0BC1" w:rsidRDefault="003F3759">
      <w:pPr>
        <w:pStyle w:val="FootnoteText"/>
        <w:rPr>
          <w:lang w:val="en-US"/>
        </w:rPr>
      </w:pPr>
      <w:r>
        <w:rPr>
          <w:rStyle w:val="FootnoteReference"/>
        </w:rPr>
        <w:footnoteRef/>
      </w:r>
      <w:r>
        <w:t xml:space="preserve"> Clinton engrained his post-Somalia aversion to peacekeeping in May 1994, signing into force ‘Presidential Decision Directive 25: The Clinton Administration’s Policy on Reforming Multilateral Peace Operations’ (although this only limited, and did not explicitly rule out, US engagement in peacekeeping). For discussion see: Holly L. </w:t>
      </w:r>
      <w:proofErr w:type="spellStart"/>
      <w:r>
        <w:t>Burkhalter</w:t>
      </w:r>
      <w:proofErr w:type="spellEnd"/>
      <w:r>
        <w:t xml:space="preserve">, ‘The Question of Genocide: The Clinton Administration and Rwanda’, </w:t>
      </w:r>
      <w:r w:rsidRPr="003F3759">
        <w:rPr>
          <w:i/>
        </w:rPr>
        <w:t>World Policy Journal</w:t>
      </w:r>
      <w:r>
        <w:t xml:space="preserve"> 11:4 (Winter 1994/1995), pp. 48-49</w:t>
      </w:r>
      <w:proofErr w:type="gramStart"/>
      <w:r>
        <w:t>;</w:t>
      </w:r>
      <w:proofErr w:type="gramEnd"/>
      <w:r>
        <w:t xml:space="preserve"> Glenn T.  Ware, ‘The Emerging Norm of Humanitarian Intervention And Presidential Decision Directive 25’, </w:t>
      </w:r>
      <w:r w:rsidRPr="003F3759">
        <w:rPr>
          <w:i/>
        </w:rPr>
        <w:t>Naval Law Review</w:t>
      </w:r>
      <w:r>
        <w:t xml:space="preserve"> 44 (1997): pp. 1-58; Peter J. </w:t>
      </w:r>
      <w:proofErr w:type="spellStart"/>
      <w:r>
        <w:t>Schraeder</w:t>
      </w:r>
      <w:proofErr w:type="spellEnd"/>
      <w:r>
        <w:t xml:space="preserve">, ‘Trends and Transformations in the Clinton Administration’s Foreign Policy toward Africa (1993-1999)’, </w:t>
      </w:r>
      <w:r w:rsidRPr="003F3759">
        <w:rPr>
          <w:i/>
        </w:rPr>
        <w:t>Issue: A Journal of Opinion</w:t>
      </w:r>
      <w:r>
        <w:t xml:space="preserve"> 26:2 (1998), pp. 2-3; Rich</w:t>
      </w:r>
      <w:r w:rsidR="00583B42">
        <w:t>ard Lock-</w:t>
      </w:r>
      <w:proofErr w:type="spellStart"/>
      <w:r w:rsidR="00583B42">
        <w:t>Pullan</w:t>
      </w:r>
      <w:proofErr w:type="spellEnd"/>
      <w:r w:rsidR="00583B42">
        <w:t>, ‘Learning the Limits of Virtue: Clinton, the Army and the C</w:t>
      </w:r>
      <w:r>
        <w:t>riteria fo</w:t>
      </w:r>
      <w:r w:rsidR="00583B42">
        <w:t>r the Use of Military F</w:t>
      </w:r>
      <w:r>
        <w:t xml:space="preserve">orce’, </w:t>
      </w:r>
      <w:r w:rsidRPr="003F3759">
        <w:rPr>
          <w:i/>
        </w:rPr>
        <w:t>Contemporary Security Policy</w:t>
      </w:r>
      <w:r>
        <w:t xml:space="preserve"> 24:2 (2003), pp. 144-46.</w:t>
      </w:r>
    </w:p>
  </w:footnote>
  <w:footnote w:id="73">
    <w:p w14:paraId="3C5442E8" w14:textId="6D5FF450" w:rsidR="003F3759" w:rsidRPr="00B61248" w:rsidRDefault="003F3759">
      <w:pPr>
        <w:pStyle w:val="FootnoteText"/>
        <w:rPr>
          <w:szCs w:val="20"/>
          <w:lang w:val="en-US"/>
        </w:rPr>
      </w:pPr>
      <w:r w:rsidRPr="00B61248">
        <w:rPr>
          <w:rStyle w:val="FootnoteReference"/>
          <w:szCs w:val="20"/>
        </w:rPr>
        <w:footnoteRef/>
      </w:r>
      <w:r w:rsidRPr="00B61248">
        <w:rPr>
          <w:szCs w:val="20"/>
        </w:rPr>
        <w:t xml:space="preserve"> Samantha </w:t>
      </w:r>
      <w:r>
        <w:rPr>
          <w:szCs w:val="20"/>
          <w:lang w:val="en-US"/>
        </w:rPr>
        <w:t xml:space="preserve">Power, </w:t>
      </w:r>
      <w:r w:rsidRPr="003F3759">
        <w:rPr>
          <w:i/>
          <w:szCs w:val="20"/>
          <w:lang w:val="en-US"/>
        </w:rPr>
        <w:t>The Problem From Hell: America and the Age of Genocide</w:t>
      </w:r>
      <w:r w:rsidRPr="00B61248">
        <w:rPr>
          <w:szCs w:val="20"/>
          <w:lang w:val="en-US"/>
        </w:rPr>
        <w:t xml:space="preserve"> (London: Harper Perennial</w:t>
      </w:r>
      <w:r>
        <w:rPr>
          <w:szCs w:val="20"/>
          <w:lang w:val="en-US"/>
        </w:rPr>
        <w:t>, 2003), p.</w:t>
      </w:r>
      <w:r w:rsidRPr="00B61248">
        <w:rPr>
          <w:szCs w:val="20"/>
          <w:lang w:val="en-US"/>
        </w:rPr>
        <w:t xml:space="preserve"> 335.</w:t>
      </w:r>
    </w:p>
  </w:footnote>
  <w:footnote w:id="74">
    <w:p w14:paraId="3DC1BE7D" w14:textId="330B2D1E" w:rsidR="003F3759" w:rsidRPr="002705EF" w:rsidRDefault="003F3759">
      <w:pPr>
        <w:pStyle w:val="FootnoteText"/>
        <w:rPr>
          <w:lang w:val="en-US"/>
        </w:rPr>
      </w:pPr>
      <w:r>
        <w:rPr>
          <w:rStyle w:val="FootnoteReference"/>
        </w:rPr>
        <w:footnoteRef/>
      </w:r>
      <w:r>
        <w:t xml:space="preserve"> Linda </w:t>
      </w:r>
      <w:proofErr w:type="spellStart"/>
      <w:r>
        <w:t>Melvern</w:t>
      </w:r>
      <w:proofErr w:type="spellEnd"/>
      <w:r>
        <w:t xml:space="preserve">, </w:t>
      </w:r>
      <w:r w:rsidRPr="003F3759">
        <w:rPr>
          <w:i/>
        </w:rPr>
        <w:t>A People Betrayed: The Role of the West in Rwanda’s Genocide</w:t>
      </w:r>
      <w:r>
        <w:t xml:space="preserve"> (London: Zed Books, 2000); </w:t>
      </w:r>
      <w:r w:rsidRPr="003F3759">
        <w:rPr>
          <w:i/>
        </w:rPr>
        <w:t xml:space="preserve">Linda </w:t>
      </w:r>
      <w:proofErr w:type="spellStart"/>
      <w:r w:rsidRPr="003F3759">
        <w:rPr>
          <w:i/>
        </w:rPr>
        <w:t>Melvern</w:t>
      </w:r>
      <w:proofErr w:type="spellEnd"/>
      <w:r w:rsidRPr="003F3759">
        <w:rPr>
          <w:i/>
        </w:rPr>
        <w:t>, Conspiracy to Murder: The Rwandan Genocide</w:t>
      </w:r>
      <w:r>
        <w:t xml:space="preserve"> (London: Verso, 2004). See also: Romeo </w:t>
      </w:r>
      <w:proofErr w:type="spellStart"/>
      <w:r>
        <w:t>Dallaire</w:t>
      </w:r>
      <w:proofErr w:type="spellEnd"/>
      <w:r>
        <w:t xml:space="preserve">, </w:t>
      </w:r>
      <w:r w:rsidRPr="003F3759">
        <w:rPr>
          <w:i/>
        </w:rPr>
        <w:t>Shake Hands with the Devil: The Failure of Humanity in Rwanda</w:t>
      </w:r>
      <w:r>
        <w:t xml:space="preserve"> (New York: Carroll and Graf, 2004).</w:t>
      </w:r>
    </w:p>
  </w:footnote>
  <w:footnote w:id="75">
    <w:p w14:paraId="2428924D" w14:textId="59FE786A" w:rsidR="003F3759" w:rsidRPr="00B61248" w:rsidRDefault="003F3759">
      <w:pPr>
        <w:pStyle w:val="FootnoteText"/>
        <w:rPr>
          <w:szCs w:val="20"/>
          <w:lang w:val="en-US"/>
        </w:rPr>
      </w:pPr>
      <w:r w:rsidRPr="00B61248">
        <w:rPr>
          <w:rStyle w:val="FootnoteReference"/>
          <w:szCs w:val="20"/>
        </w:rPr>
        <w:footnoteRef/>
      </w:r>
      <w:r>
        <w:rPr>
          <w:szCs w:val="20"/>
        </w:rPr>
        <w:t xml:space="preserve"> Lyn </w:t>
      </w:r>
      <w:proofErr w:type="spellStart"/>
      <w:r>
        <w:rPr>
          <w:szCs w:val="20"/>
        </w:rPr>
        <w:t>Graybill</w:t>
      </w:r>
      <w:proofErr w:type="spellEnd"/>
      <w:r>
        <w:rPr>
          <w:szCs w:val="20"/>
        </w:rPr>
        <w:t>,</w:t>
      </w:r>
      <w:r w:rsidRPr="00B61248">
        <w:rPr>
          <w:szCs w:val="20"/>
        </w:rPr>
        <w:t xml:space="preserve"> ‘“Responsible… by Omission”: The United States and Genocide in Rwanda’, </w:t>
      </w:r>
      <w:r w:rsidRPr="003F3759">
        <w:rPr>
          <w:i/>
          <w:szCs w:val="20"/>
        </w:rPr>
        <w:t>Seton Hall Journal of Diplomatic and International Relations</w:t>
      </w:r>
      <w:r w:rsidRPr="00B61248">
        <w:rPr>
          <w:szCs w:val="20"/>
        </w:rPr>
        <w:t xml:space="preserve"> Winter/Spring</w:t>
      </w:r>
      <w:r>
        <w:rPr>
          <w:szCs w:val="20"/>
        </w:rPr>
        <w:t xml:space="preserve"> (2002), pp.</w:t>
      </w:r>
      <w:r w:rsidRPr="00B61248">
        <w:rPr>
          <w:szCs w:val="20"/>
        </w:rPr>
        <w:t xml:space="preserve"> 88-89.</w:t>
      </w:r>
    </w:p>
  </w:footnote>
  <w:footnote w:id="76">
    <w:p w14:paraId="0027AB62" w14:textId="03879CD5" w:rsidR="003F3759" w:rsidRPr="00B61248" w:rsidRDefault="003F3759" w:rsidP="006B1200">
      <w:pPr>
        <w:rPr>
          <w:sz w:val="20"/>
          <w:szCs w:val="20"/>
        </w:rPr>
      </w:pPr>
      <w:r w:rsidRPr="00B61248">
        <w:rPr>
          <w:rStyle w:val="FootnoteReference"/>
          <w:sz w:val="20"/>
          <w:szCs w:val="20"/>
        </w:rPr>
        <w:footnoteRef/>
      </w:r>
      <w:r>
        <w:rPr>
          <w:sz w:val="20"/>
          <w:szCs w:val="20"/>
        </w:rPr>
        <w:t xml:space="preserve"> Douglas </w:t>
      </w:r>
      <w:proofErr w:type="spellStart"/>
      <w:r>
        <w:rPr>
          <w:sz w:val="20"/>
          <w:szCs w:val="20"/>
        </w:rPr>
        <w:t>Jehl</w:t>
      </w:r>
      <w:proofErr w:type="spellEnd"/>
      <w:r>
        <w:rPr>
          <w:sz w:val="20"/>
          <w:szCs w:val="20"/>
        </w:rPr>
        <w:t>,</w:t>
      </w:r>
      <w:r w:rsidRPr="00B61248">
        <w:rPr>
          <w:sz w:val="20"/>
          <w:szCs w:val="20"/>
        </w:rPr>
        <w:t xml:space="preserve"> ‘Officials Told to Avoid Calling Rwanda Killings </w:t>
      </w:r>
      <w:r>
        <w:rPr>
          <w:sz w:val="20"/>
          <w:szCs w:val="20"/>
        </w:rPr>
        <w:t xml:space="preserve">“Genocide”’, </w:t>
      </w:r>
      <w:r w:rsidRPr="003F3759">
        <w:rPr>
          <w:i/>
          <w:sz w:val="20"/>
          <w:szCs w:val="20"/>
        </w:rPr>
        <w:t>New York Times</w:t>
      </w:r>
      <w:r w:rsidRPr="00B61248">
        <w:rPr>
          <w:sz w:val="20"/>
          <w:szCs w:val="20"/>
        </w:rPr>
        <w:t xml:space="preserve"> </w:t>
      </w:r>
      <w:r>
        <w:rPr>
          <w:sz w:val="20"/>
          <w:szCs w:val="20"/>
        </w:rPr>
        <w:t>(10 June 1994), available at:</w:t>
      </w:r>
      <w:r w:rsidRPr="00B61248">
        <w:rPr>
          <w:sz w:val="20"/>
          <w:szCs w:val="20"/>
        </w:rPr>
        <w:t xml:space="preserve"> www.nytimes.com/1994/06/10/world/officials-told-to-avoid-calling-rwanda-killings-genocide.</w:t>
      </w:r>
      <w:r>
        <w:rPr>
          <w:sz w:val="20"/>
          <w:szCs w:val="20"/>
        </w:rPr>
        <w:t xml:space="preserve">html; </w:t>
      </w:r>
      <w:proofErr w:type="spellStart"/>
      <w:r>
        <w:rPr>
          <w:sz w:val="20"/>
          <w:szCs w:val="20"/>
        </w:rPr>
        <w:t>Burkhalter</w:t>
      </w:r>
      <w:proofErr w:type="spellEnd"/>
      <w:r>
        <w:rPr>
          <w:sz w:val="20"/>
          <w:szCs w:val="20"/>
        </w:rPr>
        <w:t xml:space="preserve"> (1994), p. 45; Philip Gourevitch,</w:t>
      </w:r>
      <w:r w:rsidRPr="00B61248">
        <w:rPr>
          <w:sz w:val="20"/>
          <w:szCs w:val="20"/>
        </w:rPr>
        <w:t xml:space="preserve"> </w:t>
      </w:r>
      <w:r w:rsidRPr="003F3759">
        <w:rPr>
          <w:i/>
          <w:sz w:val="20"/>
          <w:szCs w:val="20"/>
        </w:rPr>
        <w:t xml:space="preserve">We Wish to Inform You that Tomorrow We Will be Killed with our Families: Stories from Rwanda </w:t>
      </w:r>
      <w:r w:rsidRPr="00B61248">
        <w:rPr>
          <w:sz w:val="20"/>
          <w:szCs w:val="20"/>
        </w:rPr>
        <w:t>(London: Picador</w:t>
      </w:r>
      <w:r>
        <w:rPr>
          <w:sz w:val="20"/>
          <w:szCs w:val="20"/>
        </w:rPr>
        <w:t>, 1998), p.</w:t>
      </w:r>
      <w:r w:rsidRPr="00B61248">
        <w:rPr>
          <w:sz w:val="20"/>
          <w:szCs w:val="20"/>
        </w:rPr>
        <w:t xml:space="preserve"> 132.</w:t>
      </w:r>
    </w:p>
  </w:footnote>
  <w:footnote w:id="77">
    <w:p w14:paraId="356F3C50" w14:textId="4AB7C7B0" w:rsidR="003F3759" w:rsidRPr="00B61248" w:rsidRDefault="003F3759" w:rsidP="009E0AF0">
      <w:pPr>
        <w:rPr>
          <w:sz w:val="20"/>
          <w:szCs w:val="20"/>
        </w:rPr>
      </w:pPr>
      <w:r w:rsidRPr="00B61248">
        <w:rPr>
          <w:rStyle w:val="FootnoteReference"/>
          <w:sz w:val="20"/>
          <w:szCs w:val="20"/>
        </w:rPr>
        <w:footnoteRef/>
      </w:r>
      <w:r>
        <w:rPr>
          <w:sz w:val="20"/>
          <w:szCs w:val="20"/>
        </w:rPr>
        <w:t xml:space="preserve"> Adam Jones,</w:t>
      </w:r>
      <w:r w:rsidRPr="00B61248">
        <w:rPr>
          <w:sz w:val="20"/>
          <w:szCs w:val="20"/>
        </w:rPr>
        <w:t xml:space="preserve"> </w:t>
      </w:r>
      <w:r w:rsidRPr="003F3759">
        <w:rPr>
          <w:i/>
          <w:sz w:val="20"/>
          <w:szCs w:val="20"/>
        </w:rPr>
        <w:t>Crimes Against Humanity</w:t>
      </w:r>
      <w:r w:rsidRPr="00B61248">
        <w:rPr>
          <w:sz w:val="20"/>
          <w:szCs w:val="20"/>
        </w:rPr>
        <w:t xml:space="preserve"> (Oxford: </w:t>
      </w:r>
      <w:proofErr w:type="spellStart"/>
      <w:r w:rsidRPr="00B61248">
        <w:rPr>
          <w:sz w:val="20"/>
          <w:szCs w:val="20"/>
        </w:rPr>
        <w:t>Oneworld</w:t>
      </w:r>
      <w:proofErr w:type="spellEnd"/>
      <w:r w:rsidRPr="00B61248">
        <w:rPr>
          <w:sz w:val="20"/>
          <w:szCs w:val="20"/>
        </w:rPr>
        <w:t xml:space="preserve"> Publication</w:t>
      </w:r>
      <w:r>
        <w:rPr>
          <w:sz w:val="20"/>
          <w:szCs w:val="20"/>
        </w:rPr>
        <w:t>, 2008), p.</w:t>
      </w:r>
      <w:r w:rsidRPr="00B61248">
        <w:rPr>
          <w:sz w:val="20"/>
          <w:szCs w:val="20"/>
        </w:rPr>
        <w:t xml:space="preserve"> 26.</w:t>
      </w:r>
    </w:p>
  </w:footnote>
  <w:footnote w:id="78">
    <w:p w14:paraId="492D1DA1" w14:textId="047296DD" w:rsidR="003F3759" w:rsidRPr="00B61248" w:rsidRDefault="003F3759">
      <w:pPr>
        <w:pStyle w:val="FootnoteText"/>
        <w:rPr>
          <w:szCs w:val="20"/>
          <w:lang w:val="en-US"/>
        </w:rPr>
      </w:pPr>
      <w:r w:rsidRPr="00B61248">
        <w:rPr>
          <w:rStyle w:val="FootnoteReference"/>
          <w:szCs w:val="20"/>
        </w:rPr>
        <w:footnoteRef/>
      </w:r>
      <w:r w:rsidRPr="00B61248">
        <w:rPr>
          <w:szCs w:val="20"/>
        </w:rPr>
        <w:t xml:space="preserve"> </w:t>
      </w:r>
      <w:r>
        <w:rPr>
          <w:szCs w:val="20"/>
          <w:lang w:val="en-US"/>
        </w:rPr>
        <w:t>Power (2003), p.</w:t>
      </w:r>
      <w:r w:rsidRPr="00B61248">
        <w:rPr>
          <w:szCs w:val="20"/>
          <w:lang w:val="en-US"/>
        </w:rPr>
        <w:t xml:space="preserve"> 384.</w:t>
      </w:r>
    </w:p>
  </w:footnote>
  <w:footnote w:id="79">
    <w:p w14:paraId="1CAF5239" w14:textId="028F2607" w:rsidR="003F3759" w:rsidRPr="00B61248" w:rsidRDefault="003F3759">
      <w:pPr>
        <w:pStyle w:val="FootnoteText"/>
        <w:rPr>
          <w:szCs w:val="20"/>
          <w:lang w:val="en-US"/>
        </w:rPr>
      </w:pPr>
      <w:r w:rsidRPr="00B61248">
        <w:rPr>
          <w:rStyle w:val="FootnoteReference"/>
          <w:szCs w:val="20"/>
        </w:rPr>
        <w:footnoteRef/>
      </w:r>
      <w:r>
        <w:rPr>
          <w:szCs w:val="20"/>
        </w:rPr>
        <w:t xml:space="preserve"> William Clinton,</w:t>
      </w:r>
      <w:r w:rsidRPr="00B61248">
        <w:rPr>
          <w:szCs w:val="20"/>
        </w:rPr>
        <w:t xml:space="preserve"> ‘Radio Address on the Situation in Rwanda’, </w:t>
      </w:r>
      <w:r w:rsidRPr="003F3759">
        <w:rPr>
          <w:i/>
          <w:szCs w:val="20"/>
        </w:rPr>
        <w:t xml:space="preserve">Public Papers of the Presidents of the United States </w:t>
      </w:r>
      <w:r w:rsidRPr="00B61248">
        <w:rPr>
          <w:szCs w:val="20"/>
        </w:rPr>
        <w:t>(</w:t>
      </w:r>
      <w:r>
        <w:rPr>
          <w:szCs w:val="20"/>
        </w:rPr>
        <w:t xml:space="preserve">hereafter </w:t>
      </w:r>
      <w:r w:rsidRPr="003F3759">
        <w:rPr>
          <w:i/>
          <w:szCs w:val="20"/>
        </w:rPr>
        <w:t>PPPUS</w:t>
      </w:r>
      <w:r w:rsidRPr="00B61248">
        <w:rPr>
          <w:szCs w:val="20"/>
        </w:rPr>
        <w:t xml:space="preserve">), </w:t>
      </w:r>
      <w:r w:rsidRPr="003F3759">
        <w:rPr>
          <w:i/>
          <w:szCs w:val="20"/>
        </w:rPr>
        <w:t>Book 1</w:t>
      </w:r>
      <w:r>
        <w:rPr>
          <w:szCs w:val="20"/>
        </w:rPr>
        <w:t xml:space="preserve"> (1994), p.</w:t>
      </w:r>
      <w:r w:rsidRPr="00B61248">
        <w:rPr>
          <w:szCs w:val="20"/>
        </w:rPr>
        <w:t xml:space="preserve"> 807.</w:t>
      </w:r>
    </w:p>
  </w:footnote>
  <w:footnote w:id="80">
    <w:p w14:paraId="76E5BCC0" w14:textId="14584D0E" w:rsidR="003F3759" w:rsidRPr="00B61248" w:rsidRDefault="003F3759">
      <w:pPr>
        <w:pStyle w:val="FootnoteText"/>
        <w:rPr>
          <w:szCs w:val="20"/>
          <w:lang w:val="en-US"/>
        </w:rPr>
      </w:pPr>
      <w:r w:rsidRPr="00B61248">
        <w:rPr>
          <w:rStyle w:val="FootnoteReference"/>
          <w:szCs w:val="20"/>
        </w:rPr>
        <w:footnoteRef/>
      </w:r>
      <w:r w:rsidRPr="00B61248">
        <w:rPr>
          <w:szCs w:val="20"/>
        </w:rPr>
        <w:t xml:space="preserve"> Alain </w:t>
      </w:r>
      <w:proofErr w:type="spellStart"/>
      <w:r>
        <w:rPr>
          <w:rFonts w:cs="Helvetica"/>
          <w:szCs w:val="20"/>
          <w:lang w:val="en-US" w:bidi="en-US"/>
        </w:rPr>
        <w:t>Destexhe</w:t>
      </w:r>
      <w:proofErr w:type="spellEnd"/>
      <w:r>
        <w:rPr>
          <w:rFonts w:cs="Helvetica"/>
          <w:szCs w:val="20"/>
          <w:lang w:val="en-US" w:bidi="en-US"/>
        </w:rPr>
        <w:t>,</w:t>
      </w:r>
      <w:r w:rsidRPr="00B61248">
        <w:rPr>
          <w:rFonts w:cs="Helvetica"/>
          <w:szCs w:val="20"/>
          <w:lang w:val="en-US" w:bidi="en-US"/>
        </w:rPr>
        <w:t xml:space="preserve"> </w:t>
      </w:r>
      <w:r w:rsidRPr="003F3759">
        <w:rPr>
          <w:rFonts w:cs="Helvetica"/>
          <w:i/>
          <w:szCs w:val="20"/>
          <w:lang w:val="en-US" w:bidi="en-US"/>
        </w:rPr>
        <w:t>Rwanda and Genocide in the Twentieth Century</w:t>
      </w:r>
      <w:r w:rsidRPr="00B61248">
        <w:rPr>
          <w:rFonts w:cs="Helvetica"/>
          <w:szCs w:val="20"/>
          <w:lang w:val="en-US" w:bidi="en-US"/>
        </w:rPr>
        <w:t xml:space="preserve"> (London: Pluto</w:t>
      </w:r>
      <w:r>
        <w:rPr>
          <w:rFonts w:cs="Helvetica"/>
          <w:szCs w:val="20"/>
          <w:lang w:val="en-US" w:bidi="en-US"/>
        </w:rPr>
        <w:t>, 1994), p. 33;</w:t>
      </w:r>
      <w:r w:rsidRPr="00015649">
        <w:rPr>
          <w:szCs w:val="20"/>
        </w:rPr>
        <w:t xml:space="preserve"> </w:t>
      </w:r>
      <w:r>
        <w:rPr>
          <w:szCs w:val="20"/>
        </w:rPr>
        <w:t>David Durenberger,</w:t>
      </w:r>
      <w:r w:rsidRPr="00B61248">
        <w:rPr>
          <w:szCs w:val="20"/>
        </w:rPr>
        <w:t xml:space="preserve"> ‘The International Community’s Failure in Rwanda’,</w:t>
      </w:r>
      <w:r>
        <w:rPr>
          <w:szCs w:val="20"/>
        </w:rPr>
        <w:t xml:space="preserve"> </w:t>
      </w:r>
      <w:r w:rsidRPr="003F3759">
        <w:rPr>
          <w:i/>
          <w:szCs w:val="20"/>
        </w:rPr>
        <w:t>Congressional Record –</w:t>
      </w:r>
      <w:r>
        <w:rPr>
          <w:szCs w:val="20"/>
        </w:rPr>
        <w:t xml:space="preserve"> </w:t>
      </w:r>
      <w:r w:rsidRPr="003F3759">
        <w:rPr>
          <w:i/>
          <w:szCs w:val="20"/>
        </w:rPr>
        <w:t>Senate</w:t>
      </w:r>
      <w:r>
        <w:rPr>
          <w:szCs w:val="20"/>
        </w:rPr>
        <w:t xml:space="preserve"> (8 June 1994), available at:</w:t>
      </w:r>
      <w:r w:rsidRPr="00B61248">
        <w:rPr>
          <w:szCs w:val="20"/>
        </w:rPr>
        <w:t xml:space="preserve"> www.gpo.gov/fdsys/pkg/CREC-1994-06-08/html/CREC-1994-06-08-pt1-PgS51.htm</w:t>
      </w:r>
    </w:p>
  </w:footnote>
  <w:footnote w:id="81">
    <w:p w14:paraId="5FC627CF" w14:textId="449F646F" w:rsidR="003F3759" w:rsidRPr="00B61248" w:rsidRDefault="003F3759">
      <w:pPr>
        <w:pStyle w:val="FootnoteText"/>
        <w:rPr>
          <w:szCs w:val="20"/>
          <w:lang w:val="en-US"/>
        </w:rPr>
      </w:pPr>
      <w:r w:rsidRPr="00B61248">
        <w:rPr>
          <w:rStyle w:val="FootnoteReference"/>
          <w:szCs w:val="20"/>
        </w:rPr>
        <w:footnoteRef/>
      </w:r>
      <w:r>
        <w:rPr>
          <w:szCs w:val="20"/>
        </w:rPr>
        <w:t xml:space="preserve"> William Clinton,</w:t>
      </w:r>
      <w:r w:rsidRPr="00B61248">
        <w:rPr>
          <w:szCs w:val="20"/>
        </w:rPr>
        <w:t xml:space="preserve"> ‘Remarks on Legislation to Ban Assault Weapons’, </w:t>
      </w:r>
      <w:r w:rsidRPr="003F3759">
        <w:rPr>
          <w:i/>
          <w:szCs w:val="20"/>
        </w:rPr>
        <w:t>PPPUS, Book 1</w:t>
      </w:r>
      <w:r>
        <w:rPr>
          <w:szCs w:val="20"/>
        </w:rPr>
        <w:t xml:space="preserve"> (1994), p.</w:t>
      </w:r>
      <w:r w:rsidRPr="00B61248">
        <w:rPr>
          <w:szCs w:val="20"/>
        </w:rPr>
        <w:t xml:space="preserve"> 814. </w:t>
      </w:r>
      <w:r>
        <w:rPr>
          <w:szCs w:val="20"/>
        </w:rPr>
        <w:t>See also: William Clinton,</w:t>
      </w:r>
      <w:r w:rsidRPr="00B61248">
        <w:rPr>
          <w:szCs w:val="20"/>
        </w:rPr>
        <w:t xml:space="preserve"> ‘Remarks at the Gallaudet University Commencement Ceremony’, </w:t>
      </w:r>
      <w:r w:rsidRPr="003F3759">
        <w:rPr>
          <w:i/>
          <w:szCs w:val="20"/>
        </w:rPr>
        <w:t>PPPUS, Book 1</w:t>
      </w:r>
      <w:r>
        <w:rPr>
          <w:szCs w:val="20"/>
        </w:rPr>
        <w:t xml:space="preserve"> (1994), p.</w:t>
      </w:r>
      <w:r w:rsidRPr="00B61248">
        <w:rPr>
          <w:szCs w:val="20"/>
        </w:rPr>
        <w:t xml:space="preserve"> 906.</w:t>
      </w:r>
    </w:p>
  </w:footnote>
  <w:footnote w:id="82">
    <w:p w14:paraId="713F4CBF" w14:textId="06826A9A" w:rsidR="003F3759" w:rsidRPr="00B61248" w:rsidRDefault="003F3759" w:rsidP="00EC2E9C">
      <w:pPr>
        <w:pStyle w:val="FootnoteText"/>
        <w:rPr>
          <w:szCs w:val="20"/>
        </w:rPr>
      </w:pPr>
      <w:r w:rsidRPr="00B61248">
        <w:rPr>
          <w:rStyle w:val="FootnoteReference"/>
          <w:szCs w:val="20"/>
        </w:rPr>
        <w:footnoteRef/>
      </w:r>
      <w:r>
        <w:rPr>
          <w:szCs w:val="20"/>
        </w:rPr>
        <w:t xml:space="preserve"> Kenneth W. Harrow,</w:t>
      </w:r>
      <w:r w:rsidRPr="00B61248">
        <w:rPr>
          <w:szCs w:val="20"/>
        </w:rPr>
        <w:t xml:space="preserve"> ‘“Ancient Tribal Warfare”: Foundational Fantasies of Ethnicity and History’, </w:t>
      </w:r>
      <w:r w:rsidRPr="003F3759">
        <w:rPr>
          <w:i/>
          <w:szCs w:val="20"/>
        </w:rPr>
        <w:t>Research in African Literatures</w:t>
      </w:r>
      <w:r>
        <w:rPr>
          <w:szCs w:val="20"/>
        </w:rPr>
        <w:t xml:space="preserve"> 36:</w:t>
      </w:r>
      <w:r w:rsidRPr="00B61248">
        <w:rPr>
          <w:szCs w:val="20"/>
        </w:rPr>
        <w:t>2</w:t>
      </w:r>
      <w:r>
        <w:rPr>
          <w:szCs w:val="20"/>
        </w:rPr>
        <w:t xml:space="preserve"> (2005), pp.</w:t>
      </w:r>
      <w:r w:rsidRPr="00B61248">
        <w:rPr>
          <w:szCs w:val="20"/>
        </w:rPr>
        <w:t xml:space="preserve"> 34-45. See also: Catharine </w:t>
      </w:r>
      <w:r>
        <w:rPr>
          <w:szCs w:val="20"/>
        </w:rPr>
        <w:t>Newbury and David Newbury,</w:t>
      </w:r>
      <w:r w:rsidRPr="00B61248">
        <w:rPr>
          <w:szCs w:val="20"/>
        </w:rPr>
        <w:t xml:space="preserve"> ‘A Catholic Mass in Kigali: Contested Views of the Genocide and Ethnicity in Rwanda’, </w:t>
      </w:r>
      <w:r w:rsidRPr="003F3759">
        <w:rPr>
          <w:i/>
          <w:szCs w:val="20"/>
        </w:rPr>
        <w:t>Canadian Journal of African Studies</w:t>
      </w:r>
      <w:r>
        <w:rPr>
          <w:szCs w:val="20"/>
        </w:rPr>
        <w:t xml:space="preserve"> 33:</w:t>
      </w:r>
      <w:r w:rsidRPr="00B61248">
        <w:rPr>
          <w:szCs w:val="20"/>
        </w:rPr>
        <w:t>2-3</w:t>
      </w:r>
      <w:r>
        <w:rPr>
          <w:szCs w:val="20"/>
        </w:rPr>
        <w:t xml:space="preserve"> (1999), p. 293</w:t>
      </w:r>
      <w:proofErr w:type="gramStart"/>
      <w:r>
        <w:rPr>
          <w:szCs w:val="20"/>
        </w:rPr>
        <w:t>;</w:t>
      </w:r>
      <w:proofErr w:type="gramEnd"/>
      <w:r>
        <w:rPr>
          <w:szCs w:val="20"/>
        </w:rPr>
        <w:t xml:space="preserve"> Helen Fein,</w:t>
      </w:r>
      <w:r w:rsidRPr="00B61248">
        <w:rPr>
          <w:szCs w:val="20"/>
        </w:rPr>
        <w:t xml:space="preserve"> ‘Civil wars and genocide: Paths and </w:t>
      </w:r>
      <w:r>
        <w:rPr>
          <w:szCs w:val="20"/>
        </w:rPr>
        <w:t xml:space="preserve">circles’, </w:t>
      </w:r>
      <w:r w:rsidRPr="003F3759">
        <w:rPr>
          <w:i/>
          <w:szCs w:val="20"/>
        </w:rPr>
        <w:t xml:space="preserve">Human Rights Review </w:t>
      </w:r>
      <w:r>
        <w:rPr>
          <w:szCs w:val="20"/>
        </w:rPr>
        <w:t>1:</w:t>
      </w:r>
      <w:r w:rsidRPr="00B61248">
        <w:rPr>
          <w:szCs w:val="20"/>
        </w:rPr>
        <w:t>3</w:t>
      </w:r>
      <w:r>
        <w:rPr>
          <w:szCs w:val="20"/>
        </w:rPr>
        <w:t xml:space="preserve"> (2000), p.</w:t>
      </w:r>
      <w:r w:rsidRPr="00B61248">
        <w:rPr>
          <w:szCs w:val="20"/>
        </w:rPr>
        <w:t xml:space="preserve"> 57.</w:t>
      </w:r>
    </w:p>
  </w:footnote>
  <w:footnote w:id="83">
    <w:p w14:paraId="6DF89C15" w14:textId="1F7ACC27" w:rsidR="003F3759" w:rsidRPr="00B61248" w:rsidRDefault="003F3759">
      <w:pPr>
        <w:pStyle w:val="FootnoteText"/>
        <w:rPr>
          <w:szCs w:val="20"/>
          <w:lang w:val="en-US"/>
        </w:rPr>
      </w:pPr>
      <w:r w:rsidRPr="00B61248">
        <w:rPr>
          <w:rStyle w:val="FootnoteReference"/>
          <w:szCs w:val="20"/>
        </w:rPr>
        <w:footnoteRef/>
      </w:r>
      <w:r>
        <w:rPr>
          <w:szCs w:val="20"/>
        </w:rPr>
        <w:t xml:space="preserve"> </w:t>
      </w:r>
      <w:proofErr w:type="spellStart"/>
      <w:proofErr w:type="gramStart"/>
      <w:r>
        <w:rPr>
          <w:szCs w:val="20"/>
        </w:rPr>
        <w:t>Tendai</w:t>
      </w:r>
      <w:proofErr w:type="spellEnd"/>
      <w:r>
        <w:rPr>
          <w:szCs w:val="20"/>
        </w:rPr>
        <w:t xml:space="preserve"> Chari,</w:t>
      </w:r>
      <w:r w:rsidRPr="00B61248">
        <w:rPr>
          <w:szCs w:val="20"/>
        </w:rPr>
        <w:t xml:space="preserve"> ‘Representation or misrepres</w:t>
      </w:r>
      <w:r w:rsidR="00583B42">
        <w:rPr>
          <w:szCs w:val="20"/>
        </w:rPr>
        <w:t>entation?</w:t>
      </w:r>
      <w:proofErr w:type="gramEnd"/>
      <w:r w:rsidR="00583B42">
        <w:rPr>
          <w:szCs w:val="20"/>
        </w:rPr>
        <w:t xml:space="preserve"> The New York </w:t>
      </w:r>
      <w:proofErr w:type="spellStart"/>
      <w:r w:rsidR="00583B42">
        <w:rPr>
          <w:szCs w:val="20"/>
        </w:rPr>
        <w:t>Times’s</w:t>
      </w:r>
      <w:proofErr w:type="spellEnd"/>
      <w:r w:rsidR="00583B42">
        <w:rPr>
          <w:szCs w:val="20"/>
        </w:rPr>
        <w:t xml:space="preserve"> F</w:t>
      </w:r>
      <w:r w:rsidRPr="00B61248">
        <w:rPr>
          <w:szCs w:val="20"/>
        </w:rPr>
        <w:t xml:space="preserve">raming of the 1994 Rwandan </w:t>
      </w:r>
      <w:r w:rsidR="00583B42">
        <w:rPr>
          <w:szCs w:val="20"/>
        </w:rPr>
        <w:t>G</w:t>
      </w:r>
      <w:r>
        <w:rPr>
          <w:szCs w:val="20"/>
        </w:rPr>
        <w:t xml:space="preserve">enocide’, </w:t>
      </w:r>
      <w:r w:rsidRPr="003F3759">
        <w:rPr>
          <w:i/>
          <w:szCs w:val="20"/>
        </w:rPr>
        <w:t>African Identities</w:t>
      </w:r>
      <w:r>
        <w:rPr>
          <w:szCs w:val="20"/>
        </w:rPr>
        <w:t xml:space="preserve"> 8:</w:t>
      </w:r>
      <w:r w:rsidRPr="00B61248">
        <w:rPr>
          <w:szCs w:val="20"/>
        </w:rPr>
        <w:t>4</w:t>
      </w:r>
      <w:r>
        <w:rPr>
          <w:szCs w:val="20"/>
        </w:rPr>
        <w:t xml:space="preserve"> (2010), pp.</w:t>
      </w:r>
      <w:r w:rsidRPr="00B61248">
        <w:rPr>
          <w:szCs w:val="20"/>
        </w:rPr>
        <w:t xml:space="preserve"> 333-49.</w:t>
      </w:r>
    </w:p>
  </w:footnote>
  <w:footnote w:id="84">
    <w:p w14:paraId="016F4ABD" w14:textId="498E7B4A" w:rsidR="003F3759" w:rsidRPr="00B61248" w:rsidRDefault="003F3759" w:rsidP="00464181">
      <w:pPr>
        <w:rPr>
          <w:sz w:val="20"/>
          <w:szCs w:val="20"/>
          <w:lang w:val="en-US"/>
        </w:rPr>
      </w:pPr>
      <w:r w:rsidRPr="00B61248">
        <w:rPr>
          <w:rStyle w:val="FootnoteReference"/>
          <w:sz w:val="20"/>
          <w:szCs w:val="20"/>
        </w:rPr>
        <w:footnoteRef/>
      </w:r>
      <w:r>
        <w:rPr>
          <w:sz w:val="20"/>
          <w:szCs w:val="20"/>
        </w:rPr>
        <w:t xml:space="preserve"> William Clinton, </w:t>
      </w:r>
      <w:r w:rsidRPr="00B61248">
        <w:rPr>
          <w:sz w:val="20"/>
          <w:szCs w:val="20"/>
        </w:rPr>
        <w:t xml:space="preserve">‘Remarks to the White House Conference on Africa’, </w:t>
      </w:r>
      <w:r w:rsidRPr="00180B39">
        <w:rPr>
          <w:i/>
          <w:sz w:val="20"/>
          <w:szCs w:val="20"/>
        </w:rPr>
        <w:t>PPPUS, Book 1</w:t>
      </w:r>
      <w:r w:rsidR="00180B39">
        <w:rPr>
          <w:sz w:val="20"/>
          <w:szCs w:val="20"/>
        </w:rPr>
        <w:t xml:space="preserve"> </w:t>
      </w:r>
      <w:r w:rsidRPr="00B61248">
        <w:rPr>
          <w:sz w:val="20"/>
          <w:szCs w:val="20"/>
        </w:rPr>
        <w:t>(1994)</w:t>
      </w:r>
      <w:r>
        <w:rPr>
          <w:sz w:val="20"/>
          <w:szCs w:val="20"/>
        </w:rPr>
        <w:t>, p. 1150; William Clinton,</w:t>
      </w:r>
      <w:r w:rsidRPr="00B61248">
        <w:rPr>
          <w:sz w:val="20"/>
          <w:szCs w:val="20"/>
        </w:rPr>
        <w:t xml:space="preserve"> ‘Interview with the French Media in Paris’, </w:t>
      </w:r>
      <w:r w:rsidRPr="00180B39">
        <w:rPr>
          <w:i/>
          <w:sz w:val="20"/>
          <w:szCs w:val="20"/>
        </w:rPr>
        <w:t>PPPUS, Book 1</w:t>
      </w:r>
      <w:r>
        <w:rPr>
          <w:sz w:val="20"/>
          <w:szCs w:val="20"/>
        </w:rPr>
        <w:t xml:space="preserve"> </w:t>
      </w:r>
      <w:r w:rsidRPr="00B61248">
        <w:rPr>
          <w:sz w:val="20"/>
          <w:szCs w:val="20"/>
        </w:rPr>
        <w:t>(1994)</w:t>
      </w:r>
      <w:r>
        <w:rPr>
          <w:sz w:val="20"/>
          <w:szCs w:val="20"/>
        </w:rPr>
        <w:t>, pp.</w:t>
      </w:r>
      <w:r w:rsidRPr="00B61248">
        <w:rPr>
          <w:sz w:val="20"/>
          <w:szCs w:val="20"/>
        </w:rPr>
        <w:t xml:space="preserve"> 1056-57.</w:t>
      </w:r>
    </w:p>
  </w:footnote>
  <w:footnote w:id="85">
    <w:p w14:paraId="63740D46" w14:textId="3E062485" w:rsidR="003F3759" w:rsidRPr="00B61248" w:rsidRDefault="003F3759">
      <w:pPr>
        <w:pStyle w:val="FootnoteText"/>
        <w:rPr>
          <w:szCs w:val="20"/>
          <w:lang w:val="en-US"/>
        </w:rPr>
      </w:pPr>
      <w:r w:rsidRPr="00B61248">
        <w:rPr>
          <w:rStyle w:val="FootnoteReference"/>
          <w:szCs w:val="20"/>
        </w:rPr>
        <w:footnoteRef/>
      </w:r>
      <w:r>
        <w:rPr>
          <w:szCs w:val="20"/>
        </w:rPr>
        <w:t xml:space="preserve"> </w:t>
      </w:r>
      <w:proofErr w:type="gramStart"/>
      <w:r>
        <w:rPr>
          <w:szCs w:val="20"/>
        </w:rPr>
        <w:t>William Clinton,</w:t>
      </w:r>
      <w:r w:rsidRPr="00B61248">
        <w:rPr>
          <w:szCs w:val="20"/>
        </w:rPr>
        <w:t xml:space="preserve"> ‘Remarks Announcing Assistance to Rwandan Refugees and an Exchange with Reporters’, </w:t>
      </w:r>
      <w:r w:rsidRPr="00180B39">
        <w:rPr>
          <w:i/>
          <w:szCs w:val="20"/>
        </w:rPr>
        <w:t>PPPUS, Book 1</w:t>
      </w:r>
      <w:r>
        <w:rPr>
          <w:szCs w:val="20"/>
        </w:rPr>
        <w:t xml:space="preserve"> </w:t>
      </w:r>
      <w:r w:rsidRPr="00B61248">
        <w:rPr>
          <w:szCs w:val="20"/>
        </w:rPr>
        <w:t>(1994)</w:t>
      </w:r>
      <w:r>
        <w:rPr>
          <w:szCs w:val="20"/>
        </w:rPr>
        <w:t>, pp.</w:t>
      </w:r>
      <w:r w:rsidRPr="00B61248">
        <w:rPr>
          <w:szCs w:val="20"/>
        </w:rPr>
        <w:t xml:space="preserve"> 1298, 1299.</w:t>
      </w:r>
      <w:proofErr w:type="gramEnd"/>
    </w:p>
  </w:footnote>
  <w:footnote w:id="86">
    <w:p w14:paraId="0DF54B9F" w14:textId="3954B845" w:rsidR="003F3759" w:rsidRPr="00B61248" w:rsidRDefault="003F3759">
      <w:pPr>
        <w:pStyle w:val="FootnoteText"/>
        <w:rPr>
          <w:szCs w:val="20"/>
          <w:lang w:val="en-US"/>
        </w:rPr>
      </w:pPr>
      <w:r w:rsidRPr="00B61248">
        <w:rPr>
          <w:rStyle w:val="FootnoteReference"/>
          <w:szCs w:val="20"/>
        </w:rPr>
        <w:footnoteRef/>
      </w:r>
      <w:r>
        <w:rPr>
          <w:szCs w:val="20"/>
        </w:rPr>
        <w:t xml:space="preserve"> William Clinton,</w:t>
      </w:r>
      <w:r w:rsidRPr="00B61248">
        <w:rPr>
          <w:szCs w:val="20"/>
        </w:rPr>
        <w:t xml:space="preserve"> ‘Exchange with Reporters in Hot Springs’, PPPUS, Book 1</w:t>
      </w:r>
      <w:r>
        <w:rPr>
          <w:szCs w:val="20"/>
        </w:rPr>
        <w:t xml:space="preserve"> </w:t>
      </w:r>
      <w:r w:rsidRPr="00B61248">
        <w:rPr>
          <w:szCs w:val="20"/>
        </w:rPr>
        <w:t>(1994)</w:t>
      </w:r>
      <w:r>
        <w:rPr>
          <w:szCs w:val="20"/>
        </w:rPr>
        <w:t>, p.</w:t>
      </w:r>
      <w:r w:rsidRPr="00B61248">
        <w:rPr>
          <w:szCs w:val="20"/>
        </w:rPr>
        <w:t xml:space="preserve"> 1305.</w:t>
      </w:r>
    </w:p>
  </w:footnote>
  <w:footnote w:id="87">
    <w:p w14:paraId="60DBE3CF" w14:textId="6EAA80E1" w:rsidR="003F3759" w:rsidRPr="00B61248" w:rsidRDefault="003F3759">
      <w:pPr>
        <w:pStyle w:val="FootnoteText"/>
        <w:rPr>
          <w:szCs w:val="20"/>
          <w:lang w:val="en-US"/>
        </w:rPr>
      </w:pPr>
      <w:r w:rsidRPr="00B61248">
        <w:rPr>
          <w:rStyle w:val="FootnoteReference"/>
          <w:szCs w:val="20"/>
        </w:rPr>
        <w:footnoteRef/>
      </w:r>
      <w:r>
        <w:rPr>
          <w:szCs w:val="20"/>
        </w:rPr>
        <w:t xml:space="preserve"> William Clinton,</w:t>
      </w:r>
      <w:r w:rsidRPr="00B61248">
        <w:rPr>
          <w:szCs w:val="20"/>
        </w:rPr>
        <w:t xml:space="preserve"> ‘Proclamation 6747 – United Nations Day, 1994’, </w:t>
      </w:r>
      <w:r w:rsidRPr="00180B39">
        <w:rPr>
          <w:i/>
          <w:szCs w:val="20"/>
        </w:rPr>
        <w:t>Compilation of Presidential Documents</w:t>
      </w:r>
      <w:r w:rsidRPr="00B61248">
        <w:rPr>
          <w:szCs w:val="20"/>
        </w:rPr>
        <w:t xml:space="preserve"> (</w:t>
      </w:r>
      <w:r>
        <w:rPr>
          <w:szCs w:val="20"/>
        </w:rPr>
        <w:t>hereafter CPD) (1994), p.</w:t>
      </w:r>
      <w:r w:rsidRPr="00B61248">
        <w:rPr>
          <w:szCs w:val="20"/>
        </w:rPr>
        <w:t xml:space="preserve"> 2095.</w:t>
      </w:r>
    </w:p>
  </w:footnote>
  <w:footnote w:id="88">
    <w:p w14:paraId="266EB2A5" w14:textId="109A94B5" w:rsidR="003F3759" w:rsidRPr="00B61248" w:rsidRDefault="003F3759">
      <w:pPr>
        <w:pStyle w:val="FootnoteText"/>
        <w:rPr>
          <w:szCs w:val="20"/>
          <w:lang w:val="en-US"/>
        </w:rPr>
      </w:pPr>
      <w:r w:rsidRPr="00B61248">
        <w:rPr>
          <w:rStyle w:val="FootnoteReference"/>
          <w:szCs w:val="20"/>
        </w:rPr>
        <w:footnoteRef/>
      </w:r>
      <w:r>
        <w:rPr>
          <w:szCs w:val="20"/>
        </w:rPr>
        <w:t xml:space="preserve"> Tim Dunne and Daniela </w:t>
      </w:r>
      <w:proofErr w:type="spellStart"/>
      <w:r>
        <w:rPr>
          <w:szCs w:val="20"/>
        </w:rPr>
        <w:t>Kroslak</w:t>
      </w:r>
      <w:proofErr w:type="spellEnd"/>
      <w:r>
        <w:rPr>
          <w:szCs w:val="20"/>
        </w:rPr>
        <w:t>,</w:t>
      </w:r>
      <w:r w:rsidRPr="00B61248">
        <w:rPr>
          <w:szCs w:val="20"/>
        </w:rPr>
        <w:t xml:space="preserve"> ‘</w:t>
      </w:r>
      <w:r w:rsidR="00583B42">
        <w:rPr>
          <w:szCs w:val="20"/>
        </w:rPr>
        <w:t xml:space="preserve">Genocide: Knowing </w:t>
      </w:r>
      <w:proofErr w:type="spellStart"/>
      <w:r w:rsidR="00583B42">
        <w:rPr>
          <w:szCs w:val="20"/>
        </w:rPr>
        <w:t>Ahat</w:t>
      </w:r>
      <w:proofErr w:type="spellEnd"/>
      <w:r w:rsidR="00583B42">
        <w:rPr>
          <w:szCs w:val="20"/>
        </w:rPr>
        <w:t xml:space="preserve"> it is that We Want to Remember, or Forget, or F</w:t>
      </w:r>
      <w:r w:rsidRPr="00B61248">
        <w:rPr>
          <w:szCs w:val="20"/>
        </w:rPr>
        <w:t xml:space="preserve">orgive’, </w:t>
      </w:r>
      <w:r w:rsidRPr="00180B39">
        <w:rPr>
          <w:i/>
          <w:szCs w:val="20"/>
        </w:rPr>
        <w:t>The International Journal of Human Rights</w:t>
      </w:r>
      <w:r>
        <w:rPr>
          <w:szCs w:val="20"/>
        </w:rPr>
        <w:t xml:space="preserve"> 4:</w:t>
      </w:r>
      <w:r w:rsidRPr="00B61248">
        <w:rPr>
          <w:szCs w:val="20"/>
        </w:rPr>
        <w:t>3-4</w:t>
      </w:r>
      <w:r>
        <w:rPr>
          <w:szCs w:val="20"/>
        </w:rPr>
        <w:t xml:space="preserve"> (2000), pp.</w:t>
      </w:r>
      <w:r w:rsidRPr="00B61248">
        <w:rPr>
          <w:szCs w:val="20"/>
        </w:rPr>
        <w:t xml:space="preserve"> 37-38.</w:t>
      </w:r>
    </w:p>
  </w:footnote>
  <w:footnote w:id="89">
    <w:p w14:paraId="38C8F482" w14:textId="130E6A99" w:rsidR="003F3759" w:rsidRPr="00B61248" w:rsidRDefault="003F3759">
      <w:pPr>
        <w:pStyle w:val="FootnoteText"/>
        <w:rPr>
          <w:szCs w:val="20"/>
          <w:lang w:val="en-US"/>
        </w:rPr>
      </w:pPr>
      <w:r w:rsidRPr="00B61248">
        <w:rPr>
          <w:rStyle w:val="FootnoteReference"/>
          <w:szCs w:val="20"/>
        </w:rPr>
        <w:footnoteRef/>
      </w:r>
      <w:r w:rsidRPr="00B61248">
        <w:rPr>
          <w:szCs w:val="20"/>
        </w:rPr>
        <w:t xml:space="preserve"> </w:t>
      </w:r>
      <w:r w:rsidRPr="00B61248">
        <w:rPr>
          <w:szCs w:val="20"/>
          <w:lang w:val="en-US"/>
        </w:rPr>
        <w:t>Bellamy (2009).</w:t>
      </w:r>
    </w:p>
  </w:footnote>
  <w:footnote w:id="90">
    <w:p w14:paraId="7BF25F1E" w14:textId="1974E5E3" w:rsidR="003F3759" w:rsidRPr="00B61248" w:rsidRDefault="003F3759">
      <w:pPr>
        <w:pStyle w:val="FootnoteText"/>
        <w:rPr>
          <w:szCs w:val="20"/>
          <w:lang w:val="en-US"/>
        </w:rPr>
      </w:pPr>
      <w:r w:rsidRPr="00B61248">
        <w:rPr>
          <w:rStyle w:val="FootnoteReference"/>
          <w:szCs w:val="20"/>
        </w:rPr>
        <w:footnoteRef/>
      </w:r>
      <w:r>
        <w:rPr>
          <w:szCs w:val="20"/>
        </w:rPr>
        <w:t xml:space="preserve"> William Clinton, </w:t>
      </w:r>
      <w:r w:rsidRPr="00B61248">
        <w:rPr>
          <w:szCs w:val="20"/>
        </w:rPr>
        <w:t xml:space="preserve">‘Remarks to the Arab American Institute Conference’, </w:t>
      </w:r>
      <w:r w:rsidRPr="00180B39">
        <w:rPr>
          <w:i/>
          <w:szCs w:val="20"/>
        </w:rPr>
        <w:t>PPPUS, Book 1</w:t>
      </w:r>
      <w:r>
        <w:rPr>
          <w:szCs w:val="20"/>
        </w:rPr>
        <w:t xml:space="preserve"> </w:t>
      </w:r>
      <w:r w:rsidRPr="00B61248">
        <w:rPr>
          <w:szCs w:val="20"/>
        </w:rPr>
        <w:t>(1998)</w:t>
      </w:r>
      <w:r>
        <w:rPr>
          <w:szCs w:val="20"/>
        </w:rPr>
        <w:t xml:space="preserve">, pp. 718-19; William Clinton, </w:t>
      </w:r>
      <w:r w:rsidRPr="00B61248">
        <w:rPr>
          <w:szCs w:val="20"/>
        </w:rPr>
        <w:t xml:space="preserve">‘Remarks at a Democratic National Committee Dinner in Aspen, Colorado’, </w:t>
      </w:r>
      <w:r w:rsidRPr="00180B39">
        <w:rPr>
          <w:i/>
          <w:szCs w:val="20"/>
        </w:rPr>
        <w:t>PPPUS, Book 2</w:t>
      </w:r>
      <w:r>
        <w:rPr>
          <w:szCs w:val="20"/>
        </w:rPr>
        <w:t xml:space="preserve"> </w:t>
      </w:r>
      <w:r w:rsidRPr="00B61248">
        <w:rPr>
          <w:szCs w:val="20"/>
        </w:rPr>
        <w:t>(1998)</w:t>
      </w:r>
      <w:r>
        <w:rPr>
          <w:szCs w:val="20"/>
        </w:rPr>
        <w:t>, p.</w:t>
      </w:r>
      <w:r w:rsidRPr="00B61248">
        <w:rPr>
          <w:szCs w:val="20"/>
        </w:rPr>
        <w:t xml:space="preserve"> 1329.</w:t>
      </w:r>
    </w:p>
  </w:footnote>
  <w:footnote w:id="91">
    <w:p w14:paraId="6CFA8C75" w14:textId="16297612" w:rsidR="003F3759" w:rsidRPr="00B61248" w:rsidRDefault="003F3759">
      <w:pPr>
        <w:pStyle w:val="FootnoteText"/>
        <w:rPr>
          <w:szCs w:val="20"/>
          <w:lang w:val="en-US"/>
        </w:rPr>
      </w:pPr>
      <w:r w:rsidRPr="00B61248">
        <w:rPr>
          <w:rStyle w:val="FootnoteReference"/>
          <w:szCs w:val="20"/>
        </w:rPr>
        <w:footnoteRef/>
      </w:r>
      <w:r>
        <w:rPr>
          <w:szCs w:val="20"/>
        </w:rPr>
        <w:t xml:space="preserve"> William Clinton, </w:t>
      </w:r>
      <w:r w:rsidRPr="00B61248">
        <w:rPr>
          <w:szCs w:val="20"/>
        </w:rPr>
        <w:t xml:space="preserve">‘Remarks on Departure for Europe and an Exchange with Reporters’, </w:t>
      </w:r>
      <w:r w:rsidRPr="00180B39">
        <w:rPr>
          <w:i/>
          <w:szCs w:val="20"/>
        </w:rPr>
        <w:t xml:space="preserve">PPPUS, Book 1 </w:t>
      </w:r>
      <w:r w:rsidRPr="00B61248">
        <w:rPr>
          <w:szCs w:val="20"/>
        </w:rPr>
        <w:t>(1999)</w:t>
      </w:r>
      <w:r>
        <w:rPr>
          <w:szCs w:val="20"/>
        </w:rPr>
        <w:t>, p.</w:t>
      </w:r>
      <w:r w:rsidRPr="00B61248">
        <w:rPr>
          <w:szCs w:val="20"/>
        </w:rPr>
        <w:t xml:space="preserve"> 686.</w:t>
      </w:r>
    </w:p>
  </w:footnote>
  <w:footnote w:id="92">
    <w:p w14:paraId="2FA69CAC" w14:textId="7A1CA7E3" w:rsidR="003F3759" w:rsidRPr="00B61248" w:rsidRDefault="003F3759">
      <w:pPr>
        <w:pStyle w:val="FootnoteText"/>
        <w:rPr>
          <w:szCs w:val="20"/>
          <w:lang w:val="en-US"/>
        </w:rPr>
      </w:pPr>
      <w:r w:rsidRPr="00B61248">
        <w:rPr>
          <w:rStyle w:val="FootnoteReference"/>
          <w:szCs w:val="20"/>
        </w:rPr>
        <w:footnoteRef/>
      </w:r>
      <w:r>
        <w:rPr>
          <w:szCs w:val="20"/>
        </w:rPr>
        <w:t xml:space="preserve"> William Clinton,</w:t>
      </w:r>
      <w:r w:rsidRPr="00B61248">
        <w:rPr>
          <w:szCs w:val="20"/>
        </w:rPr>
        <w:t xml:space="preserve"> ‘Remarks and a Question-and-Answer Session with the American Society of Newspaper Editors in San Francisco, California’, </w:t>
      </w:r>
      <w:r w:rsidRPr="00180B39">
        <w:rPr>
          <w:i/>
          <w:szCs w:val="20"/>
        </w:rPr>
        <w:t>PPPUS, Book 1</w:t>
      </w:r>
      <w:r w:rsidR="00180B39">
        <w:rPr>
          <w:szCs w:val="20"/>
        </w:rPr>
        <w:t xml:space="preserve"> </w:t>
      </w:r>
      <w:r w:rsidRPr="00B61248">
        <w:rPr>
          <w:szCs w:val="20"/>
        </w:rPr>
        <w:t>(1999)</w:t>
      </w:r>
      <w:r>
        <w:rPr>
          <w:szCs w:val="20"/>
        </w:rPr>
        <w:t>, p.</w:t>
      </w:r>
      <w:r w:rsidRPr="00B61248">
        <w:rPr>
          <w:szCs w:val="20"/>
        </w:rPr>
        <w:t xml:space="preserve"> 553.</w:t>
      </w:r>
    </w:p>
  </w:footnote>
  <w:footnote w:id="93">
    <w:p w14:paraId="38E9DFF9" w14:textId="3E241C71" w:rsidR="003F3759" w:rsidRPr="00B61248" w:rsidRDefault="003F3759">
      <w:pPr>
        <w:pStyle w:val="FootnoteText"/>
        <w:rPr>
          <w:szCs w:val="20"/>
          <w:lang w:val="en-US"/>
        </w:rPr>
      </w:pPr>
      <w:r w:rsidRPr="00B61248">
        <w:rPr>
          <w:rStyle w:val="FootnoteReference"/>
          <w:szCs w:val="20"/>
        </w:rPr>
        <w:footnoteRef/>
      </w:r>
      <w:r>
        <w:rPr>
          <w:szCs w:val="20"/>
        </w:rPr>
        <w:t xml:space="preserve"> William Clinton,</w:t>
      </w:r>
      <w:r w:rsidRPr="00B61248">
        <w:rPr>
          <w:szCs w:val="20"/>
        </w:rPr>
        <w:t xml:space="preserve"> ‘Statement on the Observance of Orthodox Easter’, </w:t>
      </w:r>
      <w:r w:rsidRPr="00180B39">
        <w:rPr>
          <w:i/>
          <w:szCs w:val="20"/>
        </w:rPr>
        <w:t>PPPUS, Book 1</w:t>
      </w:r>
      <w:r>
        <w:rPr>
          <w:szCs w:val="20"/>
        </w:rPr>
        <w:t xml:space="preserve"> </w:t>
      </w:r>
      <w:r w:rsidRPr="00B61248">
        <w:rPr>
          <w:szCs w:val="20"/>
        </w:rPr>
        <w:t>(1999)</w:t>
      </w:r>
      <w:r>
        <w:rPr>
          <w:szCs w:val="20"/>
        </w:rPr>
        <w:t>, p.</w:t>
      </w:r>
      <w:r w:rsidRPr="00B61248">
        <w:rPr>
          <w:szCs w:val="20"/>
        </w:rPr>
        <w:t xml:space="preserve"> 536.</w:t>
      </w:r>
    </w:p>
  </w:footnote>
  <w:footnote w:id="94">
    <w:p w14:paraId="7BA5B731" w14:textId="1539E0CD" w:rsidR="003F3759" w:rsidRPr="00B61248" w:rsidRDefault="003F3759">
      <w:pPr>
        <w:pStyle w:val="FootnoteText"/>
        <w:rPr>
          <w:szCs w:val="20"/>
          <w:lang w:val="en-US"/>
        </w:rPr>
      </w:pPr>
      <w:r w:rsidRPr="00B61248">
        <w:rPr>
          <w:rStyle w:val="FootnoteReference"/>
          <w:szCs w:val="20"/>
        </w:rPr>
        <w:footnoteRef/>
      </w:r>
      <w:r>
        <w:rPr>
          <w:szCs w:val="20"/>
        </w:rPr>
        <w:t xml:space="preserve"> William Clinton,</w:t>
      </w:r>
      <w:r w:rsidRPr="00B61248">
        <w:rPr>
          <w:szCs w:val="20"/>
        </w:rPr>
        <w:t xml:space="preserve"> ‘Remarks to the Arkansas State Democratic Committee in Little Rock, Arkansas’, </w:t>
      </w:r>
      <w:r w:rsidRPr="00180B39">
        <w:rPr>
          <w:i/>
          <w:szCs w:val="20"/>
        </w:rPr>
        <w:t>PPPUS, Book 2</w:t>
      </w:r>
      <w:r>
        <w:rPr>
          <w:szCs w:val="20"/>
        </w:rPr>
        <w:t xml:space="preserve"> (1998), p. 1271; William Clinton,</w:t>
      </w:r>
      <w:r w:rsidRPr="00B61248">
        <w:rPr>
          <w:szCs w:val="20"/>
        </w:rPr>
        <w:t xml:space="preserve"> ‘Remarks at a Reception for Lieutenant Governor </w:t>
      </w:r>
      <w:proofErr w:type="spellStart"/>
      <w:r w:rsidRPr="00B61248">
        <w:rPr>
          <w:szCs w:val="20"/>
        </w:rPr>
        <w:t>Gray</w:t>
      </w:r>
      <w:proofErr w:type="spellEnd"/>
      <w:r w:rsidRPr="00B61248">
        <w:rPr>
          <w:szCs w:val="20"/>
        </w:rPr>
        <w:t xml:space="preserve"> Davis of California in Los Angeles’, </w:t>
      </w:r>
      <w:r w:rsidRPr="00180B39">
        <w:rPr>
          <w:i/>
          <w:szCs w:val="20"/>
        </w:rPr>
        <w:t>PPPUS, Book 2</w:t>
      </w:r>
      <w:r>
        <w:rPr>
          <w:szCs w:val="20"/>
        </w:rPr>
        <w:t xml:space="preserve"> (1998), p.</w:t>
      </w:r>
      <w:r w:rsidRPr="00B61248">
        <w:rPr>
          <w:szCs w:val="20"/>
        </w:rPr>
        <w:t xml:space="preserve"> 1438.</w:t>
      </w:r>
    </w:p>
  </w:footnote>
  <w:footnote w:id="95">
    <w:p w14:paraId="4B6D1168" w14:textId="19D4E223" w:rsidR="003F3759" w:rsidRPr="00B61248" w:rsidRDefault="003F3759">
      <w:pPr>
        <w:pStyle w:val="FootnoteText"/>
        <w:rPr>
          <w:szCs w:val="20"/>
          <w:lang w:val="en-US"/>
        </w:rPr>
      </w:pPr>
      <w:r w:rsidRPr="00B61248">
        <w:rPr>
          <w:rStyle w:val="FootnoteReference"/>
          <w:szCs w:val="20"/>
        </w:rPr>
        <w:footnoteRef/>
      </w:r>
      <w:r>
        <w:rPr>
          <w:szCs w:val="20"/>
        </w:rPr>
        <w:t xml:space="preserve"> William Clinton,</w:t>
      </w:r>
      <w:r w:rsidRPr="00B61248">
        <w:rPr>
          <w:szCs w:val="20"/>
        </w:rPr>
        <w:t xml:space="preserve"> ‘Remarks at a Democratic National Committee Dinner in Las Vegas’, </w:t>
      </w:r>
      <w:r w:rsidRPr="00180B39">
        <w:rPr>
          <w:i/>
          <w:szCs w:val="20"/>
        </w:rPr>
        <w:t>PPPUS, Book 1</w:t>
      </w:r>
      <w:r>
        <w:rPr>
          <w:szCs w:val="20"/>
        </w:rPr>
        <w:t xml:space="preserve"> </w:t>
      </w:r>
      <w:r w:rsidRPr="00B61248">
        <w:rPr>
          <w:szCs w:val="20"/>
        </w:rPr>
        <w:t>(1999)</w:t>
      </w:r>
      <w:r>
        <w:rPr>
          <w:szCs w:val="20"/>
        </w:rPr>
        <w:t>, p.</w:t>
      </w:r>
      <w:r w:rsidRPr="00B61248">
        <w:rPr>
          <w:szCs w:val="20"/>
        </w:rPr>
        <w:t xml:space="preserve"> 799.</w:t>
      </w:r>
    </w:p>
  </w:footnote>
  <w:footnote w:id="96">
    <w:p w14:paraId="1674D757" w14:textId="15AAE691" w:rsidR="003F3759" w:rsidRPr="00B61248" w:rsidRDefault="003F3759">
      <w:pPr>
        <w:pStyle w:val="FootnoteText"/>
        <w:rPr>
          <w:szCs w:val="20"/>
          <w:lang w:val="en-US"/>
        </w:rPr>
      </w:pPr>
      <w:r w:rsidRPr="00B61248">
        <w:rPr>
          <w:rStyle w:val="FootnoteReference"/>
          <w:szCs w:val="20"/>
        </w:rPr>
        <w:footnoteRef/>
      </w:r>
      <w:r>
        <w:rPr>
          <w:szCs w:val="20"/>
        </w:rPr>
        <w:t xml:space="preserve"> William Clinton, </w:t>
      </w:r>
      <w:r w:rsidRPr="00B61248">
        <w:rPr>
          <w:szCs w:val="20"/>
        </w:rPr>
        <w:t xml:space="preserve">‘Remarks Prior to Discussions with United Nations Secretary-General Kofi Annan and an Exchange with Reporters’, </w:t>
      </w:r>
      <w:r w:rsidRPr="00180B39">
        <w:rPr>
          <w:i/>
          <w:szCs w:val="20"/>
        </w:rPr>
        <w:t>PPPUS, Book 1</w:t>
      </w:r>
      <w:r>
        <w:rPr>
          <w:szCs w:val="20"/>
        </w:rPr>
        <w:t xml:space="preserve"> (1998), p. 355; William Clinton,</w:t>
      </w:r>
      <w:r w:rsidRPr="00B61248">
        <w:rPr>
          <w:szCs w:val="20"/>
        </w:rPr>
        <w:t xml:space="preserve"> ‘Remarks at a Democratic National Committee Dinner in Philadelphia’, </w:t>
      </w:r>
      <w:r w:rsidRPr="00180B39">
        <w:rPr>
          <w:i/>
          <w:szCs w:val="20"/>
        </w:rPr>
        <w:t>PPPUS, Book 2</w:t>
      </w:r>
      <w:r>
        <w:rPr>
          <w:szCs w:val="20"/>
        </w:rPr>
        <w:t xml:space="preserve"> (1998), p. 1734; William Clinton,</w:t>
      </w:r>
      <w:r w:rsidRPr="00B61248">
        <w:rPr>
          <w:szCs w:val="20"/>
        </w:rPr>
        <w:t xml:space="preserve"> ‘Remarks to Kosovo International Security Force Troops in Skopje’, </w:t>
      </w:r>
      <w:r w:rsidRPr="00180B39">
        <w:rPr>
          <w:i/>
          <w:szCs w:val="20"/>
        </w:rPr>
        <w:t>PPPUS, Book 1</w:t>
      </w:r>
      <w:r>
        <w:rPr>
          <w:szCs w:val="20"/>
        </w:rPr>
        <w:t xml:space="preserve"> </w:t>
      </w:r>
      <w:r w:rsidRPr="00B61248">
        <w:rPr>
          <w:szCs w:val="20"/>
        </w:rPr>
        <w:t>(1999)</w:t>
      </w:r>
      <w:r>
        <w:rPr>
          <w:szCs w:val="20"/>
        </w:rPr>
        <w:t>, p.</w:t>
      </w:r>
      <w:r w:rsidRPr="00B61248">
        <w:rPr>
          <w:szCs w:val="20"/>
        </w:rPr>
        <w:t xml:space="preserve"> 993.</w:t>
      </w:r>
    </w:p>
  </w:footnote>
  <w:footnote w:id="97">
    <w:p w14:paraId="2EF45299" w14:textId="2C4C2B86" w:rsidR="003F3759" w:rsidRPr="00B61248" w:rsidRDefault="003F3759">
      <w:pPr>
        <w:pStyle w:val="FootnoteText"/>
        <w:rPr>
          <w:szCs w:val="20"/>
          <w:lang w:val="en-US"/>
        </w:rPr>
      </w:pPr>
      <w:r w:rsidRPr="00B61248">
        <w:rPr>
          <w:rStyle w:val="FootnoteReference"/>
          <w:szCs w:val="20"/>
        </w:rPr>
        <w:footnoteRef/>
      </w:r>
      <w:r>
        <w:rPr>
          <w:szCs w:val="20"/>
        </w:rPr>
        <w:t xml:space="preserve"> William Clinton,</w:t>
      </w:r>
      <w:r w:rsidRPr="00B61248">
        <w:rPr>
          <w:szCs w:val="20"/>
        </w:rPr>
        <w:t xml:space="preserve"> ‘Address to the Nation on Airstrikes Against Serbian Targets in the Federal Republic of Yugoslavia’, </w:t>
      </w:r>
      <w:r w:rsidRPr="00180B39">
        <w:rPr>
          <w:i/>
          <w:szCs w:val="20"/>
        </w:rPr>
        <w:t>PPPUS, Book 1</w:t>
      </w:r>
      <w:r>
        <w:rPr>
          <w:szCs w:val="20"/>
        </w:rPr>
        <w:t xml:space="preserve"> </w:t>
      </w:r>
      <w:r w:rsidRPr="00B61248">
        <w:rPr>
          <w:szCs w:val="20"/>
        </w:rPr>
        <w:t>(1999)</w:t>
      </w:r>
      <w:r>
        <w:rPr>
          <w:szCs w:val="20"/>
        </w:rPr>
        <w:t>, p.</w:t>
      </w:r>
      <w:r w:rsidRPr="00B61248">
        <w:rPr>
          <w:szCs w:val="20"/>
        </w:rPr>
        <w:t xml:space="preserve"> 451.</w:t>
      </w:r>
    </w:p>
  </w:footnote>
  <w:footnote w:id="98">
    <w:p w14:paraId="2E9DF224" w14:textId="0409217C" w:rsidR="003F3759" w:rsidRPr="00B61248" w:rsidRDefault="003F3759">
      <w:pPr>
        <w:pStyle w:val="FootnoteText"/>
        <w:rPr>
          <w:szCs w:val="20"/>
          <w:lang w:val="en-US"/>
        </w:rPr>
      </w:pPr>
      <w:r w:rsidRPr="00B61248">
        <w:rPr>
          <w:rStyle w:val="FootnoteReference"/>
          <w:szCs w:val="20"/>
        </w:rPr>
        <w:footnoteRef/>
      </w:r>
      <w:r w:rsidRPr="00B61248">
        <w:rPr>
          <w:szCs w:val="20"/>
        </w:rPr>
        <w:t xml:space="preserve"> William </w:t>
      </w:r>
      <w:r>
        <w:rPr>
          <w:szCs w:val="20"/>
          <w:lang w:val="en-US"/>
        </w:rPr>
        <w:t>Clinton,</w:t>
      </w:r>
      <w:r w:rsidRPr="00B61248">
        <w:rPr>
          <w:szCs w:val="20"/>
          <w:lang w:val="en-US"/>
        </w:rPr>
        <w:t xml:space="preserve"> ‘Remarks at the Legislative Convention of the American Federation of State, County, and Municipal Employees’, </w:t>
      </w:r>
      <w:r w:rsidRPr="00180B39">
        <w:rPr>
          <w:i/>
          <w:szCs w:val="20"/>
          <w:lang w:val="en-US"/>
        </w:rPr>
        <w:t>PPPUS, Book 1</w:t>
      </w:r>
      <w:r>
        <w:rPr>
          <w:szCs w:val="20"/>
          <w:lang w:val="en-US"/>
        </w:rPr>
        <w:t xml:space="preserve"> </w:t>
      </w:r>
      <w:r w:rsidRPr="00B61248">
        <w:rPr>
          <w:szCs w:val="20"/>
        </w:rPr>
        <w:t>(1999)</w:t>
      </w:r>
      <w:r>
        <w:rPr>
          <w:szCs w:val="20"/>
          <w:lang w:val="en-US"/>
        </w:rPr>
        <w:t>, p.</w:t>
      </w:r>
      <w:r w:rsidRPr="00B61248">
        <w:rPr>
          <w:szCs w:val="20"/>
          <w:lang w:val="en-US"/>
        </w:rPr>
        <w:t xml:space="preserve"> 429.</w:t>
      </w:r>
    </w:p>
  </w:footnote>
  <w:footnote w:id="99">
    <w:p w14:paraId="3BB9A178" w14:textId="77777777" w:rsidR="003F3759" w:rsidRPr="00837218" w:rsidRDefault="003F3759" w:rsidP="00C50B0D">
      <w:pPr>
        <w:pStyle w:val="FootnoteText"/>
        <w:rPr>
          <w:lang w:val="en-US"/>
        </w:rPr>
      </w:pPr>
      <w:r>
        <w:rPr>
          <w:rStyle w:val="FootnoteReference"/>
        </w:rPr>
        <w:footnoteRef/>
      </w:r>
      <w:r>
        <w:t xml:space="preserve"> </w:t>
      </w:r>
      <w:r>
        <w:rPr>
          <w:lang w:val="en-US"/>
        </w:rPr>
        <w:t xml:space="preserve">Richard A. Falk, ‘Kosovo, World Order, and the Future of International Law’, </w:t>
      </w:r>
      <w:r w:rsidRPr="00180B39">
        <w:rPr>
          <w:i/>
          <w:lang w:val="en-US"/>
        </w:rPr>
        <w:t xml:space="preserve">The American Journal of </w:t>
      </w:r>
      <w:proofErr w:type="gramStart"/>
      <w:r w:rsidRPr="00180B39">
        <w:rPr>
          <w:i/>
          <w:lang w:val="en-US"/>
        </w:rPr>
        <w:t xml:space="preserve">International Law </w:t>
      </w:r>
      <w:r>
        <w:rPr>
          <w:lang w:val="en-US"/>
        </w:rPr>
        <w:t>93:4</w:t>
      </w:r>
      <w:proofErr w:type="gramEnd"/>
      <w:r>
        <w:rPr>
          <w:lang w:val="en-US"/>
        </w:rPr>
        <w:t xml:space="preserve"> (1999), pp. 847-57; Michael </w:t>
      </w:r>
      <w:proofErr w:type="spellStart"/>
      <w:r>
        <w:rPr>
          <w:lang w:val="en-US"/>
        </w:rPr>
        <w:t>Mandelbaum</w:t>
      </w:r>
      <w:proofErr w:type="spellEnd"/>
      <w:r>
        <w:rPr>
          <w:lang w:val="en-US"/>
        </w:rPr>
        <w:t xml:space="preserve">, ‘A Perfect Failure: NATO’s War against Yugoslavia’, </w:t>
      </w:r>
      <w:r w:rsidRPr="00180B39">
        <w:rPr>
          <w:i/>
          <w:lang w:val="en-US"/>
        </w:rPr>
        <w:t>Foreign Affairs</w:t>
      </w:r>
      <w:r>
        <w:rPr>
          <w:lang w:val="en-US"/>
        </w:rPr>
        <w:t xml:space="preserve"> 78:5 (1999): pp. 2-8. For criticism of the criticism see: James B. Steinberg, ‘A Perfect Polemic: Blind to Reality in Kosovo’, </w:t>
      </w:r>
      <w:r w:rsidRPr="00180B39">
        <w:rPr>
          <w:i/>
          <w:lang w:val="en-US"/>
        </w:rPr>
        <w:t>Foreign Affairs</w:t>
      </w:r>
      <w:r>
        <w:rPr>
          <w:lang w:val="en-US"/>
        </w:rPr>
        <w:t xml:space="preserve"> 78:6 (1999), pp. 128-33.</w:t>
      </w:r>
    </w:p>
  </w:footnote>
  <w:footnote w:id="100">
    <w:p w14:paraId="5B74428C" w14:textId="77777777" w:rsidR="003F3759" w:rsidRPr="006E3F0C" w:rsidRDefault="003F3759" w:rsidP="00C50B0D">
      <w:pPr>
        <w:pStyle w:val="FootnoteText"/>
        <w:rPr>
          <w:lang w:val="en-US"/>
        </w:rPr>
      </w:pPr>
      <w:r>
        <w:rPr>
          <w:rStyle w:val="FootnoteReference"/>
        </w:rPr>
        <w:footnoteRef/>
      </w:r>
      <w:r>
        <w:t xml:space="preserve"> Louis </w:t>
      </w:r>
      <w:proofErr w:type="spellStart"/>
      <w:r>
        <w:t>Henkin</w:t>
      </w:r>
      <w:proofErr w:type="spellEnd"/>
      <w:r>
        <w:t xml:space="preserve">, ‘Kosovo and the Law of Humanitarian Intervention”’, </w:t>
      </w:r>
      <w:r w:rsidRPr="00180B39">
        <w:rPr>
          <w:i/>
        </w:rPr>
        <w:t>The American Journal of International Law</w:t>
      </w:r>
      <w:r>
        <w:t xml:space="preserve"> 93:4 (1999), pp. 824-28; </w:t>
      </w:r>
      <w:r>
        <w:rPr>
          <w:lang w:val="en-US"/>
        </w:rPr>
        <w:t xml:space="preserve">John J Merriam, ‘Kosovo and the Law of Humanitarian Intervention’, </w:t>
      </w:r>
      <w:r w:rsidRPr="00180B39">
        <w:rPr>
          <w:i/>
          <w:lang w:val="en-US"/>
        </w:rPr>
        <w:t>Case Western Journal of International Law</w:t>
      </w:r>
      <w:r>
        <w:rPr>
          <w:lang w:val="en-US"/>
        </w:rPr>
        <w:t xml:space="preserve"> 33: 1 (2001), pp. 111-54; Marjorie Cohen, ‘NATO Bombing of Kosovo: Humanitarian Intervention or Crime against Humanity’, </w:t>
      </w:r>
      <w:r w:rsidRPr="00180B39">
        <w:rPr>
          <w:i/>
          <w:lang w:val="en-US"/>
        </w:rPr>
        <w:t>International Journal for the Semiotics of Law</w:t>
      </w:r>
      <w:r>
        <w:rPr>
          <w:lang w:val="en-US"/>
        </w:rPr>
        <w:t xml:space="preserve"> 15:1 (2002), pp. 79-2016.</w:t>
      </w:r>
    </w:p>
  </w:footnote>
  <w:footnote w:id="101">
    <w:p w14:paraId="5ADA9EA3" w14:textId="1C0EC6AD" w:rsidR="003F3759" w:rsidRPr="00B61248" w:rsidRDefault="003F3759">
      <w:pPr>
        <w:pStyle w:val="FootnoteText"/>
        <w:rPr>
          <w:szCs w:val="20"/>
          <w:lang w:val="en-US"/>
        </w:rPr>
      </w:pPr>
      <w:r w:rsidRPr="00B61248">
        <w:rPr>
          <w:rStyle w:val="FootnoteReference"/>
          <w:szCs w:val="20"/>
        </w:rPr>
        <w:footnoteRef/>
      </w:r>
      <w:r>
        <w:rPr>
          <w:szCs w:val="20"/>
        </w:rPr>
        <w:t xml:space="preserve"> William Clinton,</w:t>
      </w:r>
      <w:r w:rsidRPr="00B61248">
        <w:rPr>
          <w:szCs w:val="20"/>
        </w:rPr>
        <w:t xml:space="preserve"> ‘Remarks Following a Meeting with a Congressional Delegation and an Exchange with Reporters’,</w:t>
      </w:r>
      <w:r w:rsidRPr="00B61248">
        <w:rPr>
          <w:szCs w:val="20"/>
          <w:lang w:val="en-US"/>
        </w:rPr>
        <w:t xml:space="preserve"> </w:t>
      </w:r>
      <w:r w:rsidRPr="00180B39">
        <w:rPr>
          <w:i/>
          <w:szCs w:val="20"/>
          <w:lang w:val="en-US"/>
        </w:rPr>
        <w:t>PPPUS, Book 1</w:t>
      </w:r>
      <w:r>
        <w:rPr>
          <w:szCs w:val="20"/>
          <w:lang w:val="en-US"/>
        </w:rPr>
        <w:t xml:space="preserve"> </w:t>
      </w:r>
      <w:r w:rsidRPr="00B61248">
        <w:rPr>
          <w:szCs w:val="20"/>
        </w:rPr>
        <w:t>(1999)</w:t>
      </w:r>
      <w:r>
        <w:rPr>
          <w:szCs w:val="20"/>
          <w:lang w:val="en-US"/>
        </w:rPr>
        <w:t>, p.</w:t>
      </w:r>
      <w:r w:rsidRPr="00B61248">
        <w:rPr>
          <w:szCs w:val="20"/>
          <w:lang w:val="en-US"/>
        </w:rPr>
        <w:t xml:space="preserve"> 653.</w:t>
      </w:r>
    </w:p>
  </w:footnote>
  <w:footnote w:id="102">
    <w:p w14:paraId="2FDF8F2F" w14:textId="55DB5FDA" w:rsidR="003F3759" w:rsidRPr="00B61248" w:rsidRDefault="003F3759">
      <w:pPr>
        <w:pStyle w:val="FootnoteText"/>
        <w:rPr>
          <w:szCs w:val="20"/>
          <w:lang w:val="en-US"/>
        </w:rPr>
      </w:pPr>
      <w:r w:rsidRPr="00B61248">
        <w:rPr>
          <w:rStyle w:val="FootnoteReference"/>
          <w:szCs w:val="20"/>
        </w:rPr>
        <w:footnoteRef/>
      </w:r>
      <w:r>
        <w:rPr>
          <w:szCs w:val="20"/>
        </w:rPr>
        <w:t xml:space="preserve"> Clinton,</w:t>
      </w:r>
      <w:r w:rsidRPr="00B61248">
        <w:rPr>
          <w:szCs w:val="20"/>
        </w:rPr>
        <w:t xml:space="preserve"> ‘American Society of Newspaper Editors</w:t>
      </w:r>
      <w:r>
        <w:rPr>
          <w:szCs w:val="20"/>
        </w:rPr>
        <w:t>’ (1999), p. 551</w:t>
      </w:r>
    </w:p>
  </w:footnote>
  <w:footnote w:id="103">
    <w:p w14:paraId="3274E92B" w14:textId="69411916" w:rsidR="003F3759" w:rsidRPr="00B61248" w:rsidRDefault="003F3759">
      <w:pPr>
        <w:pStyle w:val="FootnoteText"/>
        <w:rPr>
          <w:szCs w:val="20"/>
          <w:lang w:val="en-US"/>
        </w:rPr>
      </w:pPr>
      <w:r w:rsidRPr="00B61248">
        <w:rPr>
          <w:rStyle w:val="FootnoteReference"/>
          <w:szCs w:val="20"/>
        </w:rPr>
        <w:footnoteRef/>
      </w:r>
      <w:r>
        <w:rPr>
          <w:szCs w:val="20"/>
        </w:rPr>
        <w:t xml:space="preserve"> William Clinton, </w:t>
      </w:r>
      <w:r w:rsidRPr="00B61248">
        <w:rPr>
          <w:szCs w:val="20"/>
        </w:rPr>
        <w:t xml:space="preserve">‘Remarks to the Community at </w:t>
      </w:r>
      <w:proofErr w:type="spellStart"/>
      <w:r w:rsidRPr="00B61248">
        <w:rPr>
          <w:szCs w:val="20"/>
        </w:rPr>
        <w:t>Spangdahlem</w:t>
      </w:r>
      <w:proofErr w:type="spellEnd"/>
      <w:r w:rsidRPr="00B61248">
        <w:rPr>
          <w:szCs w:val="20"/>
        </w:rPr>
        <w:t xml:space="preserve"> Air Base, Germany’, </w:t>
      </w:r>
      <w:r w:rsidRPr="00180B39">
        <w:rPr>
          <w:i/>
          <w:szCs w:val="20"/>
          <w:lang w:val="en-US"/>
        </w:rPr>
        <w:t>PPPUS, Book 1</w:t>
      </w:r>
      <w:r>
        <w:rPr>
          <w:szCs w:val="20"/>
          <w:lang w:val="en-US"/>
        </w:rPr>
        <w:t xml:space="preserve"> </w:t>
      </w:r>
      <w:r w:rsidRPr="00B61248">
        <w:rPr>
          <w:szCs w:val="20"/>
        </w:rPr>
        <w:t>(1999)</w:t>
      </w:r>
      <w:r>
        <w:rPr>
          <w:szCs w:val="20"/>
        </w:rPr>
        <w:t>, p.</w:t>
      </w:r>
      <w:r w:rsidRPr="00B61248">
        <w:rPr>
          <w:szCs w:val="20"/>
        </w:rPr>
        <w:t xml:space="preserve"> 689.</w:t>
      </w:r>
    </w:p>
  </w:footnote>
  <w:footnote w:id="104">
    <w:p w14:paraId="2F8E9FC1" w14:textId="16B4997A" w:rsidR="003F3759" w:rsidRPr="00B61248" w:rsidRDefault="003F3759">
      <w:pPr>
        <w:pStyle w:val="FootnoteText"/>
        <w:rPr>
          <w:szCs w:val="20"/>
          <w:lang w:val="en-US"/>
        </w:rPr>
      </w:pPr>
      <w:r w:rsidRPr="00B61248">
        <w:rPr>
          <w:rStyle w:val="FootnoteReference"/>
          <w:szCs w:val="20"/>
        </w:rPr>
        <w:footnoteRef/>
      </w:r>
      <w:r>
        <w:rPr>
          <w:szCs w:val="20"/>
        </w:rPr>
        <w:t xml:space="preserve"> William Clinton, </w:t>
      </w:r>
      <w:r w:rsidRPr="00B61248">
        <w:rPr>
          <w:szCs w:val="20"/>
        </w:rPr>
        <w:t>‘Remarks for Following Discussions with NATO Secretary General Javier Solana and an Exchange with Reporters’,</w:t>
      </w:r>
      <w:r w:rsidRPr="00B61248">
        <w:rPr>
          <w:szCs w:val="20"/>
          <w:lang w:val="en-US"/>
        </w:rPr>
        <w:t xml:space="preserve"> </w:t>
      </w:r>
      <w:r w:rsidRPr="00180B39">
        <w:rPr>
          <w:i/>
          <w:szCs w:val="20"/>
          <w:lang w:val="en-US"/>
        </w:rPr>
        <w:t>PPPUS, Book 1</w:t>
      </w:r>
      <w:r>
        <w:rPr>
          <w:szCs w:val="20"/>
          <w:lang w:val="en-US"/>
        </w:rPr>
        <w:t xml:space="preserve"> </w:t>
      </w:r>
      <w:r w:rsidRPr="00B61248">
        <w:rPr>
          <w:szCs w:val="20"/>
        </w:rPr>
        <w:t>(1999)</w:t>
      </w:r>
      <w:r>
        <w:rPr>
          <w:szCs w:val="20"/>
        </w:rPr>
        <w:t>, p.</w:t>
      </w:r>
      <w:r w:rsidRPr="00B61248">
        <w:rPr>
          <w:szCs w:val="20"/>
        </w:rPr>
        <w:t xml:space="preserve"> 601.</w:t>
      </w:r>
    </w:p>
  </w:footnote>
  <w:footnote w:id="105">
    <w:p w14:paraId="76281B85" w14:textId="7E42B15D" w:rsidR="003F3759" w:rsidRPr="00B61248" w:rsidRDefault="003F3759">
      <w:pPr>
        <w:pStyle w:val="FootnoteText"/>
        <w:rPr>
          <w:szCs w:val="20"/>
          <w:lang w:val="en-US"/>
        </w:rPr>
      </w:pPr>
      <w:r w:rsidRPr="00B61248">
        <w:rPr>
          <w:rStyle w:val="FootnoteReference"/>
          <w:szCs w:val="20"/>
        </w:rPr>
        <w:footnoteRef/>
      </w:r>
      <w:r>
        <w:rPr>
          <w:szCs w:val="20"/>
        </w:rPr>
        <w:t xml:space="preserve"> Kelly Greenhill,</w:t>
      </w:r>
      <w:r w:rsidRPr="00B61248">
        <w:rPr>
          <w:szCs w:val="20"/>
        </w:rPr>
        <w:t xml:space="preserve"> ‘Counting the Cost: The Politics of Numbers in Armed Conflict’, in Peter Andreas and Kelly Greenhill (</w:t>
      </w:r>
      <w:proofErr w:type="spellStart"/>
      <w:r w:rsidRPr="00B61248">
        <w:rPr>
          <w:szCs w:val="20"/>
        </w:rPr>
        <w:t>eds</w:t>
      </w:r>
      <w:proofErr w:type="spellEnd"/>
      <w:r w:rsidRPr="00B61248">
        <w:rPr>
          <w:szCs w:val="20"/>
        </w:rPr>
        <w:t>)</w:t>
      </w:r>
      <w:r>
        <w:rPr>
          <w:szCs w:val="20"/>
        </w:rPr>
        <w:t>,</w:t>
      </w:r>
      <w:r w:rsidRPr="00B61248">
        <w:rPr>
          <w:szCs w:val="20"/>
        </w:rPr>
        <w:t xml:space="preserve"> </w:t>
      </w:r>
      <w:r w:rsidRPr="00180B39">
        <w:rPr>
          <w:i/>
          <w:szCs w:val="20"/>
        </w:rPr>
        <w:t>Sex, Drugs, and Body Counts: The Politics of Numbers in Global Crime and Conflict</w:t>
      </w:r>
      <w:r w:rsidRPr="00B61248">
        <w:rPr>
          <w:szCs w:val="20"/>
        </w:rPr>
        <w:t xml:space="preserve"> (Ithaca, NY: Cornell University Press</w:t>
      </w:r>
      <w:r>
        <w:rPr>
          <w:szCs w:val="20"/>
        </w:rPr>
        <w:t>, 2010), pp.</w:t>
      </w:r>
      <w:r w:rsidRPr="00B61248">
        <w:rPr>
          <w:szCs w:val="20"/>
        </w:rPr>
        <w:t xml:space="preserve"> 149-54.</w:t>
      </w:r>
    </w:p>
  </w:footnote>
  <w:footnote w:id="106">
    <w:p w14:paraId="6A37F04F" w14:textId="143BA04A" w:rsidR="003F3759" w:rsidRPr="00B61248" w:rsidRDefault="003F3759">
      <w:pPr>
        <w:pStyle w:val="FootnoteText"/>
        <w:rPr>
          <w:szCs w:val="20"/>
          <w:lang w:val="en-US"/>
        </w:rPr>
      </w:pPr>
      <w:r w:rsidRPr="00B61248">
        <w:rPr>
          <w:rStyle w:val="FootnoteReference"/>
          <w:szCs w:val="20"/>
        </w:rPr>
        <w:footnoteRef/>
      </w:r>
      <w:r>
        <w:rPr>
          <w:szCs w:val="20"/>
        </w:rPr>
        <w:t xml:space="preserve"> William Clinton,</w:t>
      </w:r>
      <w:r w:rsidRPr="00B61248">
        <w:rPr>
          <w:szCs w:val="20"/>
        </w:rPr>
        <w:t xml:space="preserve"> ‘Remarks on the Situation in the Balkans and an Exchange With Reporters’,</w:t>
      </w:r>
      <w:r w:rsidRPr="00B61248">
        <w:rPr>
          <w:szCs w:val="20"/>
          <w:lang w:val="en-US"/>
        </w:rPr>
        <w:t xml:space="preserve"> </w:t>
      </w:r>
      <w:r w:rsidRPr="00180B39">
        <w:rPr>
          <w:i/>
          <w:szCs w:val="20"/>
          <w:lang w:val="en-US"/>
        </w:rPr>
        <w:t>PPPUS, Book 1</w:t>
      </w:r>
      <w:r w:rsidR="00180B39">
        <w:rPr>
          <w:szCs w:val="20"/>
          <w:lang w:val="en-US"/>
        </w:rPr>
        <w:t xml:space="preserve"> </w:t>
      </w:r>
      <w:r w:rsidRPr="00B61248">
        <w:rPr>
          <w:szCs w:val="20"/>
        </w:rPr>
        <w:t>(1999)</w:t>
      </w:r>
      <w:r>
        <w:rPr>
          <w:szCs w:val="20"/>
        </w:rPr>
        <w:t>, pp.</w:t>
      </w:r>
      <w:r w:rsidRPr="00B61248">
        <w:rPr>
          <w:szCs w:val="20"/>
        </w:rPr>
        <w:t xml:space="preserve"> 499-500; </w:t>
      </w:r>
      <w:r>
        <w:rPr>
          <w:szCs w:val="20"/>
        </w:rPr>
        <w:t xml:space="preserve">William </w:t>
      </w:r>
      <w:r w:rsidRPr="00B61248">
        <w:rPr>
          <w:szCs w:val="20"/>
        </w:rPr>
        <w:t>Clint</w:t>
      </w:r>
      <w:r>
        <w:rPr>
          <w:szCs w:val="20"/>
        </w:rPr>
        <w:t>on,</w:t>
      </w:r>
      <w:r w:rsidRPr="00B61248">
        <w:rPr>
          <w:szCs w:val="20"/>
        </w:rPr>
        <w:t xml:space="preserve"> ‘Interview with Dan Rather of CBS News’,</w:t>
      </w:r>
      <w:r w:rsidRPr="00B61248">
        <w:rPr>
          <w:szCs w:val="20"/>
          <w:lang w:val="en-US"/>
        </w:rPr>
        <w:t xml:space="preserve"> </w:t>
      </w:r>
      <w:r w:rsidRPr="00180B39">
        <w:rPr>
          <w:i/>
          <w:szCs w:val="20"/>
          <w:lang w:val="en-US"/>
        </w:rPr>
        <w:t>PPPUS, Book 1</w:t>
      </w:r>
      <w:r w:rsidR="00180B39">
        <w:rPr>
          <w:szCs w:val="20"/>
          <w:lang w:val="en-US"/>
        </w:rPr>
        <w:t xml:space="preserve"> </w:t>
      </w:r>
      <w:r w:rsidRPr="00B61248">
        <w:rPr>
          <w:szCs w:val="20"/>
        </w:rPr>
        <w:t>(1999)</w:t>
      </w:r>
      <w:r>
        <w:rPr>
          <w:szCs w:val="20"/>
        </w:rPr>
        <w:t>, p.</w:t>
      </w:r>
      <w:r w:rsidRPr="00B61248">
        <w:rPr>
          <w:szCs w:val="20"/>
        </w:rPr>
        <w:t xml:space="preserve"> 475.</w:t>
      </w:r>
    </w:p>
  </w:footnote>
  <w:footnote w:id="107">
    <w:p w14:paraId="17BCD106" w14:textId="3C66CA1D" w:rsidR="003F3759" w:rsidRPr="00B61248" w:rsidRDefault="003F3759">
      <w:pPr>
        <w:pStyle w:val="FootnoteText"/>
        <w:rPr>
          <w:szCs w:val="20"/>
          <w:lang w:val="en-US"/>
        </w:rPr>
      </w:pPr>
      <w:r w:rsidRPr="00B61248">
        <w:rPr>
          <w:rStyle w:val="FootnoteReference"/>
          <w:szCs w:val="20"/>
        </w:rPr>
        <w:footnoteRef/>
      </w:r>
      <w:r>
        <w:rPr>
          <w:szCs w:val="20"/>
        </w:rPr>
        <w:t xml:space="preserve"> William Clinton, </w:t>
      </w:r>
      <w:r w:rsidRPr="00B61248">
        <w:rPr>
          <w:szCs w:val="20"/>
        </w:rPr>
        <w:t xml:space="preserve">‘Remarks on Senate Action on Gun Control Legislation </w:t>
      </w:r>
      <w:r>
        <w:rPr>
          <w:szCs w:val="20"/>
        </w:rPr>
        <w:t>and an Exchange With Reporters’,</w:t>
      </w:r>
      <w:r w:rsidRPr="00B61248">
        <w:rPr>
          <w:szCs w:val="20"/>
          <w:lang w:val="en-US"/>
        </w:rPr>
        <w:t xml:space="preserve"> </w:t>
      </w:r>
      <w:r w:rsidRPr="00180B39">
        <w:rPr>
          <w:i/>
          <w:szCs w:val="20"/>
          <w:lang w:val="en-US"/>
        </w:rPr>
        <w:t>PPPUS, Book 1</w:t>
      </w:r>
      <w:r>
        <w:rPr>
          <w:szCs w:val="20"/>
        </w:rPr>
        <w:t xml:space="preserve"> (1999), p.</w:t>
      </w:r>
      <w:r w:rsidRPr="00B61248">
        <w:rPr>
          <w:szCs w:val="20"/>
        </w:rPr>
        <w:t xml:space="preserve"> 756.</w:t>
      </w:r>
    </w:p>
  </w:footnote>
  <w:footnote w:id="108">
    <w:p w14:paraId="37DF99C9" w14:textId="385E945C" w:rsidR="003F3759" w:rsidRPr="00B61248" w:rsidRDefault="003F3759">
      <w:pPr>
        <w:pStyle w:val="FootnoteText"/>
        <w:rPr>
          <w:szCs w:val="20"/>
          <w:lang w:val="en-US"/>
        </w:rPr>
      </w:pPr>
      <w:r w:rsidRPr="00B61248">
        <w:rPr>
          <w:rStyle w:val="FootnoteReference"/>
          <w:szCs w:val="20"/>
        </w:rPr>
        <w:footnoteRef/>
      </w:r>
      <w:r>
        <w:rPr>
          <w:szCs w:val="20"/>
        </w:rPr>
        <w:t xml:space="preserve"> William Clinton, </w:t>
      </w:r>
      <w:r w:rsidRPr="00B61248">
        <w:rPr>
          <w:szCs w:val="20"/>
        </w:rPr>
        <w:t>‘Statement on the Situation in Kosovo’,</w:t>
      </w:r>
      <w:r w:rsidRPr="00B61248">
        <w:rPr>
          <w:szCs w:val="20"/>
          <w:lang w:val="en-US"/>
        </w:rPr>
        <w:t xml:space="preserve"> </w:t>
      </w:r>
      <w:r w:rsidRPr="00180B39">
        <w:rPr>
          <w:i/>
          <w:szCs w:val="20"/>
          <w:lang w:val="en-US"/>
        </w:rPr>
        <w:t>PPPUS, Book 1</w:t>
      </w:r>
      <w:r>
        <w:rPr>
          <w:szCs w:val="20"/>
          <w:lang w:val="en-US"/>
        </w:rPr>
        <w:t xml:space="preserve"> </w:t>
      </w:r>
      <w:r w:rsidRPr="00B61248">
        <w:rPr>
          <w:szCs w:val="20"/>
        </w:rPr>
        <w:t>(1999)</w:t>
      </w:r>
      <w:r>
        <w:rPr>
          <w:szCs w:val="20"/>
        </w:rPr>
        <w:t>, p.</w:t>
      </w:r>
      <w:r w:rsidRPr="00B61248">
        <w:rPr>
          <w:szCs w:val="20"/>
        </w:rPr>
        <w:t xml:space="preserve"> 57.</w:t>
      </w:r>
    </w:p>
  </w:footnote>
  <w:footnote w:id="109">
    <w:p w14:paraId="0B86C824" w14:textId="26A4BA66" w:rsidR="003F3759" w:rsidRPr="00B61248" w:rsidRDefault="003F3759">
      <w:pPr>
        <w:pStyle w:val="FootnoteText"/>
        <w:rPr>
          <w:szCs w:val="20"/>
          <w:lang w:val="en-US"/>
        </w:rPr>
      </w:pPr>
      <w:r w:rsidRPr="00B61248">
        <w:rPr>
          <w:rStyle w:val="FootnoteReference"/>
          <w:szCs w:val="20"/>
        </w:rPr>
        <w:footnoteRef/>
      </w:r>
      <w:r>
        <w:rPr>
          <w:szCs w:val="20"/>
        </w:rPr>
        <w:t xml:space="preserve"> William Clinton,</w:t>
      </w:r>
      <w:r w:rsidRPr="00B61248">
        <w:rPr>
          <w:szCs w:val="20"/>
        </w:rPr>
        <w:t xml:space="preserve"> ‘The President’s News Conference’,</w:t>
      </w:r>
      <w:r w:rsidRPr="00B61248">
        <w:rPr>
          <w:szCs w:val="20"/>
          <w:lang w:val="en-US"/>
        </w:rPr>
        <w:t xml:space="preserve"> </w:t>
      </w:r>
      <w:r w:rsidRPr="00180B39">
        <w:rPr>
          <w:i/>
          <w:szCs w:val="20"/>
          <w:lang w:val="en-US"/>
        </w:rPr>
        <w:t>PPPUS, Book 1</w:t>
      </w:r>
      <w:r>
        <w:rPr>
          <w:szCs w:val="20"/>
          <w:lang w:val="en-US"/>
        </w:rPr>
        <w:t xml:space="preserve"> </w:t>
      </w:r>
      <w:r w:rsidRPr="00B61248">
        <w:rPr>
          <w:szCs w:val="20"/>
        </w:rPr>
        <w:t>(1999)</w:t>
      </w:r>
      <w:r>
        <w:rPr>
          <w:szCs w:val="20"/>
        </w:rPr>
        <w:t>, pp.</w:t>
      </w:r>
      <w:r w:rsidRPr="00B61248">
        <w:rPr>
          <w:szCs w:val="20"/>
        </w:rPr>
        <w:t xml:space="preserve"> 409-10.</w:t>
      </w:r>
    </w:p>
  </w:footnote>
  <w:footnote w:id="110">
    <w:p w14:paraId="700825D1" w14:textId="71C48E59" w:rsidR="003F3759" w:rsidRPr="00B61248" w:rsidRDefault="003F3759">
      <w:pPr>
        <w:pStyle w:val="FootnoteText"/>
        <w:rPr>
          <w:szCs w:val="20"/>
          <w:lang w:val="en-US"/>
        </w:rPr>
      </w:pPr>
      <w:r w:rsidRPr="00B61248">
        <w:rPr>
          <w:rStyle w:val="FootnoteReference"/>
          <w:szCs w:val="20"/>
        </w:rPr>
        <w:footnoteRef/>
      </w:r>
      <w:r>
        <w:rPr>
          <w:szCs w:val="20"/>
        </w:rPr>
        <w:t xml:space="preserve"> William Clinton,</w:t>
      </w:r>
      <w:r w:rsidRPr="00B61248">
        <w:rPr>
          <w:szCs w:val="20"/>
        </w:rPr>
        <w:t xml:space="preserve"> ‘The President’s News Conference with Premier Zhu </w:t>
      </w:r>
      <w:proofErr w:type="spellStart"/>
      <w:r w:rsidRPr="00B61248">
        <w:rPr>
          <w:szCs w:val="20"/>
        </w:rPr>
        <w:t>Rongji</w:t>
      </w:r>
      <w:proofErr w:type="spellEnd"/>
      <w:r w:rsidRPr="00B61248">
        <w:rPr>
          <w:szCs w:val="20"/>
        </w:rPr>
        <w:t xml:space="preserve"> of China’,</w:t>
      </w:r>
      <w:r w:rsidRPr="00B61248">
        <w:rPr>
          <w:szCs w:val="20"/>
          <w:lang w:val="en-US"/>
        </w:rPr>
        <w:t xml:space="preserve"> </w:t>
      </w:r>
      <w:r w:rsidRPr="00180B39">
        <w:rPr>
          <w:i/>
          <w:szCs w:val="20"/>
          <w:lang w:val="en-US"/>
        </w:rPr>
        <w:t>PPPUS, Book 1</w:t>
      </w:r>
      <w:r>
        <w:rPr>
          <w:szCs w:val="20"/>
          <w:lang w:val="en-US"/>
        </w:rPr>
        <w:t xml:space="preserve"> </w:t>
      </w:r>
      <w:r w:rsidRPr="00B61248">
        <w:rPr>
          <w:szCs w:val="20"/>
        </w:rPr>
        <w:t>(1999)</w:t>
      </w:r>
      <w:r>
        <w:rPr>
          <w:szCs w:val="20"/>
        </w:rPr>
        <w:t>, p.</w:t>
      </w:r>
      <w:r w:rsidRPr="00B61248">
        <w:rPr>
          <w:szCs w:val="20"/>
        </w:rPr>
        <w:t xml:space="preserve"> 521.</w:t>
      </w:r>
    </w:p>
  </w:footnote>
  <w:footnote w:id="111">
    <w:p w14:paraId="04DC8321" w14:textId="4DCD76BF" w:rsidR="003F3759" w:rsidRPr="00B61248" w:rsidRDefault="003F3759">
      <w:pPr>
        <w:pStyle w:val="FootnoteText"/>
        <w:rPr>
          <w:szCs w:val="20"/>
          <w:lang w:val="en-US"/>
        </w:rPr>
      </w:pPr>
      <w:r w:rsidRPr="00B61248">
        <w:rPr>
          <w:rStyle w:val="FootnoteReference"/>
          <w:szCs w:val="20"/>
        </w:rPr>
        <w:footnoteRef/>
      </w:r>
      <w:r>
        <w:rPr>
          <w:szCs w:val="20"/>
        </w:rPr>
        <w:t xml:space="preserve"> Jack Holland,</w:t>
      </w:r>
      <w:r w:rsidRPr="00B61248">
        <w:rPr>
          <w:szCs w:val="20"/>
        </w:rPr>
        <w:t xml:space="preserve"> ‘Obama as modern </w:t>
      </w:r>
      <w:proofErr w:type="spellStart"/>
      <w:r w:rsidRPr="00B61248">
        <w:rPr>
          <w:szCs w:val="20"/>
        </w:rPr>
        <w:t>Jeffersonian</w:t>
      </w:r>
      <w:proofErr w:type="spellEnd"/>
      <w:r w:rsidRPr="00B61248">
        <w:rPr>
          <w:szCs w:val="20"/>
        </w:rPr>
        <w:t>’, in Michelle Bentley and Jack Holland (</w:t>
      </w:r>
      <w:proofErr w:type="spellStart"/>
      <w:r w:rsidRPr="00B61248">
        <w:rPr>
          <w:szCs w:val="20"/>
        </w:rPr>
        <w:t>eds</w:t>
      </w:r>
      <w:proofErr w:type="spellEnd"/>
      <w:r w:rsidRPr="00B61248">
        <w:rPr>
          <w:szCs w:val="20"/>
        </w:rPr>
        <w:t>)</w:t>
      </w:r>
      <w:r>
        <w:rPr>
          <w:szCs w:val="20"/>
        </w:rPr>
        <w:t>,</w:t>
      </w:r>
      <w:r w:rsidRPr="00B61248">
        <w:rPr>
          <w:szCs w:val="20"/>
        </w:rPr>
        <w:t xml:space="preserve"> </w:t>
      </w:r>
      <w:r w:rsidRPr="00180B39">
        <w:rPr>
          <w:i/>
          <w:szCs w:val="20"/>
        </w:rPr>
        <w:t xml:space="preserve">The Obama Doctrine: A Legacy of Continuity in US Foreign Policy </w:t>
      </w:r>
      <w:r>
        <w:rPr>
          <w:szCs w:val="20"/>
        </w:rPr>
        <w:t>(</w:t>
      </w:r>
      <w:r w:rsidRPr="00B61248">
        <w:rPr>
          <w:szCs w:val="20"/>
        </w:rPr>
        <w:t>Routledge: London</w:t>
      </w:r>
      <w:r>
        <w:rPr>
          <w:szCs w:val="20"/>
        </w:rPr>
        <w:t>, 2016)</w:t>
      </w:r>
      <w:r w:rsidRPr="00B61248">
        <w:rPr>
          <w:szCs w:val="20"/>
        </w:rPr>
        <w:t>, forthcoming.</w:t>
      </w:r>
    </w:p>
  </w:footnote>
  <w:footnote w:id="112">
    <w:p w14:paraId="23C4A6C3" w14:textId="7E41D489" w:rsidR="003F3759" w:rsidRPr="00B61248" w:rsidRDefault="003F3759" w:rsidP="00835754">
      <w:pPr>
        <w:rPr>
          <w:sz w:val="20"/>
          <w:szCs w:val="20"/>
          <w:lang w:val="en-US" w:bidi="en-US"/>
        </w:rPr>
      </w:pPr>
      <w:r w:rsidRPr="00B61248">
        <w:rPr>
          <w:rStyle w:val="FootnoteReference"/>
          <w:sz w:val="20"/>
          <w:szCs w:val="20"/>
        </w:rPr>
        <w:footnoteRef/>
      </w:r>
      <w:r w:rsidRPr="00B61248">
        <w:rPr>
          <w:sz w:val="20"/>
          <w:szCs w:val="20"/>
        </w:rPr>
        <w:t xml:space="preserve"> Barack </w:t>
      </w:r>
      <w:r>
        <w:rPr>
          <w:sz w:val="20"/>
          <w:szCs w:val="20"/>
          <w:lang w:val="en-US" w:bidi="en-US"/>
        </w:rPr>
        <w:t xml:space="preserve">Obama, </w:t>
      </w:r>
      <w:r w:rsidRPr="00B61248">
        <w:rPr>
          <w:sz w:val="20"/>
          <w:szCs w:val="20"/>
          <w:lang w:val="en-US" w:bidi="en-US"/>
        </w:rPr>
        <w:t xml:space="preserve">‘Address Before a Joint Session of the Congress on the State of the Union’, </w:t>
      </w:r>
      <w:r w:rsidRPr="00180B39">
        <w:rPr>
          <w:i/>
          <w:sz w:val="20"/>
          <w:szCs w:val="20"/>
          <w:lang w:val="en-US" w:bidi="en-US"/>
        </w:rPr>
        <w:t>CPD</w:t>
      </w:r>
      <w:r>
        <w:rPr>
          <w:sz w:val="20"/>
          <w:szCs w:val="20"/>
          <w:lang w:val="en-US" w:bidi="en-US"/>
        </w:rPr>
        <w:t xml:space="preserve"> </w:t>
      </w:r>
      <w:r w:rsidRPr="00B61248">
        <w:rPr>
          <w:sz w:val="20"/>
          <w:szCs w:val="20"/>
          <w:lang w:val="en-US" w:bidi="en-US"/>
        </w:rPr>
        <w:t>(2014)</w:t>
      </w:r>
      <w:r>
        <w:rPr>
          <w:sz w:val="20"/>
          <w:szCs w:val="20"/>
          <w:lang w:val="en-US" w:bidi="en-US"/>
        </w:rPr>
        <w:t>, available at:</w:t>
      </w:r>
      <w:r w:rsidRPr="00B61248">
        <w:rPr>
          <w:sz w:val="20"/>
          <w:szCs w:val="20"/>
          <w:lang w:val="en-US" w:bidi="en-US"/>
        </w:rPr>
        <w:t xml:space="preserve"> www.gpo.gov/fdsys/pkg/DCPD-201400050/pdf/DCPD-201400050.pdf</w:t>
      </w:r>
    </w:p>
  </w:footnote>
  <w:footnote w:id="113">
    <w:p w14:paraId="163C1875" w14:textId="77066A1B" w:rsidR="003F3759" w:rsidRPr="00B61248" w:rsidRDefault="003F3759" w:rsidP="00835754">
      <w:pPr>
        <w:rPr>
          <w:sz w:val="20"/>
          <w:szCs w:val="20"/>
          <w:lang w:val="en-US" w:bidi="en-US"/>
        </w:rPr>
      </w:pPr>
      <w:r w:rsidRPr="00B61248">
        <w:rPr>
          <w:rStyle w:val="FootnoteReference"/>
          <w:sz w:val="20"/>
          <w:szCs w:val="20"/>
        </w:rPr>
        <w:footnoteRef/>
      </w:r>
      <w:r w:rsidRPr="00B61248">
        <w:rPr>
          <w:sz w:val="20"/>
          <w:szCs w:val="20"/>
        </w:rPr>
        <w:t xml:space="preserve"> Barack </w:t>
      </w:r>
      <w:r>
        <w:rPr>
          <w:sz w:val="20"/>
          <w:szCs w:val="20"/>
          <w:lang w:val="en-US" w:bidi="en-US"/>
        </w:rPr>
        <w:t>Obama, ‘</w:t>
      </w:r>
      <w:r w:rsidRPr="00B61248">
        <w:rPr>
          <w:sz w:val="20"/>
          <w:szCs w:val="20"/>
        </w:rPr>
        <w:t>Remarks Prior to a Meeting with Presi</w:t>
      </w:r>
      <w:r>
        <w:rPr>
          <w:sz w:val="20"/>
          <w:szCs w:val="20"/>
        </w:rPr>
        <w:t xml:space="preserve">dent </w:t>
      </w:r>
      <w:proofErr w:type="spellStart"/>
      <w:r>
        <w:rPr>
          <w:sz w:val="20"/>
          <w:szCs w:val="20"/>
        </w:rPr>
        <w:t>Toomas</w:t>
      </w:r>
      <w:proofErr w:type="spellEnd"/>
      <w:r>
        <w:rPr>
          <w:sz w:val="20"/>
          <w:szCs w:val="20"/>
        </w:rPr>
        <w:t xml:space="preserve"> H. </w:t>
      </w:r>
      <w:proofErr w:type="spellStart"/>
      <w:r>
        <w:rPr>
          <w:sz w:val="20"/>
          <w:szCs w:val="20"/>
        </w:rPr>
        <w:t>Ilves</w:t>
      </w:r>
      <w:proofErr w:type="spellEnd"/>
      <w:r>
        <w:rPr>
          <w:sz w:val="20"/>
          <w:szCs w:val="20"/>
        </w:rPr>
        <w:t xml:space="preserve"> of Estonia’, </w:t>
      </w:r>
      <w:r w:rsidRPr="00180B39">
        <w:rPr>
          <w:i/>
          <w:sz w:val="20"/>
          <w:szCs w:val="20"/>
        </w:rPr>
        <w:t>CPD</w:t>
      </w:r>
      <w:r>
        <w:rPr>
          <w:sz w:val="20"/>
          <w:szCs w:val="20"/>
        </w:rPr>
        <w:t xml:space="preserve"> </w:t>
      </w:r>
      <w:r>
        <w:rPr>
          <w:sz w:val="20"/>
          <w:szCs w:val="20"/>
          <w:lang w:val="en-US" w:bidi="en-US"/>
        </w:rPr>
        <w:t>(2013</w:t>
      </w:r>
      <w:r w:rsidRPr="00B61248">
        <w:rPr>
          <w:sz w:val="20"/>
          <w:szCs w:val="20"/>
          <w:lang w:val="en-US" w:bidi="en-US"/>
        </w:rPr>
        <w:t>)</w:t>
      </w:r>
      <w:r>
        <w:rPr>
          <w:sz w:val="20"/>
          <w:szCs w:val="20"/>
          <w:lang w:val="en-US" w:bidi="en-US"/>
        </w:rPr>
        <w:t>, available at:</w:t>
      </w:r>
      <w:r w:rsidRPr="00B61248">
        <w:rPr>
          <w:sz w:val="20"/>
          <w:szCs w:val="20"/>
        </w:rPr>
        <w:t xml:space="preserve"> </w:t>
      </w:r>
      <w:r w:rsidRPr="00B61248">
        <w:rPr>
          <w:sz w:val="20"/>
          <w:szCs w:val="20"/>
          <w:lang w:val="en-US"/>
        </w:rPr>
        <w:t>www.gpo.gov/fdsys/pkg/DCPD-201300583/pdf/DCPD-201300583.pdf</w:t>
      </w:r>
    </w:p>
  </w:footnote>
  <w:footnote w:id="114">
    <w:p w14:paraId="5CD63FF4" w14:textId="4480CDF9" w:rsidR="003F3759" w:rsidRPr="00B61248" w:rsidRDefault="003F3759" w:rsidP="00835754">
      <w:pPr>
        <w:rPr>
          <w:sz w:val="20"/>
          <w:szCs w:val="20"/>
          <w:lang w:val="en-US" w:bidi="en-US"/>
        </w:rPr>
      </w:pPr>
      <w:r w:rsidRPr="00B61248">
        <w:rPr>
          <w:rStyle w:val="FootnoteReference"/>
          <w:sz w:val="20"/>
          <w:szCs w:val="20"/>
        </w:rPr>
        <w:footnoteRef/>
      </w:r>
      <w:r w:rsidRPr="00B61248">
        <w:rPr>
          <w:sz w:val="20"/>
          <w:szCs w:val="20"/>
        </w:rPr>
        <w:t xml:space="preserve"> Barack </w:t>
      </w:r>
      <w:r>
        <w:rPr>
          <w:sz w:val="20"/>
          <w:szCs w:val="20"/>
          <w:lang w:val="en-US" w:bidi="en-US"/>
        </w:rPr>
        <w:t>Obama,</w:t>
      </w:r>
      <w:r w:rsidRPr="00B61248">
        <w:rPr>
          <w:sz w:val="20"/>
          <w:szCs w:val="20"/>
          <w:lang w:val="en-US"/>
        </w:rPr>
        <w:t xml:space="preserve"> ‘Address to the Nation on the Situation on </w:t>
      </w:r>
      <w:r>
        <w:rPr>
          <w:sz w:val="20"/>
          <w:szCs w:val="20"/>
          <w:lang w:val="en-US"/>
        </w:rPr>
        <w:t xml:space="preserve">Syria: September 10, 2013’, </w:t>
      </w:r>
      <w:r w:rsidRPr="00180B39">
        <w:rPr>
          <w:i/>
          <w:sz w:val="20"/>
          <w:szCs w:val="20"/>
          <w:lang w:val="en-US"/>
        </w:rPr>
        <w:t>CPD</w:t>
      </w:r>
      <w:r>
        <w:rPr>
          <w:sz w:val="20"/>
          <w:szCs w:val="20"/>
          <w:lang w:val="en-US"/>
        </w:rPr>
        <w:t>,</w:t>
      </w:r>
      <w:r w:rsidRPr="00C05227">
        <w:rPr>
          <w:sz w:val="20"/>
          <w:szCs w:val="20"/>
          <w:lang w:val="en-US" w:bidi="en-US"/>
        </w:rPr>
        <w:t xml:space="preserve"> </w:t>
      </w:r>
      <w:r>
        <w:rPr>
          <w:sz w:val="20"/>
          <w:szCs w:val="20"/>
          <w:lang w:val="en-US" w:bidi="en-US"/>
        </w:rPr>
        <w:t>(2013</w:t>
      </w:r>
      <w:r w:rsidRPr="00B61248">
        <w:rPr>
          <w:sz w:val="20"/>
          <w:szCs w:val="20"/>
          <w:lang w:val="en-US" w:bidi="en-US"/>
        </w:rPr>
        <w:t>)</w:t>
      </w:r>
      <w:r>
        <w:rPr>
          <w:sz w:val="20"/>
          <w:szCs w:val="20"/>
          <w:lang w:val="en-US" w:bidi="en-US"/>
        </w:rPr>
        <w:t>, available at:</w:t>
      </w:r>
      <w:r w:rsidRPr="00B61248">
        <w:rPr>
          <w:sz w:val="20"/>
          <w:szCs w:val="20"/>
          <w:lang w:val="en-US"/>
        </w:rPr>
        <w:t xml:space="preserve"> www.gpo.gov/fdsys/pkg/DCPD-201300615/pdf/DCPD-201300615.pdf</w:t>
      </w:r>
    </w:p>
  </w:footnote>
  <w:footnote w:id="115">
    <w:p w14:paraId="3595AAB5" w14:textId="60D26E87" w:rsidR="003F3759" w:rsidRPr="00B61248" w:rsidRDefault="003F3759" w:rsidP="00835754">
      <w:pPr>
        <w:rPr>
          <w:sz w:val="20"/>
          <w:szCs w:val="20"/>
          <w:lang w:val="en-US" w:bidi="en-US"/>
        </w:rPr>
      </w:pPr>
      <w:r w:rsidRPr="00B61248">
        <w:rPr>
          <w:rStyle w:val="FootnoteReference"/>
          <w:sz w:val="20"/>
          <w:szCs w:val="20"/>
        </w:rPr>
        <w:footnoteRef/>
      </w:r>
      <w:r w:rsidRPr="00B61248">
        <w:rPr>
          <w:sz w:val="20"/>
          <w:szCs w:val="20"/>
        </w:rPr>
        <w:t xml:space="preserve"> Barack </w:t>
      </w:r>
      <w:r>
        <w:rPr>
          <w:sz w:val="20"/>
          <w:szCs w:val="20"/>
          <w:lang w:val="en-US" w:bidi="en-US"/>
        </w:rPr>
        <w:t>Obama, ‘</w:t>
      </w:r>
      <w:r w:rsidRPr="00B61248">
        <w:rPr>
          <w:sz w:val="20"/>
          <w:szCs w:val="20"/>
          <w:lang w:val="en-US"/>
        </w:rPr>
        <w:t>The President</w:t>
      </w:r>
      <w:r>
        <w:rPr>
          <w:sz w:val="20"/>
          <w:szCs w:val="20"/>
          <w:lang w:val="en-US"/>
        </w:rPr>
        <w:t xml:space="preserve">’s Weekly Address: September 13’, </w:t>
      </w:r>
      <w:r w:rsidRPr="00180B39">
        <w:rPr>
          <w:i/>
          <w:sz w:val="20"/>
          <w:szCs w:val="20"/>
          <w:lang w:val="en-US"/>
        </w:rPr>
        <w:t xml:space="preserve">CPD </w:t>
      </w:r>
      <w:r w:rsidRPr="00B61248">
        <w:rPr>
          <w:sz w:val="20"/>
          <w:szCs w:val="20"/>
          <w:lang w:val="en-US" w:bidi="en-US"/>
        </w:rPr>
        <w:t>(2014)</w:t>
      </w:r>
      <w:r>
        <w:rPr>
          <w:sz w:val="20"/>
          <w:szCs w:val="20"/>
          <w:lang w:val="en-US" w:bidi="en-US"/>
        </w:rPr>
        <w:t>, available at:</w:t>
      </w:r>
      <w:r w:rsidRPr="00B61248">
        <w:rPr>
          <w:sz w:val="20"/>
          <w:szCs w:val="20"/>
          <w:lang w:val="en-US"/>
        </w:rPr>
        <w:t xml:space="preserve"> www.gpo.gov/fdsys/pkg/DCPD-201400662/pdf/DCPD-201400662.pdf</w:t>
      </w:r>
    </w:p>
  </w:footnote>
  <w:footnote w:id="116">
    <w:p w14:paraId="583DC7AD" w14:textId="27444C0F" w:rsidR="003F3759" w:rsidRPr="00B61248" w:rsidRDefault="003F3759" w:rsidP="00835754">
      <w:pPr>
        <w:rPr>
          <w:sz w:val="20"/>
          <w:szCs w:val="20"/>
          <w:lang w:val="en-US" w:bidi="en-US"/>
        </w:rPr>
      </w:pPr>
      <w:r w:rsidRPr="00B61248">
        <w:rPr>
          <w:rStyle w:val="FootnoteReference"/>
          <w:sz w:val="20"/>
          <w:szCs w:val="20"/>
        </w:rPr>
        <w:footnoteRef/>
      </w:r>
      <w:r w:rsidRPr="00B61248">
        <w:rPr>
          <w:sz w:val="20"/>
          <w:szCs w:val="20"/>
        </w:rPr>
        <w:t xml:space="preserve"> Barack </w:t>
      </w:r>
      <w:r>
        <w:rPr>
          <w:sz w:val="20"/>
          <w:szCs w:val="20"/>
          <w:lang w:val="en-US" w:bidi="en-US"/>
        </w:rPr>
        <w:t>Obama, ‘</w:t>
      </w:r>
      <w:r w:rsidRPr="00B61248">
        <w:rPr>
          <w:sz w:val="20"/>
          <w:szCs w:val="20"/>
          <w:lang w:val="en-US"/>
        </w:rPr>
        <w:t>Remarks on the Situation in Iraq and an Ex</w:t>
      </w:r>
      <w:r>
        <w:rPr>
          <w:sz w:val="20"/>
          <w:szCs w:val="20"/>
          <w:lang w:val="en-US"/>
        </w:rPr>
        <w:t xml:space="preserve">change With Reporters: August 9’, </w:t>
      </w:r>
      <w:r w:rsidRPr="00180B39">
        <w:rPr>
          <w:i/>
          <w:sz w:val="20"/>
          <w:szCs w:val="20"/>
          <w:lang w:val="en-US"/>
        </w:rPr>
        <w:t>CPD</w:t>
      </w:r>
      <w:r>
        <w:rPr>
          <w:sz w:val="20"/>
          <w:szCs w:val="20"/>
          <w:lang w:val="en-US"/>
        </w:rPr>
        <w:t xml:space="preserve"> </w:t>
      </w:r>
      <w:r w:rsidRPr="00B61248">
        <w:rPr>
          <w:sz w:val="20"/>
          <w:szCs w:val="20"/>
          <w:lang w:val="en-US" w:bidi="en-US"/>
        </w:rPr>
        <w:t>(2014)</w:t>
      </w:r>
      <w:r>
        <w:rPr>
          <w:sz w:val="20"/>
          <w:szCs w:val="20"/>
          <w:lang w:val="en-US" w:bidi="en-US"/>
        </w:rPr>
        <w:t>, available at:</w:t>
      </w:r>
      <w:r w:rsidRPr="00B61248">
        <w:rPr>
          <w:sz w:val="20"/>
          <w:szCs w:val="20"/>
          <w:lang w:val="en-US"/>
        </w:rPr>
        <w:t xml:space="preserve"> www.gpo.gov/fdsys/pkg/DCPD-201400606/pdf/DCPD-201400606.pdf</w:t>
      </w:r>
    </w:p>
  </w:footnote>
  <w:footnote w:id="117">
    <w:p w14:paraId="7CFB3F9C" w14:textId="5B21D436" w:rsidR="003F3759" w:rsidRPr="00B61248" w:rsidRDefault="003F3759" w:rsidP="00835754">
      <w:pPr>
        <w:rPr>
          <w:sz w:val="20"/>
          <w:szCs w:val="20"/>
          <w:lang w:val="en-US" w:bidi="en-US"/>
        </w:rPr>
      </w:pPr>
      <w:r w:rsidRPr="00B61248">
        <w:rPr>
          <w:rStyle w:val="FootnoteReference"/>
          <w:sz w:val="20"/>
          <w:szCs w:val="20"/>
        </w:rPr>
        <w:footnoteRef/>
      </w:r>
      <w:r w:rsidRPr="00B61248">
        <w:rPr>
          <w:sz w:val="20"/>
          <w:szCs w:val="20"/>
        </w:rPr>
        <w:t xml:space="preserve"> Barack </w:t>
      </w:r>
      <w:r>
        <w:rPr>
          <w:sz w:val="20"/>
          <w:szCs w:val="20"/>
          <w:lang w:val="en-US" w:bidi="en-US"/>
        </w:rPr>
        <w:t>Obama,</w:t>
      </w:r>
      <w:r w:rsidRPr="00B61248">
        <w:rPr>
          <w:sz w:val="20"/>
          <w:szCs w:val="20"/>
          <w:lang w:val="en-US"/>
        </w:rPr>
        <w:t xml:space="preserve"> ‘Remarks With Prime Minister </w:t>
      </w:r>
      <w:proofErr w:type="spellStart"/>
      <w:r w:rsidRPr="00B61248">
        <w:rPr>
          <w:sz w:val="20"/>
          <w:szCs w:val="20"/>
          <w:lang w:val="en-US"/>
        </w:rPr>
        <w:t>Narendra</w:t>
      </w:r>
      <w:proofErr w:type="spellEnd"/>
      <w:r w:rsidRPr="00B61248">
        <w:rPr>
          <w:sz w:val="20"/>
          <w:szCs w:val="20"/>
          <w:lang w:val="en-US"/>
        </w:rPr>
        <w:t xml:space="preserve"> </w:t>
      </w:r>
      <w:proofErr w:type="spellStart"/>
      <w:r w:rsidRPr="00B61248">
        <w:rPr>
          <w:sz w:val="20"/>
          <w:szCs w:val="20"/>
          <w:lang w:val="en-US"/>
        </w:rPr>
        <w:t>Modi</w:t>
      </w:r>
      <w:proofErr w:type="spellEnd"/>
      <w:r w:rsidRPr="00B61248">
        <w:rPr>
          <w:sz w:val="20"/>
          <w:szCs w:val="20"/>
          <w:lang w:val="en-US"/>
        </w:rPr>
        <w:t xml:space="preserve"> of India in New Delhi, India and an Exchange W</w:t>
      </w:r>
      <w:r>
        <w:rPr>
          <w:sz w:val="20"/>
          <w:szCs w:val="20"/>
          <w:lang w:val="en-US"/>
        </w:rPr>
        <w:t xml:space="preserve">ith Reporters: January 25’, </w:t>
      </w:r>
      <w:r w:rsidRPr="00180B39">
        <w:rPr>
          <w:i/>
          <w:sz w:val="20"/>
          <w:szCs w:val="20"/>
          <w:lang w:val="en-US"/>
        </w:rPr>
        <w:t xml:space="preserve">CPD </w:t>
      </w:r>
      <w:r>
        <w:rPr>
          <w:sz w:val="20"/>
          <w:szCs w:val="20"/>
          <w:lang w:val="en-US" w:bidi="en-US"/>
        </w:rPr>
        <w:t>(2015</w:t>
      </w:r>
      <w:r w:rsidRPr="00B61248">
        <w:rPr>
          <w:sz w:val="20"/>
          <w:szCs w:val="20"/>
          <w:lang w:val="en-US" w:bidi="en-US"/>
        </w:rPr>
        <w:t>)</w:t>
      </w:r>
      <w:r>
        <w:rPr>
          <w:sz w:val="20"/>
          <w:szCs w:val="20"/>
          <w:lang w:val="en-US" w:bidi="en-US"/>
        </w:rPr>
        <w:t>, available at:</w:t>
      </w:r>
      <w:r w:rsidRPr="00B61248">
        <w:rPr>
          <w:sz w:val="20"/>
          <w:szCs w:val="20"/>
          <w:lang w:val="en-US" w:bidi="en-US"/>
        </w:rPr>
        <w:t xml:space="preserve"> </w:t>
      </w:r>
      <w:r w:rsidRPr="00B61248">
        <w:rPr>
          <w:sz w:val="20"/>
          <w:szCs w:val="20"/>
          <w:lang w:val="en-US"/>
        </w:rPr>
        <w:t>www.gpo.gov/fdsys/pkg/DCPD-201500051/pdf/DCPD-201500051.pdf</w:t>
      </w:r>
    </w:p>
  </w:footnote>
  <w:footnote w:id="118">
    <w:p w14:paraId="46CAD6BD" w14:textId="0C30BBA8" w:rsidR="003F3759" w:rsidRPr="00B61248" w:rsidRDefault="003F3759" w:rsidP="004042F2">
      <w:pPr>
        <w:rPr>
          <w:sz w:val="20"/>
          <w:szCs w:val="20"/>
          <w:lang w:val="en-US" w:bidi="en-US"/>
        </w:rPr>
      </w:pPr>
      <w:r w:rsidRPr="00B61248">
        <w:rPr>
          <w:rStyle w:val="FootnoteReference"/>
          <w:sz w:val="20"/>
          <w:szCs w:val="20"/>
        </w:rPr>
        <w:footnoteRef/>
      </w:r>
      <w:r w:rsidRPr="00B61248">
        <w:rPr>
          <w:sz w:val="20"/>
          <w:szCs w:val="20"/>
        </w:rPr>
        <w:t xml:space="preserve"> Barack </w:t>
      </w:r>
      <w:r>
        <w:rPr>
          <w:sz w:val="20"/>
          <w:szCs w:val="20"/>
          <w:lang w:val="en-US" w:bidi="en-US"/>
        </w:rPr>
        <w:t>Obama, ‘</w:t>
      </w:r>
      <w:r w:rsidRPr="00B61248">
        <w:rPr>
          <w:sz w:val="20"/>
          <w:szCs w:val="20"/>
        </w:rPr>
        <w:t>Remarks on the Situation in Iraq and an E</w:t>
      </w:r>
      <w:r>
        <w:rPr>
          <w:sz w:val="20"/>
          <w:szCs w:val="20"/>
        </w:rPr>
        <w:t xml:space="preserve">xchange With Reporters: June 13’, </w:t>
      </w:r>
      <w:r w:rsidRPr="00180B39">
        <w:rPr>
          <w:i/>
          <w:sz w:val="20"/>
          <w:szCs w:val="20"/>
        </w:rPr>
        <w:t>CPD</w:t>
      </w:r>
      <w:r>
        <w:rPr>
          <w:sz w:val="20"/>
          <w:szCs w:val="20"/>
        </w:rPr>
        <w:t xml:space="preserve"> </w:t>
      </w:r>
      <w:r w:rsidRPr="00B61248">
        <w:rPr>
          <w:sz w:val="20"/>
          <w:szCs w:val="20"/>
          <w:lang w:val="en-US" w:bidi="en-US"/>
        </w:rPr>
        <w:t>(2014)</w:t>
      </w:r>
      <w:r>
        <w:rPr>
          <w:sz w:val="20"/>
          <w:szCs w:val="20"/>
          <w:lang w:val="en-US" w:bidi="en-US"/>
        </w:rPr>
        <w:t>, available at:</w:t>
      </w:r>
      <w:r w:rsidRPr="00B61248">
        <w:rPr>
          <w:sz w:val="20"/>
          <w:szCs w:val="20"/>
        </w:rPr>
        <w:t xml:space="preserve"> www.gpo.gov/fdsys/pkg/DCPD-201400454/pdf/DCPD-201400454.pdf. See also:</w:t>
      </w:r>
      <w:r w:rsidRPr="00B61248">
        <w:rPr>
          <w:sz w:val="20"/>
          <w:szCs w:val="20"/>
          <w:lang w:val="en-US"/>
        </w:rPr>
        <w:t xml:space="preserve"> </w:t>
      </w:r>
      <w:r w:rsidRPr="00B61248">
        <w:rPr>
          <w:sz w:val="20"/>
          <w:szCs w:val="20"/>
        </w:rPr>
        <w:t xml:space="preserve">Barack </w:t>
      </w:r>
      <w:r>
        <w:rPr>
          <w:sz w:val="20"/>
          <w:szCs w:val="20"/>
          <w:lang w:val="en-US" w:bidi="en-US"/>
        </w:rPr>
        <w:t>Obama,</w:t>
      </w:r>
      <w:r w:rsidRPr="00B61248">
        <w:rPr>
          <w:sz w:val="20"/>
          <w:szCs w:val="20"/>
          <w:lang w:val="en-US"/>
        </w:rPr>
        <w:t xml:space="preserve"> ‘Remarks on the Si</w:t>
      </w:r>
      <w:r>
        <w:rPr>
          <w:sz w:val="20"/>
          <w:szCs w:val="20"/>
          <w:lang w:val="en-US"/>
        </w:rPr>
        <w:t xml:space="preserve">tuation in Iraq: August 7’, </w:t>
      </w:r>
      <w:r w:rsidRPr="00180B39">
        <w:rPr>
          <w:i/>
          <w:sz w:val="20"/>
          <w:szCs w:val="20"/>
          <w:lang w:val="en-US"/>
        </w:rPr>
        <w:t>CPD</w:t>
      </w:r>
      <w:r>
        <w:rPr>
          <w:sz w:val="20"/>
          <w:szCs w:val="20"/>
          <w:lang w:val="en-US"/>
        </w:rPr>
        <w:t xml:space="preserve"> </w:t>
      </w:r>
      <w:r w:rsidRPr="00B61248">
        <w:rPr>
          <w:sz w:val="20"/>
          <w:szCs w:val="20"/>
          <w:lang w:val="en-US" w:bidi="en-US"/>
        </w:rPr>
        <w:t>(2014)</w:t>
      </w:r>
      <w:r>
        <w:rPr>
          <w:sz w:val="20"/>
          <w:szCs w:val="20"/>
          <w:lang w:val="en-US" w:bidi="en-US"/>
        </w:rPr>
        <w:t>, available at:</w:t>
      </w:r>
      <w:r w:rsidRPr="00B61248">
        <w:rPr>
          <w:sz w:val="20"/>
          <w:szCs w:val="20"/>
          <w:lang w:val="en-US"/>
        </w:rPr>
        <w:t xml:space="preserve"> www.gpo.gov/fdsys/pkg/DCPD-201400602/pdf/DCPD-201400602.pdf</w:t>
      </w:r>
      <w:r w:rsidRPr="00B61248">
        <w:rPr>
          <w:sz w:val="20"/>
          <w:szCs w:val="20"/>
          <w:lang w:val="en-US" w:bidi="en-US"/>
        </w:rPr>
        <w:t xml:space="preserve">; </w:t>
      </w:r>
      <w:r w:rsidRPr="00B61248">
        <w:rPr>
          <w:sz w:val="20"/>
          <w:szCs w:val="20"/>
        </w:rPr>
        <w:t xml:space="preserve">Barack </w:t>
      </w:r>
      <w:r>
        <w:rPr>
          <w:sz w:val="20"/>
          <w:szCs w:val="20"/>
          <w:lang w:val="en-US" w:bidi="en-US"/>
        </w:rPr>
        <w:t>Obama,</w:t>
      </w:r>
      <w:r w:rsidRPr="00B61248">
        <w:rPr>
          <w:sz w:val="20"/>
          <w:szCs w:val="20"/>
          <w:lang w:val="en-US"/>
        </w:rPr>
        <w:t xml:space="preserve"> ‘Address to the Nation on United States Strategy To Combat the Islamic State of Iraq and the Levant Terrorist Organiza</w:t>
      </w:r>
      <w:r>
        <w:rPr>
          <w:sz w:val="20"/>
          <w:szCs w:val="20"/>
          <w:lang w:val="en-US"/>
        </w:rPr>
        <w:t xml:space="preserve">tion (ISIL): September 10’, </w:t>
      </w:r>
      <w:r w:rsidRPr="00180B39">
        <w:rPr>
          <w:i/>
          <w:sz w:val="20"/>
          <w:szCs w:val="20"/>
          <w:lang w:val="en-US"/>
        </w:rPr>
        <w:t>CPD</w:t>
      </w:r>
      <w:r>
        <w:rPr>
          <w:sz w:val="20"/>
          <w:szCs w:val="20"/>
          <w:lang w:val="en-US"/>
        </w:rPr>
        <w:t xml:space="preserve"> </w:t>
      </w:r>
      <w:r w:rsidRPr="00B61248">
        <w:rPr>
          <w:sz w:val="20"/>
          <w:szCs w:val="20"/>
          <w:lang w:val="en-US" w:bidi="en-US"/>
        </w:rPr>
        <w:t>(2014)</w:t>
      </w:r>
      <w:r>
        <w:rPr>
          <w:sz w:val="20"/>
          <w:szCs w:val="20"/>
          <w:lang w:val="en-US" w:bidi="en-US"/>
        </w:rPr>
        <w:t>, available at:</w:t>
      </w:r>
      <w:r w:rsidRPr="00B61248">
        <w:rPr>
          <w:sz w:val="20"/>
          <w:szCs w:val="20"/>
          <w:lang w:val="en-US"/>
        </w:rPr>
        <w:t xml:space="preserve"> www.gpo.gov/fdsys/pkg/DCPD-201400654/pdf/DCPD-201400654.pdf</w:t>
      </w:r>
      <w:r w:rsidRPr="00B61248">
        <w:rPr>
          <w:sz w:val="20"/>
          <w:szCs w:val="20"/>
          <w:lang w:val="en-US" w:bidi="en-US"/>
        </w:rPr>
        <w:t xml:space="preserve">; </w:t>
      </w:r>
      <w:r w:rsidRPr="00B61248">
        <w:rPr>
          <w:sz w:val="20"/>
          <w:szCs w:val="20"/>
        </w:rPr>
        <w:t xml:space="preserve">Barack </w:t>
      </w:r>
      <w:r>
        <w:rPr>
          <w:sz w:val="20"/>
          <w:szCs w:val="20"/>
          <w:lang w:val="en-US" w:bidi="en-US"/>
        </w:rPr>
        <w:t>Obama,</w:t>
      </w:r>
      <w:r w:rsidRPr="00B61248">
        <w:rPr>
          <w:sz w:val="20"/>
          <w:szCs w:val="20"/>
          <w:lang w:val="en-US"/>
        </w:rPr>
        <w:t xml:space="preserve"> </w:t>
      </w:r>
      <w:r>
        <w:rPr>
          <w:sz w:val="20"/>
          <w:szCs w:val="20"/>
          <w:lang w:val="en-US"/>
        </w:rPr>
        <w:t>‘</w:t>
      </w:r>
      <w:r w:rsidRPr="00B61248">
        <w:rPr>
          <w:sz w:val="20"/>
          <w:szCs w:val="20"/>
          <w:lang w:val="en-US"/>
        </w:rPr>
        <w:t>Remarks on the Situation in Iraq and an E</w:t>
      </w:r>
      <w:r>
        <w:rPr>
          <w:sz w:val="20"/>
          <w:szCs w:val="20"/>
          <w:lang w:val="en-US"/>
        </w:rPr>
        <w:t xml:space="preserve">xchange With Reporters: June 19’, </w:t>
      </w:r>
      <w:r w:rsidRPr="00180B39">
        <w:rPr>
          <w:i/>
          <w:sz w:val="20"/>
          <w:szCs w:val="20"/>
          <w:lang w:val="en-US"/>
        </w:rPr>
        <w:t>CPD</w:t>
      </w:r>
      <w:r>
        <w:rPr>
          <w:sz w:val="20"/>
          <w:szCs w:val="20"/>
          <w:lang w:val="en-US"/>
        </w:rPr>
        <w:t xml:space="preserve"> </w:t>
      </w:r>
      <w:r w:rsidRPr="00B61248">
        <w:rPr>
          <w:sz w:val="20"/>
          <w:szCs w:val="20"/>
          <w:lang w:val="en-US" w:bidi="en-US"/>
        </w:rPr>
        <w:t>(2014)</w:t>
      </w:r>
      <w:r>
        <w:rPr>
          <w:sz w:val="20"/>
          <w:szCs w:val="20"/>
          <w:lang w:val="en-US" w:bidi="en-US"/>
        </w:rPr>
        <w:t>, available at:</w:t>
      </w:r>
      <w:r w:rsidRPr="00B61248">
        <w:rPr>
          <w:sz w:val="20"/>
          <w:szCs w:val="20"/>
          <w:lang w:val="en-US"/>
        </w:rPr>
        <w:t xml:space="preserve"> www.gpo.gov/fdsys/pkg/DCPD-201400470/pdf/DCPD-201400470.pdf</w:t>
      </w:r>
    </w:p>
  </w:footnote>
  <w:footnote w:id="119">
    <w:p w14:paraId="5A6D68DF" w14:textId="4ED77928" w:rsidR="003F3759" w:rsidRPr="00B61248" w:rsidRDefault="003F3759">
      <w:pPr>
        <w:pStyle w:val="FootnoteText"/>
        <w:rPr>
          <w:szCs w:val="20"/>
          <w:lang w:val="en-US"/>
        </w:rPr>
      </w:pPr>
      <w:r w:rsidRPr="00B61248">
        <w:rPr>
          <w:rStyle w:val="FootnoteReference"/>
          <w:szCs w:val="20"/>
        </w:rPr>
        <w:footnoteRef/>
      </w:r>
      <w:r w:rsidRPr="00B61248">
        <w:rPr>
          <w:szCs w:val="20"/>
        </w:rPr>
        <w:t xml:space="preserve"> Tal </w:t>
      </w:r>
      <w:proofErr w:type="spellStart"/>
      <w:r w:rsidRPr="00B61248">
        <w:rPr>
          <w:szCs w:val="20"/>
        </w:rPr>
        <w:t>Dingott</w:t>
      </w:r>
      <w:proofErr w:type="spellEnd"/>
      <w:r w:rsidRPr="00B61248">
        <w:rPr>
          <w:szCs w:val="20"/>
        </w:rPr>
        <w:t xml:space="preserve"> </w:t>
      </w:r>
      <w:proofErr w:type="spellStart"/>
      <w:r>
        <w:rPr>
          <w:szCs w:val="20"/>
          <w:lang w:val="en-US"/>
        </w:rPr>
        <w:t>Alkopher</w:t>
      </w:r>
      <w:proofErr w:type="spellEnd"/>
      <w:r>
        <w:rPr>
          <w:szCs w:val="20"/>
          <w:lang w:val="en-US"/>
        </w:rPr>
        <w:t>,</w:t>
      </w:r>
      <w:r w:rsidR="00583B42">
        <w:rPr>
          <w:szCs w:val="20"/>
          <w:lang w:val="en-US"/>
        </w:rPr>
        <w:t xml:space="preserve"> ‘From Kosovo to Syria: The T</w:t>
      </w:r>
      <w:r w:rsidRPr="00B61248">
        <w:rPr>
          <w:szCs w:val="20"/>
          <w:lang w:val="en-US"/>
        </w:rPr>
        <w:t>ransformation</w:t>
      </w:r>
      <w:r w:rsidR="00583B42">
        <w:rPr>
          <w:szCs w:val="20"/>
          <w:lang w:val="en-US"/>
        </w:rPr>
        <w:t xml:space="preserve"> of NATO Secretaries General’s D</w:t>
      </w:r>
      <w:r w:rsidRPr="00B61248">
        <w:rPr>
          <w:szCs w:val="20"/>
          <w:lang w:val="en-US"/>
        </w:rPr>
        <w:t>iscou</w:t>
      </w:r>
      <w:r w:rsidR="00583B42">
        <w:rPr>
          <w:szCs w:val="20"/>
          <w:lang w:val="en-US"/>
        </w:rPr>
        <w:t>rse on Military Humanitarian I</w:t>
      </w:r>
      <w:r w:rsidRPr="00B61248">
        <w:rPr>
          <w:szCs w:val="20"/>
          <w:lang w:val="en-US"/>
        </w:rPr>
        <w:t>nte</w:t>
      </w:r>
      <w:r>
        <w:rPr>
          <w:szCs w:val="20"/>
          <w:lang w:val="en-US"/>
        </w:rPr>
        <w:t xml:space="preserve">rvention’, </w:t>
      </w:r>
      <w:r w:rsidRPr="00180B39">
        <w:rPr>
          <w:i/>
          <w:szCs w:val="20"/>
          <w:lang w:val="en-US"/>
        </w:rPr>
        <w:t>European Security</w:t>
      </w:r>
      <w:r>
        <w:rPr>
          <w:szCs w:val="20"/>
          <w:lang w:val="en-US"/>
        </w:rPr>
        <w:t xml:space="preserve"> 25:</w:t>
      </w:r>
      <w:r w:rsidRPr="00B61248">
        <w:rPr>
          <w:szCs w:val="20"/>
          <w:lang w:val="en-US"/>
        </w:rPr>
        <w:t>1</w:t>
      </w:r>
      <w:r>
        <w:rPr>
          <w:szCs w:val="20"/>
          <w:lang w:val="en-US"/>
        </w:rPr>
        <w:t xml:space="preserve"> (2016), pp.</w:t>
      </w:r>
      <w:r w:rsidRPr="00B61248">
        <w:rPr>
          <w:szCs w:val="20"/>
          <w:lang w:val="en-US"/>
        </w:rPr>
        <w:t xml:space="preserve"> 49-71.</w:t>
      </w:r>
    </w:p>
  </w:footnote>
  <w:footnote w:id="120">
    <w:p w14:paraId="297E99DF" w14:textId="15B2D778" w:rsidR="003F3759" w:rsidRPr="00B61248" w:rsidRDefault="003F3759" w:rsidP="000F15A1">
      <w:pPr>
        <w:pStyle w:val="FootnoteText"/>
        <w:rPr>
          <w:szCs w:val="20"/>
          <w:lang w:val="en-US"/>
        </w:rPr>
      </w:pPr>
      <w:r w:rsidRPr="00B61248">
        <w:rPr>
          <w:rStyle w:val="FootnoteReference"/>
          <w:szCs w:val="20"/>
        </w:rPr>
        <w:footnoteRef/>
      </w:r>
      <w:r w:rsidRPr="00B61248">
        <w:rPr>
          <w:szCs w:val="20"/>
        </w:rPr>
        <w:t xml:space="preserve"> Wesley W. </w:t>
      </w:r>
      <w:proofErr w:type="spellStart"/>
      <w:r w:rsidRPr="00B61248">
        <w:rPr>
          <w:szCs w:val="20"/>
          <w:lang w:val="en-US"/>
        </w:rPr>
        <w:t>Wi</w:t>
      </w:r>
      <w:r>
        <w:rPr>
          <w:szCs w:val="20"/>
          <w:lang w:val="en-US"/>
        </w:rPr>
        <w:t>dmaier</w:t>
      </w:r>
      <w:proofErr w:type="spellEnd"/>
      <w:r>
        <w:rPr>
          <w:szCs w:val="20"/>
          <w:lang w:val="en-US"/>
        </w:rPr>
        <w:t xml:space="preserve"> and Luke Glanville,</w:t>
      </w:r>
      <w:r w:rsidR="00583B42">
        <w:rPr>
          <w:szCs w:val="20"/>
          <w:lang w:val="en-US"/>
        </w:rPr>
        <w:t xml:space="preserve"> ‘The Benefits of Norm Ambiguity: Constructing the Wider Responsibility to P</w:t>
      </w:r>
      <w:r w:rsidRPr="00B61248">
        <w:rPr>
          <w:szCs w:val="20"/>
          <w:lang w:val="en-US"/>
        </w:rPr>
        <w:t>rotect across Rwanda, Iraq and L</w:t>
      </w:r>
      <w:r>
        <w:rPr>
          <w:szCs w:val="20"/>
          <w:lang w:val="en-US"/>
        </w:rPr>
        <w:t xml:space="preserve">ibya’, </w:t>
      </w:r>
      <w:r w:rsidRPr="00180B39">
        <w:rPr>
          <w:i/>
          <w:szCs w:val="20"/>
          <w:lang w:val="en-US"/>
        </w:rPr>
        <w:t>Contemporary Politics</w:t>
      </w:r>
      <w:r>
        <w:rPr>
          <w:szCs w:val="20"/>
          <w:lang w:val="en-US"/>
        </w:rPr>
        <w:t xml:space="preserve"> 21:</w:t>
      </w:r>
      <w:r w:rsidRPr="00B61248">
        <w:rPr>
          <w:szCs w:val="20"/>
          <w:lang w:val="en-US"/>
        </w:rPr>
        <w:t>4</w:t>
      </w:r>
      <w:r>
        <w:rPr>
          <w:szCs w:val="20"/>
          <w:lang w:val="en-US"/>
        </w:rPr>
        <w:t xml:space="preserve"> (2015), p.</w:t>
      </w:r>
      <w:r w:rsidRPr="00B61248">
        <w:rPr>
          <w:szCs w:val="20"/>
          <w:lang w:val="en-US"/>
        </w:rPr>
        <w:t xml:space="preserve"> 376.</w:t>
      </w:r>
    </w:p>
  </w:footnote>
  <w:footnote w:id="121">
    <w:p w14:paraId="7C6A1087" w14:textId="30BDD6FF" w:rsidR="003F3759" w:rsidRPr="00B61248" w:rsidRDefault="003F3759" w:rsidP="004042F2">
      <w:pPr>
        <w:rPr>
          <w:sz w:val="20"/>
          <w:szCs w:val="20"/>
          <w:lang w:val="en-US" w:bidi="en-US"/>
        </w:rPr>
      </w:pPr>
      <w:r w:rsidRPr="00B61248">
        <w:rPr>
          <w:rStyle w:val="FootnoteReference"/>
          <w:sz w:val="20"/>
          <w:szCs w:val="20"/>
        </w:rPr>
        <w:footnoteRef/>
      </w:r>
      <w:r>
        <w:rPr>
          <w:sz w:val="20"/>
          <w:szCs w:val="20"/>
        </w:rPr>
        <w:t xml:space="preserve"> </w:t>
      </w:r>
      <w:r>
        <w:rPr>
          <w:sz w:val="20"/>
          <w:szCs w:val="20"/>
          <w:lang w:val="en-US" w:bidi="en-US"/>
        </w:rPr>
        <w:t>Obama,</w:t>
      </w:r>
      <w:r w:rsidRPr="00B61248">
        <w:rPr>
          <w:sz w:val="20"/>
          <w:szCs w:val="20"/>
        </w:rPr>
        <w:t xml:space="preserve"> </w:t>
      </w:r>
      <w:r>
        <w:rPr>
          <w:sz w:val="20"/>
          <w:szCs w:val="20"/>
        </w:rPr>
        <w:t>‘</w:t>
      </w:r>
      <w:r w:rsidRPr="00B61248">
        <w:rPr>
          <w:sz w:val="20"/>
          <w:szCs w:val="20"/>
        </w:rPr>
        <w:t>Remarks</w:t>
      </w:r>
      <w:r>
        <w:rPr>
          <w:sz w:val="20"/>
          <w:szCs w:val="20"/>
        </w:rPr>
        <w:t>: June 13’ (2014).</w:t>
      </w:r>
    </w:p>
  </w:footnote>
  <w:footnote w:id="122">
    <w:p w14:paraId="6F636576" w14:textId="7680DA8F" w:rsidR="003F3759" w:rsidRPr="00B61248" w:rsidRDefault="003F3759" w:rsidP="004042F2">
      <w:pPr>
        <w:rPr>
          <w:sz w:val="20"/>
          <w:szCs w:val="20"/>
          <w:lang w:val="en-US" w:bidi="en-US"/>
        </w:rPr>
      </w:pPr>
      <w:r w:rsidRPr="00B61248">
        <w:rPr>
          <w:rStyle w:val="FootnoteReference"/>
          <w:sz w:val="20"/>
          <w:szCs w:val="20"/>
        </w:rPr>
        <w:footnoteRef/>
      </w:r>
      <w:r>
        <w:rPr>
          <w:sz w:val="20"/>
          <w:szCs w:val="20"/>
        </w:rPr>
        <w:t xml:space="preserve"> </w:t>
      </w:r>
      <w:r>
        <w:rPr>
          <w:sz w:val="20"/>
          <w:szCs w:val="20"/>
          <w:lang w:val="en-US" w:bidi="en-US"/>
        </w:rPr>
        <w:t>Obama, ‘</w:t>
      </w:r>
      <w:r>
        <w:rPr>
          <w:sz w:val="20"/>
          <w:szCs w:val="20"/>
          <w:lang w:val="en-US"/>
        </w:rPr>
        <w:t>Weekly Address: September 13’ (2014).</w:t>
      </w:r>
    </w:p>
  </w:footnote>
  <w:footnote w:id="123">
    <w:p w14:paraId="5A45954B" w14:textId="7A69EDEA" w:rsidR="003F3759" w:rsidRPr="00B61248" w:rsidRDefault="003F3759" w:rsidP="004042F2">
      <w:pPr>
        <w:rPr>
          <w:sz w:val="20"/>
          <w:szCs w:val="20"/>
          <w:lang w:val="en-US" w:bidi="en-US"/>
        </w:rPr>
      </w:pPr>
      <w:r w:rsidRPr="00B61248">
        <w:rPr>
          <w:rStyle w:val="FootnoteReference"/>
          <w:sz w:val="20"/>
          <w:szCs w:val="20"/>
        </w:rPr>
        <w:footnoteRef/>
      </w:r>
      <w:r w:rsidRPr="00B61248">
        <w:rPr>
          <w:sz w:val="20"/>
          <w:szCs w:val="20"/>
        </w:rPr>
        <w:t xml:space="preserve"> Barack </w:t>
      </w:r>
      <w:r>
        <w:rPr>
          <w:sz w:val="20"/>
          <w:szCs w:val="20"/>
          <w:lang w:val="en-US" w:bidi="en-US"/>
        </w:rPr>
        <w:t>Obama,</w:t>
      </w:r>
      <w:r w:rsidRPr="00B61248">
        <w:rPr>
          <w:sz w:val="20"/>
          <w:szCs w:val="20"/>
          <w:lang w:val="en-US"/>
        </w:rPr>
        <w:t xml:space="preserve"> ‘Remarks at MacDill Air Force Ba</w:t>
      </w:r>
      <w:r>
        <w:rPr>
          <w:sz w:val="20"/>
          <w:szCs w:val="20"/>
          <w:lang w:val="en-US"/>
        </w:rPr>
        <w:t xml:space="preserve">se, Florida: September 17’, </w:t>
      </w:r>
      <w:r w:rsidRPr="00180B39">
        <w:rPr>
          <w:i/>
          <w:sz w:val="20"/>
          <w:szCs w:val="20"/>
          <w:lang w:val="en-US"/>
        </w:rPr>
        <w:t>CPD</w:t>
      </w:r>
      <w:r>
        <w:rPr>
          <w:sz w:val="20"/>
          <w:szCs w:val="20"/>
          <w:lang w:val="en-US"/>
        </w:rPr>
        <w:t xml:space="preserve"> </w:t>
      </w:r>
      <w:r w:rsidRPr="00B61248">
        <w:rPr>
          <w:sz w:val="20"/>
          <w:szCs w:val="20"/>
          <w:lang w:val="en-US" w:bidi="en-US"/>
        </w:rPr>
        <w:t>(2014)</w:t>
      </w:r>
      <w:r>
        <w:rPr>
          <w:sz w:val="20"/>
          <w:szCs w:val="20"/>
          <w:lang w:val="en-US" w:bidi="en-US"/>
        </w:rPr>
        <w:t>, available at:</w:t>
      </w:r>
      <w:r w:rsidRPr="00B61248">
        <w:rPr>
          <w:sz w:val="20"/>
          <w:szCs w:val="20"/>
          <w:lang w:val="en-US"/>
        </w:rPr>
        <w:t xml:space="preserve"> www.gpo.gov/fdsys/pkg/DCPD-201400669/pdf/DCPD-201400669.pdf</w:t>
      </w:r>
    </w:p>
  </w:footnote>
  <w:footnote w:id="124">
    <w:p w14:paraId="3406DF35" w14:textId="6EF60FB0" w:rsidR="003F3759" w:rsidRPr="00B61248" w:rsidRDefault="003F3759" w:rsidP="004042F2">
      <w:pPr>
        <w:rPr>
          <w:sz w:val="20"/>
          <w:szCs w:val="20"/>
          <w:lang w:val="en-US" w:bidi="en-US"/>
        </w:rPr>
      </w:pPr>
      <w:r w:rsidRPr="00B61248">
        <w:rPr>
          <w:rStyle w:val="FootnoteReference"/>
          <w:sz w:val="20"/>
          <w:szCs w:val="20"/>
        </w:rPr>
        <w:footnoteRef/>
      </w:r>
      <w:r>
        <w:rPr>
          <w:sz w:val="20"/>
          <w:szCs w:val="20"/>
        </w:rPr>
        <w:t xml:space="preserve"> </w:t>
      </w:r>
      <w:r>
        <w:rPr>
          <w:sz w:val="20"/>
          <w:szCs w:val="20"/>
          <w:lang w:val="en-US" w:bidi="en-US"/>
        </w:rPr>
        <w:t>Obama,</w:t>
      </w:r>
      <w:r w:rsidRPr="00B61248">
        <w:rPr>
          <w:sz w:val="20"/>
          <w:szCs w:val="20"/>
          <w:lang w:val="en-US"/>
        </w:rPr>
        <w:t xml:space="preserve"> </w:t>
      </w:r>
      <w:r>
        <w:rPr>
          <w:sz w:val="20"/>
          <w:szCs w:val="20"/>
          <w:lang w:val="en-US"/>
        </w:rPr>
        <w:t>‘</w:t>
      </w:r>
      <w:r w:rsidRPr="00B61248">
        <w:rPr>
          <w:sz w:val="20"/>
          <w:szCs w:val="20"/>
          <w:lang w:val="en-US"/>
        </w:rPr>
        <w:t>Remarks</w:t>
      </w:r>
      <w:r>
        <w:rPr>
          <w:sz w:val="20"/>
          <w:szCs w:val="20"/>
          <w:lang w:val="en-US"/>
        </w:rPr>
        <w:t>: June 19’</w:t>
      </w:r>
      <w:r w:rsidRPr="00B61248">
        <w:rPr>
          <w:sz w:val="20"/>
          <w:szCs w:val="20"/>
          <w:lang w:val="en-US"/>
        </w:rPr>
        <w:t xml:space="preserve"> </w:t>
      </w:r>
      <w:r>
        <w:rPr>
          <w:sz w:val="20"/>
          <w:szCs w:val="20"/>
          <w:lang w:val="en-US"/>
        </w:rPr>
        <w:t>(2014).</w:t>
      </w:r>
    </w:p>
  </w:footnote>
  <w:footnote w:id="125">
    <w:p w14:paraId="10C19CB7" w14:textId="372942E9" w:rsidR="003F3759" w:rsidRPr="00B61248" w:rsidRDefault="003F3759" w:rsidP="004042F2">
      <w:pPr>
        <w:rPr>
          <w:sz w:val="20"/>
          <w:szCs w:val="20"/>
          <w:lang w:val="en-US"/>
        </w:rPr>
      </w:pPr>
      <w:r w:rsidRPr="00B61248">
        <w:rPr>
          <w:rStyle w:val="FootnoteReference"/>
          <w:sz w:val="20"/>
          <w:szCs w:val="20"/>
        </w:rPr>
        <w:footnoteRef/>
      </w:r>
      <w:r>
        <w:rPr>
          <w:sz w:val="20"/>
          <w:szCs w:val="20"/>
        </w:rPr>
        <w:t xml:space="preserve"> </w:t>
      </w:r>
      <w:r>
        <w:rPr>
          <w:sz w:val="20"/>
          <w:szCs w:val="20"/>
          <w:lang w:val="en-US" w:bidi="en-US"/>
        </w:rPr>
        <w:t>Obama, ‘</w:t>
      </w:r>
      <w:r w:rsidRPr="00B61248">
        <w:rPr>
          <w:sz w:val="20"/>
          <w:szCs w:val="20"/>
          <w:lang w:val="en-US"/>
        </w:rPr>
        <w:t>Remarks: August 9</w:t>
      </w:r>
      <w:r>
        <w:rPr>
          <w:sz w:val="20"/>
          <w:szCs w:val="20"/>
          <w:lang w:val="en-US"/>
        </w:rPr>
        <w:t>’ (2014).</w:t>
      </w:r>
    </w:p>
  </w:footnote>
  <w:footnote w:id="126">
    <w:p w14:paraId="1721182C" w14:textId="75FD0B20" w:rsidR="003F3759" w:rsidRPr="00B61248" w:rsidRDefault="003F3759" w:rsidP="004042F2">
      <w:pPr>
        <w:rPr>
          <w:sz w:val="20"/>
          <w:szCs w:val="20"/>
          <w:lang w:val="en-US" w:bidi="en-US"/>
        </w:rPr>
      </w:pPr>
      <w:r w:rsidRPr="00B61248">
        <w:rPr>
          <w:rStyle w:val="FootnoteReference"/>
          <w:sz w:val="20"/>
          <w:szCs w:val="20"/>
        </w:rPr>
        <w:footnoteRef/>
      </w:r>
      <w:r w:rsidRPr="00B61248">
        <w:rPr>
          <w:sz w:val="20"/>
          <w:szCs w:val="20"/>
        </w:rPr>
        <w:t xml:space="preserve"> Barack </w:t>
      </w:r>
      <w:r>
        <w:rPr>
          <w:sz w:val="20"/>
          <w:szCs w:val="20"/>
          <w:lang w:val="en-US" w:bidi="en-US"/>
        </w:rPr>
        <w:t>Obama,</w:t>
      </w:r>
      <w:r w:rsidRPr="00B61248">
        <w:rPr>
          <w:sz w:val="20"/>
          <w:szCs w:val="20"/>
          <w:lang w:val="en-US"/>
        </w:rPr>
        <w:t xml:space="preserve"> ‘Remarks at the American Legion National Conventional in Charlotte, North Carolina: August 26’, </w:t>
      </w:r>
      <w:r w:rsidRPr="00180B39">
        <w:rPr>
          <w:i/>
          <w:sz w:val="20"/>
          <w:szCs w:val="20"/>
          <w:lang w:val="en-US"/>
        </w:rPr>
        <w:t>CPD</w:t>
      </w:r>
      <w:r>
        <w:rPr>
          <w:sz w:val="20"/>
          <w:szCs w:val="20"/>
          <w:lang w:val="en-US"/>
        </w:rPr>
        <w:t xml:space="preserve"> </w:t>
      </w:r>
      <w:r w:rsidRPr="00B61248">
        <w:rPr>
          <w:sz w:val="20"/>
          <w:szCs w:val="20"/>
          <w:lang w:val="en-US" w:bidi="en-US"/>
        </w:rPr>
        <w:t>(2014)</w:t>
      </w:r>
      <w:r>
        <w:rPr>
          <w:sz w:val="20"/>
          <w:szCs w:val="20"/>
          <w:lang w:val="en-US" w:bidi="en-US"/>
        </w:rPr>
        <w:t>, available at:</w:t>
      </w:r>
      <w:r w:rsidRPr="00B61248">
        <w:rPr>
          <w:sz w:val="20"/>
          <w:szCs w:val="20"/>
          <w:lang w:val="en-US"/>
        </w:rPr>
        <w:t xml:space="preserve"> www.gpo.gov/fdsys/pkg/DCPD-201400621/pdf/DCPD-201400621.pdf</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2F5"/>
    <w:rsid w:val="00000588"/>
    <w:rsid w:val="0000071C"/>
    <w:rsid w:val="000010B3"/>
    <w:rsid w:val="0000148B"/>
    <w:rsid w:val="000030DB"/>
    <w:rsid w:val="00003854"/>
    <w:rsid w:val="00005C8B"/>
    <w:rsid w:val="00007ED6"/>
    <w:rsid w:val="00012B25"/>
    <w:rsid w:val="00014669"/>
    <w:rsid w:val="0001476A"/>
    <w:rsid w:val="000147D5"/>
    <w:rsid w:val="00014B39"/>
    <w:rsid w:val="00015649"/>
    <w:rsid w:val="0001615A"/>
    <w:rsid w:val="000170E8"/>
    <w:rsid w:val="00017768"/>
    <w:rsid w:val="00017EAE"/>
    <w:rsid w:val="000212C1"/>
    <w:rsid w:val="000217DA"/>
    <w:rsid w:val="00021B7E"/>
    <w:rsid w:val="000223B3"/>
    <w:rsid w:val="0002285D"/>
    <w:rsid w:val="0002492F"/>
    <w:rsid w:val="000260FC"/>
    <w:rsid w:val="000307AA"/>
    <w:rsid w:val="00030C2A"/>
    <w:rsid w:val="00030E49"/>
    <w:rsid w:val="00031970"/>
    <w:rsid w:val="0003291F"/>
    <w:rsid w:val="00034D33"/>
    <w:rsid w:val="00036839"/>
    <w:rsid w:val="000408A0"/>
    <w:rsid w:val="00041421"/>
    <w:rsid w:val="0004314F"/>
    <w:rsid w:val="000442FA"/>
    <w:rsid w:val="0004603F"/>
    <w:rsid w:val="000524F1"/>
    <w:rsid w:val="00053171"/>
    <w:rsid w:val="00057B06"/>
    <w:rsid w:val="000648B0"/>
    <w:rsid w:val="000649EB"/>
    <w:rsid w:val="000671B3"/>
    <w:rsid w:val="00067469"/>
    <w:rsid w:val="00067987"/>
    <w:rsid w:val="000704CC"/>
    <w:rsid w:val="00071B12"/>
    <w:rsid w:val="00071CFE"/>
    <w:rsid w:val="00073BB0"/>
    <w:rsid w:val="0007493E"/>
    <w:rsid w:val="00075301"/>
    <w:rsid w:val="00076469"/>
    <w:rsid w:val="00076865"/>
    <w:rsid w:val="00076D16"/>
    <w:rsid w:val="000770FA"/>
    <w:rsid w:val="0007795F"/>
    <w:rsid w:val="0008065E"/>
    <w:rsid w:val="00081021"/>
    <w:rsid w:val="000830B9"/>
    <w:rsid w:val="0008379F"/>
    <w:rsid w:val="000839AA"/>
    <w:rsid w:val="000852C1"/>
    <w:rsid w:val="00085FFA"/>
    <w:rsid w:val="00086400"/>
    <w:rsid w:val="00086D96"/>
    <w:rsid w:val="00087A64"/>
    <w:rsid w:val="000922F3"/>
    <w:rsid w:val="00096799"/>
    <w:rsid w:val="000968AE"/>
    <w:rsid w:val="00097EDD"/>
    <w:rsid w:val="000A386E"/>
    <w:rsid w:val="000A3E83"/>
    <w:rsid w:val="000A4D69"/>
    <w:rsid w:val="000A62BF"/>
    <w:rsid w:val="000A75E1"/>
    <w:rsid w:val="000B0D49"/>
    <w:rsid w:val="000B141B"/>
    <w:rsid w:val="000B1521"/>
    <w:rsid w:val="000B2216"/>
    <w:rsid w:val="000B293D"/>
    <w:rsid w:val="000B34E3"/>
    <w:rsid w:val="000B38CF"/>
    <w:rsid w:val="000B42E2"/>
    <w:rsid w:val="000B5634"/>
    <w:rsid w:val="000B576E"/>
    <w:rsid w:val="000B57FF"/>
    <w:rsid w:val="000B5C3E"/>
    <w:rsid w:val="000B5FA7"/>
    <w:rsid w:val="000B7E43"/>
    <w:rsid w:val="000C271D"/>
    <w:rsid w:val="000C3DBE"/>
    <w:rsid w:val="000C4AE0"/>
    <w:rsid w:val="000C60A5"/>
    <w:rsid w:val="000C77F3"/>
    <w:rsid w:val="000C7899"/>
    <w:rsid w:val="000D03A8"/>
    <w:rsid w:val="000D05A3"/>
    <w:rsid w:val="000D10D8"/>
    <w:rsid w:val="000D55A1"/>
    <w:rsid w:val="000D58CB"/>
    <w:rsid w:val="000D7E6A"/>
    <w:rsid w:val="000D7FEB"/>
    <w:rsid w:val="000E02B1"/>
    <w:rsid w:val="000E1779"/>
    <w:rsid w:val="000E2FEE"/>
    <w:rsid w:val="000E3BD0"/>
    <w:rsid w:val="000E4345"/>
    <w:rsid w:val="000E537A"/>
    <w:rsid w:val="000E658F"/>
    <w:rsid w:val="000E7308"/>
    <w:rsid w:val="000E7BF8"/>
    <w:rsid w:val="000E7C1D"/>
    <w:rsid w:val="000F06BB"/>
    <w:rsid w:val="000F0CA1"/>
    <w:rsid w:val="000F1456"/>
    <w:rsid w:val="000F15A1"/>
    <w:rsid w:val="000F15B1"/>
    <w:rsid w:val="000F362E"/>
    <w:rsid w:val="000F36E9"/>
    <w:rsid w:val="000F3D92"/>
    <w:rsid w:val="000F4FE5"/>
    <w:rsid w:val="000F5133"/>
    <w:rsid w:val="000F6D0B"/>
    <w:rsid w:val="000F6E91"/>
    <w:rsid w:val="000F726C"/>
    <w:rsid w:val="000F7BCB"/>
    <w:rsid w:val="0010024F"/>
    <w:rsid w:val="00100F0D"/>
    <w:rsid w:val="00102CA7"/>
    <w:rsid w:val="001035B3"/>
    <w:rsid w:val="001039F8"/>
    <w:rsid w:val="0011114A"/>
    <w:rsid w:val="0011212F"/>
    <w:rsid w:val="0011256D"/>
    <w:rsid w:val="00114199"/>
    <w:rsid w:val="001152EC"/>
    <w:rsid w:val="00115C97"/>
    <w:rsid w:val="00122517"/>
    <w:rsid w:val="00123E7F"/>
    <w:rsid w:val="00124842"/>
    <w:rsid w:val="00124DA4"/>
    <w:rsid w:val="00125AE7"/>
    <w:rsid w:val="001275BA"/>
    <w:rsid w:val="00130281"/>
    <w:rsid w:val="001305AA"/>
    <w:rsid w:val="0013167C"/>
    <w:rsid w:val="00131EAD"/>
    <w:rsid w:val="00132F0B"/>
    <w:rsid w:val="001341EF"/>
    <w:rsid w:val="00136CF4"/>
    <w:rsid w:val="00141105"/>
    <w:rsid w:val="001454A1"/>
    <w:rsid w:val="001458B1"/>
    <w:rsid w:val="00146F5E"/>
    <w:rsid w:val="00147826"/>
    <w:rsid w:val="00151FF6"/>
    <w:rsid w:val="0015202F"/>
    <w:rsid w:val="001523A3"/>
    <w:rsid w:val="00156438"/>
    <w:rsid w:val="00157449"/>
    <w:rsid w:val="00157B65"/>
    <w:rsid w:val="00157CD6"/>
    <w:rsid w:val="001609D5"/>
    <w:rsid w:val="0016113E"/>
    <w:rsid w:val="0016122B"/>
    <w:rsid w:val="00164203"/>
    <w:rsid w:val="00164FB5"/>
    <w:rsid w:val="0016558D"/>
    <w:rsid w:val="001655FF"/>
    <w:rsid w:val="00166168"/>
    <w:rsid w:val="001666A6"/>
    <w:rsid w:val="0016748D"/>
    <w:rsid w:val="00171279"/>
    <w:rsid w:val="00171496"/>
    <w:rsid w:val="00173CA7"/>
    <w:rsid w:val="00174B5D"/>
    <w:rsid w:val="00174D8E"/>
    <w:rsid w:val="00175070"/>
    <w:rsid w:val="00175688"/>
    <w:rsid w:val="00175A06"/>
    <w:rsid w:val="0017685E"/>
    <w:rsid w:val="001778A2"/>
    <w:rsid w:val="00177949"/>
    <w:rsid w:val="00177CEB"/>
    <w:rsid w:val="00180B39"/>
    <w:rsid w:val="0018145F"/>
    <w:rsid w:val="001822D7"/>
    <w:rsid w:val="001823B3"/>
    <w:rsid w:val="00183E36"/>
    <w:rsid w:val="00183E8A"/>
    <w:rsid w:val="0018452D"/>
    <w:rsid w:val="001867D9"/>
    <w:rsid w:val="00187247"/>
    <w:rsid w:val="001873C0"/>
    <w:rsid w:val="00190418"/>
    <w:rsid w:val="00191BB0"/>
    <w:rsid w:val="0019246E"/>
    <w:rsid w:val="00193E71"/>
    <w:rsid w:val="00194E80"/>
    <w:rsid w:val="00195B6D"/>
    <w:rsid w:val="001963E0"/>
    <w:rsid w:val="001970C1"/>
    <w:rsid w:val="001A00EE"/>
    <w:rsid w:val="001A1740"/>
    <w:rsid w:val="001A2D3C"/>
    <w:rsid w:val="001A369F"/>
    <w:rsid w:val="001A3770"/>
    <w:rsid w:val="001A3D10"/>
    <w:rsid w:val="001A4478"/>
    <w:rsid w:val="001A4535"/>
    <w:rsid w:val="001A4FAE"/>
    <w:rsid w:val="001A5102"/>
    <w:rsid w:val="001A562E"/>
    <w:rsid w:val="001B1640"/>
    <w:rsid w:val="001B2DD2"/>
    <w:rsid w:val="001B3BA3"/>
    <w:rsid w:val="001B6050"/>
    <w:rsid w:val="001B6118"/>
    <w:rsid w:val="001C0B91"/>
    <w:rsid w:val="001C32F5"/>
    <w:rsid w:val="001C36CA"/>
    <w:rsid w:val="001C541F"/>
    <w:rsid w:val="001C5C4E"/>
    <w:rsid w:val="001C7091"/>
    <w:rsid w:val="001D0BAB"/>
    <w:rsid w:val="001D0C43"/>
    <w:rsid w:val="001D0FC8"/>
    <w:rsid w:val="001D25CC"/>
    <w:rsid w:val="001D2E86"/>
    <w:rsid w:val="001D3133"/>
    <w:rsid w:val="001D356B"/>
    <w:rsid w:val="001D3AC7"/>
    <w:rsid w:val="001D43A8"/>
    <w:rsid w:val="001D6C9A"/>
    <w:rsid w:val="001D6EF9"/>
    <w:rsid w:val="001D795D"/>
    <w:rsid w:val="001D7AEB"/>
    <w:rsid w:val="001E18F0"/>
    <w:rsid w:val="001E1906"/>
    <w:rsid w:val="001E2A8B"/>
    <w:rsid w:val="001E3C70"/>
    <w:rsid w:val="001E4841"/>
    <w:rsid w:val="001E6217"/>
    <w:rsid w:val="001F05DB"/>
    <w:rsid w:val="001F0A0F"/>
    <w:rsid w:val="001F0F32"/>
    <w:rsid w:val="001F2AA5"/>
    <w:rsid w:val="001F3392"/>
    <w:rsid w:val="001F3AD0"/>
    <w:rsid w:val="001F4233"/>
    <w:rsid w:val="001F4BA5"/>
    <w:rsid w:val="001F5A3C"/>
    <w:rsid w:val="001F60CB"/>
    <w:rsid w:val="001F6FD0"/>
    <w:rsid w:val="001F7375"/>
    <w:rsid w:val="001F7727"/>
    <w:rsid w:val="00200E61"/>
    <w:rsid w:val="00202661"/>
    <w:rsid w:val="002028E8"/>
    <w:rsid w:val="0020428E"/>
    <w:rsid w:val="00204A5C"/>
    <w:rsid w:val="00204B71"/>
    <w:rsid w:val="00210492"/>
    <w:rsid w:val="002118B6"/>
    <w:rsid w:val="00211CF3"/>
    <w:rsid w:val="00213403"/>
    <w:rsid w:val="00213F2A"/>
    <w:rsid w:val="00214D7D"/>
    <w:rsid w:val="00216527"/>
    <w:rsid w:val="00220437"/>
    <w:rsid w:val="0022096A"/>
    <w:rsid w:val="00220A8F"/>
    <w:rsid w:val="00221B9C"/>
    <w:rsid w:val="00221C2F"/>
    <w:rsid w:val="0022287C"/>
    <w:rsid w:val="002242E9"/>
    <w:rsid w:val="002243B2"/>
    <w:rsid w:val="002263D7"/>
    <w:rsid w:val="00226C22"/>
    <w:rsid w:val="00230969"/>
    <w:rsid w:val="002315C2"/>
    <w:rsid w:val="0023201C"/>
    <w:rsid w:val="002331F9"/>
    <w:rsid w:val="00233562"/>
    <w:rsid w:val="00234DA3"/>
    <w:rsid w:val="00236522"/>
    <w:rsid w:val="00237AF4"/>
    <w:rsid w:val="00241309"/>
    <w:rsid w:val="00242A63"/>
    <w:rsid w:val="00244AFC"/>
    <w:rsid w:val="00245348"/>
    <w:rsid w:val="002463DF"/>
    <w:rsid w:val="00247E7D"/>
    <w:rsid w:val="00250E07"/>
    <w:rsid w:val="0025132F"/>
    <w:rsid w:val="002578F9"/>
    <w:rsid w:val="00260118"/>
    <w:rsid w:val="00261D17"/>
    <w:rsid w:val="002622E8"/>
    <w:rsid w:val="00263698"/>
    <w:rsid w:val="0026536E"/>
    <w:rsid w:val="00265D9E"/>
    <w:rsid w:val="00266B4F"/>
    <w:rsid w:val="002676EB"/>
    <w:rsid w:val="002705EF"/>
    <w:rsid w:val="0027188D"/>
    <w:rsid w:val="0027206C"/>
    <w:rsid w:val="002729D5"/>
    <w:rsid w:val="00273672"/>
    <w:rsid w:val="00274B49"/>
    <w:rsid w:val="00274F0F"/>
    <w:rsid w:val="00275DAE"/>
    <w:rsid w:val="00277A60"/>
    <w:rsid w:val="00280756"/>
    <w:rsid w:val="00280F44"/>
    <w:rsid w:val="00281B8D"/>
    <w:rsid w:val="00283235"/>
    <w:rsid w:val="00283442"/>
    <w:rsid w:val="00283A3D"/>
    <w:rsid w:val="002869B7"/>
    <w:rsid w:val="00286B54"/>
    <w:rsid w:val="00286B91"/>
    <w:rsid w:val="00286CCE"/>
    <w:rsid w:val="00291197"/>
    <w:rsid w:val="002944C6"/>
    <w:rsid w:val="002953CB"/>
    <w:rsid w:val="00295543"/>
    <w:rsid w:val="002A0878"/>
    <w:rsid w:val="002A1D3E"/>
    <w:rsid w:val="002A1E9D"/>
    <w:rsid w:val="002A2E4F"/>
    <w:rsid w:val="002A39BD"/>
    <w:rsid w:val="002A4769"/>
    <w:rsid w:val="002A4BF2"/>
    <w:rsid w:val="002A512C"/>
    <w:rsid w:val="002A5972"/>
    <w:rsid w:val="002B1FAB"/>
    <w:rsid w:val="002B2651"/>
    <w:rsid w:val="002B4591"/>
    <w:rsid w:val="002B5319"/>
    <w:rsid w:val="002B625A"/>
    <w:rsid w:val="002B6B72"/>
    <w:rsid w:val="002B6E01"/>
    <w:rsid w:val="002C136A"/>
    <w:rsid w:val="002C138C"/>
    <w:rsid w:val="002C270B"/>
    <w:rsid w:val="002C2EA8"/>
    <w:rsid w:val="002C46D0"/>
    <w:rsid w:val="002C48DE"/>
    <w:rsid w:val="002C4DBD"/>
    <w:rsid w:val="002C5BF0"/>
    <w:rsid w:val="002C6AE9"/>
    <w:rsid w:val="002D0626"/>
    <w:rsid w:val="002D289D"/>
    <w:rsid w:val="002D4059"/>
    <w:rsid w:val="002D5375"/>
    <w:rsid w:val="002E2CE4"/>
    <w:rsid w:val="002E34DB"/>
    <w:rsid w:val="002E3813"/>
    <w:rsid w:val="002E3B9E"/>
    <w:rsid w:val="002E4C77"/>
    <w:rsid w:val="002E585D"/>
    <w:rsid w:val="002E6EA3"/>
    <w:rsid w:val="002E6EE5"/>
    <w:rsid w:val="002E75BB"/>
    <w:rsid w:val="002E7865"/>
    <w:rsid w:val="002F0721"/>
    <w:rsid w:val="002F3453"/>
    <w:rsid w:val="002F63D5"/>
    <w:rsid w:val="002F7255"/>
    <w:rsid w:val="002F77CB"/>
    <w:rsid w:val="002F7D80"/>
    <w:rsid w:val="0030053F"/>
    <w:rsid w:val="00301D25"/>
    <w:rsid w:val="0030272D"/>
    <w:rsid w:val="00304218"/>
    <w:rsid w:val="003046E9"/>
    <w:rsid w:val="00305358"/>
    <w:rsid w:val="003072D2"/>
    <w:rsid w:val="003072FC"/>
    <w:rsid w:val="00314ACB"/>
    <w:rsid w:val="00315874"/>
    <w:rsid w:val="00317164"/>
    <w:rsid w:val="00320A48"/>
    <w:rsid w:val="00321B5D"/>
    <w:rsid w:val="003227FC"/>
    <w:rsid w:val="00322CD8"/>
    <w:rsid w:val="0032355D"/>
    <w:rsid w:val="00323A6C"/>
    <w:rsid w:val="00324968"/>
    <w:rsid w:val="00325978"/>
    <w:rsid w:val="00326A84"/>
    <w:rsid w:val="00326D7E"/>
    <w:rsid w:val="00326DB0"/>
    <w:rsid w:val="0033071F"/>
    <w:rsid w:val="00332B95"/>
    <w:rsid w:val="00336297"/>
    <w:rsid w:val="003370A5"/>
    <w:rsid w:val="00337C21"/>
    <w:rsid w:val="003403F9"/>
    <w:rsid w:val="003408F6"/>
    <w:rsid w:val="00340A21"/>
    <w:rsid w:val="00340C81"/>
    <w:rsid w:val="0034143A"/>
    <w:rsid w:val="00341ACE"/>
    <w:rsid w:val="00341DA1"/>
    <w:rsid w:val="00342229"/>
    <w:rsid w:val="00342BED"/>
    <w:rsid w:val="003433E9"/>
    <w:rsid w:val="003441B2"/>
    <w:rsid w:val="00344B5C"/>
    <w:rsid w:val="00345E00"/>
    <w:rsid w:val="0034702B"/>
    <w:rsid w:val="00347444"/>
    <w:rsid w:val="00350659"/>
    <w:rsid w:val="00350A0A"/>
    <w:rsid w:val="00352531"/>
    <w:rsid w:val="00352A48"/>
    <w:rsid w:val="00352C92"/>
    <w:rsid w:val="003603FC"/>
    <w:rsid w:val="00361210"/>
    <w:rsid w:val="003638E3"/>
    <w:rsid w:val="0036401F"/>
    <w:rsid w:val="003643CA"/>
    <w:rsid w:val="00365460"/>
    <w:rsid w:val="0036660E"/>
    <w:rsid w:val="00366FA5"/>
    <w:rsid w:val="00367FCC"/>
    <w:rsid w:val="0037218B"/>
    <w:rsid w:val="0037329A"/>
    <w:rsid w:val="0037366F"/>
    <w:rsid w:val="003745E0"/>
    <w:rsid w:val="00377C2E"/>
    <w:rsid w:val="003831DA"/>
    <w:rsid w:val="0038579A"/>
    <w:rsid w:val="003862D1"/>
    <w:rsid w:val="00386979"/>
    <w:rsid w:val="003871D8"/>
    <w:rsid w:val="0038729E"/>
    <w:rsid w:val="00387B36"/>
    <w:rsid w:val="00391229"/>
    <w:rsid w:val="003912E0"/>
    <w:rsid w:val="003913FA"/>
    <w:rsid w:val="00394041"/>
    <w:rsid w:val="00394229"/>
    <w:rsid w:val="00394526"/>
    <w:rsid w:val="003967A7"/>
    <w:rsid w:val="00397967"/>
    <w:rsid w:val="003A0209"/>
    <w:rsid w:val="003A05AB"/>
    <w:rsid w:val="003A0D20"/>
    <w:rsid w:val="003A10ED"/>
    <w:rsid w:val="003A16BB"/>
    <w:rsid w:val="003A40CD"/>
    <w:rsid w:val="003A4490"/>
    <w:rsid w:val="003A55EF"/>
    <w:rsid w:val="003A5639"/>
    <w:rsid w:val="003A6467"/>
    <w:rsid w:val="003A6A6D"/>
    <w:rsid w:val="003B02DD"/>
    <w:rsid w:val="003B1332"/>
    <w:rsid w:val="003B2366"/>
    <w:rsid w:val="003B5199"/>
    <w:rsid w:val="003B53B0"/>
    <w:rsid w:val="003C22B8"/>
    <w:rsid w:val="003C3C9E"/>
    <w:rsid w:val="003C676F"/>
    <w:rsid w:val="003D05D0"/>
    <w:rsid w:val="003D05E0"/>
    <w:rsid w:val="003D3127"/>
    <w:rsid w:val="003D4A90"/>
    <w:rsid w:val="003D61F7"/>
    <w:rsid w:val="003E0267"/>
    <w:rsid w:val="003E0912"/>
    <w:rsid w:val="003E1102"/>
    <w:rsid w:val="003E2C4F"/>
    <w:rsid w:val="003E4210"/>
    <w:rsid w:val="003E462C"/>
    <w:rsid w:val="003E5EDC"/>
    <w:rsid w:val="003E6D9F"/>
    <w:rsid w:val="003F2D09"/>
    <w:rsid w:val="003F3759"/>
    <w:rsid w:val="003F4E6A"/>
    <w:rsid w:val="003F5B16"/>
    <w:rsid w:val="003F5ECF"/>
    <w:rsid w:val="003F73B7"/>
    <w:rsid w:val="003F785F"/>
    <w:rsid w:val="003F7E96"/>
    <w:rsid w:val="004002A1"/>
    <w:rsid w:val="004014C6"/>
    <w:rsid w:val="00403135"/>
    <w:rsid w:val="0040351B"/>
    <w:rsid w:val="004039C9"/>
    <w:rsid w:val="00403E54"/>
    <w:rsid w:val="004042F2"/>
    <w:rsid w:val="00404955"/>
    <w:rsid w:val="00404AE7"/>
    <w:rsid w:val="00404BD1"/>
    <w:rsid w:val="004051DF"/>
    <w:rsid w:val="0040627C"/>
    <w:rsid w:val="004064F0"/>
    <w:rsid w:val="00406790"/>
    <w:rsid w:val="0040786C"/>
    <w:rsid w:val="00410934"/>
    <w:rsid w:val="00410BB3"/>
    <w:rsid w:val="00411F25"/>
    <w:rsid w:val="0041248A"/>
    <w:rsid w:val="0041319D"/>
    <w:rsid w:val="00415502"/>
    <w:rsid w:val="0041720E"/>
    <w:rsid w:val="00417FE6"/>
    <w:rsid w:val="00420707"/>
    <w:rsid w:val="004211E5"/>
    <w:rsid w:val="0042163B"/>
    <w:rsid w:val="00423A35"/>
    <w:rsid w:val="00423D33"/>
    <w:rsid w:val="004241C6"/>
    <w:rsid w:val="004256AB"/>
    <w:rsid w:val="00425BB4"/>
    <w:rsid w:val="004261BB"/>
    <w:rsid w:val="00427274"/>
    <w:rsid w:val="004307F8"/>
    <w:rsid w:val="004318EA"/>
    <w:rsid w:val="00432796"/>
    <w:rsid w:val="00432A80"/>
    <w:rsid w:val="00434C5F"/>
    <w:rsid w:val="00435B6C"/>
    <w:rsid w:val="00435EF7"/>
    <w:rsid w:val="00436A5E"/>
    <w:rsid w:val="00436B1F"/>
    <w:rsid w:val="00437854"/>
    <w:rsid w:val="00437A89"/>
    <w:rsid w:val="00437AB0"/>
    <w:rsid w:val="00440826"/>
    <w:rsid w:val="00440FED"/>
    <w:rsid w:val="00441796"/>
    <w:rsid w:val="00441A80"/>
    <w:rsid w:val="004422B0"/>
    <w:rsid w:val="0044293B"/>
    <w:rsid w:val="00442ACB"/>
    <w:rsid w:val="00450170"/>
    <w:rsid w:val="00450483"/>
    <w:rsid w:val="00451F27"/>
    <w:rsid w:val="004520A8"/>
    <w:rsid w:val="004524B3"/>
    <w:rsid w:val="0045292F"/>
    <w:rsid w:val="00453DAA"/>
    <w:rsid w:val="0045425F"/>
    <w:rsid w:val="0045589A"/>
    <w:rsid w:val="0045735D"/>
    <w:rsid w:val="0045740E"/>
    <w:rsid w:val="00460796"/>
    <w:rsid w:val="00460975"/>
    <w:rsid w:val="004628CD"/>
    <w:rsid w:val="00463BEB"/>
    <w:rsid w:val="00463DFC"/>
    <w:rsid w:val="00464181"/>
    <w:rsid w:val="00464247"/>
    <w:rsid w:val="00464F76"/>
    <w:rsid w:val="00465B12"/>
    <w:rsid w:val="004675EE"/>
    <w:rsid w:val="004678A8"/>
    <w:rsid w:val="00467CC3"/>
    <w:rsid w:val="0047159B"/>
    <w:rsid w:val="00471A15"/>
    <w:rsid w:val="004738BB"/>
    <w:rsid w:val="00474C9D"/>
    <w:rsid w:val="004759F7"/>
    <w:rsid w:val="00477ED3"/>
    <w:rsid w:val="00477EF7"/>
    <w:rsid w:val="00481733"/>
    <w:rsid w:val="00482D07"/>
    <w:rsid w:val="00483313"/>
    <w:rsid w:val="00483CD1"/>
    <w:rsid w:val="00485417"/>
    <w:rsid w:val="00485A8A"/>
    <w:rsid w:val="00485C57"/>
    <w:rsid w:val="00487396"/>
    <w:rsid w:val="00490651"/>
    <w:rsid w:val="004911A9"/>
    <w:rsid w:val="004923B4"/>
    <w:rsid w:val="004923CC"/>
    <w:rsid w:val="00492D47"/>
    <w:rsid w:val="00492E8B"/>
    <w:rsid w:val="004955A7"/>
    <w:rsid w:val="004958EF"/>
    <w:rsid w:val="004A0BC1"/>
    <w:rsid w:val="004A159F"/>
    <w:rsid w:val="004A3311"/>
    <w:rsid w:val="004A364A"/>
    <w:rsid w:val="004A5C9F"/>
    <w:rsid w:val="004B122D"/>
    <w:rsid w:val="004B19E2"/>
    <w:rsid w:val="004B1D0A"/>
    <w:rsid w:val="004B1D5F"/>
    <w:rsid w:val="004B4F6A"/>
    <w:rsid w:val="004B5D2C"/>
    <w:rsid w:val="004B6E99"/>
    <w:rsid w:val="004C1437"/>
    <w:rsid w:val="004C1539"/>
    <w:rsid w:val="004C182F"/>
    <w:rsid w:val="004C242A"/>
    <w:rsid w:val="004C30B8"/>
    <w:rsid w:val="004D0C91"/>
    <w:rsid w:val="004D0F18"/>
    <w:rsid w:val="004D2955"/>
    <w:rsid w:val="004D310D"/>
    <w:rsid w:val="004D6050"/>
    <w:rsid w:val="004D7A98"/>
    <w:rsid w:val="004E172A"/>
    <w:rsid w:val="004E19B1"/>
    <w:rsid w:val="004E26A9"/>
    <w:rsid w:val="004E3415"/>
    <w:rsid w:val="004E43B5"/>
    <w:rsid w:val="004E47F2"/>
    <w:rsid w:val="004E527F"/>
    <w:rsid w:val="004E6784"/>
    <w:rsid w:val="004E6D78"/>
    <w:rsid w:val="004E78D2"/>
    <w:rsid w:val="004F04FE"/>
    <w:rsid w:val="004F1A87"/>
    <w:rsid w:val="004F3340"/>
    <w:rsid w:val="004F3368"/>
    <w:rsid w:val="004F3440"/>
    <w:rsid w:val="004F37A0"/>
    <w:rsid w:val="004F3A05"/>
    <w:rsid w:val="004F5098"/>
    <w:rsid w:val="004F56D5"/>
    <w:rsid w:val="004F6BFD"/>
    <w:rsid w:val="004F752E"/>
    <w:rsid w:val="0050008B"/>
    <w:rsid w:val="0050171A"/>
    <w:rsid w:val="00501F41"/>
    <w:rsid w:val="00502422"/>
    <w:rsid w:val="00502486"/>
    <w:rsid w:val="00502525"/>
    <w:rsid w:val="00504041"/>
    <w:rsid w:val="005050FC"/>
    <w:rsid w:val="00505D34"/>
    <w:rsid w:val="00507B79"/>
    <w:rsid w:val="00507CB6"/>
    <w:rsid w:val="00510577"/>
    <w:rsid w:val="0051108E"/>
    <w:rsid w:val="005140F8"/>
    <w:rsid w:val="00514D5E"/>
    <w:rsid w:val="00515BF5"/>
    <w:rsid w:val="00516883"/>
    <w:rsid w:val="00520D10"/>
    <w:rsid w:val="00521C2F"/>
    <w:rsid w:val="00523D14"/>
    <w:rsid w:val="00525B47"/>
    <w:rsid w:val="005266F1"/>
    <w:rsid w:val="00526A66"/>
    <w:rsid w:val="00526B9A"/>
    <w:rsid w:val="005303FB"/>
    <w:rsid w:val="005304F4"/>
    <w:rsid w:val="00530B1D"/>
    <w:rsid w:val="00530ED0"/>
    <w:rsid w:val="00531EA3"/>
    <w:rsid w:val="0053254B"/>
    <w:rsid w:val="00533403"/>
    <w:rsid w:val="005353EA"/>
    <w:rsid w:val="00535564"/>
    <w:rsid w:val="00535876"/>
    <w:rsid w:val="00535A18"/>
    <w:rsid w:val="00536986"/>
    <w:rsid w:val="00536A1D"/>
    <w:rsid w:val="00537965"/>
    <w:rsid w:val="00544ADA"/>
    <w:rsid w:val="00545958"/>
    <w:rsid w:val="00551985"/>
    <w:rsid w:val="00553386"/>
    <w:rsid w:val="00553525"/>
    <w:rsid w:val="00557BBD"/>
    <w:rsid w:val="00557BC6"/>
    <w:rsid w:val="00563075"/>
    <w:rsid w:val="00563576"/>
    <w:rsid w:val="005643F3"/>
    <w:rsid w:val="00566A64"/>
    <w:rsid w:val="005711A8"/>
    <w:rsid w:val="00572F24"/>
    <w:rsid w:val="00573474"/>
    <w:rsid w:val="00573728"/>
    <w:rsid w:val="00575108"/>
    <w:rsid w:val="0057565A"/>
    <w:rsid w:val="0057631B"/>
    <w:rsid w:val="005767F5"/>
    <w:rsid w:val="00576A2E"/>
    <w:rsid w:val="00577D2E"/>
    <w:rsid w:val="00580AB9"/>
    <w:rsid w:val="00580D29"/>
    <w:rsid w:val="00582580"/>
    <w:rsid w:val="0058359C"/>
    <w:rsid w:val="00583B42"/>
    <w:rsid w:val="0058444B"/>
    <w:rsid w:val="0058576B"/>
    <w:rsid w:val="005900EC"/>
    <w:rsid w:val="00591119"/>
    <w:rsid w:val="0059134C"/>
    <w:rsid w:val="00592B4F"/>
    <w:rsid w:val="005935B1"/>
    <w:rsid w:val="005958AE"/>
    <w:rsid w:val="005A2580"/>
    <w:rsid w:val="005A638E"/>
    <w:rsid w:val="005A6F4C"/>
    <w:rsid w:val="005A7BFE"/>
    <w:rsid w:val="005B2109"/>
    <w:rsid w:val="005B2CA6"/>
    <w:rsid w:val="005B3A41"/>
    <w:rsid w:val="005C0141"/>
    <w:rsid w:val="005C107C"/>
    <w:rsid w:val="005C13FB"/>
    <w:rsid w:val="005C1DBC"/>
    <w:rsid w:val="005C35B2"/>
    <w:rsid w:val="005C4984"/>
    <w:rsid w:val="005C57FE"/>
    <w:rsid w:val="005C5C33"/>
    <w:rsid w:val="005C5D27"/>
    <w:rsid w:val="005C6897"/>
    <w:rsid w:val="005C78E9"/>
    <w:rsid w:val="005D0DCA"/>
    <w:rsid w:val="005D58FA"/>
    <w:rsid w:val="005D6F6B"/>
    <w:rsid w:val="005D7BF9"/>
    <w:rsid w:val="005E0B3C"/>
    <w:rsid w:val="005E390A"/>
    <w:rsid w:val="005E49D5"/>
    <w:rsid w:val="005E4B8A"/>
    <w:rsid w:val="005E5056"/>
    <w:rsid w:val="005F0072"/>
    <w:rsid w:val="005F12F0"/>
    <w:rsid w:val="005F1454"/>
    <w:rsid w:val="005F2D60"/>
    <w:rsid w:val="005F3EC4"/>
    <w:rsid w:val="005F4F3C"/>
    <w:rsid w:val="005F51AA"/>
    <w:rsid w:val="005F6771"/>
    <w:rsid w:val="006006E0"/>
    <w:rsid w:val="006032C6"/>
    <w:rsid w:val="0060419F"/>
    <w:rsid w:val="0060527C"/>
    <w:rsid w:val="00605D04"/>
    <w:rsid w:val="00606C78"/>
    <w:rsid w:val="0060753C"/>
    <w:rsid w:val="0060756B"/>
    <w:rsid w:val="00611232"/>
    <w:rsid w:val="00612753"/>
    <w:rsid w:val="00613E60"/>
    <w:rsid w:val="006140B8"/>
    <w:rsid w:val="00614961"/>
    <w:rsid w:val="00615A0D"/>
    <w:rsid w:val="00616242"/>
    <w:rsid w:val="0061633F"/>
    <w:rsid w:val="00617F98"/>
    <w:rsid w:val="0062036E"/>
    <w:rsid w:val="00623C04"/>
    <w:rsid w:val="00623E8E"/>
    <w:rsid w:val="006275C0"/>
    <w:rsid w:val="00627FF7"/>
    <w:rsid w:val="00630AAA"/>
    <w:rsid w:val="00633973"/>
    <w:rsid w:val="00633C82"/>
    <w:rsid w:val="00634035"/>
    <w:rsid w:val="006340E9"/>
    <w:rsid w:val="00634604"/>
    <w:rsid w:val="00634ACB"/>
    <w:rsid w:val="00636ACB"/>
    <w:rsid w:val="00637181"/>
    <w:rsid w:val="006409B1"/>
    <w:rsid w:val="00640BC2"/>
    <w:rsid w:val="00640F1A"/>
    <w:rsid w:val="00642F3B"/>
    <w:rsid w:val="00644302"/>
    <w:rsid w:val="00644AA9"/>
    <w:rsid w:val="00645B0D"/>
    <w:rsid w:val="00645ECB"/>
    <w:rsid w:val="00646014"/>
    <w:rsid w:val="00646503"/>
    <w:rsid w:val="00650B78"/>
    <w:rsid w:val="00650D31"/>
    <w:rsid w:val="00652311"/>
    <w:rsid w:val="006546D3"/>
    <w:rsid w:val="00654CCE"/>
    <w:rsid w:val="00655D48"/>
    <w:rsid w:val="00661433"/>
    <w:rsid w:val="006619BE"/>
    <w:rsid w:val="00662BA4"/>
    <w:rsid w:val="00663ED6"/>
    <w:rsid w:val="00664D08"/>
    <w:rsid w:val="00664D63"/>
    <w:rsid w:val="00665824"/>
    <w:rsid w:val="00666526"/>
    <w:rsid w:val="006669B2"/>
    <w:rsid w:val="00666D83"/>
    <w:rsid w:val="00667D31"/>
    <w:rsid w:val="00673323"/>
    <w:rsid w:val="00673A57"/>
    <w:rsid w:val="00674ACD"/>
    <w:rsid w:val="00675097"/>
    <w:rsid w:val="0067796D"/>
    <w:rsid w:val="006820D3"/>
    <w:rsid w:val="00682D23"/>
    <w:rsid w:val="006879C1"/>
    <w:rsid w:val="006928EA"/>
    <w:rsid w:val="006930A8"/>
    <w:rsid w:val="006930E1"/>
    <w:rsid w:val="00693473"/>
    <w:rsid w:val="00694D91"/>
    <w:rsid w:val="00695189"/>
    <w:rsid w:val="006958BE"/>
    <w:rsid w:val="00695A5F"/>
    <w:rsid w:val="0069629D"/>
    <w:rsid w:val="0069731C"/>
    <w:rsid w:val="006973B8"/>
    <w:rsid w:val="006A089D"/>
    <w:rsid w:val="006A09FB"/>
    <w:rsid w:val="006A4243"/>
    <w:rsid w:val="006A44F7"/>
    <w:rsid w:val="006A5C73"/>
    <w:rsid w:val="006A76D7"/>
    <w:rsid w:val="006B10FC"/>
    <w:rsid w:val="006B1200"/>
    <w:rsid w:val="006B450F"/>
    <w:rsid w:val="006B7949"/>
    <w:rsid w:val="006B7AE5"/>
    <w:rsid w:val="006C28F6"/>
    <w:rsid w:val="006C37E8"/>
    <w:rsid w:val="006C3AB4"/>
    <w:rsid w:val="006C47BB"/>
    <w:rsid w:val="006C4810"/>
    <w:rsid w:val="006C4EBC"/>
    <w:rsid w:val="006C6840"/>
    <w:rsid w:val="006C790E"/>
    <w:rsid w:val="006C7D9A"/>
    <w:rsid w:val="006D0039"/>
    <w:rsid w:val="006D103E"/>
    <w:rsid w:val="006D2FC1"/>
    <w:rsid w:val="006D3213"/>
    <w:rsid w:val="006D358A"/>
    <w:rsid w:val="006D4D4C"/>
    <w:rsid w:val="006D552C"/>
    <w:rsid w:val="006D5764"/>
    <w:rsid w:val="006D5BC6"/>
    <w:rsid w:val="006D67B7"/>
    <w:rsid w:val="006D7C1A"/>
    <w:rsid w:val="006E09E2"/>
    <w:rsid w:val="006E117B"/>
    <w:rsid w:val="006E14EA"/>
    <w:rsid w:val="006E28F6"/>
    <w:rsid w:val="006E2B7C"/>
    <w:rsid w:val="006E3584"/>
    <w:rsid w:val="006E3F0C"/>
    <w:rsid w:val="006E4AF4"/>
    <w:rsid w:val="006E55D0"/>
    <w:rsid w:val="006E6688"/>
    <w:rsid w:val="006E7041"/>
    <w:rsid w:val="006F009E"/>
    <w:rsid w:val="006F1A89"/>
    <w:rsid w:val="006F237D"/>
    <w:rsid w:val="006F2728"/>
    <w:rsid w:val="006F3161"/>
    <w:rsid w:val="006F3338"/>
    <w:rsid w:val="006F3662"/>
    <w:rsid w:val="006F39F8"/>
    <w:rsid w:val="006F5D4A"/>
    <w:rsid w:val="006F7298"/>
    <w:rsid w:val="00703E8D"/>
    <w:rsid w:val="00703EA9"/>
    <w:rsid w:val="00704F8C"/>
    <w:rsid w:val="007059E0"/>
    <w:rsid w:val="00706777"/>
    <w:rsid w:val="00707D97"/>
    <w:rsid w:val="00707ECE"/>
    <w:rsid w:val="00710813"/>
    <w:rsid w:val="00711816"/>
    <w:rsid w:val="00711CFF"/>
    <w:rsid w:val="00712598"/>
    <w:rsid w:val="00713785"/>
    <w:rsid w:val="00713D62"/>
    <w:rsid w:val="007140D5"/>
    <w:rsid w:val="0071502A"/>
    <w:rsid w:val="007150AB"/>
    <w:rsid w:val="007168E9"/>
    <w:rsid w:val="007204EB"/>
    <w:rsid w:val="0072196E"/>
    <w:rsid w:val="00724326"/>
    <w:rsid w:val="00724340"/>
    <w:rsid w:val="0072626E"/>
    <w:rsid w:val="00726BCD"/>
    <w:rsid w:val="0072793F"/>
    <w:rsid w:val="00730D7E"/>
    <w:rsid w:val="0073102A"/>
    <w:rsid w:val="00731996"/>
    <w:rsid w:val="00731D10"/>
    <w:rsid w:val="0073342A"/>
    <w:rsid w:val="00733F93"/>
    <w:rsid w:val="00734459"/>
    <w:rsid w:val="00735458"/>
    <w:rsid w:val="00735719"/>
    <w:rsid w:val="00735E2F"/>
    <w:rsid w:val="0073612C"/>
    <w:rsid w:val="00736B09"/>
    <w:rsid w:val="00736B27"/>
    <w:rsid w:val="00737577"/>
    <w:rsid w:val="007376B1"/>
    <w:rsid w:val="00737CF0"/>
    <w:rsid w:val="007412B8"/>
    <w:rsid w:val="0074197A"/>
    <w:rsid w:val="00741F1D"/>
    <w:rsid w:val="00742214"/>
    <w:rsid w:val="00743163"/>
    <w:rsid w:val="00746D5E"/>
    <w:rsid w:val="00750222"/>
    <w:rsid w:val="0075052C"/>
    <w:rsid w:val="007506E9"/>
    <w:rsid w:val="0075196D"/>
    <w:rsid w:val="00754680"/>
    <w:rsid w:val="00754775"/>
    <w:rsid w:val="00755704"/>
    <w:rsid w:val="00755864"/>
    <w:rsid w:val="00755EED"/>
    <w:rsid w:val="00755EFB"/>
    <w:rsid w:val="00760827"/>
    <w:rsid w:val="00761012"/>
    <w:rsid w:val="0076410B"/>
    <w:rsid w:val="007646DE"/>
    <w:rsid w:val="00764BE5"/>
    <w:rsid w:val="007659D2"/>
    <w:rsid w:val="00765C5B"/>
    <w:rsid w:val="00767CC0"/>
    <w:rsid w:val="007721C1"/>
    <w:rsid w:val="007726FB"/>
    <w:rsid w:val="0077328C"/>
    <w:rsid w:val="0077403A"/>
    <w:rsid w:val="00774163"/>
    <w:rsid w:val="007802DA"/>
    <w:rsid w:val="00780A81"/>
    <w:rsid w:val="00781386"/>
    <w:rsid w:val="00781884"/>
    <w:rsid w:val="007818BF"/>
    <w:rsid w:val="00781A11"/>
    <w:rsid w:val="00781D90"/>
    <w:rsid w:val="00784705"/>
    <w:rsid w:val="00785E45"/>
    <w:rsid w:val="0078679D"/>
    <w:rsid w:val="00786F85"/>
    <w:rsid w:val="00787587"/>
    <w:rsid w:val="00787620"/>
    <w:rsid w:val="00787653"/>
    <w:rsid w:val="00787BD7"/>
    <w:rsid w:val="00787E29"/>
    <w:rsid w:val="00790F30"/>
    <w:rsid w:val="0079115B"/>
    <w:rsid w:val="00791802"/>
    <w:rsid w:val="007946B2"/>
    <w:rsid w:val="00794859"/>
    <w:rsid w:val="00795199"/>
    <w:rsid w:val="00795F51"/>
    <w:rsid w:val="00796841"/>
    <w:rsid w:val="007979DE"/>
    <w:rsid w:val="007A41B2"/>
    <w:rsid w:val="007A58AF"/>
    <w:rsid w:val="007A596A"/>
    <w:rsid w:val="007A5D24"/>
    <w:rsid w:val="007A67A3"/>
    <w:rsid w:val="007B0842"/>
    <w:rsid w:val="007B08B0"/>
    <w:rsid w:val="007B2082"/>
    <w:rsid w:val="007B2295"/>
    <w:rsid w:val="007B2502"/>
    <w:rsid w:val="007B3E10"/>
    <w:rsid w:val="007B4CBB"/>
    <w:rsid w:val="007B513D"/>
    <w:rsid w:val="007B59FE"/>
    <w:rsid w:val="007B67EB"/>
    <w:rsid w:val="007B6D4C"/>
    <w:rsid w:val="007B6E6C"/>
    <w:rsid w:val="007C11B8"/>
    <w:rsid w:val="007C2E63"/>
    <w:rsid w:val="007C305E"/>
    <w:rsid w:val="007C32A4"/>
    <w:rsid w:val="007C4AB4"/>
    <w:rsid w:val="007C636F"/>
    <w:rsid w:val="007D0255"/>
    <w:rsid w:val="007D0A30"/>
    <w:rsid w:val="007D2AAE"/>
    <w:rsid w:val="007D2B86"/>
    <w:rsid w:val="007D2FFD"/>
    <w:rsid w:val="007D3775"/>
    <w:rsid w:val="007D5804"/>
    <w:rsid w:val="007D7D48"/>
    <w:rsid w:val="007E089D"/>
    <w:rsid w:val="007E0BAE"/>
    <w:rsid w:val="007E2009"/>
    <w:rsid w:val="007E2AFA"/>
    <w:rsid w:val="007E2C0B"/>
    <w:rsid w:val="007E305F"/>
    <w:rsid w:val="007E3933"/>
    <w:rsid w:val="007E3E05"/>
    <w:rsid w:val="007E4A42"/>
    <w:rsid w:val="007E6B1F"/>
    <w:rsid w:val="007F0ADD"/>
    <w:rsid w:val="007F3468"/>
    <w:rsid w:val="007F4965"/>
    <w:rsid w:val="007F5394"/>
    <w:rsid w:val="007F5B3E"/>
    <w:rsid w:val="007F7BDA"/>
    <w:rsid w:val="00800D42"/>
    <w:rsid w:val="008012A5"/>
    <w:rsid w:val="00803353"/>
    <w:rsid w:val="00803895"/>
    <w:rsid w:val="0080428A"/>
    <w:rsid w:val="00804837"/>
    <w:rsid w:val="00804841"/>
    <w:rsid w:val="00804C99"/>
    <w:rsid w:val="00804F84"/>
    <w:rsid w:val="00806CE0"/>
    <w:rsid w:val="00807EA7"/>
    <w:rsid w:val="0081186A"/>
    <w:rsid w:val="00813872"/>
    <w:rsid w:val="00814B86"/>
    <w:rsid w:val="00814D53"/>
    <w:rsid w:val="0081650C"/>
    <w:rsid w:val="00817B8B"/>
    <w:rsid w:val="00821616"/>
    <w:rsid w:val="00822DB6"/>
    <w:rsid w:val="0082324D"/>
    <w:rsid w:val="00823E56"/>
    <w:rsid w:val="0082435A"/>
    <w:rsid w:val="008277DB"/>
    <w:rsid w:val="00831C14"/>
    <w:rsid w:val="00831D45"/>
    <w:rsid w:val="00833417"/>
    <w:rsid w:val="00834A8A"/>
    <w:rsid w:val="00835754"/>
    <w:rsid w:val="0083611F"/>
    <w:rsid w:val="00836430"/>
    <w:rsid w:val="00837218"/>
    <w:rsid w:val="00837E85"/>
    <w:rsid w:val="00842DA8"/>
    <w:rsid w:val="00844826"/>
    <w:rsid w:val="00844853"/>
    <w:rsid w:val="00844B1D"/>
    <w:rsid w:val="0085089F"/>
    <w:rsid w:val="00850FE5"/>
    <w:rsid w:val="008556DF"/>
    <w:rsid w:val="00857B4F"/>
    <w:rsid w:val="00857D09"/>
    <w:rsid w:val="008602F0"/>
    <w:rsid w:val="00861800"/>
    <w:rsid w:val="00863C57"/>
    <w:rsid w:val="00864A6B"/>
    <w:rsid w:val="00864F0D"/>
    <w:rsid w:val="008652B2"/>
    <w:rsid w:val="008654DB"/>
    <w:rsid w:val="00866A90"/>
    <w:rsid w:val="00866E5E"/>
    <w:rsid w:val="0086779F"/>
    <w:rsid w:val="00870AD3"/>
    <w:rsid w:val="0087440C"/>
    <w:rsid w:val="00874E4A"/>
    <w:rsid w:val="00875C91"/>
    <w:rsid w:val="008760F3"/>
    <w:rsid w:val="008767D0"/>
    <w:rsid w:val="00877961"/>
    <w:rsid w:val="00880FB3"/>
    <w:rsid w:val="008849AE"/>
    <w:rsid w:val="00886553"/>
    <w:rsid w:val="0088674F"/>
    <w:rsid w:val="00886CDE"/>
    <w:rsid w:val="00887CFB"/>
    <w:rsid w:val="00890730"/>
    <w:rsid w:val="00891EA5"/>
    <w:rsid w:val="00893197"/>
    <w:rsid w:val="008938F3"/>
    <w:rsid w:val="008942D0"/>
    <w:rsid w:val="0089482E"/>
    <w:rsid w:val="008950DB"/>
    <w:rsid w:val="00895913"/>
    <w:rsid w:val="00895CD2"/>
    <w:rsid w:val="008964DC"/>
    <w:rsid w:val="008965DA"/>
    <w:rsid w:val="00897117"/>
    <w:rsid w:val="008A0617"/>
    <w:rsid w:val="008A54D6"/>
    <w:rsid w:val="008A54FB"/>
    <w:rsid w:val="008A55C0"/>
    <w:rsid w:val="008A7C3E"/>
    <w:rsid w:val="008B231F"/>
    <w:rsid w:val="008B3DCA"/>
    <w:rsid w:val="008B51F4"/>
    <w:rsid w:val="008B57AA"/>
    <w:rsid w:val="008B6F6E"/>
    <w:rsid w:val="008B7B2F"/>
    <w:rsid w:val="008B7BAA"/>
    <w:rsid w:val="008C013C"/>
    <w:rsid w:val="008C3D1C"/>
    <w:rsid w:val="008C5836"/>
    <w:rsid w:val="008C62F6"/>
    <w:rsid w:val="008C6B05"/>
    <w:rsid w:val="008D16B8"/>
    <w:rsid w:val="008D26CD"/>
    <w:rsid w:val="008D3E52"/>
    <w:rsid w:val="008D45F8"/>
    <w:rsid w:val="008D5199"/>
    <w:rsid w:val="008D5708"/>
    <w:rsid w:val="008D595B"/>
    <w:rsid w:val="008D61B5"/>
    <w:rsid w:val="008D6DC8"/>
    <w:rsid w:val="008E0FA8"/>
    <w:rsid w:val="008E1562"/>
    <w:rsid w:val="008E1C62"/>
    <w:rsid w:val="008E2982"/>
    <w:rsid w:val="008E685B"/>
    <w:rsid w:val="008E689B"/>
    <w:rsid w:val="008E6CC1"/>
    <w:rsid w:val="008F09A4"/>
    <w:rsid w:val="008F0E70"/>
    <w:rsid w:val="008F0F61"/>
    <w:rsid w:val="008F1906"/>
    <w:rsid w:val="008F5FA8"/>
    <w:rsid w:val="008F7650"/>
    <w:rsid w:val="009008B9"/>
    <w:rsid w:val="0090173B"/>
    <w:rsid w:val="00901A53"/>
    <w:rsid w:val="009022F9"/>
    <w:rsid w:val="00902A64"/>
    <w:rsid w:val="00902C43"/>
    <w:rsid w:val="00902FA2"/>
    <w:rsid w:val="00904122"/>
    <w:rsid w:val="00904E5A"/>
    <w:rsid w:val="00905E2D"/>
    <w:rsid w:val="00907C17"/>
    <w:rsid w:val="00907D10"/>
    <w:rsid w:val="00910924"/>
    <w:rsid w:val="00912E3B"/>
    <w:rsid w:val="009144F8"/>
    <w:rsid w:val="0092119C"/>
    <w:rsid w:val="0092379E"/>
    <w:rsid w:val="00924CC8"/>
    <w:rsid w:val="00925B99"/>
    <w:rsid w:val="009266C2"/>
    <w:rsid w:val="0092675D"/>
    <w:rsid w:val="00926E57"/>
    <w:rsid w:val="0093020A"/>
    <w:rsid w:val="00931C27"/>
    <w:rsid w:val="009336A0"/>
    <w:rsid w:val="00934452"/>
    <w:rsid w:val="0093478F"/>
    <w:rsid w:val="00934838"/>
    <w:rsid w:val="009360DD"/>
    <w:rsid w:val="009406E2"/>
    <w:rsid w:val="009415EC"/>
    <w:rsid w:val="00942905"/>
    <w:rsid w:val="00943269"/>
    <w:rsid w:val="0094384F"/>
    <w:rsid w:val="00944628"/>
    <w:rsid w:val="009457AE"/>
    <w:rsid w:val="00945B8F"/>
    <w:rsid w:val="009460C2"/>
    <w:rsid w:val="00946611"/>
    <w:rsid w:val="00947B58"/>
    <w:rsid w:val="00951DA9"/>
    <w:rsid w:val="00951DDB"/>
    <w:rsid w:val="00952BE7"/>
    <w:rsid w:val="0095614F"/>
    <w:rsid w:val="00956D36"/>
    <w:rsid w:val="00957105"/>
    <w:rsid w:val="00957976"/>
    <w:rsid w:val="0095798E"/>
    <w:rsid w:val="00961125"/>
    <w:rsid w:val="009613D7"/>
    <w:rsid w:val="00961EAB"/>
    <w:rsid w:val="00962CEA"/>
    <w:rsid w:val="009634B7"/>
    <w:rsid w:val="00966C3B"/>
    <w:rsid w:val="00973967"/>
    <w:rsid w:val="009745BC"/>
    <w:rsid w:val="00974B60"/>
    <w:rsid w:val="00980423"/>
    <w:rsid w:val="00980B82"/>
    <w:rsid w:val="00980C12"/>
    <w:rsid w:val="0098255E"/>
    <w:rsid w:val="00983C7F"/>
    <w:rsid w:val="00984518"/>
    <w:rsid w:val="00985764"/>
    <w:rsid w:val="00985E51"/>
    <w:rsid w:val="00986BCE"/>
    <w:rsid w:val="00990688"/>
    <w:rsid w:val="00990A37"/>
    <w:rsid w:val="0099130F"/>
    <w:rsid w:val="009948FB"/>
    <w:rsid w:val="00994B3E"/>
    <w:rsid w:val="00996B28"/>
    <w:rsid w:val="009A1A49"/>
    <w:rsid w:val="009A2BB9"/>
    <w:rsid w:val="009A36C3"/>
    <w:rsid w:val="009A60A7"/>
    <w:rsid w:val="009B03D0"/>
    <w:rsid w:val="009B098E"/>
    <w:rsid w:val="009B172A"/>
    <w:rsid w:val="009B1D68"/>
    <w:rsid w:val="009B4280"/>
    <w:rsid w:val="009B4816"/>
    <w:rsid w:val="009B4A0E"/>
    <w:rsid w:val="009B5424"/>
    <w:rsid w:val="009B66CC"/>
    <w:rsid w:val="009B677E"/>
    <w:rsid w:val="009C024F"/>
    <w:rsid w:val="009C0DE3"/>
    <w:rsid w:val="009C1C3D"/>
    <w:rsid w:val="009C34EB"/>
    <w:rsid w:val="009C45F9"/>
    <w:rsid w:val="009C46C7"/>
    <w:rsid w:val="009C4B63"/>
    <w:rsid w:val="009C51C8"/>
    <w:rsid w:val="009C6067"/>
    <w:rsid w:val="009D0171"/>
    <w:rsid w:val="009D020C"/>
    <w:rsid w:val="009D1A2A"/>
    <w:rsid w:val="009D2BD5"/>
    <w:rsid w:val="009D3217"/>
    <w:rsid w:val="009D40AA"/>
    <w:rsid w:val="009D467D"/>
    <w:rsid w:val="009D5E89"/>
    <w:rsid w:val="009D61CC"/>
    <w:rsid w:val="009E0321"/>
    <w:rsid w:val="009E09E4"/>
    <w:rsid w:val="009E0AF0"/>
    <w:rsid w:val="009E0B89"/>
    <w:rsid w:val="009E20C1"/>
    <w:rsid w:val="009E29E0"/>
    <w:rsid w:val="009E2BA9"/>
    <w:rsid w:val="009E2E77"/>
    <w:rsid w:val="009E3800"/>
    <w:rsid w:val="009E4AF9"/>
    <w:rsid w:val="009E5973"/>
    <w:rsid w:val="009F1C26"/>
    <w:rsid w:val="009F38ED"/>
    <w:rsid w:val="009F4BF7"/>
    <w:rsid w:val="009F50AC"/>
    <w:rsid w:val="009F52EE"/>
    <w:rsid w:val="009F6523"/>
    <w:rsid w:val="009F79C8"/>
    <w:rsid w:val="00A02D9B"/>
    <w:rsid w:val="00A03414"/>
    <w:rsid w:val="00A1055E"/>
    <w:rsid w:val="00A13B7F"/>
    <w:rsid w:val="00A13CBD"/>
    <w:rsid w:val="00A13EE5"/>
    <w:rsid w:val="00A152C8"/>
    <w:rsid w:val="00A16094"/>
    <w:rsid w:val="00A16734"/>
    <w:rsid w:val="00A17B25"/>
    <w:rsid w:val="00A20C31"/>
    <w:rsid w:val="00A22315"/>
    <w:rsid w:val="00A22B81"/>
    <w:rsid w:val="00A23D4E"/>
    <w:rsid w:val="00A241BB"/>
    <w:rsid w:val="00A245BE"/>
    <w:rsid w:val="00A25CB5"/>
    <w:rsid w:val="00A26787"/>
    <w:rsid w:val="00A30A74"/>
    <w:rsid w:val="00A315DA"/>
    <w:rsid w:val="00A320BB"/>
    <w:rsid w:val="00A32F14"/>
    <w:rsid w:val="00A33891"/>
    <w:rsid w:val="00A35A1C"/>
    <w:rsid w:val="00A36865"/>
    <w:rsid w:val="00A36ACB"/>
    <w:rsid w:val="00A36FA1"/>
    <w:rsid w:val="00A37319"/>
    <w:rsid w:val="00A37709"/>
    <w:rsid w:val="00A40F38"/>
    <w:rsid w:val="00A414EE"/>
    <w:rsid w:val="00A4254C"/>
    <w:rsid w:val="00A42C14"/>
    <w:rsid w:val="00A42D19"/>
    <w:rsid w:val="00A469D0"/>
    <w:rsid w:val="00A4791D"/>
    <w:rsid w:val="00A47A15"/>
    <w:rsid w:val="00A50EDF"/>
    <w:rsid w:val="00A5138E"/>
    <w:rsid w:val="00A524A5"/>
    <w:rsid w:val="00A53790"/>
    <w:rsid w:val="00A55837"/>
    <w:rsid w:val="00A55EDB"/>
    <w:rsid w:val="00A579B0"/>
    <w:rsid w:val="00A6012D"/>
    <w:rsid w:val="00A60182"/>
    <w:rsid w:val="00A63550"/>
    <w:rsid w:val="00A63C1B"/>
    <w:rsid w:val="00A6434F"/>
    <w:rsid w:val="00A64850"/>
    <w:rsid w:val="00A673AA"/>
    <w:rsid w:val="00A7062A"/>
    <w:rsid w:val="00A70C87"/>
    <w:rsid w:val="00A712BF"/>
    <w:rsid w:val="00A71D81"/>
    <w:rsid w:val="00A71E49"/>
    <w:rsid w:val="00A7321D"/>
    <w:rsid w:val="00A7441E"/>
    <w:rsid w:val="00A74DB7"/>
    <w:rsid w:val="00A759EF"/>
    <w:rsid w:val="00A80B5F"/>
    <w:rsid w:val="00A8120F"/>
    <w:rsid w:val="00A818AC"/>
    <w:rsid w:val="00A827F0"/>
    <w:rsid w:val="00A82D41"/>
    <w:rsid w:val="00A8301E"/>
    <w:rsid w:val="00A83B28"/>
    <w:rsid w:val="00A845E8"/>
    <w:rsid w:val="00A85422"/>
    <w:rsid w:val="00A85439"/>
    <w:rsid w:val="00A87AD9"/>
    <w:rsid w:val="00A91463"/>
    <w:rsid w:val="00A920B8"/>
    <w:rsid w:val="00A92A18"/>
    <w:rsid w:val="00A92E27"/>
    <w:rsid w:val="00A930F4"/>
    <w:rsid w:val="00A934A8"/>
    <w:rsid w:val="00A9584F"/>
    <w:rsid w:val="00A96D79"/>
    <w:rsid w:val="00AA18F6"/>
    <w:rsid w:val="00AB00E9"/>
    <w:rsid w:val="00AB0511"/>
    <w:rsid w:val="00AB0BA5"/>
    <w:rsid w:val="00AB0FD7"/>
    <w:rsid w:val="00AB2972"/>
    <w:rsid w:val="00AB36B7"/>
    <w:rsid w:val="00AC1F98"/>
    <w:rsid w:val="00AC2B0B"/>
    <w:rsid w:val="00AC2F7B"/>
    <w:rsid w:val="00AC3283"/>
    <w:rsid w:val="00AC4A8E"/>
    <w:rsid w:val="00AC4B9E"/>
    <w:rsid w:val="00AC5460"/>
    <w:rsid w:val="00AC6620"/>
    <w:rsid w:val="00AC69CF"/>
    <w:rsid w:val="00AD053C"/>
    <w:rsid w:val="00AD0D85"/>
    <w:rsid w:val="00AD0E24"/>
    <w:rsid w:val="00AD326E"/>
    <w:rsid w:val="00AD3EFC"/>
    <w:rsid w:val="00AD5533"/>
    <w:rsid w:val="00AD594F"/>
    <w:rsid w:val="00AD5ADB"/>
    <w:rsid w:val="00AD5E53"/>
    <w:rsid w:val="00AD613C"/>
    <w:rsid w:val="00AD6C03"/>
    <w:rsid w:val="00AD6DEE"/>
    <w:rsid w:val="00AD7027"/>
    <w:rsid w:val="00AD7281"/>
    <w:rsid w:val="00AD7593"/>
    <w:rsid w:val="00AE0CC8"/>
    <w:rsid w:val="00AE20F0"/>
    <w:rsid w:val="00AE4A28"/>
    <w:rsid w:val="00AE7635"/>
    <w:rsid w:val="00AE766D"/>
    <w:rsid w:val="00AF31D3"/>
    <w:rsid w:val="00AF3EC2"/>
    <w:rsid w:val="00AF4DEF"/>
    <w:rsid w:val="00AF5B2F"/>
    <w:rsid w:val="00AF671F"/>
    <w:rsid w:val="00AF7C5A"/>
    <w:rsid w:val="00B037C8"/>
    <w:rsid w:val="00B0487B"/>
    <w:rsid w:val="00B07B68"/>
    <w:rsid w:val="00B117B6"/>
    <w:rsid w:val="00B12074"/>
    <w:rsid w:val="00B12314"/>
    <w:rsid w:val="00B12C19"/>
    <w:rsid w:val="00B13AED"/>
    <w:rsid w:val="00B15B8A"/>
    <w:rsid w:val="00B1690D"/>
    <w:rsid w:val="00B17CF5"/>
    <w:rsid w:val="00B22BB7"/>
    <w:rsid w:val="00B249A3"/>
    <w:rsid w:val="00B256CE"/>
    <w:rsid w:val="00B26F6B"/>
    <w:rsid w:val="00B30A4C"/>
    <w:rsid w:val="00B30B74"/>
    <w:rsid w:val="00B30BA1"/>
    <w:rsid w:val="00B31DA5"/>
    <w:rsid w:val="00B32087"/>
    <w:rsid w:val="00B32388"/>
    <w:rsid w:val="00B342F6"/>
    <w:rsid w:val="00B34A51"/>
    <w:rsid w:val="00B35D95"/>
    <w:rsid w:val="00B41DFB"/>
    <w:rsid w:val="00B4412A"/>
    <w:rsid w:val="00B44415"/>
    <w:rsid w:val="00B450B8"/>
    <w:rsid w:val="00B5011F"/>
    <w:rsid w:val="00B50702"/>
    <w:rsid w:val="00B52AAC"/>
    <w:rsid w:val="00B55A78"/>
    <w:rsid w:val="00B55C39"/>
    <w:rsid w:val="00B56D73"/>
    <w:rsid w:val="00B576AA"/>
    <w:rsid w:val="00B604C1"/>
    <w:rsid w:val="00B61248"/>
    <w:rsid w:val="00B635E9"/>
    <w:rsid w:val="00B645D0"/>
    <w:rsid w:val="00B659C2"/>
    <w:rsid w:val="00B663A2"/>
    <w:rsid w:val="00B73105"/>
    <w:rsid w:val="00B7545D"/>
    <w:rsid w:val="00B77623"/>
    <w:rsid w:val="00B807B4"/>
    <w:rsid w:val="00B82C05"/>
    <w:rsid w:val="00B841A5"/>
    <w:rsid w:val="00B84E61"/>
    <w:rsid w:val="00B9010C"/>
    <w:rsid w:val="00B904CF"/>
    <w:rsid w:val="00B9230D"/>
    <w:rsid w:val="00B9239F"/>
    <w:rsid w:val="00B92A9E"/>
    <w:rsid w:val="00B936F3"/>
    <w:rsid w:val="00B93A4D"/>
    <w:rsid w:val="00B93B52"/>
    <w:rsid w:val="00B95233"/>
    <w:rsid w:val="00B969FF"/>
    <w:rsid w:val="00B96BA1"/>
    <w:rsid w:val="00B97EB3"/>
    <w:rsid w:val="00BA02AD"/>
    <w:rsid w:val="00BA378C"/>
    <w:rsid w:val="00BA3CE9"/>
    <w:rsid w:val="00BA5091"/>
    <w:rsid w:val="00BA7111"/>
    <w:rsid w:val="00BB0882"/>
    <w:rsid w:val="00BB151F"/>
    <w:rsid w:val="00BB2F64"/>
    <w:rsid w:val="00BB404A"/>
    <w:rsid w:val="00BB4147"/>
    <w:rsid w:val="00BB4710"/>
    <w:rsid w:val="00BB61BB"/>
    <w:rsid w:val="00BB696B"/>
    <w:rsid w:val="00BB7C13"/>
    <w:rsid w:val="00BC0FFC"/>
    <w:rsid w:val="00BC12EC"/>
    <w:rsid w:val="00BC2B76"/>
    <w:rsid w:val="00BC2ECC"/>
    <w:rsid w:val="00BC2F0B"/>
    <w:rsid w:val="00BC36A8"/>
    <w:rsid w:val="00BC3B12"/>
    <w:rsid w:val="00BC466A"/>
    <w:rsid w:val="00BC6275"/>
    <w:rsid w:val="00BC7657"/>
    <w:rsid w:val="00BD1F74"/>
    <w:rsid w:val="00BD4AE6"/>
    <w:rsid w:val="00BD53BF"/>
    <w:rsid w:val="00BD5A2A"/>
    <w:rsid w:val="00BD7147"/>
    <w:rsid w:val="00BD731B"/>
    <w:rsid w:val="00BD7912"/>
    <w:rsid w:val="00BE0EC1"/>
    <w:rsid w:val="00BE0F89"/>
    <w:rsid w:val="00BE1403"/>
    <w:rsid w:val="00BE1583"/>
    <w:rsid w:val="00BE1960"/>
    <w:rsid w:val="00BE2A38"/>
    <w:rsid w:val="00BE46F6"/>
    <w:rsid w:val="00BE6142"/>
    <w:rsid w:val="00BE7508"/>
    <w:rsid w:val="00BE7F37"/>
    <w:rsid w:val="00BF19BF"/>
    <w:rsid w:val="00BF1EF2"/>
    <w:rsid w:val="00BF311D"/>
    <w:rsid w:val="00BF6766"/>
    <w:rsid w:val="00BF68DF"/>
    <w:rsid w:val="00C022B8"/>
    <w:rsid w:val="00C02700"/>
    <w:rsid w:val="00C02F2E"/>
    <w:rsid w:val="00C0377F"/>
    <w:rsid w:val="00C05227"/>
    <w:rsid w:val="00C062E7"/>
    <w:rsid w:val="00C06E56"/>
    <w:rsid w:val="00C075B2"/>
    <w:rsid w:val="00C0764B"/>
    <w:rsid w:val="00C11587"/>
    <w:rsid w:val="00C1203B"/>
    <w:rsid w:val="00C1323D"/>
    <w:rsid w:val="00C13DB5"/>
    <w:rsid w:val="00C146F4"/>
    <w:rsid w:val="00C14F0A"/>
    <w:rsid w:val="00C15364"/>
    <w:rsid w:val="00C17433"/>
    <w:rsid w:val="00C17933"/>
    <w:rsid w:val="00C17E0B"/>
    <w:rsid w:val="00C24F4D"/>
    <w:rsid w:val="00C2500B"/>
    <w:rsid w:val="00C25303"/>
    <w:rsid w:val="00C25EFD"/>
    <w:rsid w:val="00C26154"/>
    <w:rsid w:val="00C265BF"/>
    <w:rsid w:val="00C306C3"/>
    <w:rsid w:val="00C323BB"/>
    <w:rsid w:val="00C349D8"/>
    <w:rsid w:val="00C36FCE"/>
    <w:rsid w:val="00C37C5F"/>
    <w:rsid w:val="00C40AD5"/>
    <w:rsid w:val="00C40D4E"/>
    <w:rsid w:val="00C411E4"/>
    <w:rsid w:val="00C41767"/>
    <w:rsid w:val="00C41C6D"/>
    <w:rsid w:val="00C421C7"/>
    <w:rsid w:val="00C44027"/>
    <w:rsid w:val="00C44037"/>
    <w:rsid w:val="00C4467B"/>
    <w:rsid w:val="00C45DC6"/>
    <w:rsid w:val="00C46C61"/>
    <w:rsid w:val="00C47672"/>
    <w:rsid w:val="00C47FB5"/>
    <w:rsid w:val="00C50B0D"/>
    <w:rsid w:val="00C5364B"/>
    <w:rsid w:val="00C539C3"/>
    <w:rsid w:val="00C53EF8"/>
    <w:rsid w:val="00C5429F"/>
    <w:rsid w:val="00C55338"/>
    <w:rsid w:val="00C55D1F"/>
    <w:rsid w:val="00C55F1D"/>
    <w:rsid w:val="00C567E6"/>
    <w:rsid w:val="00C57AE5"/>
    <w:rsid w:val="00C62106"/>
    <w:rsid w:val="00C62259"/>
    <w:rsid w:val="00C65981"/>
    <w:rsid w:val="00C6612E"/>
    <w:rsid w:val="00C6722D"/>
    <w:rsid w:val="00C679A7"/>
    <w:rsid w:val="00C70AA5"/>
    <w:rsid w:val="00C70F64"/>
    <w:rsid w:val="00C73BC1"/>
    <w:rsid w:val="00C74502"/>
    <w:rsid w:val="00C77F4D"/>
    <w:rsid w:val="00C819B3"/>
    <w:rsid w:val="00C83843"/>
    <w:rsid w:val="00C83E9A"/>
    <w:rsid w:val="00C8435E"/>
    <w:rsid w:val="00C84B4B"/>
    <w:rsid w:val="00C84C96"/>
    <w:rsid w:val="00C86145"/>
    <w:rsid w:val="00C90157"/>
    <w:rsid w:val="00C90500"/>
    <w:rsid w:val="00C90786"/>
    <w:rsid w:val="00C9149B"/>
    <w:rsid w:val="00C92748"/>
    <w:rsid w:val="00C93658"/>
    <w:rsid w:val="00C96467"/>
    <w:rsid w:val="00C96C57"/>
    <w:rsid w:val="00CA2D6D"/>
    <w:rsid w:val="00CA307F"/>
    <w:rsid w:val="00CA4C19"/>
    <w:rsid w:val="00CA4F5F"/>
    <w:rsid w:val="00CA5656"/>
    <w:rsid w:val="00CA5ACF"/>
    <w:rsid w:val="00CA669A"/>
    <w:rsid w:val="00CA68D5"/>
    <w:rsid w:val="00CA79DD"/>
    <w:rsid w:val="00CB06E9"/>
    <w:rsid w:val="00CB0B01"/>
    <w:rsid w:val="00CB218A"/>
    <w:rsid w:val="00CB2540"/>
    <w:rsid w:val="00CB2565"/>
    <w:rsid w:val="00CB3508"/>
    <w:rsid w:val="00CB4435"/>
    <w:rsid w:val="00CB5225"/>
    <w:rsid w:val="00CB72B1"/>
    <w:rsid w:val="00CB73D9"/>
    <w:rsid w:val="00CB7FBC"/>
    <w:rsid w:val="00CC4264"/>
    <w:rsid w:val="00CC532E"/>
    <w:rsid w:val="00CC62F7"/>
    <w:rsid w:val="00CD023C"/>
    <w:rsid w:val="00CD1186"/>
    <w:rsid w:val="00CD1F86"/>
    <w:rsid w:val="00CD31E7"/>
    <w:rsid w:val="00CD5250"/>
    <w:rsid w:val="00CD5B5B"/>
    <w:rsid w:val="00CE3EB8"/>
    <w:rsid w:val="00CE4FCE"/>
    <w:rsid w:val="00CE611F"/>
    <w:rsid w:val="00CE73A5"/>
    <w:rsid w:val="00CE7844"/>
    <w:rsid w:val="00CE7E86"/>
    <w:rsid w:val="00CE7F57"/>
    <w:rsid w:val="00CF0E7B"/>
    <w:rsid w:val="00CF2D98"/>
    <w:rsid w:val="00CF3385"/>
    <w:rsid w:val="00CF41D4"/>
    <w:rsid w:val="00CF5843"/>
    <w:rsid w:val="00CF5B6B"/>
    <w:rsid w:val="00CF7A34"/>
    <w:rsid w:val="00CF7CDA"/>
    <w:rsid w:val="00D0157A"/>
    <w:rsid w:val="00D02B39"/>
    <w:rsid w:val="00D036B9"/>
    <w:rsid w:val="00D036DE"/>
    <w:rsid w:val="00D054CB"/>
    <w:rsid w:val="00D05AD7"/>
    <w:rsid w:val="00D06108"/>
    <w:rsid w:val="00D063E1"/>
    <w:rsid w:val="00D06663"/>
    <w:rsid w:val="00D0712F"/>
    <w:rsid w:val="00D07335"/>
    <w:rsid w:val="00D07D2E"/>
    <w:rsid w:val="00D1035E"/>
    <w:rsid w:val="00D10D01"/>
    <w:rsid w:val="00D1399F"/>
    <w:rsid w:val="00D140D9"/>
    <w:rsid w:val="00D1673B"/>
    <w:rsid w:val="00D16B23"/>
    <w:rsid w:val="00D20E51"/>
    <w:rsid w:val="00D21F6E"/>
    <w:rsid w:val="00D22176"/>
    <w:rsid w:val="00D22941"/>
    <w:rsid w:val="00D23811"/>
    <w:rsid w:val="00D25AE3"/>
    <w:rsid w:val="00D27831"/>
    <w:rsid w:val="00D27AEB"/>
    <w:rsid w:val="00D308E0"/>
    <w:rsid w:val="00D318B3"/>
    <w:rsid w:val="00D33240"/>
    <w:rsid w:val="00D40D25"/>
    <w:rsid w:val="00D41E77"/>
    <w:rsid w:val="00D430D5"/>
    <w:rsid w:val="00D4480B"/>
    <w:rsid w:val="00D46E98"/>
    <w:rsid w:val="00D46EAE"/>
    <w:rsid w:val="00D47AB5"/>
    <w:rsid w:val="00D5043D"/>
    <w:rsid w:val="00D51B3A"/>
    <w:rsid w:val="00D53626"/>
    <w:rsid w:val="00D5387E"/>
    <w:rsid w:val="00D53D47"/>
    <w:rsid w:val="00D54A0C"/>
    <w:rsid w:val="00D557BA"/>
    <w:rsid w:val="00D56767"/>
    <w:rsid w:val="00D60CE8"/>
    <w:rsid w:val="00D61485"/>
    <w:rsid w:val="00D617AB"/>
    <w:rsid w:val="00D63BBB"/>
    <w:rsid w:val="00D6454B"/>
    <w:rsid w:val="00D64AE9"/>
    <w:rsid w:val="00D65307"/>
    <w:rsid w:val="00D65BB9"/>
    <w:rsid w:val="00D660B8"/>
    <w:rsid w:val="00D66D10"/>
    <w:rsid w:val="00D66F4A"/>
    <w:rsid w:val="00D67695"/>
    <w:rsid w:val="00D72178"/>
    <w:rsid w:val="00D725C2"/>
    <w:rsid w:val="00D73914"/>
    <w:rsid w:val="00D74327"/>
    <w:rsid w:val="00D74431"/>
    <w:rsid w:val="00D75C83"/>
    <w:rsid w:val="00D76249"/>
    <w:rsid w:val="00D773C9"/>
    <w:rsid w:val="00D80A27"/>
    <w:rsid w:val="00D819E2"/>
    <w:rsid w:val="00D84C5F"/>
    <w:rsid w:val="00D85499"/>
    <w:rsid w:val="00D874E4"/>
    <w:rsid w:val="00D9125F"/>
    <w:rsid w:val="00D91DEB"/>
    <w:rsid w:val="00D9206C"/>
    <w:rsid w:val="00D92BB9"/>
    <w:rsid w:val="00D9349B"/>
    <w:rsid w:val="00D943D9"/>
    <w:rsid w:val="00D94FF3"/>
    <w:rsid w:val="00D958FB"/>
    <w:rsid w:val="00D95EEA"/>
    <w:rsid w:val="00D95FD0"/>
    <w:rsid w:val="00D967AA"/>
    <w:rsid w:val="00DA1B56"/>
    <w:rsid w:val="00DA21AE"/>
    <w:rsid w:val="00DA3687"/>
    <w:rsid w:val="00DA468B"/>
    <w:rsid w:val="00DA5BF8"/>
    <w:rsid w:val="00DA6EB1"/>
    <w:rsid w:val="00DB4845"/>
    <w:rsid w:val="00DB5E81"/>
    <w:rsid w:val="00DB6834"/>
    <w:rsid w:val="00DC050E"/>
    <w:rsid w:val="00DC10CA"/>
    <w:rsid w:val="00DC1C92"/>
    <w:rsid w:val="00DC2B7A"/>
    <w:rsid w:val="00DC391D"/>
    <w:rsid w:val="00DC4339"/>
    <w:rsid w:val="00DC4403"/>
    <w:rsid w:val="00DC46D9"/>
    <w:rsid w:val="00DC4831"/>
    <w:rsid w:val="00DC6E59"/>
    <w:rsid w:val="00DD16C1"/>
    <w:rsid w:val="00DD3C83"/>
    <w:rsid w:val="00DD545B"/>
    <w:rsid w:val="00DD5481"/>
    <w:rsid w:val="00DD56CA"/>
    <w:rsid w:val="00DD5950"/>
    <w:rsid w:val="00DD598F"/>
    <w:rsid w:val="00DE01A6"/>
    <w:rsid w:val="00DE1691"/>
    <w:rsid w:val="00DE2B77"/>
    <w:rsid w:val="00DE361C"/>
    <w:rsid w:val="00DE3E28"/>
    <w:rsid w:val="00DE5349"/>
    <w:rsid w:val="00DE60DF"/>
    <w:rsid w:val="00DF0F9B"/>
    <w:rsid w:val="00DF354E"/>
    <w:rsid w:val="00DF3F2E"/>
    <w:rsid w:val="00DF4F12"/>
    <w:rsid w:val="00DF5328"/>
    <w:rsid w:val="00DF558A"/>
    <w:rsid w:val="00DF6D72"/>
    <w:rsid w:val="00DF7331"/>
    <w:rsid w:val="00E01940"/>
    <w:rsid w:val="00E02351"/>
    <w:rsid w:val="00E025D8"/>
    <w:rsid w:val="00E03BE4"/>
    <w:rsid w:val="00E048BE"/>
    <w:rsid w:val="00E051BA"/>
    <w:rsid w:val="00E05D6E"/>
    <w:rsid w:val="00E0642A"/>
    <w:rsid w:val="00E06F9E"/>
    <w:rsid w:val="00E07A92"/>
    <w:rsid w:val="00E10AC7"/>
    <w:rsid w:val="00E10C6C"/>
    <w:rsid w:val="00E124BC"/>
    <w:rsid w:val="00E12DD7"/>
    <w:rsid w:val="00E13236"/>
    <w:rsid w:val="00E13881"/>
    <w:rsid w:val="00E14A8D"/>
    <w:rsid w:val="00E15884"/>
    <w:rsid w:val="00E15E8C"/>
    <w:rsid w:val="00E17864"/>
    <w:rsid w:val="00E17985"/>
    <w:rsid w:val="00E17AC8"/>
    <w:rsid w:val="00E20415"/>
    <w:rsid w:val="00E20B61"/>
    <w:rsid w:val="00E226C1"/>
    <w:rsid w:val="00E24F13"/>
    <w:rsid w:val="00E25B5F"/>
    <w:rsid w:val="00E26B8B"/>
    <w:rsid w:val="00E278D3"/>
    <w:rsid w:val="00E27A44"/>
    <w:rsid w:val="00E27E55"/>
    <w:rsid w:val="00E30F93"/>
    <w:rsid w:val="00E31A68"/>
    <w:rsid w:val="00E33631"/>
    <w:rsid w:val="00E34451"/>
    <w:rsid w:val="00E35314"/>
    <w:rsid w:val="00E356AB"/>
    <w:rsid w:val="00E36039"/>
    <w:rsid w:val="00E370CF"/>
    <w:rsid w:val="00E3744F"/>
    <w:rsid w:val="00E41CE8"/>
    <w:rsid w:val="00E422A3"/>
    <w:rsid w:val="00E4380B"/>
    <w:rsid w:val="00E43F3C"/>
    <w:rsid w:val="00E457A9"/>
    <w:rsid w:val="00E4645A"/>
    <w:rsid w:val="00E467E1"/>
    <w:rsid w:val="00E46B9F"/>
    <w:rsid w:val="00E50703"/>
    <w:rsid w:val="00E5157C"/>
    <w:rsid w:val="00E516E1"/>
    <w:rsid w:val="00E52A01"/>
    <w:rsid w:val="00E53DEA"/>
    <w:rsid w:val="00E53FE0"/>
    <w:rsid w:val="00E57560"/>
    <w:rsid w:val="00E57C92"/>
    <w:rsid w:val="00E61212"/>
    <w:rsid w:val="00E6130C"/>
    <w:rsid w:val="00E61598"/>
    <w:rsid w:val="00E6426F"/>
    <w:rsid w:val="00E64951"/>
    <w:rsid w:val="00E658A8"/>
    <w:rsid w:val="00E67DA8"/>
    <w:rsid w:val="00E70814"/>
    <w:rsid w:val="00E70AD6"/>
    <w:rsid w:val="00E72AF3"/>
    <w:rsid w:val="00E74FAE"/>
    <w:rsid w:val="00E75342"/>
    <w:rsid w:val="00E75ECB"/>
    <w:rsid w:val="00E76179"/>
    <w:rsid w:val="00E7628B"/>
    <w:rsid w:val="00E80BE8"/>
    <w:rsid w:val="00E80FA7"/>
    <w:rsid w:val="00E81950"/>
    <w:rsid w:val="00E85AFD"/>
    <w:rsid w:val="00E8738B"/>
    <w:rsid w:val="00E9016E"/>
    <w:rsid w:val="00E90227"/>
    <w:rsid w:val="00E90284"/>
    <w:rsid w:val="00E90488"/>
    <w:rsid w:val="00E907A5"/>
    <w:rsid w:val="00E9146C"/>
    <w:rsid w:val="00E92CB7"/>
    <w:rsid w:val="00E943D6"/>
    <w:rsid w:val="00E9442B"/>
    <w:rsid w:val="00E96982"/>
    <w:rsid w:val="00EA1D52"/>
    <w:rsid w:val="00EA1E75"/>
    <w:rsid w:val="00EA3580"/>
    <w:rsid w:val="00EA3698"/>
    <w:rsid w:val="00EA4444"/>
    <w:rsid w:val="00EA540D"/>
    <w:rsid w:val="00EA7D0C"/>
    <w:rsid w:val="00EB0524"/>
    <w:rsid w:val="00EB085C"/>
    <w:rsid w:val="00EB0E60"/>
    <w:rsid w:val="00EB2332"/>
    <w:rsid w:val="00EB277A"/>
    <w:rsid w:val="00EB2F90"/>
    <w:rsid w:val="00EB4626"/>
    <w:rsid w:val="00EB4FAB"/>
    <w:rsid w:val="00EB568B"/>
    <w:rsid w:val="00EB6543"/>
    <w:rsid w:val="00EB768F"/>
    <w:rsid w:val="00EC035F"/>
    <w:rsid w:val="00EC2BA3"/>
    <w:rsid w:val="00EC2E9C"/>
    <w:rsid w:val="00EC3115"/>
    <w:rsid w:val="00EC3581"/>
    <w:rsid w:val="00EC4CE9"/>
    <w:rsid w:val="00EC5BFA"/>
    <w:rsid w:val="00EC6AB3"/>
    <w:rsid w:val="00EC7CE2"/>
    <w:rsid w:val="00ED065C"/>
    <w:rsid w:val="00ED1FF3"/>
    <w:rsid w:val="00ED2729"/>
    <w:rsid w:val="00ED298D"/>
    <w:rsid w:val="00ED43BD"/>
    <w:rsid w:val="00ED495F"/>
    <w:rsid w:val="00ED5962"/>
    <w:rsid w:val="00ED5BDB"/>
    <w:rsid w:val="00ED6B52"/>
    <w:rsid w:val="00ED6CBC"/>
    <w:rsid w:val="00EE1985"/>
    <w:rsid w:val="00EE3E8D"/>
    <w:rsid w:val="00EE44F7"/>
    <w:rsid w:val="00EE499D"/>
    <w:rsid w:val="00EE4B17"/>
    <w:rsid w:val="00EE67A9"/>
    <w:rsid w:val="00EE684C"/>
    <w:rsid w:val="00EF0421"/>
    <w:rsid w:val="00EF07E9"/>
    <w:rsid w:val="00EF152D"/>
    <w:rsid w:val="00EF1ACF"/>
    <w:rsid w:val="00EF1F82"/>
    <w:rsid w:val="00EF33E8"/>
    <w:rsid w:val="00EF4A90"/>
    <w:rsid w:val="00EF5940"/>
    <w:rsid w:val="00EF5E6B"/>
    <w:rsid w:val="00EF6FCD"/>
    <w:rsid w:val="00EF750B"/>
    <w:rsid w:val="00EF7D29"/>
    <w:rsid w:val="00F0052F"/>
    <w:rsid w:val="00F02406"/>
    <w:rsid w:val="00F02B67"/>
    <w:rsid w:val="00F07020"/>
    <w:rsid w:val="00F074C0"/>
    <w:rsid w:val="00F11D82"/>
    <w:rsid w:val="00F12016"/>
    <w:rsid w:val="00F13BBF"/>
    <w:rsid w:val="00F14E78"/>
    <w:rsid w:val="00F15F5F"/>
    <w:rsid w:val="00F15FDE"/>
    <w:rsid w:val="00F16ADC"/>
    <w:rsid w:val="00F22801"/>
    <w:rsid w:val="00F23658"/>
    <w:rsid w:val="00F241AD"/>
    <w:rsid w:val="00F24CBA"/>
    <w:rsid w:val="00F251A2"/>
    <w:rsid w:val="00F2723A"/>
    <w:rsid w:val="00F27261"/>
    <w:rsid w:val="00F30445"/>
    <w:rsid w:val="00F31384"/>
    <w:rsid w:val="00F31CBB"/>
    <w:rsid w:val="00F33543"/>
    <w:rsid w:val="00F35A67"/>
    <w:rsid w:val="00F3701C"/>
    <w:rsid w:val="00F40A2D"/>
    <w:rsid w:val="00F41A27"/>
    <w:rsid w:val="00F41F2E"/>
    <w:rsid w:val="00F42C08"/>
    <w:rsid w:val="00F44F9D"/>
    <w:rsid w:val="00F45329"/>
    <w:rsid w:val="00F4535A"/>
    <w:rsid w:val="00F456C5"/>
    <w:rsid w:val="00F45EF4"/>
    <w:rsid w:val="00F46256"/>
    <w:rsid w:val="00F46B40"/>
    <w:rsid w:val="00F47DD5"/>
    <w:rsid w:val="00F5172A"/>
    <w:rsid w:val="00F52AEE"/>
    <w:rsid w:val="00F52C04"/>
    <w:rsid w:val="00F535E1"/>
    <w:rsid w:val="00F549DA"/>
    <w:rsid w:val="00F552C8"/>
    <w:rsid w:val="00F56237"/>
    <w:rsid w:val="00F56796"/>
    <w:rsid w:val="00F57A11"/>
    <w:rsid w:val="00F600CB"/>
    <w:rsid w:val="00F606E6"/>
    <w:rsid w:val="00F610C1"/>
    <w:rsid w:val="00F6158D"/>
    <w:rsid w:val="00F6375B"/>
    <w:rsid w:val="00F63829"/>
    <w:rsid w:val="00F6473A"/>
    <w:rsid w:val="00F705EC"/>
    <w:rsid w:val="00F7062E"/>
    <w:rsid w:val="00F70A41"/>
    <w:rsid w:val="00F712A1"/>
    <w:rsid w:val="00F7227D"/>
    <w:rsid w:val="00F72C13"/>
    <w:rsid w:val="00F74375"/>
    <w:rsid w:val="00F75FB5"/>
    <w:rsid w:val="00F76DF9"/>
    <w:rsid w:val="00F77C54"/>
    <w:rsid w:val="00F80611"/>
    <w:rsid w:val="00F8121E"/>
    <w:rsid w:val="00F8325F"/>
    <w:rsid w:val="00F8606F"/>
    <w:rsid w:val="00F86450"/>
    <w:rsid w:val="00F866D8"/>
    <w:rsid w:val="00F874E6"/>
    <w:rsid w:val="00F90338"/>
    <w:rsid w:val="00F9089B"/>
    <w:rsid w:val="00F912B1"/>
    <w:rsid w:val="00F91ABF"/>
    <w:rsid w:val="00F93833"/>
    <w:rsid w:val="00F93FEA"/>
    <w:rsid w:val="00F96303"/>
    <w:rsid w:val="00F96542"/>
    <w:rsid w:val="00F96EAD"/>
    <w:rsid w:val="00FA035A"/>
    <w:rsid w:val="00FA037B"/>
    <w:rsid w:val="00FA085F"/>
    <w:rsid w:val="00FA0FFC"/>
    <w:rsid w:val="00FA20CD"/>
    <w:rsid w:val="00FA2660"/>
    <w:rsid w:val="00FA2B2F"/>
    <w:rsid w:val="00FA3E4C"/>
    <w:rsid w:val="00FA6441"/>
    <w:rsid w:val="00FA67B1"/>
    <w:rsid w:val="00FA7610"/>
    <w:rsid w:val="00FA7B6D"/>
    <w:rsid w:val="00FA7C88"/>
    <w:rsid w:val="00FB0CF2"/>
    <w:rsid w:val="00FB0D2A"/>
    <w:rsid w:val="00FB1EDE"/>
    <w:rsid w:val="00FC1686"/>
    <w:rsid w:val="00FC1B3A"/>
    <w:rsid w:val="00FC1D32"/>
    <w:rsid w:val="00FC24C1"/>
    <w:rsid w:val="00FC3021"/>
    <w:rsid w:val="00FC5384"/>
    <w:rsid w:val="00FC6847"/>
    <w:rsid w:val="00FC6D48"/>
    <w:rsid w:val="00FC6D85"/>
    <w:rsid w:val="00FD0865"/>
    <w:rsid w:val="00FD0D94"/>
    <w:rsid w:val="00FD119F"/>
    <w:rsid w:val="00FD1337"/>
    <w:rsid w:val="00FD1B1D"/>
    <w:rsid w:val="00FD225D"/>
    <w:rsid w:val="00FD2655"/>
    <w:rsid w:val="00FD335D"/>
    <w:rsid w:val="00FD3713"/>
    <w:rsid w:val="00FD6073"/>
    <w:rsid w:val="00FD6B05"/>
    <w:rsid w:val="00FD6E7E"/>
    <w:rsid w:val="00FD7B33"/>
    <w:rsid w:val="00FE066D"/>
    <w:rsid w:val="00FE0EFD"/>
    <w:rsid w:val="00FE146F"/>
    <w:rsid w:val="00FE1EA5"/>
    <w:rsid w:val="00FE21C8"/>
    <w:rsid w:val="00FE489C"/>
    <w:rsid w:val="00FE4C65"/>
    <w:rsid w:val="00FE538A"/>
    <w:rsid w:val="00FE5DF4"/>
    <w:rsid w:val="00FF06CF"/>
    <w:rsid w:val="00FF1457"/>
    <w:rsid w:val="00FF37E6"/>
    <w:rsid w:val="00FF448D"/>
    <w:rsid w:val="00FF4F0B"/>
    <w:rsid w:val="00FF6E6D"/>
    <w:rsid w:val="00FF7A62"/>
    <w:rsid w:val="00FF7D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CD45F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030DB"/>
    <w:rPr>
      <w:sz w:val="20"/>
    </w:rPr>
  </w:style>
  <w:style w:type="character" w:customStyle="1" w:styleId="FootnoteTextChar">
    <w:name w:val="Footnote Text Char"/>
    <w:basedOn w:val="DefaultParagraphFont"/>
    <w:link w:val="FootnoteText"/>
    <w:uiPriority w:val="99"/>
    <w:rsid w:val="000030DB"/>
    <w:rPr>
      <w:szCs w:val="24"/>
      <w:lang w:val="en-GB" w:eastAsia="en-US"/>
    </w:rPr>
  </w:style>
  <w:style w:type="character" w:styleId="FootnoteReference">
    <w:name w:val="footnote reference"/>
    <w:basedOn w:val="DefaultParagraphFont"/>
    <w:uiPriority w:val="99"/>
    <w:unhideWhenUsed/>
    <w:rsid w:val="000030DB"/>
    <w:rPr>
      <w:vertAlign w:val="superscript"/>
    </w:rPr>
  </w:style>
  <w:style w:type="paragraph" w:customStyle="1" w:styleId="Default">
    <w:name w:val="Default"/>
    <w:rsid w:val="00D60CE8"/>
    <w:pPr>
      <w:widowControl w:val="0"/>
      <w:autoSpaceDE w:val="0"/>
      <w:autoSpaceDN w:val="0"/>
      <w:adjustRightInd w:val="0"/>
    </w:pPr>
    <w:rPr>
      <w:rFonts w:ascii="New Caledonia" w:hAnsi="New Caledonia" w:cs="New Caledonia"/>
      <w:color w:val="000000"/>
      <w:sz w:val="24"/>
      <w:szCs w:val="24"/>
    </w:rPr>
  </w:style>
  <w:style w:type="character" w:styleId="Hyperlink">
    <w:name w:val="Hyperlink"/>
    <w:basedOn w:val="DefaultParagraphFont"/>
    <w:uiPriority w:val="99"/>
    <w:unhideWhenUsed/>
    <w:rsid w:val="008A54D6"/>
    <w:rPr>
      <w:color w:val="0000FF" w:themeColor="hyperlink"/>
      <w:u w:val="single"/>
    </w:rPr>
  </w:style>
  <w:style w:type="character" w:styleId="Emphasis">
    <w:name w:val="Emphasis"/>
    <w:basedOn w:val="DefaultParagraphFont"/>
    <w:uiPriority w:val="20"/>
    <w:qFormat/>
    <w:rsid w:val="00C6612E"/>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030DB"/>
    <w:rPr>
      <w:sz w:val="20"/>
    </w:rPr>
  </w:style>
  <w:style w:type="character" w:customStyle="1" w:styleId="FootnoteTextChar">
    <w:name w:val="Footnote Text Char"/>
    <w:basedOn w:val="DefaultParagraphFont"/>
    <w:link w:val="FootnoteText"/>
    <w:uiPriority w:val="99"/>
    <w:rsid w:val="000030DB"/>
    <w:rPr>
      <w:szCs w:val="24"/>
      <w:lang w:val="en-GB" w:eastAsia="en-US"/>
    </w:rPr>
  </w:style>
  <w:style w:type="character" w:styleId="FootnoteReference">
    <w:name w:val="footnote reference"/>
    <w:basedOn w:val="DefaultParagraphFont"/>
    <w:uiPriority w:val="99"/>
    <w:unhideWhenUsed/>
    <w:rsid w:val="000030DB"/>
    <w:rPr>
      <w:vertAlign w:val="superscript"/>
    </w:rPr>
  </w:style>
  <w:style w:type="paragraph" w:customStyle="1" w:styleId="Default">
    <w:name w:val="Default"/>
    <w:rsid w:val="00D60CE8"/>
    <w:pPr>
      <w:widowControl w:val="0"/>
      <w:autoSpaceDE w:val="0"/>
      <w:autoSpaceDN w:val="0"/>
      <w:adjustRightInd w:val="0"/>
    </w:pPr>
    <w:rPr>
      <w:rFonts w:ascii="New Caledonia" w:hAnsi="New Caledonia" w:cs="New Caledonia"/>
      <w:color w:val="000000"/>
      <w:sz w:val="24"/>
      <w:szCs w:val="24"/>
    </w:rPr>
  </w:style>
  <w:style w:type="character" w:styleId="Hyperlink">
    <w:name w:val="Hyperlink"/>
    <w:basedOn w:val="DefaultParagraphFont"/>
    <w:uiPriority w:val="99"/>
    <w:unhideWhenUsed/>
    <w:rsid w:val="008A54D6"/>
    <w:rPr>
      <w:color w:val="0000FF" w:themeColor="hyperlink"/>
      <w:u w:val="single"/>
    </w:rPr>
  </w:style>
  <w:style w:type="character" w:styleId="Emphasis">
    <w:name w:val="Emphasis"/>
    <w:basedOn w:val="DefaultParagraphFont"/>
    <w:uiPriority w:val="20"/>
    <w:qFormat/>
    <w:rsid w:val="00C661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48</Pages>
  <Words>11473</Words>
  <Characters>61841</Characters>
  <Application>Microsoft Macintosh Word</Application>
  <DocSecurity>0</DocSecurity>
  <Lines>1030</Lines>
  <Paragraphs>98</Paragraphs>
  <ScaleCrop>false</ScaleCrop>
  <Company/>
  <LinksUpToDate>false</LinksUpToDate>
  <CharactersWithSpaces>73216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Bentley</dc:creator>
  <cp:keywords/>
  <dc:description/>
  <cp:lastModifiedBy>Michelle Bentley</cp:lastModifiedBy>
  <cp:revision>11</cp:revision>
  <dcterms:created xsi:type="dcterms:W3CDTF">2017-01-05T10:48:00Z</dcterms:created>
  <dcterms:modified xsi:type="dcterms:W3CDTF">2017-01-05T11:46:00Z</dcterms:modified>
</cp:coreProperties>
</file>