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D9393" w14:textId="77777777" w:rsidR="00667C1C" w:rsidRPr="005F73BE" w:rsidRDefault="00667C1C">
      <w:pPr>
        <w:rPr>
          <w:rFonts w:ascii="Verdana" w:eastAsia="Times New Roman" w:hAnsi="Verdana" w:cs="Times New Roman"/>
          <w:b/>
          <w:color w:val="000000"/>
          <w:sz w:val="17"/>
          <w:szCs w:val="17"/>
          <w:lang w:val="en-GB" w:eastAsia="en-GB"/>
        </w:rPr>
      </w:pPr>
    </w:p>
    <w:p w14:paraId="4DD27AB0" w14:textId="2C7D0EF8" w:rsidR="00F7785F" w:rsidRPr="005F73BE" w:rsidRDefault="00FB7E2B">
      <w:pPr>
        <w:rPr>
          <w:lang w:val="en-GB"/>
        </w:rPr>
      </w:pPr>
      <w:r w:rsidRPr="005F73BE">
        <w:rPr>
          <w:lang w:val="en-GB"/>
        </w:rPr>
        <w:t xml:space="preserve">In the last couple of decades, the social sciences have established talk, text and discourse as important objects of study. </w:t>
      </w:r>
      <w:r w:rsidR="00F8226E">
        <w:rPr>
          <w:lang w:val="en-GB"/>
        </w:rPr>
        <w:t>This</w:t>
      </w:r>
      <w:r w:rsidRPr="005F73BE">
        <w:rPr>
          <w:lang w:val="en-GB"/>
        </w:rPr>
        <w:t xml:space="preserve"> movement</w:t>
      </w:r>
      <w:r w:rsidR="00F8226E">
        <w:rPr>
          <w:lang w:val="en-GB"/>
        </w:rPr>
        <w:t xml:space="preserve"> –</w:t>
      </w:r>
      <w:r w:rsidRPr="005F73BE">
        <w:rPr>
          <w:lang w:val="en-GB"/>
        </w:rPr>
        <w:t xml:space="preserve"> </w:t>
      </w:r>
      <w:r w:rsidR="00F8226E">
        <w:rPr>
          <w:lang w:val="en-GB"/>
        </w:rPr>
        <w:t>labelled</w:t>
      </w:r>
      <w:r w:rsidRPr="005F73BE">
        <w:rPr>
          <w:lang w:val="en-GB"/>
        </w:rPr>
        <w:t xml:space="preserve"> the linguistic turn</w:t>
      </w:r>
      <w:r w:rsidR="007C5381" w:rsidRPr="005F73BE">
        <w:rPr>
          <w:vertAlign w:val="superscript"/>
          <w:lang w:val="en-GB"/>
        </w:rPr>
        <w:t>1,2</w:t>
      </w:r>
      <w:r w:rsidR="00F8226E">
        <w:rPr>
          <w:vertAlign w:val="superscript"/>
          <w:lang w:val="en-GB"/>
        </w:rPr>
        <w:t xml:space="preserve"> </w:t>
      </w:r>
      <w:r w:rsidR="00F8226E">
        <w:rPr>
          <w:lang w:val="en-GB"/>
        </w:rPr>
        <w:t xml:space="preserve">– </w:t>
      </w:r>
      <w:r w:rsidRPr="005F73BE">
        <w:rPr>
          <w:lang w:val="en-GB"/>
        </w:rPr>
        <w:t>has provided, among other things, new ways of thinking about the relationship between social reality, language and language use. This influence is now being seen in social psychology</w:t>
      </w:r>
      <w:r w:rsidR="001E19CC">
        <w:rPr>
          <w:lang w:val="en-GB"/>
        </w:rPr>
        <w:t>,</w:t>
      </w:r>
      <w:r w:rsidR="002C588B">
        <w:rPr>
          <w:vertAlign w:val="superscript"/>
          <w:lang w:val="en-GB"/>
        </w:rPr>
        <w:t>3,</w:t>
      </w:r>
      <w:r w:rsidR="00CF74AD" w:rsidRPr="005F73BE">
        <w:rPr>
          <w:vertAlign w:val="superscript"/>
          <w:lang w:val="en-GB"/>
        </w:rPr>
        <w:t>4</w:t>
      </w:r>
      <w:r w:rsidRPr="005F73BE">
        <w:rPr>
          <w:lang w:val="en-GB"/>
        </w:rPr>
        <w:t xml:space="preserve"> </w:t>
      </w:r>
      <w:r w:rsidR="00F7785F" w:rsidRPr="005F73BE">
        <w:rPr>
          <w:lang w:val="en-GB"/>
        </w:rPr>
        <w:t>feminist studies</w:t>
      </w:r>
      <w:r w:rsidR="001E19CC">
        <w:rPr>
          <w:lang w:val="en-GB"/>
        </w:rPr>
        <w:t>,</w:t>
      </w:r>
      <w:r w:rsidR="007C5381" w:rsidRPr="005F73BE">
        <w:rPr>
          <w:vertAlign w:val="superscript"/>
          <w:lang w:val="en-GB"/>
        </w:rPr>
        <w:t>5</w:t>
      </w:r>
      <w:r w:rsidR="00F7785F" w:rsidRPr="005F73BE">
        <w:rPr>
          <w:lang w:val="en-GB"/>
        </w:rPr>
        <w:t xml:space="preserve"> </w:t>
      </w:r>
      <w:r w:rsidRPr="005F73BE">
        <w:rPr>
          <w:lang w:val="en-GB"/>
        </w:rPr>
        <w:t>communications studies</w:t>
      </w:r>
      <w:r w:rsidR="005812E1">
        <w:rPr>
          <w:lang w:val="en-GB"/>
        </w:rPr>
        <w:t>,</w:t>
      </w:r>
      <w:r w:rsidR="00CF74AD" w:rsidRPr="005F73BE">
        <w:rPr>
          <w:vertAlign w:val="superscript"/>
          <w:lang w:val="en-GB"/>
        </w:rPr>
        <w:t>6,</w:t>
      </w:r>
      <w:r w:rsidR="00F8226E" w:rsidRPr="005F73BE">
        <w:rPr>
          <w:vertAlign w:val="superscript"/>
          <w:lang w:val="en-GB"/>
        </w:rPr>
        <w:t xml:space="preserve">7 </w:t>
      </w:r>
      <w:r w:rsidR="00F8226E" w:rsidRPr="005F73BE">
        <w:rPr>
          <w:lang w:val="en-GB"/>
        </w:rPr>
        <w:t>organization</w:t>
      </w:r>
      <w:r w:rsidR="00F7785F" w:rsidRPr="005F73BE">
        <w:rPr>
          <w:lang w:val="en-GB"/>
        </w:rPr>
        <w:t xml:space="preserve"> theory</w:t>
      </w:r>
      <w:r w:rsidR="005812E1">
        <w:rPr>
          <w:lang w:val="en-GB"/>
        </w:rPr>
        <w:t>,</w:t>
      </w:r>
      <w:r w:rsidR="00301566">
        <w:rPr>
          <w:vertAlign w:val="superscript"/>
          <w:lang w:val="en-GB"/>
        </w:rPr>
        <w:t>8-</w:t>
      </w:r>
      <w:r w:rsidR="00CF74AD" w:rsidRPr="005F73BE">
        <w:rPr>
          <w:vertAlign w:val="superscript"/>
          <w:lang w:val="en-GB"/>
        </w:rPr>
        <w:t>10</w:t>
      </w:r>
      <w:r w:rsidR="00F7785F" w:rsidRPr="005F73BE">
        <w:rPr>
          <w:lang w:val="en-GB"/>
        </w:rPr>
        <w:t xml:space="preserve"> </w:t>
      </w:r>
      <w:r w:rsidR="009B66DA" w:rsidRPr="005F73BE">
        <w:rPr>
          <w:lang w:val="en-GB"/>
        </w:rPr>
        <w:t>and</w:t>
      </w:r>
      <w:r w:rsidRPr="005F73BE">
        <w:rPr>
          <w:lang w:val="en-GB"/>
        </w:rPr>
        <w:t>, more recently,</w:t>
      </w:r>
      <w:r w:rsidR="009B66DA" w:rsidRPr="005F73BE">
        <w:rPr>
          <w:lang w:val="en-GB"/>
        </w:rPr>
        <w:t xml:space="preserve"> medical education</w:t>
      </w:r>
      <w:r w:rsidR="005812E1">
        <w:rPr>
          <w:lang w:val="en-GB"/>
        </w:rPr>
        <w:t>.</w:t>
      </w:r>
      <w:r w:rsidR="007C5381" w:rsidRPr="005F73BE">
        <w:rPr>
          <w:vertAlign w:val="superscript"/>
          <w:lang w:val="en-GB"/>
        </w:rPr>
        <w:t>11</w:t>
      </w:r>
      <w:r w:rsidR="00753975" w:rsidRPr="00753975">
        <w:rPr>
          <w:vertAlign w:val="superscript"/>
          <w:lang w:val="en-GB"/>
        </w:rPr>
        <w:t>-</w:t>
      </w:r>
      <w:r w:rsidR="00DD1B08" w:rsidRPr="005F73BE">
        <w:rPr>
          <w:vertAlign w:val="superscript"/>
          <w:lang w:val="en-GB"/>
        </w:rPr>
        <w:t>1</w:t>
      </w:r>
      <w:r w:rsidR="007C5381" w:rsidRPr="005F73BE">
        <w:rPr>
          <w:vertAlign w:val="superscript"/>
          <w:lang w:val="en-GB"/>
        </w:rPr>
        <w:t>3</w:t>
      </w:r>
      <w:r w:rsidRPr="005F73BE">
        <w:rPr>
          <w:lang w:val="en-GB"/>
        </w:rPr>
        <w:t xml:space="preserve"> In each case,</w:t>
      </w:r>
      <w:r w:rsidR="009B66DA" w:rsidRPr="005F73BE">
        <w:rPr>
          <w:lang w:val="en-GB"/>
        </w:rPr>
        <w:t xml:space="preserve"> </w:t>
      </w:r>
      <w:r w:rsidR="00F7785F" w:rsidRPr="005F73BE">
        <w:rPr>
          <w:lang w:val="en-GB"/>
        </w:rPr>
        <w:t xml:space="preserve">scholars stress the importance of </w:t>
      </w:r>
      <w:r w:rsidR="00D63416" w:rsidRPr="005F73BE">
        <w:rPr>
          <w:lang w:val="en-GB"/>
        </w:rPr>
        <w:t>language and discourse</w:t>
      </w:r>
      <w:r w:rsidR="00F7785F" w:rsidRPr="005F73BE">
        <w:rPr>
          <w:lang w:val="en-GB"/>
        </w:rPr>
        <w:t xml:space="preserve"> for an adequate understanding of social processes.</w:t>
      </w:r>
    </w:p>
    <w:p w14:paraId="1EB98F27" w14:textId="77777777" w:rsidR="00EA194C" w:rsidRPr="005F73BE" w:rsidRDefault="00EA194C">
      <w:pPr>
        <w:rPr>
          <w:lang w:val="en-GB"/>
        </w:rPr>
      </w:pPr>
    </w:p>
    <w:p w14:paraId="28450EA0" w14:textId="5E01A4D7" w:rsidR="00FC30C3" w:rsidRPr="005F73BE" w:rsidRDefault="00EA194C" w:rsidP="00FC30C3">
      <w:pPr>
        <w:rPr>
          <w:lang w:val="en-GB"/>
        </w:rPr>
      </w:pPr>
      <w:r w:rsidRPr="005F73BE">
        <w:rPr>
          <w:lang w:val="en-GB"/>
        </w:rPr>
        <w:t xml:space="preserve">In this paper we will </w:t>
      </w:r>
      <w:r w:rsidR="0075460A" w:rsidRPr="005F73BE">
        <w:rPr>
          <w:lang w:val="en-GB"/>
        </w:rPr>
        <w:t>examine</w:t>
      </w:r>
      <w:r w:rsidRPr="005F73BE">
        <w:rPr>
          <w:lang w:val="en-GB"/>
        </w:rPr>
        <w:t xml:space="preserve"> the constructs of ‘discourse’ and ‘discourse analysis’, and how various understandings of discourse and discourse analysis may play out in empirical and analytical settings, with </w:t>
      </w:r>
      <w:r w:rsidR="00566A50" w:rsidRPr="005F73BE">
        <w:rPr>
          <w:lang w:val="en-GB"/>
        </w:rPr>
        <w:t>particular focus on the field of medical education</w:t>
      </w:r>
      <w:r w:rsidR="00FC30C3" w:rsidRPr="005F73BE">
        <w:rPr>
          <w:lang w:val="en-GB"/>
        </w:rPr>
        <w:t>. We claim that there is a strong case for the study of the level of text in medical education</w:t>
      </w:r>
      <w:r w:rsidR="0075460A" w:rsidRPr="005F73BE">
        <w:rPr>
          <w:lang w:val="en-GB"/>
        </w:rPr>
        <w:t xml:space="preserve"> and </w:t>
      </w:r>
      <w:r w:rsidR="00FC30C3" w:rsidRPr="005F73BE">
        <w:rPr>
          <w:lang w:val="en-GB"/>
        </w:rPr>
        <w:t xml:space="preserve">that discourse analysis provides a productive way of studying this level. </w:t>
      </w:r>
      <w:r w:rsidR="00F7408B" w:rsidRPr="005F73BE">
        <w:rPr>
          <w:lang w:val="en-GB"/>
        </w:rPr>
        <w:t xml:space="preserve">In general terms, this paper aims to highlight key dimensions to be considered when framing discourse analysis while suggesting a heuristic to support disciplined thought.  This heuristic emphasizes the consideration of evidence on three levels: text, practice and meaning. </w:t>
      </w:r>
      <w:r w:rsidR="00FC30C3" w:rsidRPr="005F73BE">
        <w:rPr>
          <w:lang w:val="en-GB"/>
        </w:rPr>
        <w:t>We apply this perspective on a sample of recent application</w:t>
      </w:r>
      <w:r w:rsidR="001B2FD3" w:rsidRPr="005F73BE">
        <w:rPr>
          <w:lang w:val="en-GB"/>
        </w:rPr>
        <w:t>s</w:t>
      </w:r>
      <w:r w:rsidR="00FC30C3" w:rsidRPr="005F73BE">
        <w:rPr>
          <w:lang w:val="en-GB"/>
        </w:rPr>
        <w:t xml:space="preserve"> of discourse analysis in medical education</w:t>
      </w:r>
      <w:r w:rsidR="001B2FD3" w:rsidRPr="005F73BE">
        <w:rPr>
          <w:lang w:val="en-GB"/>
        </w:rPr>
        <w:t xml:space="preserve"> in order</w:t>
      </w:r>
      <w:r w:rsidR="00FC30C3" w:rsidRPr="005F73BE">
        <w:rPr>
          <w:lang w:val="en-GB"/>
        </w:rPr>
        <w:t xml:space="preserve"> to highlight problems, pitfalls and potential</w:t>
      </w:r>
      <w:r w:rsidR="001B2FD3" w:rsidRPr="005F73BE">
        <w:rPr>
          <w:lang w:val="en-GB"/>
        </w:rPr>
        <w:t>s</w:t>
      </w:r>
      <w:r w:rsidR="00FC30C3" w:rsidRPr="005F73BE">
        <w:rPr>
          <w:lang w:val="en-GB"/>
        </w:rPr>
        <w:t>.</w:t>
      </w:r>
    </w:p>
    <w:p w14:paraId="4FB57D25" w14:textId="645FB72D" w:rsidR="00EA194C" w:rsidRPr="005F73BE" w:rsidRDefault="00EA194C">
      <w:pPr>
        <w:rPr>
          <w:lang w:val="en-GB"/>
        </w:rPr>
      </w:pPr>
    </w:p>
    <w:p w14:paraId="0B1CAB99" w14:textId="6DFF318A" w:rsidR="008F5A03" w:rsidRPr="005F73BE" w:rsidRDefault="00EA194C" w:rsidP="00EA194C">
      <w:pPr>
        <w:rPr>
          <w:lang w:val="en-GB"/>
        </w:rPr>
      </w:pPr>
      <w:r w:rsidRPr="005F73BE">
        <w:rPr>
          <w:lang w:val="en-GB"/>
        </w:rPr>
        <w:t xml:space="preserve">Elsewhere </w:t>
      </w:r>
      <w:r w:rsidR="00566A50" w:rsidRPr="005F73BE">
        <w:rPr>
          <w:lang w:val="en-GB"/>
        </w:rPr>
        <w:t>the first author (together with Mats Alvesson)</w:t>
      </w:r>
      <w:r w:rsidRPr="005F73BE">
        <w:rPr>
          <w:lang w:val="en-GB"/>
        </w:rPr>
        <w:t xml:space="preserve"> </w:t>
      </w:r>
      <w:r w:rsidR="00566A50" w:rsidRPr="005F73BE">
        <w:rPr>
          <w:lang w:val="en-GB"/>
        </w:rPr>
        <w:t>has</w:t>
      </w:r>
      <w:r w:rsidRPr="005F73BE">
        <w:rPr>
          <w:lang w:val="en-GB"/>
        </w:rPr>
        <w:t xml:space="preserve"> developed a framework</w:t>
      </w:r>
      <w:r w:rsidR="0011359A">
        <w:rPr>
          <w:lang w:val="en-GB"/>
        </w:rPr>
        <w:t>,</w:t>
      </w:r>
      <w:r w:rsidR="007C5381" w:rsidRPr="005F73BE">
        <w:rPr>
          <w:vertAlign w:val="superscript"/>
          <w:lang w:val="en-GB"/>
        </w:rPr>
        <w:t>1</w:t>
      </w:r>
      <w:r w:rsidRPr="005F73BE">
        <w:rPr>
          <w:lang w:val="en-GB"/>
        </w:rPr>
        <w:t xml:space="preserve"> </w:t>
      </w:r>
      <w:r w:rsidR="00665983" w:rsidRPr="005F73BE">
        <w:rPr>
          <w:lang w:val="en-GB"/>
        </w:rPr>
        <w:t xml:space="preserve">built </w:t>
      </w:r>
      <w:r w:rsidRPr="005F73BE">
        <w:rPr>
          <w:lang w:val="en-GB"/>
        </w:rPr>
        <w:t xml:space="preserve">on an analysis of frequently used versions of discourse analysis, </w:t>
      </w:r>
      <w:r w:rsidR="00665983" w:rsidRPr="005F73BE">
        <w:rPr>
          <w:lang w:val="en-GB"/>
        </w:rPr>
        <w:t>which clarifies</w:t>
      </w:r>
      <w:r w:rsidRPr="005F73BE">
        <w:rPr>
          <w:lang w:val="en-GB"/>
        </w:rPr>
        <w:t xml:space="preserve"> the set of options available in discourse analysis. </w:t>
      </w:r>
      <w:r w:rsidR="008F5A03" w:rsidRPr="005F73BE">
        <w:rPr>
          <w:lang w:val="en-GB"/>
        </w:rPr>
        <w:t xml:space="preserve">The framework is most frequently used within the field of organization and management studies, but has also been applied in anthropology, communication studies, education, nursing studies, political science, social psychology and sociology. The framework is developed </w:t>
      </w:r>
      <w:r w:rsidR="00A62520" w:rsidRPr="005F73BE">
        <w:rPr>
          <w:lang w:val="en-GB"/>
        </w:rPr>
        <w:t>from</w:t>
      </w:r>
      <w:r w:rsidR="008F5A03" w:rsidRPr="005F73BE">
        <w:rPr>
          <w:lang w:val="en-GB"/>
        </w:rPr>
        <w:t xml:space="preserve"> a sociology of knowledge </w:t>
      </w:r>
      <w:r w:rsidR="00A62520" w:rsidRPr="005F73BE">
        <w:rPr>
          <w:lang w:val="en-GB"/>
        </w:rPr>
        <w:t>perspective</w:t>
      </w:r>
      <w:r w:rsidR="00665983" w:rsidRPr="005F73BE">
        <w:rPr>
          <w:lang w:val="en-GB"/>
        </w:rPr>
        <w:t>, and its</w:t>
      </w:r>
      <w:r w:rsidR="00A62520" w:rsidRPr="005F73BE">
        <w:rPr>
          <w:lang w:val="en-GB"/>
        </w:rPr>
        <w:t xml:space="preserve"> main focus is to highlight and organize the assumptions around discourse among those who claim to do discourse analysis.</w:t>
      </w:r>
    </w:p>
    <w:p w14:paraId="38578041" w14:textId="77777777" w:rsidR="008F5A03" w:rsidRPr="005F73BE" w:rsidRDefault="008F5A03" w:rsidP="00EA194C">
      <w:pPr>
        <w:rPr>
          <w:lang w:val="en-GB"/>
        </w:rPr>
      </w:pPr>
    </w:p>
    <w:p w14:paraId="5ABAB005" w14:textId="1FCEE61F" w:rsidR="00EA194C" w:rsidRPr="005F73BE" w:rsidRDefault="00F7408B" w:rsidP="00EA194C">
      <w:pPr>
        <w:rPr>
          <w:lang w:val="en-GB"/>
        </w:rPr>
      </w:pPr>
      <w:r w:rsidRPr="005F73BE">
        <w:rPr>
          <w:lang w:val="en-GB"/>
        </w:rPr>
        <w:t xml:space="preserve">We draw distinctions between what is assumed regarding the relation between discourse and meaning as well as about the formative range of discourse. Allow us to briefly recapitulate the key components of the framework, as expressed in the matrix below (see figure 1). The horizontal dimension </w:t>
      </w:r>
      <w:r w:rsidR="00EA194C" w:rsidRPr="005F73BE">
        <w:rPr>
          <w:lang w:val="en-GB"/>
        </w:rPr>
        <w:t xml:space="preserve">in the matrix expresses the relation between discourse (discursive element) and meaning. To the left, the distinction between meaning and discourse virtually </w:t>
      </w:r>
      <w:r w:rsidR="00BB0036" w:rsidRPr="005F73BE">
        <w:rPr>
          <w:lang w:val="en-GB"/>
        </w:rPr>
        <w:t>collapses, i.e.</w:t>
      </w:r>
      <w:r w:rsidR="00EA194C" w:rsidRPr="005F73BE">
        <w:rPr>
          <w:lang w:val="en-GB"/>
        </w:rPr>
        <w:t xml:space="preserve"> discourse is viewed as the dominant provider of meaning. Discourse determines meaning. To the right in this dimension, the relation between discourse and meaning is viewed as almost non-existent, or at least as transient, temporary, and highly problematic. From this point of view, discourse appear</w:t>
      </w:r>
      <w:r w:rsidR="00BF2138" w:rsidRPr="005F73BE">
        <w:rPr>
          <w:lang w:val="en-GB"/>
        </w:rPr>
        <w:t>s</w:t>
      </w:r>
      <w:r w:rsidR="00EA194C" w:rsidRPr="005F73BE">
        <w:rPr>
          <w:lang w:val="en-GB"/>
        </w:rPr>
        <w:t xml:space="preserve"> as an autonomous element, decoupled from any stable meaning content, with the possible exception of what is momentarily negotiated.</w:t>
      </w:r>
    </w:p>
    <w:p w14:paraId="46FF87DB" w14:textId="77777777" w:rsidR="00525DF1" w:rsidRPr="005F73BE" w:rsidRDefault="00525DF1" w:rsidP="00EA194C">
      <w:pPr>
        <w:rPr>
          <w:lang w:val="en-GB"/>
        </w:rPr>
      </w:pPr>
    </w:p>
    <w:p w14:paraId="2B509B13" w14:textId="2447B4FF" w:rsidR="00E611BA" w:rsidRPr="005F73BE" w:rsidRDefault="00F7408B" w:rsidP="00EA194C">
      <w:pPr>
        <w:rPr>
          <w:lang w:val="en-GB"/>
        </w:rPr>
      </w:pPr>
      <w:r w:rsidRPr="005F73BE">
        <w:rPr>
          <w:lang w:val="en-GB"/>
        </w:rPr>
        <w:t xml:space="preserve">The vertical dimension expresses assumptions on the formative range of discourse. One option, expressed upwards in the matrix, is to assume that discourse first and foremost shapes and is shaped by local and situational context. Here, the specific process and context in which discourse is produced determines how language use is primarily understood. </w:t>
      </w:r>
      <w:r w:rsidR="009606B3">
        <w:rPr>
          <w:lang w:val="en-GB"/>
        </w:rPr>
        <w:t>For example</w:t>
      </w:r>
      <w:r w:rsidR="00D4741D">
        <w:rPr>
          <w:lang w:val="en-GB"/>
        </w:rPr>
        <w:t>,</w:t>
      </w:r>
      <w:r w:rsidR="009606B3">
        <w:rPr>
          <w:lang w:val="en-GB"/>
        </w:rPr>
        <w:t xml:space="preserve"> racism </w:t>
      </w:r>
      <w:r w:rsidR="00D4741D">
        <w:rPr>
          <w:lang w:val="en-GB"/>
        </w:rPr>
        <w:t>is from this perspective something that is constituted and articulated in linguistic interaction in particular context</w:t>
      </w:r>
      <w:r w:rsidR="003F6F7C">
        <w:rPr>
          <w:lang w:val="en-GB"/>
        </w:rPr>
        <w:t>s</w:t>
      </w:r>
      <w:r w:rsidR="00D4741D">
        <w:rPr>
          <w:lang w:val="en-GB"/>
        </w:rPr>
        <w:t xml:space="preserve"> of conversations.</w:t>
      </w:r>
      <w:r w:rsidR="00D4741D">
        <w:rPr>
          <w:vertAlign w:val="superscript"/>
          <w:lang w:val="en-GB"/>
        </w:rPr>
        <w:t>3</w:t>
      </w:r>
      <w:r w:rsidR="00D4741D">
        <w:rPr>
          <w:lang w:val="en-GB"/>
        </w:rPr>
        <w:t xml:space="preserve"> </w:t>
      </w:r>
      <w:r w:rsidRPr="005F73BE">
        <w:rPr>
          <w:lang w:val="en-GB"/>
        </w:rPr>
        <w:t xml:space="preserve">At the other end, discourse will be historically situated, but it is considered a universal language game reflective of a </w:t>
      </w:r>
      <w:r w:rsidRPr="005F73BE">
        <w:rPr>
          <w:lang w:val="en-GB"/>
        </w:rPr>
        <w:lastRenderedPageBreak/>
        <w:t>particular phenomenon. As examples, such discourses may frame expressions of Masculinity or Sexuality in the Western world or express and frame Consumption in affluent society.</w:t>
      </w:r>
    </w:p>
    <w:p w14:paraId="1B988BEF" w14:textId="77777777" w:rsidR="00EA194C" w:rsidRPr="005F73BE" w:rsidRDefault="00EA194C" w:rsidP="00EA194C">
      <w:pPr>
        <w:rPr>
          <w:lang w:val="en-GB"/>
        </w:rPr>
      </w:pPr>
    </w:p>
    <w:p w14:paraId="1D1894E1" w14:textId="651D5AE4" w:rsidR="00EA194C" w:rsidRPr="005F73BE" w:rsidRDefault="00EF42E5" w:rsidP="00EA194C">
      <w:pPr>
        <w:keepNext/>
        <w:ind w:right="-462"/>
        <w:jc w:val="center"/>
        <w:rPr>
          <w:lang w:val="en-GB"/>
        </w:rPr>
      </w:pPr>
      <w:r w:rsidRPr="005F73BE">
        <w:rPr>
          <w:lang w:val="en-GB"/>
        </w:rPr>
        <w:t xml:space="preserve">&lt;insert Fig </w:t>
      </w:r>
      <w:r w:rsidR="00E0150D" w:rsidRPr="005F73BE">
        <w:rPr>
          <w:lang w:val="en-GB"/>
        </w:rPr>
        <w:t>1 about here&gt;</w:t>
      </w:r>
    </w:p>
    <w:p w14:paraId="0A2D277A" w14:textId="77777777" w:rsidR="00E0150D" w:rsidRPr="005F73BE" w:rsidRDefault="00E0150D" w:rsidP="00EA194C">
      <w:pPr>
        <w:keepNext/>
        <w:ind w:right="-462"/>
        <w:jc w:val="center"/>
        <w:rPr>
          <w:lang w:val="en-GB"/>
        </w:rPr>
      </w:pPr>
    </w:p>
    <w:p w14:paraId="42A3DB15" w14:textId="1CE58A2A" w:rsidR="00CC68C3" w:rsidRPr="005F73BE" w:rsidRDefault="00CC68C3" w:rsidP="00CC68C3">
      <w:pPr>
        <w:widowControl w:val="0"/>
        <w:tabs>
          <w:tab w:val="left" w:pos="996"/>
          <w:tab w:val="left" w:pos="2298"/>
          <w:tab w:val="left" w:pos="3606"/>
          <w:tab w:val="left" w:pos="4908"/>
          <w:tab w:val="left" w:pos="6216"/>
          <w:tab w:val="left" w:pos="7518"/>
          <w:tab w:val="left" w:pos="8820"/>
          <w:tab w:val="left" w:pos="10128"/>
        </w:tabs>
        <w:spacing w:after="120"/>
        <w:rPr>
          <w:lang w:val="en-GB"/>
        </w:rPr>
      </w:pPr>
      <w:r w:rsidRPr="005F73BE">
        <w:rPr>
          <w:lang w:val="en-GB"/>
        </w:rPr>
        <w:t xml:space="preserve">Although the model admits for </w:t>
      </w:r>
      <w:r w:rsidR="009606B3">
        <w:rPr>
          <w:lang w:val="en-GB"/>
        </w:rPr>
        <w:t>several</w:t>
      </w:r>
      <w:r w:rsidRPr="005F73BE">
        <w:rPr>
          <w:lang w:val="en-GB"/>
        </w:rPr>
        <w:t xml:space="preserve"> legitimate analytical positions, in actual practice two positions dominate: small d</w:t>
      </w:r>
      <w:r w:rsidR="00C32595">
        <w:rPr>
          <w:lang w:val="en-GB"/>
        </w:rPr>
        <w:t xml:space="preserve"> discourse </w:t>
      </w:r>
      <w:r w:rsidR="00375D4F">
        <w:rPr>
          <w:lang w:val="en-GB"/>
        </w:rPr>
        <w:t xml:space="preserve">(assuming that meaning is transient and the formative range is local and situational) </w:t>
      </w:r>
      <w:r w:rsidR="00C32595">
        <w:rPr>
          <w:lang w:val="en-GB"/>
        </w:rPr>
        <w:t>and big D discourse</w:t>
      </w:r>
      <w:r w:rsidR="00375D4F">
        <w:rPr>
          <w:lang w:val="en-GB"/>
        </w:rPr>
        <w:t xml:space="preserve"> (assuming that meaning is persistent and the formative range is universal)</w:t>
      </w:r>
      <w:r w:rsidR="007C5381" w:rsidRPr="005F73BE">
        <w:rPr>
          <w:vertAlign w:val="superscript"/>
          <w:lang w:val="en-GB"/>
        </w:rPr>
        <w:t>1</w:t>
      </w:r>
      <w:r w:rsidR="00DD1B08" w:rsidRPr="00C32595">
        <w:rPr>
          <w:vertAlign w:val="superscript"/>
          <w:lang w:val="en-GB"/>
        </w:rPr>
        <w:t>,</w:t>
      </w:r>
      <w:r w:rsidR="007C5381" w:rsidRPr="005F73BE">
        <w:rPr>
          <w:vertAlign w:val="superscript"/>
          <w:lang w:val="en-GB"/>
        </w:rPr>
        <w:t>14</w:t>
      </w:r>
      <w:r w:rsidRPr="005F73BE">
        <w:rPr>
          <w:lang w:val="en-GB"/>
        </w:rPr>
        <w:t xml:space="preserve">. Small d </w:t>
      </w:r>
      <w:r w:rsidR="006244E1" w:rsidRPr="005F73BE">
        <w:rPr>
          <w:lang w:val="en-GB"/>
        </w:rPr>
        <w:t>discourse</w:t>
      </w:r>
      <w:r w:rsidRPr="005F73BE">
        <w:rPr>
          <w:lang w:val="en-GB"/>
        </w:rPr>
        <w:t xml:space="preserve"> analysis – we are here drawing on the discursive psychology approach developed by Jonath</w:t>
      </w:r>
      <w:r w:rsidR="00301566">
        <w:rPr>
          <w:lang w:val="en-GB"/>
        </w:rPr>
        <w:t>an Potter and Margaret Wetherel</w:t>
      </w:r>
      <w:r w:rsidR="00301566">
        <w:rPr>
          <w:vertAlign w:val="superscript"/>
          <w:lang w:val="en-GB"/>
        </w:rPr>
        <w:t>3</w:t>
      </w:r>
      <w:r w:rsidR="00DD1B08" w:rsidRPr="005F73BE">
        <w:rPr>
          <w:vertAlign w:val="superscript"/>
          <w:lang w:val="en-GB"/>
        </w:rPr>
        <w:t>,</w:t>
      </w:r>
      <w:r w:rsidR="00301566">
        <w:rPr>
          <w:vertAlign w:val="superscript"/>
          <w:lang w:val="en-GB"/>
        </w:rPr>
        <w:t>4</w:t>
      </w:r>
      <w:r w:rsidRPr="005F73BE">
        <w:rPr>
          <w:lang w:val="en-GB"/>
        </w:rPr>
        <w:t xml:space="preserve"> – </w:t>
      </w:r>
      <w:r w:rsidR="00381BC6" w:rsidRPr="005F73BE">
        <w:rPr>
          <w:lang w:val="en-GB"/>
        </w:rPr>
        <w:t>assumes that linguistic interactions between people create and construct the social world</w:t>
      </w:r>
      <w:r w:rsidRPr="005F73BE">
        <w:rPr>
          <w:lang w:val="en-GB"/>
        </w:rPr>
        <w:t xml:space="preserve">. </w:t>
      </w:r>
      <w:r w:rsidR="00301566">
        <w:rPr>
          <w:lang w:val="en-GB"/>
        </w:rPr>
        <w:t>Potter &amp; Wetherell</w:t>
      </w:r>
      <w:r w:rsidR="00301566">
        <w:rPr>
          <w:vertAlign w:val="superscript"/>
          <w:lang w:val="en-GB"/>
        </w:rPr>
        <w:t>3</w:t>
      </w:r>
      <w:r w:rsidRPr="005F73BE">
        <w:rPr>
          <w:lang w:val="en-GB"/>
        </w:rPr>
        <w:t xml:space="preserve"> </w:t>
      </w:r>
      <w:r w:rsidR="00381BC6" w:rsidRPr="005F73BE">
        <w:rPr>
          <w:lang w:val="en-GB"/>
        </w:rPr>
        <w:t xml:space="preserve">claim this to be a three-stage process through which people actively: (1) use previously existing linguistic resources as the basis from which to create accounts; (2) engage in continuous selection and rejection of the infinite number of words and meaning constructions available; and (3) deal with the consequences of the chosen construction. The mode of expression influences ideas and generates responses. As a result, discourse analysis means studying linguistic expressions within the context of the micro situations in which they were expressed. In other words, the context is the conversations themselves. </w:t>
      </w:r>
      <w:r w:rsidRPr="005F73BE">
        <w:rPr>
          <w:lang w:val="en-GB"/>
        </w:rPr>
        <w:t xml:space="preserve"> </w:t>
      </w:r>
    </w:p>
    <w:p w14:paraId="23187D03" w14:textId="77777777" w:rsidR="00CC68C3" w:rsidRPr="005F73BE" w:rsidRDefault="00CC68C3" w:rsidP="00CC68C3">
      <w:pPr>
        <w:widowControl w:val="0"/>
        <w:tabs>
          <w:tab w:val="left" w:pos="996"/>
          <w:tab w:val="left" w:pos="2298"/>
          <w:tab w:val="left" w:pos="3606"/>
          <w:tab w:val="left" w:pos="4908"/>
          <w:tab w:val="left" w:pos="6216"/>
          <w:tab w:val="left" w:pos="7518"/>
          <w:tab w:val="left" w:pos="8820"/>
          <w:tab w:val="left" w:pos="10128"/>
        </w:tabs>
        <w:spacing w:after="120"/>
        <w:rPr>
          <w:lang w:val="en-GB"/>
        </w:rPr>
      </w:pPr>
    </w:p>
    <w:p w14:paraId="2CEEDC72" w14:textId="4AA2DAFF" w:rsidR="00D64210" w:rsidRPr="005F73BE" w:rsidRDefault="00381BC6" w:rsidP="00CC68C3">
      <w:pPr>
        <w:spacing w:after="120"/>
        <w:rPr>
          <w:lang w:val="en-GB"/>
        </w:rPr>
      </w:pPr>
      <w:r w:rsidRPr="005F73BE">
        <w:rPr>
          <w:lang w:val="en-GB"/>
        </w:rPr>
        <w:t>Foucault has had a strong influence on Big D discourse analysis by suggesting that discourses are expressions of power/knowledge-relations ‘that systematically form the object of which they speak’ because they are bodies of knowledge in their own right</w:t>
      </w:r>
      <w:r w:rsidR="00CC68C3" w:rsidRPr="005F73BE">
        <w:rPr>
          <w:lang w:val="en-GB"/>
        </w:rPr>
        <w:t>.</w:t>
      </w:r>
      <w:r w:rsidR="004E1639" w:rsidRPr="005F73BE">
        <w:rPr>
          <w:vertAlign w:val="superscript"/>
          <w:lang w:val="en-GB"/>
        </w:rPr>
        <w:t>16</w:t>
      </w:r>
      <w:r w:rsidR="00CC68C3" w:rsidRPr="005F73BE">
        <w:rPr>
          <w:lang w:val="en-GB"/>
        </w:rPr>
        <w:t xml:space="preserve"> </w:t>
      </w:r>
      <w:r w:rsidRPr="005F73BE">
        <w:rPr>
          <w:lang w:val="en-GB"/>
        </w:rPr>
        <w:t xml:space="preserve">Foucauldian discourse is more about historically developed systems of ideas than it is about everyday linguistic interaction. That is, </w:t>
      </w:r>
      <w:r w:rsidR="00375D4F">
        <w:rPr>
          <w:lang w:val="en-GB"/>
        </w:rPr>
        <w:t xml:space="preserve">it </w:t>
      </w:r>
      <w:r w:rsidRPr="005F73BE">
        <w:rPr>
          <w:lang w:val="en-GB"/>
        </w:rPr>
        <w:t xml:space="preserve">is about the ‘regimes of truth’ that form institutionalized and authoritative ways of addressing a topic. In this sense, discourse shapes the ways in which we talk about subject matter as well as creating an experiential understanding by informing us of what is “real”, “normal”, and “natural.” Therefore, the specific discourses available in any given era create and maintain both subjective and objective social reality in </w:t>
      </w:r>
      <w:r w:rsidR="00CC68C3" w:rsidRPr="005F73BE">
        <w:rPr>
          <w:lang w:val="en-GB"/>
        </w:rPr>
        <w:t>Berger &amp; Luckman</w:t>
      </w:r>
      <w:r w:rsidR="00923565" w:rsidRPr="005F73BE">
        <w:rPr>
          <w:lang w:val="en-GB"/>
        </w:rPr>
        <w:t>n’</w:t>
      </w:r>
      <w:r w:rsidR="005F2FAD">
        <w:rPr>
          <w:lang w:val="en-GB"/>
        </w:rPr>
        <w:t>s</w:t>
      </w:r>
      <w:r w:rsidR="004E1639" w:rsidRPr="005F73BE">
        <w:rPr>
          <w:vertAlign w:val="superscript"/>
          <w:lang w:val="en-GB"/>
        </w:rPr>
        <w:t>17</w:t>
      </w:r>
      <w:r w:rsidR="00DA080D">
        <w:rPr>
          <w:vertAlign w:val="superscript"/>
          <w:lang w:val="en-GB"/>
        </w:rPr>
        <w:t xml:space="preserve"> </w:t>
      </w:r>
      <w:r w:rsidR="00CC68C3" w:rsidRPr="005F73BE">
        <w:rPr>
          <w:lang w:val="en-GB"/>
        </w:rPr>
        <w:t>sense.</w:t>
      </w:r>
    </w:p>
    <w:p w14:paraId="6267297B" w14:textId="28FD56E0" w:rsidR="002F47C7" w:rsidRPr="005F73BE" w:rsidRDefault="00381BC6" w:rsidP="006244E1">
      <w:pPr>
        <w:spacing w:after="120"/>
        <w:rPr>
          <w:lang w:val="en-GB"/>
        </w:rPr>
      </w:pPr>
      <w:r w:rsidRPr="005F73BE">
        <w:rPr>
          <w:lang w:val="en-GB"/>
        </w:rPr>
        <w:t>While legitimate analytical positions, both small d discourse and big D discourse are problematic. Small d discourse seems to eliminate the speaker from the spoken. The intentions or cognition underlying what is said do not explain utterances so much as the effect of the utterances</w:t>
      </w:r>
      <w:r w:rsidR="00D64210" w:rsidRPr="005F73BE">
        <w:rPr>
          <w:lang w:val="en-GB"/>
        </w:rPr>
        <w:t>.</w:t>
      </w:r>
      <w:r w:rsidR="00301566">
        <w:rPr>
          <w:vertAlign w:val="superscript"/>
          <w:lang w:val="en-GB"/>
        </w:rPr>
        <w:t>14</w:t>
      </w:r>
      <w:r w:rsidR="004E1639" w:rsidRPr="005F73BE">
        <w:rPr>
          <w:vertAlign w:val="superscript"/>
          <w:lang w:val="en-GB"/>
        </w:rPr>
        <w:t xml:space="preserve"> </w:t>
      </w:r>
      <w:r w:rsidRPr="005F73BE">
        <w:rPr>
          <w:lang w:val="en-GB"/>
        </w:rPr>
        <w:t>Big D discourse, in contrast, stakes a claim to constituting reality both in terms of ideation on a practical-</w:t>
      </w:r>
      <w:r w:rsidR="00D06BB9" w:rsidRPr="005F73BE">
        <w:rPr>
          <w:lang w:val="en-GB"/>
        </w:rPr>
        <w:t>behavioural</w:t>
      </w:r>
      <w:r w:rsidRPr="005F73BE">
        <w:rPr>
          <w:lang w:val="en-GB"/>
        </w:rPr>
        <w:t xml:space="preserve"> dimension without clearly articulating how that actually happens. In other words, big D discourse analysis does not indicate how discourses lead people to act in certain ways.</w:t>
      </w:r>
      <w:r w:rsidR="00301566">
        <w:rPr>
          <w:vertAlign w:val="superscript"/>
          <w:lang w:val="en-GB"/>
        </w:rPr>
        <w:t>14</w:t>
      </w:r>
      <w:r w:rsidR="00D64210" w:rsidRPr="005F73BE">
        <w:rPr>
          <w:lang w:val="en-GB"/>
        </w:rPr>
        <w:t xml:space="preserve"> </w:t>
      </w:r>
    </w:p>
    <w:p w14:paraId="50073B51" w14:textId="77777777" w:rsidR="002F47C7" w:rsidRPr="005F73BE" w:rsidRDefault="002F47C7" w:rsidP="002F47C7">
      <w:pPr>
        <w:spacing w:after="120"/>
        <w:ind w:firstLine="567"/>
        <w:rPr>
          <w:lang w:val="en-GB"/>
        </w:rPr>
      </w:pPr>
    </w:p>
    <w:p w14:paraId="5373E173" w14:textId="7E7A53F9" w:rsidR="001A4152" w:rsidRPr="005F73BE" w:rsidRDefault="001A4152" w:rsidP="00FE4AE1">
      <w:pPr>
        <w:outlineLvl w:val="0"/>
        <w:rPr>
          <w:caps/>
          <w:lang w:val="en-GB"/>
        </w:rPr>
      </w:pPr>
      <w:r w:rsidRPr="005F73BE">
        <w:rPr>
          <w:caps/>
          <w:lang w:val="en-GB"/>
        </w:rPr>
        <w:t>discourse analysis in medical education studies</w:t>
      </w:r>
    </w:p>
    <w:p w14:paraId="1F9CD371" w14:textId="77777777" w:rsidR="001A4152" w:rsidRPr="005F73BE" w:rsidRDefault="001A4152" w:rsidP="001A4152">
      <w:pPr>
        <w:rPr>
          <w:lang w:val="en-GB"/>
        </w:rPr>
      </w:pPr>
    </w:p>
    <w:p w14:paraId="54AA041A" w14:textId="6AC8B35D" w:rsidR="00067618" w:rsidRPr="005F73BE" w:rsidRDefault="001A4152" w:rsidP="001A4152">
      <w:pPr>
        <w:rPr>
          <w:lang w:val="en-GB"/>
        </w:rPr>
      </w:pPr>
      <w:r w:rsidRPr="005F73BE">
        <w:rPr>
          <w:lang w:val="en-GB"/>
        </w:rPr>
        <w:t>In the past few years, Medical Education has published discourse analysis studies and introductory papers representing a variety of approaches, from close-range explorations of locally situated discourses as they appear in local texts, interviews, audi</w:t>
      </w:r>
      <w:r w:rsidR="00CB15C5">
        <w:rPr>
          <w:lang w:val="en-GB"/>
        </w:rPr>
        <w:t>o diaries or observational data</w:t>
      </w:r>
      <w:r w:rsidR="00155FAC" w:rsidRPr="005F73BE">
        <w:rPr>
          <w:vertAlign w:val="superscript"/>
          <w:lang w:val="en-GB"/>
        </w:rPr>
        <w:t>13,</w:t>
      </w:r>
      <w:r w:rsidR="004E1639" w:rsidRPr="005F73BE">
        <w:rPr>
          <w:vertAlign w:val="superscript"/>
          <w:lang w:val="en-GB"/>
        </w:rPr>
        <w:t>18</w:t>
      </w:r>
      <w:r w:rsidR="00155FAC" w:rsidRPr="005F73BE">
        <w:rPr>
          <w:vertAlign w:val="superscript"/>
          <w:lang w:val="en-GB"/>
        </w:rPr>
        <w:t>-22</w:t>
      </w:r>
      <w:r w:rsidRPr="005F73BE">
        <w:rPr>
          <w:lang w:val="en-GB"/>
        </w:rPr>
        <w:t xml:space="preserve"> to investigations of more overarching, long- or mid-range Discourses as they manifest themselves in widespread authoritative texts and</w:t>
      </w:r>
      <w:r w:rsidR="00D77D25">
        <w:rPr>
          <w:lang w:val="en-GB"/>
        </w:rPr>
        <w:t xml:space="preserve"> in local texts and interviews</w:t>
      </w:r>
      <w:r w:rsidR="00155FAC" w:rsidRPr="005F73BE">
        <w:rPr>
          <w:lang w:val="en-GB"/>
        </w:rPr>
        <w:t>.</w:t>
      </w:r>
      <w:r w:rsidR="004E1639" w:rsidRPr="005F73BE">
        <w:rPr>
          <w:vertAlign w:val="superscript"/>
          <w:lang w:val="en-GB"/>
        </w:rPr>
        <w:t>11</w:t>
      </w:r>
      <w:r w:rsidR="00155FAC" w:rsidRPr="005F73BE">
        <w:rPr>
          <w:vertAlign w:val="superscript"/>
          <w:lang w:val="en-GB"/>
        </w:rPr>
        <w:t>,12</w:t>
      </w:r>
      <w:r w:rsidR="00F665D9">
        <w:rPr>
          <w:vertAlign w:val="superscript"/>
          <w:lang w:val="en-GB"/>
        </w:rPr>
        <w:t>,</w:t>
      </w:r>
      <w:r w:rsidR="00155FAC" w:rsidRPr="005F73BE">
        <w:rPr>
          <w:vertAlign w:val="superscript"/>
          <w:lang w:val="en-GB"/>
        </w:rPr>
        <w:t>23-32</w:t>
      </w:r>
      <w:r w:rsidRPr="005F73BE">
        <w:rPr>
          <w:lang w:val="en-GB"/>
        </w:rPr>
        <w:t xml:space="preserve"> </w:t>
      </w:r>
    </w:p>
    <w:p w14:paraId="67BBC065" w14:textId="77777777" w:rsidR="00067618" w:rsidRPr="005F73BE" w:rsidRDefault="00067618" w:rsidP="001A4152">
      <w:pPr>
        <w:rPr>
          <w:lang w:val="en-GB"/>
        </w:rPr>
      </w:pPr>
    </w:p>
    <w:p w14:paraId="665D1DB9" w14:textId="35176D65" w:rsidR="001A4152" w:rsidRDefault="001A4152" w:rsidP="001A4152">
      <w:pPr>
        <w:rPr>
          <w:lang w:val="en-GB"/>
        </w:rPr>
      </w:pPr>
      <w:r w:rsidRPr="005F73BE">
        <w:rPr>
          <w:lang w:val="en-GB"/>
        </w:rPr>
        <w:t xml:space="preserve">Most studies can be located </w:t>
      </w:r>
      <w:r w:rsidR="005D42AE">
        <w:rPr>
          <w:lang w:val="en-GB"/>
        </w:rPr>
        <w:t>in</w:t>
      </w:r>
      <w:r w:rsidRPr="005F73BE">
        <w:rPr>
          <w:lang w:val="en-GB"/>
        </w:rPr>
        <w:t xml:space="preserve"> the left hand side of our matrix (see figure </w:t>
      </w:r>
      <w:r w:rsidR="00C76D90" w:rsidRPr="005F73BE">
        <w:rPr>
          <w:lang w:val="en-GB"/>
        </w:rPr>
        <w:t>1</w:t>
      </w:r>
      <w:r w:rsidRPr="005F73BE">
        <w:rPr>
          <w:lang w:val="en-GB"/>
        </w:rPr>
        <w:t>), in the sense that they treat discourse as closely linked to and formative of meaning and meaning-related phenome</w:t>
      </w:r>
      <w:r w:rsidR="00AB005A">
        <w:rPr>
          <w:lang w:val="en-GB"/>
        </w:rPr>
        <w:t xml:space="preserve">na. </w:t>
      </w:r>
      <w:r w:rsidR="008F1B3C">
        <w:rPr>
          <w:lang w:val="en-GB"/>
        </w:rPr>
        <w:t xml:space="preserve">For instance, </w:t>
      </w:r>
      <w:r w:rsidR="00C75387">
        <w:rPr>
          <w:lang w:val="en-GB"/>
        </w:rPr>
        <w:t xml:space="preserve">Hodges et al.’s introductory article to Foucauldian approaches </w:t>
      </w:r>
      <w:r w:rsidR="003003B4">
        <w:rPr>
          <w:lang w:val="en-GB"/>
        </w:rPr>
        <w:t>can be</w:t>
      </w:r>
      <w:r w:rsidR="00C75387">
        <w:rPr>
          <w:lang w:val="en-GB"/>
        </w:rPr>
        <w:t xml:space="preserve"> placed in the bottom left </w:t>
      </w:r>
      <w:r w:rsidR="004C13AC">
        <w:rPr>
          <w:lang w:val="en-GB"/>
        </w:rPr>
        <w:t xml:space="preserve">quadrant </w:t>
      </w:r>
      <w:r w:rsidR="00C75387">
        <w:rPr>
          <w:lang w:val="en-GB"/>
        </w:rPr>
        <w:t>(long-range/</w:t>
      </w:r>
      <w:r w:rsidR="00C07C01">
        <w:rPr>
          <w:lang w:val="en-GB"/>
        </w:rPr>
        <w:t>muscular</w:t>
      </w:r>
      <w:r w:rsidR="00C75387">
        <w:rPr>
          <w:lang w:val="en-GB"/>
        </w:rPr>
        <w:t>).</w:t>
      </w:r>
      <w:r w:rsidR="00AD4258" w:rsidRPr="005F73BE">
        <w:rPr>
          <w:vertAlign w:val="superscript"/>
          <w:lang w:val="en-GB"/>
        </w:rPr>
        <w:t>12</w:t>
      </w:r>
      <w:r w:rsidR="00C75387">
        <w:rPr>
          <w:lang w:val="en-GB"/>
        </w:rPr>
        <w:t xml:space="preserve"> </w:t>
      </w:r>
      <w:r w:rsidR="009D2E93">
        <w:rPr>
          <w:lang w:val="en-GB"/>
        </w:rPr>
        <w:t xml:space="preserve">It renders </w:t>
      </w:r>
      <w:r w:rsidRPr="005F73BE">
        <w:rPr>
          <w:lang w:val="en-GB"/>
        </w:rPr>
        <w:t>a powerful version of Discourses, which are said to systematically form the objects of which they speak and to make it possible to say certain things and not others, to act in certain ways and to have certain roles</w:t>
      </w:r>
      <w:r w:rsidR="00CB15C5">
        <w:rPr>
          <w:lang w:val="en-GB"/>
        </w:rPr>
        <w:t>.</w:t>
      </w:r>
      <w:r w:rsidRPr="005F73BE">
        <w:rPr>
          <w:lang w:val="en-GB"/>
        </w:rPr>
        <w:t xml:space="preserve"> </w:t>
      </w:r>
      <w:r w:rsidR="009D2E93">
        <w:rPr>
          <w:lang w:val="en-GB"/>
        </w:rPr>
        <w:t>It</w:t>
      </w:r>
      <w:r w:rsidRPr="005F73BE">
        <w:rPr>
          <w:lang w:val="en-GB"/>
        </w:rPr>
        <w:t xml:space="preserve"> presents four previous studies that identified discourses in mainly textual materials</w:t>
      </w:r>
      <w:r w:rsidR="00CB15C5">
        <w:rPr>
          <w:lang w:val="en-GB"/>
        </w:rPr>
        <w:t>,</w:t>
      </w:r>
      <w:r w:rsidR="003B6132" w:rsidRPr="003B6132">
        <w:rPr>
          <w:vertAlign w:val="superscript"/>
          <w:lang w:val="en-GB"/>
        </w:rPr>
        <w:t>26,</w:t>
      </w:r>
      <w:r w:rsidR="00155FAC" w:rsidRPr="005F73BE">
        <w:rPr>
          <w:vertAlign w:val="superscript"/>
          <w:lang w:val="en-GB"/>
        </w:rPr>
        <w:t>30,</w:t>
      </w:r>
      <w:r w:rsidR="007D15C8" w:rsidRPr="005F73BE">
        <w:rPr>
          <w:vertAlign w:val="superscript"/>
          <w:lang w:val="en-GB"/>
        </w:rPr>
        <w:t>33</w:t>
      </w:r>
      <w:r w:rsidR="00155FAC" w:rsidRPr="005F73BE">
        <w:rPr>
          <w:vertAlign w:val="superscript"/>
          <w:lang w:val="en-GB"/>
        </w:rPr>
        <w:t>,34</w:t>
      </w:r>
      <w:r w:rsidRPr="005F73BE">
        <w:rPr>
          <w:lang w:val="en-GB"/>
        </w:rPr>
        <w:t xml:space="preserve"> and these discourses are described as important shapers of how people think </w:t>
      </w:r>
      <w:r w:rsidR="00155FAC" w:rsidRPr="005F73BE">
        <w:rPr>
          <w:lang w:val="en-GB"/>
        </w:rPr>
        <w:t>and</w:t>
      </w:r>
      <w:r w:rsidR="00B44B1F">
        <w:rPr>
          <w:lang w:val="en-GB"/>
        </w:rPr>
        <w:t xml:space="preserve"> act.</w:t>
      </w:r>
      <w:r w:rsidR="00C75387">
        <w:rPr>
          <w:lang w:val="en-GB"/>
        </w:rPr>
        <w:t xml:space="preserve"> </w:t>
      </w:r>
      <w:r w:rsidR="00AD4258">
        <w:rPr>
          <w:lang w:val="en-GB"/>
        </w:rPr>
        <w:t xml:space="preserve">An example of the top </w:t>
      </w:r>
      <w:r w:rsidR="00C75387">
        <w:rPr>
          <w:lang w:val="en-GB"/>
        </w:rPr>
        <w:t>left quadrant (cl</w:t>
      </w:r>
      <w:r w:rsidR="003003B4">
        <w:rPr>
          <w:lang w:val="en-GB"/>
        </w:rPr>
        <w:t>ose-range/</w:t>
      </w:r>
      <w:r w:rsidR="00DD76D1">
        <w:rPr>
          <w:lang w:val="en-GB"/>
        </w:rPr>
        <w:t>muscular</w:t>
      </w:r>
      <w:r w:rsidR="00B13685">
        <w:rPr>
          <w:lang w:val="en-GB"/>
        </w:rPr>
        <w:t>) is Roberts and Sara</w:t>
      </w:r>
      <w:r w:rsidR="003003B4">
        <w:rPr>
          <w:lang w:val="en-GB"/>
        </w:rPr>
        <w:t xml:space="preserve">ngi’s study of medical encounters, </w:t>
      </w:r>
      <w:r w:rsidR="006B401B">
        <w:rPr>
          <w:lang w:val="en-GB"/>
        </w:rPr>
        <w:t>which</w:t>
      </w:r>
      <w:r w:rsidR="003003B4">
        <w:rPr>
          <w:lang w:val="en-GB"/>
        </w:rPr>
        <w:t xml:space="preserve"> </w:t>
      </w:r>
      <w:r w:rsidR="00B13685">
        <w:rPr>
          <w:lang w:val="en-GB"/>
        </w:rPr>
        <w:t xml:space="preserve">assumes that language is constitutive of </w:t>
      </w:r>
      <w:r w:rsidR="006B401B">
        <w:rPr>
          <w:lang w:val="en-GB"/>
        </w:rPr>
        <w:t xml:space="preserve">everyday </w:t>
      </w:r>
      <w:r w:rsidR="00EE0DDD">
        <w:rPr>
          <w:lang w:val="en-GB"/>
        </w:rPr>
        <w:t>activities</w:t>
      </w:r>
      <w:r w:rsidR="006B401B">
        <w:rPr>
          <w:lang w:val="en-GB"/>
        </w:rPr>
        <w:t xml:space="preserve"> and investigates how meaning is negotiated in face-to-face interaction.</w:t>
      </w:r>
      <w:r w:rsidR="00D34E95" w:rsidRPr="00D34E95">
        <w:rPr>
          <w:vertAlign w:val="superscript"/>
          <w:lang w:val="en-GB"/>
        </w:rPr>
        <w:t>13</w:t>
      </w:r>
      <w:r w:rsidR="00D34E95">
        <w:rPr>
          <w:lang w:val="en-GB"/>
        </w:rPr>
        <w:t xml:space="preserve"> </w:t>
      </w:r>
    </w:p>
    <w:p w14:paraId="0792EA80" w14:textId="77777777" w:rsidR="009D2E93" w:rsidRDefault="009D2E93" w:rsidP="001A4152">
      <w:pPr>
        <w:rPr>
          <w:lang w:val="en-GB"/>
        </w:rPr>
      </w:pPr>
    </w:p>
    <w:p w14:paraId="564F1CC4" w14:textId="6EB80690" w:rsidR="001A4152" w:rsidRDefault="00B77F61" w:rsidP="001A4152">
      <w:pPr>
        <w:rPr>
          <w:lang w:val="en-GB"/>
        </w:rPr>
      </w:pPr>
      <w:r>
        <w:rPr>
          <w:lang w:val="en-GB"/>
        </w:rPr>
        <w:t xml:space="preserve">A few studies can be located </w:t>
      </w:r>
      <w:r w:rsidR="005D42AE">
        <w:rPr>
          <w:lang w:val="en-GB"/>
        </w:rPr>
        <w:t>towards</w:t>
      </w:r>
      <w:r>
        <w:rPr>
          <w:lang w:val="en-GB"/>
        </w:rPr>
        <w:t xml:space="preserve"> the right hand side of the matrix, given that </w:t>
      </w:r>
      <w:r w:rsidR="00B72EBE">
        <w:rPr>
          <w:lang w:val="en-GB"/>
        </w:rPr>
        <w:t>they do not assume any particular</w:t>
      </w:r>
      <w:r w:rsidR="0071281B">
        <w:rPr>
          <w:lang w:val="en-GB"/>
        </w:rPr>
        <w:t xml:space="preserve"> </w:t>
      </w:r>
      <w:r w:rsidR="007D45C9">
        <w:rPr>
          <w:lang w:val="en-GB"/>
        </w:rPr>
        <w:t xml:space="preserve">relation between discourse and meaning. </w:t>
      </w:r>
      <w:r w:rsidR="00725682">
        <w:rPr>
          <w:lang w:val="en-GB"/>
        </w:rPr>
        <w:t>For instance, in the bottom right</w:t>
      </w:r>
      <w:r w:rsidR="00C97CD6">
        <w:rPr>
          <w:lang w:val="en-GB"/>
        </w:rPr>
        <w:t xml:space="preserve"> quadrant</w:t>
      </w:r>
      <w:r w:rsidR="00725682">
        <w:rPr>
          <w:lang w:val="en-GB"/>
        </w:rPr>
        <w:t xml:space="preserve"> (long-range/</w:t>
      </w:r>
      <w:r w:rsidR="00D56AEF">
        <w:rPr>
          <w:lang w:val="en-GB"/>
        </w:rPr>
        <w:t>transient</w:t>
      </w:r>
      <w:r w:rsidR="00725682">
        <w:rPr>
          <w:lang w:val="en-GB"/>
        </w:rPr>
        <w:t xml:space="preserve">) we find </w:t>
      </w:r>
      <w:r w:rsidR="004767F1">
        <w:rPr>
          <w:lang w:val="en-GB"/>
        </w:rPr>
        <w:t>Park et al.’s performative narrative analysis of a policy document</w:t>
      </w:r>
      <w:r w:rsidR="00C94964">
        <w:rPr>
          <w:lang w:val="en-GB"/>
        </w:rPr>
        <w:t>,</w:t>
      </w:r>
      <w:r w:rsidR="0083747A">
        <w:rPr>
          <w:lang w:val="en-GB"/>
        </w:rPr>
        <w:t xml:space="preserve"> </w:t>
      </w:r>
      <w:r w:rsidR="00C94964">
        <w:rPr>
          <w:lang w:val="en-GB"/>
        </w:rPr>
        <w:t>which</w:t>
      </w:r>
      <w:r w:rsidR="0083747A">
        <w:rPr>
          <w:lang w:val="en-GB"/>
        </w:rPr>
        <w:t xml:space="preserve"> shows how the authors</w:t>
      </w:r>
      <w:r w:rsidR="00E25101">
        <w:rPr>
          <w:lang w:val="en-GB"/>
        </w:rPr>
        <w:t xml:space="preserve"> of the document</w:t>
      </w:r>
      <w:r w:rsidR="0083747A">
        <w:rPr>
          <w:lang w:val="en-GB"/>
        </w:rPr>
        <w:t xml:space="preserve"> draw on different global discourses </w:t>
      </w:r>
      <w:r w:rsidR="00BC05A5">
        <w:rPr>
          <w:lang w:val="en-GB"/>
        </w:rPr>
        <w:t>to support their proposals for change</w:t>
      </w:r>
      <w:r w:rsidR="00C94964">
        <w:rPr>
          <w:lang w:val="en-GB"/>
        </w:rPr>
        <w:t>.</w:t>
      </w:r>
      <w:r w:rsidR="00C94964" w:rsidRPr="0039567C">
        <w:rPr>
          <w:vertAlign w:val="superscript"/>
          <w:lang w:val="en-GB"/>
        </w:rPr>
        <w:t>28</w:t>
      </w:r>
      <w:r w:rsidR="00980310">
        <w:rPr>
          <w:lang w:val="en-GB"/>
        </w:rPr>
        <w:t xml:space="preserve"> </w:t>
      </w:r>
      <w:r w:rsidR="00C94964">
        <w:rPr>
          <w:lang w:val="en-GB"/>
        </w:rPr>
        <w:t xml:space="preserve">None of the medical education studies we have considered </w:t>
      </w:r>
      <w:r w:rsidR="005D2B12">
        <w:rPr>
          <w:lang w:val="en-GB"/>
        </w:rPr>
        <w:t>can be</w:t>
      </w:r>
      <w:r w:rsidR="00C94964">
        <w:rPr>
          <w:lang w:val="en-GB"/>
        </w:rPr>
        <w:t xml:space="preserve"> placed in the top right </w:t>
      </w:r>
      <w:r w:rsidR="0053454B">
        <w:rPr>
          <w:lang w:val="en-GB"/>
        </w:rPr>
        <w:t>qua</w:t>
      </w:r>
      <w:r w:rsidR="00B20BF0">
        <w:rPr>
          <w:lang w:val="en-GB"/>
        </w:rPr>
        <w:t>drant</w:t>
      </w:r>
      <w:r w:rsidR="00C94964">
        <w:rPr>
          <w:lang w:val="en-GB"/>
        </w:rPr>
        <w:t xml:space="preserve"> (close-range/</w:t>
      </w:r>
      <w:r w:rsidR="00D56AEF">
        <w:rPr>
          <w:lang w:val="en-GB"/>
        </w:rPr>
        <w:t>transient</w:t>
      </w:r>
      <w:r w:rsidR="005D2B12">
        <w:rPr>
          <w:lang w:val="en-GB"/>
        </w:rPr>
        <w:t xml:space="preserve">), which </w:t>
      </w:r>
      <w:r w:rsidR="00302DAB">
        <w:rPr>
          <w:lang w:val="en-GB"/>
        </w:rPr>
        <w:t>indicates how</w:t>
      </w:r>
      <w:r w:rsidR="005D2B12">
        <w:rPr>
          <w:lang w:val="en-GB"/>
        </w:rPr>
        <w:t xml:space="preserve"> </w:t>
      </w:r>
      <w:r w:rsidR="009A4DA4">
        <w:rPr>
          <w:lang w:val="en-GB"/>
        </w:rPr>
        <w:t xml:space="preserve">dominant the </w:t>
      </w:r>
      <w:r w:rsidR="00302DAB">
        <w:rPr>
          <w:lang w:val="en-GB"/>
        </w:rPr>
        <w:t xml:space="preserve">assumption </w:t>
      </w:r>
      <w:r w:rsidR="00F7759C">
        <w:rPr>
          <w:lang w:val="en-GB"/>
        </w:rPr>
        <w:t xml:space="preserve">is </w:t>
      </w:r>
      <w:r w:rsidR="00302DAB">
        <w:rPr>
          <w:lang w:val="en-GB"/>
        </w:rPr>
        <w:t xml:space="preserve">that </w:t>
      </w:r>
      <w:r w:rsidR="00F16A3D">
        <w:rPr>
          <w:lang w:val="en-GB"/>
        </w:rPr>
        <w:t>discourse and meaning are closely related.</w:t>
      </w:r>
    </w:p>
    <w:p w14:paraId="2F0D55E5" w14:textId="77777777" w:rsidR="00302DAB" w:rsidRPr="005F73BE" w:rsidRDefault="00302DAB" w:rsidP="001A4152">
      <w:pPr>
        <w:rPr>
          <w:lang w:val="en-GB"/>
        </w:rPr>
      </w:pPr>
    </w:p>
    <w:p w14:paraId="1D4A3AEB" w14:textId="3AD58C5D" w:rsidR="001A4152" w:rsidRPr="005F73BE" w:rsidRDefault="00280CC8" w:rsidP="006244E1">
      <w:pPr>
        <w:rPr>
          <w:lang w:val="en-GB"/>
        </w:rPr>
      </w:pPr>
      <w:r>
        <w:rPr>
          <w:lang w:val="en-GB"/>
        </w:rPr>
        <w:t>An</w:t>
      </w:r>
      <w:r w:rsidR="001A4152" w:rsidRPr="005F73BE">
        <w:rPr>
          <w:lang w:val="en-GB"/>
        </w:rPr>
        <w:t xml:space="preserve"> analytical strategy that appears to be quite common</w:t>
      </w:r>
      <w:r>
        <w:rPr>
          <w:lang w:val="en-GB"/>
        </w:rPr>
        <w:t xml:space="preserve"> is</w:t>
      </w:r>
      <w:r w:rsidR="001A4152" w:rsidRPr="005F73BE">
        <w:rPr>
          <w:lang w:val="en-GB"/>
        </w:rPr>
        <w:t xml:space="preserve"> to investigate how a topic of interest – such as equality, emotion, or reflection – is written or talked about in a set of texts or other empirical material, identify three or more prevalent discourses</w:t>
      </w:r>
      <w:r w:rsidR="00155FAC" w:rsidRPr="005F73BE">
        <w:rPr>
          <w:vertAlign w:val="superscript"/>
          <w:lang w:val="en-GB"/>
        </w:rPr>
        <w:t>22,2</w:t>
      </w:r>
      <w:r w:rsidR="007D15C8" w:rsidRPr="005F73BE">
        <w:rPr>
          <w:vertAlign w:val="superscript"/>
          <w:lang w:val="en-GB"/>
        </w:rPr>
        <w:t>5</w:t>
      </w:r>
      <w:r w:rsidR="00045AC2" w:rsidRPr="00045AC2">
        <w:rPr>
          <w:vertAlign w:val="superscript"/>
          <w:lang w:val="en-GB"/>
        </w:rPr>
        <w:t>,</w:t>
      </w:r>
      <w:r w:rsidR="006D3A64">
        <w:rPr>
          <w:vertAlign w:val="superscript"/>
          <w:lang w:val="en-GB"/>
        </w:rPr>
        <w:t>26,</w:t>
      </w:r>
      <w:r w:rsidR="00155FAC" w:rsidRPr="005F73BE">
        <w:rPr>
          <w:vertAlign w:val="superscript"/>
          <w:lang w:val="en-GB"/>
        </w:rPr>
        <w:t>29,30,</w:t>
      </w:r>
      <w:r w:rsidR="007D15C8" w:rsidRPr="005F73BE">
        <w:rPr>
          <w:vertAlign w:val="superscript"/>
          <w:lang w:val="en-GB"/>
        </w:rPr>
        <w:t>33</w:t>
      </w:r>
      <w:r w:rsidR="00155FAC" w:rsidRPr="005F73BE">
        <w:rPr>
          <w:vertAlign w:val="superscript"/>
          <w:lang w:val="en-GB"/>
        </w:rPr>
        <w:t>,</w:t>
      </w:r>
      <w:r w:rsidR="007D15C8" w:rsidRPr="005F73BE">
        <w:rPr>
          <w:vertAlign w:val="superscript"/>
          <w:lang w:val="en-GB"/>
        </w:rPr>
        <w:t>34</w:t>
      </w:r>
      <w:r w:rsidR="001A4152" w:rsidRPr="005F73BE">
        <w:rPr>
          <w:lang w:val="en-GB"/>
        </w:rPr>
        <w:t xml:space="preserve"> or trends</w:t>
      </w:r>
      <w:r w:rsidR="00155FAC" w:rsidRPr="005F73BE">
        <w:rPr>
          <w:vertAlign w:val="superscript"/>
          <w:lang w:val="en-GB"/>
        </w:rPr>
        <w:t>27</w:t>
      </w:r>
      <w:r w:rsidR="001A4152" w:rsidRPr="005F73BE">
        <w:rPr>
          <w:lang w:val="en-GB"/>
        </w:rPr>
        <w:t xml:space="preserve">, and then discuss what the identified discourses imply for medical education. </w:t>
      </w:r>
      <w:r w:rsidR="00F84C77" w:rsidRPr="005F73BE">
        <w:rPr>
          <w:lang w:val="en-GB"/>
        </w:rPr>
        <w:t xml:space="preserve">To exemplify, </w:t>
      </w:r>
      <w:r w:rsidR="00D7331F" w:rsidRPr="005F73BE">
        <w:rPr>
          <w:lang w:val="en-GB"/>
        </w:rPr>
        <w:t>the</w:t>
      </w:r>
      <w:r w:rsidR="005B7B06" w:rsidRPr="005F73BE">
        <w:rPr>
          <w:lang w:val="en-GB"/>
        </w:rPr>
        <w:t xml:space="preserve"> </w:t>
      </w:r>
      <w:r w:rsidR="00612D27" w:rsidRPr="005F73BE">
        <w:rPr>
          <w:lang w:val="en-GB"/>
        </w:rPr>
        <w:t xml:space="preserve">prevalent </w:t>
      </w:r>
      <w:r w:rsidR="00F84C77" w:rsidRPr="005F73BE">
        <w:rPr>
          <w:lang w:val="en-GB"/>
        </w:rPr>
        <w:t xml:space="preserve">discourses identified </w:t>
      </w:r>
      <w:r w:rsidR="00964AC0" w:rsidRPr="005F73BE">
        <w:rPr>
          <w:lang w:val="en-GB"/>
        </w:rPr>
        <w:t xml:space="preserve">can be different </w:t>
      </w:r>
      <w:r w:rsidR="008210FC" w:rsidRPr="005F73BE">
        <w:rPr>
          <w:lang w:val="en-GB"/>
        </w:rPr>
        <w:t>ways of conceptualising science in medicine</w:t>
      </w:r>
      <w:r w:rsidR="007D15C8" w:rsidRPr="005F73BE">
        <w:rPr>
          <w:vertAlign w:val="superscript"/>
          <w:lang w:val="en-GB"/>
        </w:rPr>
        <w:t>30</w:t>
      </w:r>
      <w:r w:rsidR="008210FC" w:rsidRPr="005F73BE">
        <w:rPr>
          <w:lang w:val="en-GB"/>
        </w:rPr>
        <w:t xml:space="preserve">, </w:t>
      </w:r>
      <w:r w:rsidR="00EF1BDE" w:rsidRPr="005F73BE">
        <w:rPr>
          <w:lang w:val="en-GB"/>
        </w:rPr>
        <w:t>emotion</w:t>
      </w:r>
      <w:r w:rsidR="00713ADA" w:rsidRPr="005F73BE">
        <w:rPr>
          <w:lang w:val="en-GB"/>
        </w:rPr>
        <w:t xml:space="preserve"> in medical education</w:t>
      </w:r>
      <w:r w:rsidR="00F46924">
        <w:rPr>
          <w:lang w:val="en-GB"/>
        </w:rPr>
        <w:t>,</w:t>
      </w:r>
      <w:r w:rsidR="007D15C8" w:rsidRPr="005F73BE">
        <w:rPr>
          <w:vertAlign w:val="superscript"/>
          <w:lang w:val="en-GB"/>
        </w:rPr>
        <w:t>26</w:t>
      </w:r>
      <w:r w:rsidR="00EF1BDE" w:rsidRPr="005F73BE">
        <w:rPr>
          <w:lang w:val="en-GB"/>
        </w:rPr>
        <w:t xml:space="preserve"> </w:t>
      </w:r>
      <w:r w:rsidR="004B44CA" w:rsidRPr="005F73BE">
        <w:rPr>
          <w:lang w:val="en-GB"/>
        </w:rPr>
        <w:t>or</w:t>
      </w:r>
      <w:r w:rsidR="00EF1BDE" w:rsidRPr="005F73BE">
        <w:rPr>
          <w:lang w:val="en-GB"/>
        </w:rPr>
        <w:t xml:space="preserve"> equality </w:t>
      </w:r>
      <w:r w:rsidR="00964AC0" w:rsidRPr="005F73BE">
        <w:rPr>
          <w:lang w:val="en-GB"/>
        </w:rPr>
        <w:t>in discussion</w:t>
      </w:r>
      <w:r w:rsidR="004B44CA" w:rsidRPr="005F73BE">
        <w:rPr>
          <w:lang w:val="en-GB"/>
        </w:rPr>
        <w:t>s</w:t>
      </w:r>
      <w:r w:rsidR="00964AC0" w:rsidRPr="005F73BE">
        <w:rPr>
          <w:lang w:val="en-GB"/>
        </w:rPr>
        <w:t xml:space="preserve"> about</w:t>
      </w:r>
      <w:r w:rsidR="002F28ED">
        <w:rPr>
          <w:lang w:val="en-GB"/>
        </w:rPr>
        <w:t xml:space="preserve"> international graduates.</w:t>
      </w:r>
      <w:r w:rsidR="007D15C8" w:rsidRPr="005F73BE">
        <w:rPr>
          <w:vertAlign w:val="superscript"/>
          <w:lang w:val="en-GB"/>
        </w:rPr>
        <w:t>25</w:t>
      </w:r>
      <w:r w:rsidR="004B44CA" w:rsidRPr="005F73BE">
        <w:rPr>
          <w:lang w:val="en-GB"/>
        </w:rPr>
        <w:t xml:space="preserve"> </w:t>
      </w:r>
      <w:r>
        <w:rPr>
          <w:lang w:val="en-GB"/>
        </w:rPr>
        <w:t>There is also a</w:t>
      </w:r>
      <w:r w:rsidR="001A4152" w:rsidRPr="005F73BE">
        <w:rPr>
          <w:lang w:val="en-GB"/>
        </w:rPr>
        <w:t xml:space="preserve"> common notion that identification of existing discourses is empowering and can help educators question them an</w:t>
      </w:r>
      <w:r w:rsidR="00F46924">
        <w:rPr>
          <w:lang w:val="en-GB"/>
        </w:rPr>
        <w:t>d so improve medical education.</w:t>
      </w:r>
      <w:r w:rsidR="00155FAC" w:rsidRPr="005F73BE">
        <w:rPr>
          <w:vertAlign w:val="superscript"/>
          <w:lang w:val="en-GB"/>
        </w:rPr>
        <w:t>12</w:t>
      </w:r>
      <w:r w:rsidR="00404A50" w:rsidRPr="005F73BE">
        <w:rPr>
          <w:vertAlign w:val="superscript"/>
          <w:lang w:val="en-GB"/>
        </w:rPr>
        <w:t>,</w:t>
      </w:r>
      <w:r w:rsidR="00B078D2">
        <w:rPr>
          <w:vertAlign w:val="superscript"/>
          <w:lang w:val="en-GB"/>
        </w:rPr>
        <w:t>20,</w:t>
      </w:r>
      <w:r w:rsidR="007D15C8" w:rsidRPr="005F73BE">
        <w:rPr>
          <w:vertAlign w:val="superscript"/>
          <w:lang w:val="en-GB"/>
        </w:rPr>
        <w:t>24</w:t>
      </w:r>
      <w:r w:rsidR="00B078D2">
        <w:rPr>
          <w:vertAlign w:val="superscript"/>
          <w:lang w:val="en-GB"/>
        </w:rPr>
        <w:t>-26</w:t>
      </w:r>
      <w:r w:rsidR="00404A50" w:rsidRPr="005F73BE">
        <w:rPr>
          <w:vertAlign w:val="superscript"/>
          <w:lang w:val="en-GB"/>
        </w:rPr>
        <w:t>,30,31,</w:t>
      </w:r>
      <w:r w:rsidR="00155FAC" w:rsidRPr="005F73BE">
        <w:rPr>
          <w:vertAlign w:val="superscript"/>
          <w:lang w:val="en-GB"/>
        </w:rPr>
        <w:t>33</w:t>
      </w:r>
      <w:r w:rsidR="00B078D2">
        <w:rPr>
          <w:vertAlign w:val="superscript"/>
          <w:lang w:val="en-GB"/>
        </w:rPr>
        <w:t>-</w:t>
      </w:r>
      <w:r w:rsidR="00404A50" w:rsidRPr="005F73BE">
        <w:rPr>
          <w:vertAlign w:val="superscript"/>
          <w:lang w:val="en-GB"/>
        </w:rPr>
        <w:t>35</w:t>
      </w:r>
      <w:r w:rsidR="001A4152" w:rsidRPr="005F73BE">
        <w:rPr>
          <w:lang w:val="en-GB"/>
        </w:rPr>
        <w:t xml:space="preserve"> Following this general characterisation of recent discourse analysis work, we would like to point out some tendencies that strike us as problematic or laudable and which are, nota bene, sometimes found in the same papers.</w:t>
      </w:r>
    </w:p>
    <w:p w14:paraId="43C314C0" w14:textId="77777777" w:rsidR="001A4152" w:rsidRPr="005F73BE" w:rsidRDefault="001A4152" w:rsidP="001A4152">
      <w:pPr>
        <w:rPr>
          <w:lang w:val="en-GB"/>
        </w:rPr>
      </w:pPr>
    </w:p>
    <w:p w14:paraId="2DFFD940" w14:textId="77777777" w:rsidR="001A4152" w:rsidRPr="005F73BE" w:rsidRDefault="001A4152" w:rsidP="00FE4AE1">
      <w:pPr>
        <w:outlineLvl w:val="0"/>
        <w:rPr>
          <w:b/>
          <w:lang w:val="en-GB"/>
        </w:rPr>
      </w:pPr>
      <w:r w:rsidRPr="005F73BE">
        <w:rPr>
          <w:b/>
          <w:lang w:val="en-GB"/>
        </w:rPr>
        <w:t>Problematic tendencies</w:t>
      </w:r>
    </w:p>
    <w:p w14:paraId="0D94BBE4" w14:textId="7F6D315D" w:rsidR="001A4152" w:rsidRPr="005F73BE" w:rsidRDefault="001A4152" w:rsidP="001A4152">
      <w:pPr>
        <w:rPr>
          <w:lang w:val="en-GB"/>
        </w:rPr>
      </w:pPr>
      <w:r w:rsidRPr="005F73BE">
        <w:rPr>
          <w:lang w:val="en-GB"/>
        </w:rPr>
        <w:t>In several studies, we note an inclination to take what people say or write as directly indicative of such things as their values, attitudes, or emotions, and sometimes also as true accounts of things that have happened, such as what peopl</w:t>
      </w:r>
      <w:r w:rsidR="00596E0C">
        <w:rPr>
          <w:lang w:val="en-GB"/>
        </w:rPr>
        <w:t>e have said or done</w:t>
      </w:r>
      <w:r w:rsidR="00874CB2">
        <w:rPr>
          <w:lang w:val="en-GB"/>
        </w:rPr>
        <w:t>.</w:t>
      </w:r>
      <w:r w:rsidR="00404A50" w:rsidRPr="005F73BE">
        <w:rPr>
          <w:vertAlign w:val="superscript"/>
          <w:lang w:val="en-GB"/>
        </w:rPr>
        <w:t>18,19,21-2</w:t>
      </w:r>
      <w:r w:rsidR="00AC7888" w:rsidRPr="005F73BE">
        <w:rPr>
          <w:vertAlign w:val="superscript"/>
          <w:lang w:val="en-GB"/>
        </w:rPr>
        <w:t>3</w:t>
      </w:r>
      <w:r w:rsidR="003B79F3">
        <w:rPr>
          <w:vertAlign w:val="superscript"/>
          <w:lang w:val="en-GB"/>
        </w:rPr>
        <w:t>,26</w:t>
      </w:r>
      <w:r w:rsidR="00FD1607">
        <w:rPr>
          <w:vertAlign w:val="superscript"/>
          <w:lang w:val="en-GB"/>
        </w:rPr>
        <w:t>,27,</w:t>
      </w:r>
      <w:r w:rsidR="00404A50" w:rsidRPr="005F73BE">
        <w:rPr>
          <w:vertAlign w:val="superscript"/>
          <w:lang w:val="en-GB"/>
        </w:rPr>
        <w:t>29</w:t>
      </w:r>
      <w:r w:rsidRPr="005F73BE">
        <w:rPr>
          <w:lang w:val="en-GB"/>
        </w:rPr>
        <w:t xml:space="preserve"> Taking what people say or write at face value is dubious from any methodological point of view – given that they may, for instance, be mistaken, lying, or trying to say or write what they believe is expected from them in a certain situation – but it is particularly unfortunate in studies of discursive aspects of social reality. </w:t>
      </w:r>
    </w:p>
    <w:p w14:paraId="340F7F91" w14:textId="77777777" w:rsidR="001A4152" w:rsidRPr="005F73BE" w:rsidRDefault="001A4152" w:rsidP="001A4152">
      <w:pPr>
        <w:rPr>
          <w:lang w:val="en-GB"/>
        </w:rPr>
      </w:pPr>
    </w:p>
    <w:p w14:paraId="2D78A486" w14:textId="1047AF6D" w:rsidR="001A4152" w:rsidRPr="005F73BE" w:rsidRDefault="001A4152" w:rsidP="006244E1">
      <w:pPr>
        <w:rPr>
          <w:lang w:val="en-GB"/>
        </w:rPr>
      </w:pPr>
      <w:r w:rsidRPr="005F73BE">
        <w:rPr>
          <w:lang w:val="en-GB"/>
        </w:rPr>
        <w:t>Fo</w:t>
      </w:r>
      <w:r w:rsidR="009C72C2">
        <w:rPr>
          <w:lang w:val="en-GB"/>
        </w:rPr>
        <w:t>r example, Cheng and Yang</w:t>
      </w:r>
      <w:r w:rsidR="00AC7888" w:rsidRPr="005F73BE">
        <w:rPr>
          <w:vertAlign w:val="superscript"/>
          <w:lang w:val="en-GB"/>
        </w:rPr>
        <w:t>18</w:t>
      </w:r>
      <w:r w:rsidRPr="005F73BE">
        <w:rPr>
          <w:lang w:val="en-GB"/>
        </w:rPr>
        <w:t xml:space="preserve"> </w:t>
      </w:r>
      <w:r w:rsidR="001525C0" w:rsidRPr="005F73BE">
        <w:rPr>
          <w:lang w:val="en-GB"/>
        </w:rPr>
        <w:t>analy</w:t>
      </w:r>
      <w:r w:rsidR="002F04DC" w:rsidRPr="005F73BE">
        <w:rPr>
          <w:lang w:val="en-GB"/>
        </w:rPr>
        <w:t>s</w:t>
      </w:r>
      <w:r w:rsidR="001525C0" w:rsidRPr="005F73BE">
        <w:rPr>
          <w:lang w:val="en-GB"/>
        </w:rPr>
        <w:t>e</w:t>
      </w:r>
      <w:r w:rsidRPr="005F73BE">
        <w:rPr>
          <w:lang w:val="en-GB"/>
        </w:rPr>
        <w:t xml:space="preserve"> medical students’ gender-related postings in online forums and take them as expressions of posters’ ‘undisguised views and values’, which, among male students, turn out to be engrained gender stereotypes, negative views of homosexuals, and hostile sexism. Posters’ stories of what teachers have said are taken to </w:t>
      </w:r>
      <w:r w:rsidRPr="005F73BE">
        <w:rPr>
          <w:lang w:val="en-GB"/>
        </w:rPr>
        <w:lastRenderedPageBreak/>
        <w:t>demonstrate faculty’s paternalism, benevolent sexism and homophobia, and the conclusion is that students and teachers co-produce norms of heterosexual masculinity. The analysis does not consider alternative readings, such as interpreting postings as tactical enunciations through which students try to become liked by others or to shape online discussions to their own advantage. Neither does it consider that students’ accounts of what teachers have said may be selective and self-serving. This somewhat credulous analysis is backed up by a commentary stating that the study shows how a hegemonic discourse of heterosexual masculinity pervaded not only students’ interactions within online discussions but also their understanding of the roles of men and women and of acceptable b</w:t>
      </w:r>
      <w:r w:rsidR="008D02F1">
        <w:rPr>
          <w:lang w:val="en-GB"/>
        </w:rPr>
        <w:t>ehaviours in clinical settings.</w:t>
      </w:r>
      <w:r w:rsidR="00AC7888" w:rsidRPr="005F73BE">
        <w:rPr>
          <w:vertAlign w:val="superscript"/>
          <w:lang w:val="en-GB"/>
        </w:rPr>
        <w:t>35</w:t>
      </w:r>
    </w:p>
    <w:p w14:paraId="519DBAE3" w14:textId="77777777" w:rsidR="001A4152" w:rsidRPr="005F73BE" w:rsidRDefault="001A4152" w:rsidP="001A4152">
      <w:pPr>
        <w:ind w:firstLine="227"/>
        <w:rPr>
          <w:lang w:val="en-GB"/>
        </w:rPr>
      </w:pPr>
    </w:p>
    <w:p w14:paraId="084C6992" w14:textId="4DCADF6B" w:rsidR="001A4152" w:rsidRPr="005F73BE" w:rsidRDefault="001A4152" w:rsidP="006244E1">
      <w:pPr>
        <w:rPr>
          <w:lang w:val="en-GB"/>
        </w:rPr>
      </w:pPr>
      <w:r w:rsidRPr="005F73BE">
        <w:rPr>
          <w:lang w:val="en-GB"/>
        </w:rPr>
        <w:t xml:space="preserve">Another example is </w:t>
      </w:r>
      <w:proofErr w:type="spellStart"/>
      <w:r w:rsidRPr="005F73BE">
        <w:rPr>
          <w:lang w:val="en-GB"/>
        </w:rPr>
        <w:t>Zwet</w:t>
      </w:r>
      <w:proofErr w:type="spellEnd"/>
      <w:r w:rsidRPr="005F73BE">
        <w:rPr>
          <w:lang w:val="en-GB"/>
        </w:rPr>
        <w:t xml:space="preserve"> et al.’s analysis of audio diaries and interviews from clerkship students and their supervising doctors regarding their mutual interactions.</w:t>
      </w:r>
      <w:r w:rsidR="00404A50" w:rsidRPr="005F73BE">
        <w:rPr>
          <w:vertAlign w:val="superscript"/>
          <w:lang w:val="en-GB"/>
        </w:rPr>
        <w:t>22</w:t>
      </w:r>
      <w:r w:rsidRPr="005F73BE">
        <w:rPr>
          <w:lang w:val="en-GB"/>
        </w:rPr>
        <w:t xml:space="preserve"> What participants say is taken to show not only the discourses they use but also important things about their actual interaction. Moments of interaction are claimed to form chains of events that afford developmental space or developmental vacuum for students and doctors. In a section on strengths and limitations of the study, the authors explain that while observation of interactions might add another dimension, their approach was deliberately chosen to establish how participants ‘discursively shape the way they interact with one another’. But how can we learn anything about how interactions are shaped by discourse if our only empirical access to the interactions is what participants say about them? </w:t>
      </w:r>
    </w:p>
    <w:p w14:paraId="2B176ECF" w14:textId="77777777" w:rsidR="001A4152" w:rsidRPr="005F73BE" w:rsidRDefault="001A4152" w:rsidP="001A4152">
      <w:pPr>
        <w:ind w:firstLine="227"/>
        <w:rPr>
          <w:lang w:val="en-GB"/>
        </w:rPr>
      </w:pPr>
    </w:p>
    <w:p w14:paraId="767AC50D" w14:textId="0F31A56D" w:rsidR="001A4152" w:rsidRPr="005F73BE" w:rsidRDefault="001A4152" w:rsidP="006244E1">
      <w:pPr>
        <w:rPr>
          <w:lang w:val="en-GB"/>
        </w:rPr>
      </w:pPr>
      <w:r w:rsidRPr="005F73BE">
        <w:rPr>
          <w:lang w:val="en-GB"/>
        </w:rPr>
        <w:t>Another at least potentially problematic tendency is to conduct discourse analysis at the group level, for example students versus teachers, with little attention to variations within groups</w:t>
      </w:r>
      <w:r w:rsidR="00404A50" w:rsidRPr="005F73BE">
        <w:rPr>
          <w:lang w:val="en-GB"/>
        </w:rPr>
        <w:t>.</w:t>
      </w:r>
      <w:r w:rsidR="00DB631C" w:rsidRPr="005F73BE">
        <w:rPr>
          <w:vertAlign w:val="superscript"/>
          <w:lang w:val="en-GB"/>
        </w:rPr>
        <w:t>18</w:t>
      </w:r>
      <w:r w:rsidR="00097AC5">
        <w:rPr>
          <w:vertAlign w:val="superscript"/>
          <w:lang w:val="en-GB"/>
        </w:rPr>
        <w:t>-</w:t>
      </w:r>
      <w:r w:rsidR="00404A50" w:rsidRPr="005F73BE">
        <w:rPr>
          <w:vertAlign w:val="superscript"/>
          <w:lang w:val="en-GB"/>
        </w:rPr>
        <w:t>23</w:t>
      </w:r>
      <w:r w:rsidR="00404A50" w:rsidRPr="008D02F1">
        <w:rPr>
          <w:vertAlign w:val="superscript"/>
          <w:lang w:val="en-GB"/>
        </w:rPr>
        <w:t>,</w:t>
      </w:r>
      <w:r w:rsidR="00097AC5">
        <w:rPr>
          <w:vertAlign w:val="superscript"/>
          <w:lang w:val="en-GB"/>
        </w:rPr>
        <w:t>25,</w:t>
      </w:r>
      <w:r w:rsidR="00DB631C" w:rsidRPr="005F73BE">
        <w:rPr>
          <w:vertAlign w:val="superscript"/>
          <w:lang w:val="en-GB"/>
        </w:rPr>
        <w:t>29</w:t>
      </w:r>
      <w:r w:rsidR="00F3071F">
        <w:rPr>
          <w:lang w:val="en-GB"/>
        </w:rPr>
        <w:t xml:space="preserve"> </w:t>
      </w:r>
      <w:r w:rsidRPr="005F73BE">
        <w:rPr>
          <w:lang w:val="en-GB"/>
        </w:rPr>
        <w:t xml:space="preserve">This can be a sensible analytic choice; all studies need to have a focus, and digging out discursive patterns of and between groups can shed new light on social life. However, interesting nuances may get lost, such as varying degrees of adherence to seemingly dominant discourses, imaginative and idiosyncratic uses of discourse, or incongruities in what people say or in what they say and do. Such nuances suggest existing loopholes to established ways of thinking and acting, which would be helpful towards the goal of improving medical education. </w:t>
      </w:r>
    </w:p>
    <w:p w14:paraId="3D02B498" w14:textId="77777777" w:rsidR="001A4152" w:rsidRPr="005F73BE" w:rsidRDefault="001A4152" w:rsidP="001A4152">
      <w:pPr>
        <w:ind w:firstLine="227"/>
        <w:rPr>
          <w:lang w:val="en-GB"/>
        </w:rPr>
      </w:pPr>
    </w:p>
    <w:p w14:paraId="5EE67AB5" w14:textId="2300C857" w:rsidR="001A4152" w:rsidRPr="005F73BE" w:rsidRDefault="001A4152" w:rsidP="006244E1">
      <w:pPr>
        <w:rPr>
          <w:lang w:val="en-GB"/>
        </w:rPr>
      </w:pPr>
      <w:r w:rsidRPr="005F73BE">
        <w:rPr>
          <w:lang w:val="en-GB"/>
        </w:rPr>
        <w:t>An example of analysis conducted at the group level is Lingard et al.’</w:t>
      </w:r>
      <w:proofErr w:type="gramStart"/>
      <w:r w:rsidRPr="005F73BE">
        <w:rPr>
          <w:lang w:val="en-GB"/>
        </w:rPr>
        <w:t xml:space="preserve">s </w:t>
      </w:r>
      <w:r w:rsidR="00DB631C" w:rsidRPr="005F73BE">
        <w:rPr>
          <w:vertAlign w:val="superscript"/>
          <w:lang w:val="en-GB"/>
        </w:rPr>
        <w:t xml:space="preserve"> </w:t>
      </w:r>
      <w:r w:rsidRPr="005F73BE">
        <w:rPr>
          <w:lang w:val="en-GB"/>
        </w:rPr>
        <w:t>observational</w:t>
      </w:r>
      <w:proofErr w:type="gramEnd"/>
      <w:r w:rsidRPr="005F73BE">
        <w:rPr>
          <w:lang w:val="en-GB"/>
        </w:rPr>
        <w:t xml:space="preserve"> and interview study of clerkship case presentations.</w:t>
      </w:r>
      <w:r w:rsidR="00404A50" w:rsidRPr="005F73BE">
        <w:rPr>
          <w:vertAlign w:val="superscript"/>
          <w:lang w:val="en-GB"/>
        </w:rPr>
        <w:t>20</w:t>
      </w:r>
      <w:r w:rsidRPr="005F73BE">
        <w:rPr>
          <w:lang w:val="en-GB"/>
        </w:rPr>
        <w:t xml:space="preserve"> The main finding is that teachers gave feedback according to a workplace genre aiming to construct shared knowledge while students enacted a more defensive school genre of case presentations, creating a gap in which important feedback may get lost. It is not stated whether there were any differences that mattered within groups or whether the analysis looked for them. Yet it would have been interesting if, for instance, some students appeared more attuned than others to the workplace genre, which would point to ways of narrowing the gap. Another example is Dornan et al.’s</w:t>
      </w:r>
      <w:r w:rsidR="00404A50" w:rsidRPr="005F73BE">
        <w:rPr>
          <w:lang w:val="en-GB"/>
        </w:rPr>
        <w:t xml:space="preserve"> </w:t>
      </w:r>
      <w:r w:rsidRPr="005F73BE">
        <w:rPr>
          <w:lang w:val="en-GB"/>
        </w:rPr>
        <w:t>discourse analysis of interviews and audio-diaries with clerkship students regarding emotionally salient events.</w:t>
      </w:r>
      <w:r w:rsidR="00DB631C" w:rsidRPr="005F73BE">
        <w:rPr>
          <w:vertAlign w:val="superscript"/>
          <w:lang w:val="en-GB"/>
        </w:rPr>
        <w:t>1</w:t>
      </w:r>
      <w:r w:rsidR="00093197">
        <w:rPr>
          <w:vertAlign w:val="superscript"/>
          <w:lang w:val="en-GB"/>
        </w:rPr>
        <w:t>9</w:t>
      </w:r>
      <w:r w:rsidRPr="005F73BE">
        <w:rPr>
          <w:lang w:val="en-GB"/>
        </w:rPr>
        <w:t xml:space="preserve"> The principal finding is that students experienced positive emotions when they were granted a position in the world of medicine and when they encountered health professionals they could identify with, and negative emotions under reverse conditions. The authors suggest that helping students to express emotions might help them to develop caring identities. It is not stated whether there was any significant variation between students. If there were, a closer look at individual cases could </w:t>
      </w:r>
      <w:r w:rsidRPr="005F73BE">
        <w:rPr>
          <w:lang w:val="en-GB"/>
        </w:rPr>
        <w:lastRenderedPageBreak/>
        <w:t>have informed a discussion of more intricate aspects of emotions and identity formation. If not, the apparent conformity is in itself interesting. Perhaps students followed an implicit script when they talked about their emotions, leaving out feelings that might be seen as inappropriate, which recalls our earlier warning not to take what people say at face value. Perhaps there is something in medical training and selection that promotes a streamlined emotional posture, which would tie in to the authors’ reasoning about how to reform the medical curriculum.</w:t>
      </w:r>
    </w:p>
    <w:p w14:paraId="4AFE5CAD" w14:textId="77777777" w:rsidR="001A4152" w:rsidRPr="005F73BE" w:rsidRDefault="001A4152" w:rsidP="001A4152">
      <w:pPr>
        <w:rPr>
          <w:lang w:val="en-GB"/>
        </w:rPr>
      </w:pPr>
    </w:p>
    <w:p w14:paraId="1B363A68" w14:textId="77777777" w:rsidR="001A4152" w:rsidRPr="005F73BE" w:rsidRDefault="001A4152" w:rsidP="00FE4AE1">
      <w:pPr>
        <w:outlineLvl w:val="0"/>
        <w:rPr>
          <w:b/>
          <w:lang w:val="en-GB"/>
        </w:rPr>
      </w:pPr>
      <w:r w:rsidRPr="005F73BE">
        <w:rPr>
          <w:b/>
          <w:lang w:val="en-GB"/>
        </w:rPr>
        <w:t>Laudable tendencies</w:t>
      </w:r>
    </w:p>
    <w:p w14:paraId="0A6B6E4B" w14:textId="649B7CC3" w:rsidR="001A4152" w:rsidRPr="005F73BE" w:rsidRDefault="001A4152" w:rsidP="001A4152">
      <w:pPr>
        <w:rPr>
          <w:lang w:val="en-GB"/>
        </w:rPr>
      </w:pPr>
      <w:r w:rsidRPr="005F73BE">
        <w:rPr>
          <w:lang w:val="en-GB"/>
        </w:rPr>
        <w:t>Many studies pay close attention to discursive phenomena, such as how things are said, details of specific conversations, use of rhetorical devices, or ways of reasoning and constituting the social wo</w:t>
      </w:r>
      <w:r w:rsidR="002B65A9">
        <w:rPr>
          <w:lang w:val="en-GB"/>
        </w:rPr>
        <w:t>rld in different types of text</w:t>
      </w:r>
      <w:r w:rsidR="00C63A51">
        <w:rPr>
          <w:lang w:val="en-GB"/>
        </w:rPr>
        <w:t>.</w:t>
      </w:r>
      <w:r w:rsidR="002B65A9">
        <w:rPr>
          <w:vertAlign w:val="superscript"/>
          <w:lang w:val="en-GB"/>
        </w:rPr>
        <w:t>13,20,</w:t>
      </w:r>
      <w:r w:rsidR="00DB631C" w:rsidRPr="005F73BE">
        <w:rPr>
          <w:vertAlign w:val="superscript"/>
          <w:lang w:val="en-GB"/>
        </w:rPr>
        <w:t>22</w:t>
      </w:r>
      <w:r w:rsidR="00404A50" w:rsidRPr="005F73BE">
        <w:rPr>
          <w:vertAlign w:val="superscript"/>
          <w:lang w:val="en-GB"/>
        </w:rPr>
        <w:t>,</w:t>
      </w:r>
      <w:r w:rsidR="002B65A9">
        <w:rPr>
          <w:vertAlign w:val="superscript"/>
          <w:lang w:val="en-GB"/>
        </w:rPr>
        <w:t>25,</w:t>
      </w:r>
      <w:r w:rsidR="00DB631C" w:rsidRPr="005F73BE">
        <w:rPr>
          <w:vertAlign w:val="superscript"/>
          <w:lang w:val="en-GB"/>
        </w:rPr>
        <w:t>26</w:t>
      </w:r>
      <w:r w:rsidR="00404A50" w:rsidRPr="005F73BE">
        <w:rPr>
          <w:vertAlign w:val="superscript"/>
          <w:lang w:val="en-GB"/>
        </w:rPr>
        <w:t>,</w:t>
      </w:r>
      <w:r w:rsidR="00DB631C" w:rsidRPr="005F73BE">
        <w:rPr>
          <w:vertAlign w:val="superscript"/>
          <w:lang w:val="en-GB"/>
        </w:rPr>
        <w:t>28</w:t>
      </w:r>
      <w:r w:rsidR="00404A50" w:rsidRPr="005F73BE">
        <w:rPr>
          <w:vertAlign w:val="superscript"/>
          <w:lang w:val="en-GB"/>
        </w:rPr>
        <w:t>,3</w:t>
      </w:r>
      <w:r w:rsidR="00DB631C" w:rsidRPr="005F73BE">
        <w:rPr>
          <w:vertAlign w:val="superscript"/>
          <w:lang w:val="en-GB"/>
        </w:rPr>
        <w:t>0</w:t>
      </w:r>
      <w:r w:rsidR="00404A50" w:rsidRPr="005F73BE">
        <w:rPr>
          <w:vertAlign w:val="superscript"/>
          <w:lang w:val="en-GB"/>
        </w:rPr>
        <w:t>-</w:t>
      </w:r>
      <w:r w:rsidR="00DB631C" w:rsidRPr="005F73BE">
        <w:rPr>
          <w:vertAlign w:val="superscript"/>
          <w:lang w:val="en-GB"/>
        </w:rPr>
        <w:t xml:space="preserve">32 </w:t>
      </w:r>
      <w:r w:rsidRPr="005F73BE">
        <w:rPr>
          <w:lang w:val="en-GB"/>
        </w:rPr>
        <w:t>This is obviously a laudable tendency relating to the very point of conducting discourse analysis.</w:t>
      </w:r>
      <w:r w:rsidR="004941E5">
        <w:rPr>
          <w:lang w:val="en-GB"/>
        </w:rPr>
        <w:t xml:space="preserve"> </w:t>
      </w:r>
      <w:r w:rsidRPr="005F73BE">
        <w:rPr>
          <w:lang w:val="en-GB"/>
        </w:rPr>
        <w:t>On</w:t>
      </w:r>
      <w:r w:rsidR="000B3428">
        <w:rPr>
          <w:lang w:val="en-GB"/>
        </w:rPr>
        <w:t xml:space="preserve">e example is </w:t>
      </w:r>
      <w:proofErr w:type="spellStart"/>
      <w:r w:rsidR="000B3428">
        <w:rPr>
          <w:lang w:val="en-GB"/>
        </w:rPr>
        <w:t>Ho</w:t>
      </w:r>
      <w:proofErr w:type="spellEnd"/>
      <w:r w:rsidR="000B3428">
        <w:rPr>
          <w:lang w:val="en-GB"/>
        </w:rPr>
        <w:t xml:space="preserve"> et al.’s</w:t>
      </w:r>
      <w:r w:rsidR="000B3428" w:rsidRPr="000B3428">
        <w:rPr>
          <w:vertAlign w:val="superscript"/>
          <w:lang w:val="en-GB"/>
        </w:rPr>
        <w:t xml:space="preserve"> </w:t>
      </w:r>
      <w:r w:rsidR="000B3428">
        <w:rPr>
          <w:vertAlign w:val="superscript"/>
          <w:lang w:val="en-GB"/>
        </w:rPr>
        <w:t xml:space="preserve">25 </w:t>
      </w:r>
      <w:r w:rsidRPr="005F73BE">
        <w:rPr>
          <w:lang w:val="en-GB"/>
        </w:rPr>
        <w:t xml:space="preserve">analysis of Taiwan’s debate over </w:t>
      </w:r>
      <w:r w:rsidR="000B3428">
        <w:rPr>
          <w:lang w:val="en-GB"/>
        </w:rPr>
        <w:t>international medical graduates.</w:t>
      </w:r>
      <w:r w:rsidRPr="005F73BE">
        <w:rPr>
          <w:lang w:val="en-GB"/>
        </w:rPr>
        <w:t xml:space="preserve"> What students write in online forums is interpreted as rhetorical use of language and categorised according to the underlying conceptualisations of equality. Students’ arguments displayed two kinds of equality, that of opportunity and that of outcome. While most international graduates framed them globally, most domestic students and their supporters framed them locally and managed to push policymaking in that direction. The authors conclude that ‘equality’ can be mobilised in various terms to advance disparate group interests and urge policymakers and stakeholders to be mindful of unintended consequences of discourse. </w:t>
      </w:r>
    </w:p>
    <w:p w14:paraId="2BD70A4E" w14:textId="77777777" w:rsidR="001A4152" w:rsidRPr="005F73BE" w:rsidRDefault="001A4152" w:rsidP="001A4152">
      <w:pPr>
        <w:rPr>
          <w:lang w:val="en-GB"/>
        </w:rPr>
      </w:pPr>
    </w:p>
    <w:p w14:paraId="5672E3CC" w14:textId="4B411EFB" w:rsidR="001A4152" w:rsidRPr="005F73BE" w:rsidRDefault="001A4152" w:rsidP="006244E1">
      <w:pPr>
        <w:rPr>
          <w:lang w:val="en-GB"/>
        </w:rPr>
      </w:pPr>
      <w:r w:rsidRPr="005F73BE">
        <w:rPr>
          <w:lang w:val="en-GB"/>
        </w:rPr>
        <w:t>Other positive examples include studies we have already cited to illustrate more problematic tendencies. In their study of clerkship case presentations, Lingard et al. analyse actual talk during case presentations and uncover rhetorical strategies as well as genre understandings.</w:t>
      </w:r>
      <w:r w:rsidR="00DB631C" w:rsidRPr="005F73BE">
        <w:rPr>
          <w:vertAlign w:val="superscript"/>
          <w:lang w:val="en-GB"/>
        </w:rPr>
        <w:t>20</w:t>
      </w:r>
      <w:r w:rsidRPr="005F73BE">
        <w:rPr>
          <w:lang w:val="en-GB"/>
        </w:rPr>
        <w:t xml:space="preserve"> In their study about doctor-student interaction, </w:t>
      </w:r>
      <w:proofErr w:type="spellStart"/>
      <w:r w:rsidRPr="005F73BE">
        <w:rPr>
          <w:lang w:val="en-GB"/>
        </w:rPr>
        <w:t>Zwet</w:t>
      </w:r>
      <w:proofErr w:type="spellEnd"/>
      <w:r w:rsidRPr="005F73BE">
        <w:rPr>
          <w:lang w:val="en-GB"/>
        </w:rPr>
        <w:t xml:space="preserve"> et al. pay attention to the distinctive dynamics of asking and answering questions and consider how participants talk about it, how they position themselves and others, and how they and the discourses they draw on construct the interaction.</w:t>
      </w:r>
      <w:r w:rsidR="00D826FF" w:rsidRPr="005F73BE">
        <w:rPr>
          <w:vertAlign w:val="superscript"/>
          <w:lang w:val="en-GB"/>
        </w:rPr>
        <w:t>22</w:t>
      </w:r>
      <w:r w:rsidRPr="005F73BE">
        <w:rPr>
          <w:lang w:val="en-GB"/>
        </w:rPr>
        <w:t xml:space="preserve"> </w:t>
      </w:r>
    </w:p>
    <w:p w14:paraId="73B31911" w14:textId="77777777" w:rsidR="001A4152" w:rsidRPr="005F73BE" w:rsidRDefault="001A4152" w:rsidP="001A4152">
      <w:pPr>
        <w:ind w:firstLine="227"/>
        <w:rPr>
          <w:lang w:val="en-GB"/>
        </w:rPr>
      </w:pPr>
    </w:p>
    <w:p w14:paraId="1099FDED" w14:textId="51507375" w:rsidR="001A4152" w:rsidRPr="005F73BE" w:rsidRDefault="001A4152" w:rsidP="006244E1">
      <w:pPr>
        <w:rPr>
          <w:lang w:val="en-GB"/>
        </w:rPr>
      </w:pPr>
      <w:r w:rsidRPr="005F73BE">
        <w:rPr>
          <w:lang w:val="en-GB"/>
        </w:rPr>
        <w:t xml:space="preserve">Several studies systematically explore different ways of reasoning about some important topic in a large, carefully selected set of written materials and then discuss how these ways of reasoning may impact on medical education and what medical educators and researchers </w:t>
      </w:r>
      <w:r w:rsidR="0002442B">
        <w:rPr>
          <w:lang w:val="en-GB"/>
        </w:rPr>
        <w:t>should therefore consider next</w:t>
      </w:r>
      <w:r w:rsidR="006F233E">
        <w:rPr>
          <w:lang w:val="en-GB"/>
        </w:rPr>
        <w:t>.</w:t>
      </w:r>
      <w:r w:rsidR="00951296">
        <w:rPr>
          <w:vertAlign w:val="superscript"/>
          <w:lang w:val="en-GB"/>
        </w:rPr>
        <w:t>12</w:t>
      </w:r>
      <w:r w:rsidR="00B64E14" w:rsidRPr="005F73BE">
        <w:rPr>
          <w:vertAlign w:val="superscript"/>
          <w:lang w:val="en-GB"/>
        </w:rPr>
        <w:t>,25</w:t>
      </w:r>
      <w:r w:rsidR="00B64E14" w:rsidRPr="0002442B">
        <w:rPr>
          <w:vertAlign w:val="superscript"/>
          <w:lang w:val="en-GB"/>
        </w:rPr>
        <w:t>,</w:t>
      </w:r>
      <w:r w:rsidR="00D826FF" w:rsidRPr="005F73BE">
        <w:rPr>
          <w:vertAlign w:val="superscript"/>
          <w:lang w:val="en-GB"/>
        </w:rPr>
        <w:t>26</w:t>
      </w:r>
      <w:r w:rsidR="0002442B">
        <w:rPr>
          <w:vertAlign w:val="superscript"/>
          <w:lang w:val="en-GB"/>
        </w:rPr>
        <w:t>,</w:t>
      </w:r>
      <w:r w:rsidR="00D826FF" w:rsidRPr="005F73BE">
        <w:rPr>
          <w:vertAlign w:val="superscript"/>
          <w:lang w:val="en-GB"/>
        </w:rPr>
        <w:t>29</w:t>
      </w:r>
      <w:r w:rsidR="00B64E14" w:rsidRPr="005F73BE">
        <w:rPr>
          <w:vertAlign w:val="superscript"/>
          <w:lang w:val="en-GB"/>
        </w:rPr>
        <w:t>-3</w:t>
      </w:r>
      <w:r w:rsidR="00951296">
        <w:rPr>
          <w:vertAlign w:val="superscript"/>
          <w:lang w:val="en-GB"/>
        </w:rPr>
        <w:t>4</w:t>
      </w:r>
      <w:r w:rsidRPr="005F73BE">
        <w:rPr>
          <w:lang w:val="en-GB"/>
        </w:rPr>
        <w:t xml:space="preserve"> The strength of this strand of research is the combined empirical thrust, methodological rigour, and attentiveness to practical relevance. For example, Whitehead examines decades of medical education publications and unearths the main discourses of science and knowledge.</w:t>
      </w:r>
      <w:r w:rsidR="00B64E14" w:rsidRPr="005F73BE">
        <w:rPr>
          <w:vertAlign w:val="superscript"/>
          <w:lang w:val="en-GB"/>
        </w:rPr>
        <w:t>30</w:t>
      </w:r>
      <w:r w:rsidRPr="005F73BE">
        <w:rPr>
          <w:lang w:val="en-GB"/>
        </w:rPr>
        <w:t xml:space="preserve"> What is most remarkable is how little has changed. Ever since the implementation of Flexner’s landmark reform proposal from 1910, science is primarily understood as biomedical content to be stuffed into the curriculum, which is quite different from Flexner’s ideal of fostering </w:t>
      </w:r>
      <w:r w:rsidR="00A14B47" w:rsidRPr="005F73BE">
        <w:rPr>
          <w:lang w:val="en-GB"/>
        </w:rPr>
        <w:t>scientist-doctors</w:t>
      </w:r>
      <w:r w:rsidRPr="005F73BE">
        <w:rPr>
          <w:lang w:val="en-GB"/>
        </w:rPr>
        <w:t xml:space="preserve">. In addition, there are persistent discourses of science as overwhelmingly vast and of biomedicine’s insufficiency, which have been positioned as new phenomena by successive generations. The conclusion is that these discourses have reinforced the centrality of biomedicine in medical education and that educators need to be aware of them when contemplating curricular reform. </w:t>
      </w:r>
    </w:p>
    <w:p w14:paraId="38D58D00" w14:textId="77777777" w:rsidR="001A4152" w:rsidRPr="005F73BE" w:rsidRDefault="001A4152" w:rsidP="001A4152">
      <w:pPr>
        <w:ind w:firstLine="227"/>
        <w:rPr>
          <w:lang w:val="en-GB"/>
        </w:rPr>
      </w:pPr>
    </w:p>
    <w:p w14:paraId="7EAF2763" w14:textId="2104D35B" w:rsidR="001A4152" w:rsidRPr="005F73BE" w:rsidRDefault="001A4152" w:rsidP="006244E1">
      <w:pPr>
        <w:rPr>
          <w:lang w:val="en-GB"/>
        </w:rPr>
      </w:pPr>
      <w:r w:rsidRPr="005F73BE">
        <w:rPr>
          <w:lang w:val="en-GB"/>
        </w:rPr>
        <w:lastRenderedPageBreak/>
        <w:t>As Park et al. point out,</w:t>
      </w:r>
      <w:r w:rsidR="00D826FF" w:rsidRPr="005F73BE">
        <w:rPr>
          <w:vertAlign w:val="superscript"/>
          <w:lang w:val="en-GB"/>
        </w:rPr>
        <w:t>36</w:t>
      </w:r>
      <w:r w:rsidRPr="005F73BE">
        <w:rPr>
          <w:lang w:val="en-GB"/>
        </w:rPr>
        <w:t xml:space="preserve"> it is important to remember that conceptualisations as identified in texts do not equal actual practices, which need to be investigated through ethnographic or observational methods. However, even if studies of this kind typically construe Discourse as very powerful and thus risk overestimating its impact on educational practice, we believe that most of them, and certainly Whitehead,</w:t>
      </w:r>
      <w:r w:rsidR="00D826FF" w:rsidRPr="005F73BE">
        <w:rPr>
          <w:vertAlign w:val="superscript"/>
          <w:lang w:val="en-GB"/>
        </w:rPr>
        <w:t>30</w:t>
      </w:r>
      <w:r w:rsidRPr="005F73BE">
        <w:rPr>
          <w:lang w:val="en-GB"/>
        </w:rPr>
        <w:t xml:space="preserve"> engage in thoughtful discussions of the practical implications of their findings.</w:t>
      </w:r>
    </w:p>
    <w:p w14:paraId="738EFB29" w14:textId="77777777" w:rsidR="001A4152" w:rsidRPr="005F73BE" w:rsidRDefault="001A4152" w:rsidP="001A4152">
      <w:pPr>
        <w:ind w:firstLine="227"/>
        <w:rPr>
          <w:lang w:val="en-GB"/>
        </w:rPr>
      </w:pPr>
    </w:p>
    <w:p w14:paraId="20870D4F" w14:textId="04D607F5" w:rsidR="001A4152" w:rsidRPr="005F73BE" w:rsidRDefault="001A4152" w:rsidP="006244E1">
      <w:pPr>
        <w:rPr>
          <w:lang w:val="en-GB"/>
        </w:rPr>
      </w:pPr>
      <w:r w:rsidRPr="005F73BE">
        <w:rPr>
          <w:lang w:val="en-GB"/>
        </w:rPr>
        <w:t>Finally, several studies display sensitivity to nuances, contradictions, and tensions in the empirical material, which helps generate interesting observations and conclusions</w:t>
      </w:r>
      <w:r w:rsidR="002C588B">
        <w:rPr>
          <w:lang w:val="en-GB"/>
        </w:rPr>
        <w:t>.</w:t>
      </w:r>
      <w:r w:rsidR="00B64E14" w:rsidRPr="005F73BE">
        <w:rPr>
          <w:vertAlign w:val="superscript"/>
          <w:lang w:val="en-GB"/>
        </w:rPr>
        <w:t>13,</w:t>
      </w:r>
      <w:r w:rsidR="00D826FF" w:rsidRPr="005F73BE">
        <w:rPr>
          <w:vertAlign w:val="superscript"/>
          <w:lang w:val="en-GB"/>
        </w:rPr>
        <w:t>20</w:t>
      </w:r>
      <w:r w:rsidR="00B64E14" w:rsidRPr="005F73BE">
        <w:rPr>
          <w:vertAlign w:val="superscript"/>
          <w:lang w:val="en-GB"/>
        </w:rPr>
        <w:t>,23,</w:t>
      </w:r>
      <w:r w:rsidR="00D826FF" w:rsidRPr="005F73BE">
        <w:rPr>
          <w:vertAlign w:val="superscript"/>
          <w:lang w:val="en-GB"/>
        </w:rPr>
        <w:t>29</w:t>
      </w:r>
      <w:r w:rsidR="00B64E14" w:rsidRPr="005F73BE">
        <w:rPr>
          <w:vertAlign w:val="superscript"/>
          <w:lang w:val="en-GB"/>
        </w:rPr>
        <w:t>-</w:t>
      </w:r>
      <w:r w:rsidR="00D826FF" w:rsidRPr="005F73BE">
        <w:rPr>
          <w:vertAlign w:val="superscript"/>
          <w:lang w:val="en-GB"/>
        </w:rPr>
        <w:t>32</w:t>
      </w:r>
      <w:r w:rsidRPr="005F73BE">
        <w:rPr>
          <w:lang w:val="en-GB"/>
        </w:rPr>
        <w:t xml:space="preserve"> For instance, Roberts and Sarangi</w:t>
      </w:r>
      <w:r w:rsidR="002C520B">
        <w:rPr>
          <w:lang w:val="en-GB"/>
        </w:rPr>
        <w:t>’s</w:t>
      </w:r>
      <w:r w:rsidRPr="005F73BE">
        <w:rPr>
          <w:lang w:val="en-GB"/>
        </w:rPr>
        <w:t xml:space="preserve"> close-range discourse analysis of audio- and video-recorded medical encounters</w:t>
      </w:r>
      <w:r w:rsidR="00356068">
        <w:rPr>
          <w:lang w:val="en-GB"/>
        </w:rPr>
        <w:t xml:space="preserve"> is </w:t>
      </w:r>
      <w:r w:rsidR="00356068" w:rsidRPr="005F73BE">
        <w:rPr>
          <w:lang w:val="en-GB"/>
        </w:rPr>
        <w:t>methodologically impeccable</w:t>
      </w:r>
      <w:r w:rsidRPr="005F73BE">
        <w:rPr>
          <w:lang w:val="en-GB"/>
        </w:rPr>
        <w:t>.</w:t>
      </w:r>
      <w:r w:rsidR="00B64E14" w:rsidRPr="005F73BE">
        <w:rPr>
          <w:vertAlign w:val="superscript"/>
          <w:lang w:val="en-GB"/>
        </w:rPr>
        <w:t>13</w:t>
      </w:r>
      <w:r w:rsidRPr="005F73BE">
        <w:rPr>
          <w:lang w:val="en-GB"/>
        </w:rPr>
        <w:t xml:space="preserve"> Taking note of such things as gestures, silences, and tones of voice, the study identifies subtle aspects of interaction. The scrutiny of extracts from encounters with immigrant clients evinces missed cues, misunderstandings, and apparent misinterpretations. Since models for shared decision making assume that doctor and patient tune into each other’s way of thinking through talk, the authors raise the question of what happens when talk itself is the problem. </w:t>
      </w:r>
    </w:p>
    <w:p w14:paraId="4ABCB82D" w14:textId="77777777" w:rsidR="00AB18B3" w:rsidRPr="005F73BE" w:rsidRDefault="00AB18B3" w:rsidP="006244E1">
      <w:pPr>
        <w:rPr>
          <w:lang w:val="en-GB"/>
        </w:rPr>
      </w:pPr>
    </w:p>
    <w:p w14:paraId="78164B6A" w14:textId="485CBD4A" w:rsidR="001A4152" w:rsidRPr="005F73BE" w:rsidRDefault="001A4152" w:rsidP="006244E1">
      <w:pPr>
        <w:rPr>
          <w:lang w:val="en-GB"/>
        </w:rPr>
      </w:pPr>
      <w:r w:rsidRPr="005F73BE">
        <w:rPr>
          <w:lang w:val="en-GB"/>
        </w:rPr>
        <w:t>Another example is Burford et al.’s study</w:t>
      </w:r>
      <w:r w:rsidR="00B64E14" w:rsidRPr="005F73BE">
        <w:rPr>
          <w:vertAlign w:val="superscript"/>
          <w:lang w:val="en-GB"/>
        </w:rPr>
        <w:t xml:space="preserve">23 </w:t>
      </w:r>
      <w:r w:rsidRPr="005F73BE">
        <w:rPr>
          <w:lang w:val="en-GB"/>
        </w:rPr>
        <w:t>of how students and educators from three health professions understand professionalism. What participants say about professionalism in group discussions is related to three discourses of professionalism that were identified in the academic literature by a previous review. Students’ and educators’ subjective accounts can largely be fitted into the three discourses but are found to be much more complex, the three views overlapping and combining within and between the professional groups. The conclusion is that the uncovered complexity challenges the usefulness of ‘professionalism’ in educational applications, which should rather focus on</w:t>
      </w:r>
      <w:r w:rsidR="0009067D">
        <w:rPr>
          <w:lang w:val="en-GB"/>
        </w:rPr>
        <w:t xml:space="preserve"> specific skills and the organiz</w:t>
      </w:r>
      <w:r w:rsidRPr="005F73BE">
        <w:rPr>
          <w:lang w:val="en-GB"/>
        </w:rPr>
        <w:t xml:space="preserve">ational requirements that support them. A bolder yet warranted conclusion would have been to question the notion that discourses set forth in authoritative texts fundamentally shape how people think and reason. </w:t>
      </w:r>
    </w:p>
    <w:p w14:paraId="70BC042D" w14:textId="77777777" w:rsidR="001A4152" w:rsidRPr="005F73BE" w:rsidRDefault="001A4152" w:rsidP="001A4152">
      <w:pPr>
        <w:rPr>
          <w:lang w:val="en-GB"/>
        </w:rPr>
      </w:pPr>
    </w:p>
    <w:p w14:paraId="77F929C8" w14:textId="16B58F9A" w:rsidR="001A4152" w:rsidRPr="005F73BE" w:rsidRDefault="001A4152" w:rsidP="00FE4AE1">
      <w:pPr>
        <w:outlineLvl w:val="0"/>
        <w:rPr>
          <w:caps/>
          <w:lang w:val="en-GB"/>
        </w:rPr>
      </w:pPr>
      <w:r w:rsidRPr="005F73BE">
        <w:rPr>
          <w:caps/>
          <w:lang w:val="en-GB"/>
        </w:rPr>
        <w:t xml:space="preserve">a heuristic for </w:t>
      </w:r>
      <w:r w:rsidR="00AA5A04" w:rsidRPr="005F73BE">
        <w:rPr>
          <w:caps/>
          <w:lang w:val="en-GB"/>
        </w:rPr>
        <w:t>the study of discourses</w:t>
      </w:r>
      <w:r w:rsidR="0032766F" w:rsidRPr="005F73BE">
        <w:rPr>
          <w:caps/>
          <w:lang w:val="en-GB"/>
        </w:rPr>
        <w:t xml:space="preserve"> in </w:t>
      </w:r>
      <w:r w:rsidR="001525C0" w:rsidRPr="005F73BE">
        <w:rPr>
          <w:caps/>
          <w:lang w:val="en-GB"/>
        </w:rPr>
        <w:t>Empirical contexts</w:t>
      </w:r>
    </w:p>
    <w:p w14:paraId="539E2C0D" w14:textId="77777777" w:rsidR="0032766F" w:rsidRPr="005F73BE" w:rsidRDefault="0032766F" w:rsidP="001A4152">
      <w:pPr>
        <w:rPr>
          <w:caps/>
          <w:lang w:val="en-GB"/>
        </w:rPr>
      </w:pPr>
    </w:p>
    <w:p w14:paraId="4BE01046" w14:textId="07742471" w:rsidR="0032766F" w:rsidRPr="005F73BE" w:rsidRDefault="00812982" w:rsidP="006244E1">
      <w:pPr>
        <w:spacing w:after="120"/>
        <w:rPr>
          <w:lang w:val="en-GB"/>
        </w:rPr>
      </w:pPr>
      <w:r w:rsidRPr="005F73BE">
        <w:rPr>
          <w:lang w:val="en-GB"/>
        </w:rPr>
        <w:t>Drawing on our engagement with texts on discourse analysis in the context of medical education, it is clear that discourses are typically understood to suggest clues about extra-linguistic issues. This provides an opportunity to learn about symbolic and institutional aspects of medical education realities (epistemic cultures, communities of practice), structural aspects of educational programs (curricula, pedagogical initiatives) and interactive aspects of the construction and reproduction of particular selves (professional identity) through the study of verbal int</w:t>
      </w:r>
      <w:r w:rsidR="002C588B">
        <w:rPr>
          <w:lang w:val="en-GB"/>
        </w:rPr>
        <w:t xml:space="preserve">eractions or written accounts. </w:t>
      </w:r>
      <w:r w:rsidR="00361A99" w:rsidRPr="005F73BE">
        <w:rPr>
          <w:lang w:val="en-GB"/>
        </w:rPr>
        <w:t>However, as vital as such clues may be, w</w:t>
      </w:r>
      <w:r w:rsidR="00E345CE" w:rsidRPr="005F73BE">
        <w:rPr>
          <w:lang w:val="en-GB"/>
        </w:rPr>
        <w:t>e believe that students of discourse</w:t>
      </w:r>
      <w:r w:rsidR="00361A99" w:rsidRPr="005F73BE">
        <w:rPr>
          <w:lang w:val="en-GB"/>
        </w:rPr>
        <w:t xml:space="preserve"> should</w:t>
      </w:r>
      <w:r w:rsidR="00E345CE" w:rsidRPr="005F73BE">
        <w:rPr>
          <w:lang w:val="en-GB"/>
        </w:rPr>
        <w:t xml:space="preserve"> avoid jumping too easily from </w:t>
      </w:r>
      <w:r w:rsidR="00361A99" w:rsidRPr="005F73BE">
        <w:rPr>
          <w:lang w:val="en-GB"/>
        </w:rPr>
        <w:t>analysis of</w:t>
      </w:r>
      <w:r w:rsidR="00E345CE" w:rsidRPr="005F73BE">
        <w:rPr>
          <w:lang w:val="en-GB"/>
        </w:rPr>
        <w:t xml:space="preserve"> texts and </w:t>
      </w:r>
      <w:r w:rsidR="00361A99" w:rsidRPr="005F73BE">
        <w:rPr>
          <w:lang w:val="en-GB"/>
        </w:rPr>
        <w:t>interview materials</w:t>
      </w:r>
      <w:r w:rsidR="00E345CE" w:rsidRPr="005F73BE">
        <w:rPr>
          <w:lang w:val="en-GB"/>
        </w:rPr>
        <w:t xml:space="preserve"> to inferences about</w:t>
      </w:r>
      <w:r w:rsidR="00B53AC9" w:rsidRPr="005F73BE">
        <w:rPr>
          <w:lang w:val="en-GB"/>
        </w:rPr>
        <w:t xml:space="preserve"> related, </w:t>
      </w:r>
      <w:r w:rsidR="00E345CE" w:rsidRPr="005F73BE">
        <w:rPr>
          <w:lang w:val="en-GB"/>
        </w:rPr>
        <w:t>non-linguistic phenomena</w:t>
      </w:r>
      <w:r w:rsidR="00361A99" w:rsidRPr="005F73BE">
        <w:rPr>
          <w:lang w:val="en-GB"/>
        </w:rPr>
        <w:t xml:space="preserve"> of interest</w:t>
      </w:r>
      <w:r w:rsidR="00E345CE" w:rsidRPr="005F73BE">
        <w:rPr>
          <w:lang w:val="en-GB"/>
        </w:rPr>
        <w:t xml:space="preserve">. </w:t>
      </w:r>
      <w:r w:rsidR="00361A99" w:rsidRPr="005F73BE">
        <w:rPr>
          <w:lang w:val="en-GB"/>
        </w:rPr>
        <w:t xml:space="preserve">We suggest that it is helpful to distinguish </w:t>
      </w:r>
      <w:r w:rsidR="00B53AC9" w:rsidRPr="005F73BE">
        <w:rPr>
          <w:lang w:val="en-GB"/>
        </w:rPr>
        <w:t>heuristically between text</w:t>
      </w:r>
      <w:r w:rsidR="006244E1" w:rsidRPr="005F73BE">
        <w:rPr>
          <w:lang w:val="en-GB"/>
        </w:rPr>
        <w:t xml:space="preserve"> (including </w:t>
      </w:r>
      <w:r w:rsidR="00A72706" w:rsidRPr="005F73BE">
        <w:rPr>
          <w:lang w:val="en-GB"/>
        </w:rPr>
        <w:t xml:space="preserve">written </w:t>
      </w:r>
      <w:r w:rsidR="00D85127" w:rsidRPr="005F73BE">
        <w:rPr>
          <w:lang w:val="en-GB"/>
        </w:rPr>
        <w:t>and spoken text</w:t>
      </w:r>
      <w:r w:rsidR="006244E1" w:rsidRPr="005F73BE">
        <w:rPr>
          <w:lang w:val="en-GB"/>
        </w:rPr>
        <w:t>)</w:t>
      </w:r>
      <w:r w:rsidR="00B53AC9" w:rsidRPr="005F73BE">
        <w:rPr>
          <w:lang w:val="en-GB"/>
        </w:rPr>
        <w:t>, practices and meaning</w:t>
      </w:r>
      <w:r w:rsidR="001B0A26">
        <w:rPr>
          <w:lang w:val="en-GB"/>
        </w:rPr>
        <w:t>;</w:t>
      </w:r>
      <w:r w:rsidR="00B53AC9" w:rsidRPr="005F73BE">
        <w:rPr>
          <w:lang w:val="en-GB"/>
        </w:rPr>
        <w:t xml:space="preserve"> and to pay close attention to what kind of empirical material it takes to make well-founded claims about each.  </w:t>
      </w:r>
      <w:r w:rsidR="0032766F" w:rsidRPr="005F73BE">
        <w:rPr>
          <w:lang w:val="en-GB"/>
        </w:rPr>
        <w:t xml:space="preserve">We will, </w:t>
      </w:r>
      <w:r w:rsidR="00A4701D" w:rsidRPr="005F73BE">
        <w:rPr>
          <w:lang w:val="en-GB"/>
        </w:rPr>
        <w:t>adapting</w:t>
      </w:r>
      <w:r w:rsidR="0032766F" w:rsidRPr="005F73BE">
        <w:rPr>
          <w:lang w:val="en-GB"/>
        </w:rPr>
        <w:t xml:space="preserve"> Alvesson &amp; Kärreman</w:t>
      </w:r>
      <w:r w:rsidR="00D826FF" w:rsidRPr="005F73BE">
        <w:rPr>
          <w:vertAlign w:val="superscript"/>
          <w:lang w:val="en-GB"/>
        </w:rPr>
        <w:t>1</w:t>
      </w:r>
      <w:r w:rsidR="0032766F" w:rsidRPr="005F73BE">
        <w:rPr>
          <w:lang w:val="en-GB"/>
        </w:rPr>
        <w:t xml:space="preserve"> </w:t>
      </w:r>
      <w:r w:rsidR="004949AC">
        <w:rPr>
          <w:lang w:val="en-GB"/>
        </w:rPr>
        <w:t>and Kärreman</w:t>
      </w:r>
      <w:r w:rsidR="00D826FF" w:rsidRPr="005F73BE">
        <w:rPr>
          <w:vertAlign w:val="superscript"/>
          <w:lang w:val="en-GB"/>
        </w:rPr>
        <w:t xml:space="preserve">37 </w:t>
      </w:r>
      <w:r w:rsidR="0032766F" w:rsidRPr="005F73BE">
        <w:rPr>
          <w:lang w:val="en-GB"/>
        </w:rPr>
        <w:t xml:space="preserve">henceforth talk about the </w:t>
      </w:r>
      <w:r w:rsidR="0032766F" w:rsidRPr="005F73BE">
        <w:rPr>
          <w:i/>
          <w:lang w:val="en-GB"/>
        </w:rPr>
        <w:t>levels</w:t>
      </w:r>
      <w:r w:rsidR="0032766F" w:rsidRPr="005F73BE">
        <w:rPr>
          <w:lang w:val="en-GB"/>
        </w:rPr>
        <w:t xml:space="preserve"> of </w:t>
      </w:r>
      <w:r w:rsidR="00D63416" w:rsidRPr="005F73BE">
        <w:rPr>
          <w:lang w:val="en-GB"/>
        </w:rPr>
        <w:t>text</w:t>
      </w:r>
      <w:r w:rsidR="0032766F" w:rsidRPr="005F73BE">
        <w:rPr>
          <w:lang w:val="en-GB"/>
        </w:rPr>
        <w:t>,</w:t>
      </w:r>
      <w:r w:rsidR="00AA5A04" w:rsidRPr="005F73BE">
        <w:rPr>
          <w:lang w:val="en-GB"/>
        </w:rPr>
        <w:t xml:space="preserve"> practice</w:t>
      </w:r>
      <w:r w:rsidR="0032766F" w:rsidRPr="005F73BE">
        <w:rPr>
          <w:lang w:val="en-GB"/>
        </w:rPr>
        <w:t xml:space="preserve">, and </w:t>
      </w:r>
      <w:r w:rsidR="00067618" w:rsidRPr="005F73BE">
        <w:rPr>
          <w:lang w:val="en-GB"/>
        </w:rPr>
        <w:t>meaning</w:t>
      </w:r>
      <w:r w:rsidR="0032766F" w:rsidRPr="005F73BE">
        <w:rPr>
          <w:lang w:val="en-GB"/>
        </w:rPr>
        <w:t xml:space="preserve">. </w:t>
      </w:r>
    </w:p>
    <w:p w14:paraId="6A4A87E6" w14:textId="270537C6" w:rsidR="00812982" w:rsidRPr="005F73BE" w:rsidRDefault="00391AD1" w:rsidP="00812982">
      <w:pPr>
        <w:spacing w:after="120"/>
        <w:rPr>
          <w:i/>
          <w:lang w:val="en-GB"/>
        </w:rPr>
      </w:pPr>
      <w:r w:rsidRPr="005F73BE">
        <w:rPr>
          <w:i/>
          <w:lang w:val="en-GB"/>
        </w:rPr>
        <w:t xml:space="preserve">The level of </w:t>
      </w:r>
      <w:r w:rsidR="00D63416" w:rsidRPr="005F73BE">
        <w:rPr>
          <w:i/>
          <w:lang w:val="en-GB"/>
        </w:rPr>
        <w:t xml:space="preserve">text </w:t>
      </w:r>
      <w:r w:rsidR="00F873E3" w:rsidRPr="005F73BE">
        <w:rPr>
          <w:lang w:val="en-GB"/>
        </w:rPr>
        <w:t>While not</w:t>
      </w:r>
      <w:r w:rsidR="00F873E3" w:rsidRPr="005F73BE">
        <w:rPr>
          <w:i/>
          <w:lang w:val="en-GB"/>
        </w:rPr>
        <w:t xml:space="preserve"> </w:t>
      </w:r>
      <w:r w:rsidR="00F873E3" w:rsidRPr="005F73BE">
        <w:rPr>
          <w:lang w:val="en-GB"/>
        </w:rPr>
        <w:t>denying that utterances may represent external realities</w:t>
      </w:r>
      <w:r w:rsidR="00E646FF" w:rsidRPr="005F73BE">
        <w:rPr>
          <w:lang w:val="en-GB"/>
        </w:rPr>
        <w:t xml:space="preserve">, </w:t>
      </w:r>
      <w:r w:rsidR="00F873E3" w:rsidRPr="005F73BE">
        <w:rPr>
          <w:lang w:val="en-GB"/>
        </w:rPr>
        <w:t>discourse</w:t>
      </w:r>
      <w:r w:rsidRPr="005F73BE">
        <w:rPr>
          <w:lang w:val="en-GB"/>
        </w:rPr>
        <w:t xml:space="preserve"> analyst</w:t>
      </w:r>
      <w:r w:rsidR="00E646FF" w:rsidRPr="005F73BE">
        <w:rPr>
          <w:lang w:val="en-GB"/>
        </w:rPr>
        <w:t>s</w:t>
      </w:r>
      <w:r w:rsidRPr="005F73BE">
        <w:rPr>
          <w:lang w:val="en-GB"/>
        </w:rPr>
        <w:t xml:space="preserve"> </w:t>
      </w:r>
      <w:r w:rsidR="00E646FF" w:rsidRPr="005F73BE">
        <w:rPr>
          <w:lang w:val="en-GB"/>
        </w:rPr>
        <w:t xml:space="preserve">rightly </w:t>
      </w:r>
      <w:r w:rsidRPr="005F73BE">
        <w:rPr>
          <w:lang w:val="en-GB"/>
        </w:rPr>
        <w:t xml:space="preserve">point out </w:t>
      </w:r>
      <w:r w:rsidR="00F873E3" w:rsidRPr="005F73BE">
        <w:rPr>
          <w:lang w:val="en-GB"/>
        </w:rPr>
        <w:t xml:space="preserve">that this may be a fairly uninteresting dimension of </w:t>
      </w:r>
      <w:r w:rsidR="00F873E3" w:rsidRPr="005F73BE">
        <w:rPr>
          <w:lang w:val="en-GB"/>
        </w:rPr>
        <w:lastRenderedPageBreak/>
        <w:t xml:space="preserve">language use. </w:t>
      </w:r>
      <w:r w:rsidR="00BA1620" w:rsidRPr="005F73BE">
        <w:rPr>
          <w:lang w:val="en-GB"/>
        </w:rPr>
        <w:t>For one thing, it may</w:t>
      </w:r>
      <w:r w:rsidR="00F873E3" w:rsidRPr="005F73BE">
        <w:rPr>
          <w:lang w:val="en-GB"/>
        </w:rPr>
        <w:t xml:space="preserve"> be exceedingly difficult to establish representational validity. Things like memories and mental states are, after all, only accessible through their verbal representation. </w:t>
      </w:r>
      <w:r w:rsidR="00E5175C" w:rsidRPr="005F73BE">
        <w:rPr>
          <w:lang w:val="en-GB"/>
        </w:rPr>
        <w:t xml:space="preserve">There is no way </w:t>
      </w:r>
      <w:r w:rsidR="00A23934" w:rsidRPr="005F73BE">
        <w:rPr>
          <w:lang w:val="en-GB"/>
        </w:rPr>
        <w:t>to</w:t>
      </w:r>
      <w:r w:rsidR="00F873E3" w:rsidRPr="005F73BE">
        <w:rPr>
          <w:lang w:val="en-GB"/>
        </w:rPr>
        <w:t xml:space="preserve"> check them out without asking people to use representations to convey them. More importantly, a</w:t>
      </w:r>
      <w:r w:rsidRPr="005F73BE">
        <w:rPr>
          <w:lang w:val="en-GB"/>
        </w:rPr>
        <w:t xml:space="preserve"> focus on representational validity </w:t>
      </w:r>
      <w:r w:rsidR="00F873E3" w:rsidRPr="005F73BE">
        <w:rPr>
          <w:lang w:val="en-GB"/>
        </w:rPr>
        <w:t>also suppresses and marginalizes</w:t>
      </w:r>
      <w:r w:rsidRPr="005F73BE">
        <w:rPr>
          <w:lang w:val="en-GB"/>
        </w:rPr>
        <w:t xml:space="preserve"> the constructive and conte</w:t>
      </w:r>
      <w:r w:rsidR="00F873E3" w:rsidRPr="005F73BE">
        <w:rPr>
          <w:lang w:val="en-GB"/>
        </w:rPr>
        <w:t xml:space="preserve">xtual character of language use. As shown by Potter &amp; </w:t>
      </w:r>
      <w:r w:rsidR="003F7DD1">
        <w:rPr>
          <w:lang w:val="en-GB"/>
        </w:rPr>
        <w:t>Wetherell</w:t>
      </w:r>
      <w:r w:rsidR="0085796E">
        <w:rPr>
          <w:vertAlign w:val="superscript"/>
          <w:lang w:val="en-GB"/>
        </w:rPr>
        <w:t xml:space="preserve">3 </w:t>
      </w:r>
      <w:r w:rsidR="00F873E3" w:rsidRPr="005F73BE">
        <w:rPr>
          <w:lang w:val="en-GB"/>
        </w:rPr>
        <w:t>and numerous others</w:t>
      </w:r>
      <w:r w:rsidR="00A23934" w:rsidRPr="005F73BE">
        <w:rPr>
          <w:lang w:val="en-GB"/>
        </w:rPr>
        <w:t>,</w:t>
      </w:r>
      <w:r w:rsidR="00F873E3" w:rsidRPr="005F73BE">
        <w:rPr>
          <w:lang w:val="en-GB"/>
        </w:rPr>
        <w:t xml:space="preserve"> </w:t>
      </w:r>
      <w:r w:rsidRPr="005F73BE">
        <w:rPr>
          <w:lang w:val="en-GB"/>
        </w:rPr>
        <w:t>language use is a worthy object of study in its own rig</w:t>
      </w:r>
      <w:r w:rsidR="00F873E3" w:rsidRPr="005F73BE">
        <w:rPr>
          <w:lang w:val="en-GB"/>
        </w:rPr>
        <w:t>ht</w:t>
      </w:r>
      <w:r w:rsidRPr="005F73BE">
        <w:rPr>
          <w:lang w:val="en-GB"/>
        </w:rPr>
        <w:t xml:space="preserve">. </w:t>
      </w:r>
      <w:r w:rsidR="00A62520" w:rsidRPr="005F73BE">
        <w:rPr>
          <w:lang w:val="en-GB"/>
        </w:rPr>
        <w:t xml:space="preserve">The point is to take an interest in the various ways people use language, not only in the accounts they describe, but also in the realities their accounts attempt to produce (or reproduce). </w:t>
      </w:r>
      <w:r w:rsidR="00812982" w:rsidRPr="005F73BE">
        <w:rPr>
          <w:lang w:val="en-GB"/>
        </w:rPr>
        <w:t xml:space="preserve">At the level of text, effects and consequences of language use matter, and not necessarily what the utterances are supposed to represent. Insight about social phenomena can be facilitated and enriched by using discourse to focus on talk and text. Discourse also shine light on underdeveloped domains of research such as examining </w:t>
      </w:r>
      <w:bookmarkStart w:id="0" w:name="_GoBack"/>
      <w:bookmarkEnd w:id="0"/>
      <w:r w:rsidR="00794FC0" w:rsidRPr="005F73BE">
        <w:rPr>
          <w:lang w:val="en-GB"/>
        </w:rPr>
        <w:t>individual’s</w:t>
      </w:r>
      <w:r w:rsidR="00812982" w:rsidRPr="005F73BE">
        <w:rPr>
          <w:lang w:val="en-GB"/>
        </w:rPr>
        <w:t xml:space="preserve"> </w:t>
      </w:r>
      <w:r w:rsidR="00320BD1">
        <w:rPr>
          <w:lang w:val="en-GB"/>
        </w:rPr>
        <w:t>speech</w:t>
      </w:r>
      <w:r w:rsidR="00812982" w:rsidRPr="005F73BE">
        <w:rPr>
          <w:lang w:val="en-GB"/>
        </w:rPr>
        <w:t xml:space="preserve"> across different situations and what is gained b</w:t>
      </w:r>
      <w:r w:rsidR="006E4432">
        <w:rPr>
          <w:lang w:val="en-GB"/>
        </w:rPr>
        <w:t>y assuming such forms of speech</w:t>
      </w:r>
      <w:r w:rsidR="00812982" w:rsidRPr="005F73BE">
        <w:rPr>
          <w:lang w:val="en-GB"/>
        </w:rPr>
        <w:t xml:space="preserve">. </w:t>
      </w:r>
    </w:p>
    <w:p w14:paraId="770AE246" w14:textId="2B338FCF" w:rsidR="00892CDB" w:rsidRPr="005F73BE" w:rsidRDefault="00812982" w:rsidP="00812982">
      <w:pPr>
        <w:spacing w:after="120"/>
        <w:rPr>
          <w:lang w:val="en-GB"/>
        </w:rPr>
      </w:pPr>
      <w:r w:rsidRPr="005F73BE">
        <w:rPr>
          <w:i/>
          <w:lang w:val="en-GB"/>
        </w:rPr>
        <w:t xml:space="preserve">The level of practice </w:t>
      </w:r>
      <w:r w:rsidRPr="005F73BE">
        <w:rPr>
          <w:lang w:val="en-GB"/>
        </w:rPr>
        <w:t xml:space="preserve">Study this level means to take interest in what people do and how they do it. It demands participant observation and/or longitudinal contact to provide some evidence of first-hand experience with people performing the described practices. </w:t>
      </w:r>
      <w:r w:rsidR="00AA5A04" w:rsidRPr="005F73BE">
        <w:rPr>
          <w:lang w:val="en-GB"/>
        </w:rPr>
        <w:t>Observation is also perhaps the most direct and economical way to provide evidence on the difference between what people say they do (or espoused values) and what the</w:t>
      </w:r>
      <w:r w:rsidR="00DE0C94" w:rsidRPr="005F73BE">
        <w:rPr>
          <w:lang w:val="en-GB"/>
        </w:rPr>
        <w:t>y</w:t>
      </w:r>
      <w:r w:rsidR="00AA5A04" w:rsidRPr="005F73BE">
        <w:rPr>
          <w:lang w:val="en-GB"/>
        </w:rPr>
        <w:t xml:space="preserve"> actually do (values in use).</w:t>
      </w:r>
      <w:r w:rsidR="00937268" w:rsidRPr="005F73BE">
        <w:rPr>
          <w:lang w:val="en-GB"/>
        </w:rPr>
        <w:t xml:space="preserve"> Some would argue that the insistence on observation is misguided, since observations necessarily have to be conveyed </w:t>
      </w:r>
      <w:r w:rsidR="00892CDB" w:rsidRPr="005F73BE">
        <w:rPr>
          <w:lang w:val="en-GB"/>
        </w:rPr>
        <w:t>through</w:t>
      </w:r>
      <w:r w:rsidR="00937268" w:rsidRPr="005F73BE">
        <w:rPr>
          <w:lang w:val="en-GB"/>
        </w:rPr>
        <w:t xml:space="preserve"> language use in the form of </w:t>
      </w:r>
      <w:r w:rsidR="00892CDB" w:rsidRPr="005F73BE">
        <w:rPr>
          <w:lang w:val="en-GB"/>
        </w:rPr>
        <w:t xml:space="preserve">representations. Ergo, we </w:t>
      </w:r>
      <w:r w:rsidR="003E6BB2" w:rsidRPr="005F73BE">
        <w:rPr>
          <w:lang w:val="en-GB"/>
        </w:rPr>
        <w:t xml:space="preserve">cannot </w:t>
      </w:r>
      <w:r w:rsidR="00892CDB" w:rsidRPr="005F73BE">
        <w:rPr>
          <w:lang w:val="en-GB"/>
        </w:rPr>
        <w:t xml:space="preserve">escape the level of text. There is some merit in this argument. It is clear that findings are always communicated though language use. However, we argue that language use also includes the possibility of a limited </w:t>
      </w:r>
      <w:r w:rsidR="00320BD1">
        <w:rPr>
          <w:lang w:val="en-GB"/>
        </w:rPr>
        <w:t>(</w:t>
      </w:r>
      <w:r w:rsidR="00892CDB" w:rsidRPr="005F73BE">
        <w:rPr>
          <w:lang w:val="en-GB"/>
        </w:rPr>
        <w:t xml:space="preserve">and </w:t>
      </w:r>
      <w:r w:rsidR="00320BD1">
        <w:rPr>
          <w:lang w:val="en-GB"/>
        </w:rPr>
        <w:t>problematic)</w:t>
      </w:r>
      <w:r w:rsidR="006244E1" w:rsidRPr="005F73BE">
        <w:rPr>
          <w:lang w:val="en-GB"/>
        </w:rPr>
        <w:t xml:space="preserve"> capacity</w:t>
      </w:r>
      <w:r w:rsidR="00892CDB" w:rsidRPr="005F73BE">
        <w:rPr>
          <w:lang w:val="en-GB"/>
        </w:rPr>
        <w:t xml:space="preserve"> to </w:t>
      </w:r>
      <w:r w:rsidR="006244E1" w:rsidRPr="005F73BE">
        <w:rPr>
          <w:lang w:val="en-GB"/>
        </w:rPr>
        <w:t>represent reality</w:t>
      </w:r>
      <w:r w:rsidR="00892CDB" w:rsidRPr="005F73BE">
        <w:rPr>
          <w:lang w:val="en-GB"/>
        </w:rPr>
        <w:t>, and thus not only to produce and create</w:t>
      </w:r>
      <w:r w:rsidR="006244E1" w:rsidRPr="005F73BE">
        <w:rPr>
          <w:lang w:val="en-GB"/>
        </w:rPr>
        <w:t xml:space="preserve"> it</w:t>
      </w:r>
      <w:r w:rsidR="00892CDB" w:rsidRPr="005F73BE">
        <w:rPr>
          <w:lang w:val="en-GB"/>
        </w:rPr>
        <w:t>. The</w:t>
      </w:r>
      <w:r w:rsidR="001525C0" w:rsidRPr="005F73BE">
        <w:rPr>
          <w:lang w:val="en-GB"/>
        </w:rPr>
        <w:t xml:space="preserve"> problems around</w:t>
      </w:r>
      <w:r w:rsidR="00892CDB" w:rsidRPr="005F73BE">
        <w:rPr>
          <w:lang w:val="en-GB"/>
        </w:rPr>
        <w:t xml:space="preserve"> representation in language </w:t>
      </w:r>
      <w:r w:rsidR="00171318" w:rsidRPr="005F73BE">
        <w:rPr>
          <w:lang w:val="en-GB"/>
        </w:rPr>
        <w:t>are</w:t>
      </w:r>
      <w:r w:rsidR="00892CDB" w:rsidRPr="005F73BE">
        <w:rPr>
          <w:lang w:val="en-GB"/>
        </w:rPr>
        <w:t xml:space="preserve"> not solved by giving up </w:t>
      </w:r>
      <w:r w:rsidR="006244E1" w:rsidRPr="005F73BE">
        <w:rPr>
          <w:lang w:val="en-GB"/>
        </w:rPr>
        <w:t xml:space="preserve">the possibility of </w:t>
      </w:r>
      <w:r w:rsidR="00892CDB" w:rsidRPr="005F73BE">
        <w:rPr>
          <w:lang w:val="en-GB"/>
        </w:rPr>
        <w:t xml:space="preserve">representations wholesale. </w:t>
      </w:r>
      <w:r w:rsidR="00171318" w:rsidRPr="005F73BE">
        <w:rPr>
          <w:lang w:val="en-GB"/>
        </w:rPr>
        <w:t>They are</w:t>
      </w:r>
      <w:r w:rsidR="00892CDB" w:rsidRPr="005F73BE">
        <w:rPr>
          <w:lang w:val="en-GB"/>
        </w:rPr>
        <w:t xml:space="preserve"> best dealt with by reflexivity and sensitivity to the complex and nuanced capacities of language use</w:t>
      </w:r>
      <w:r w:rsidR="00126821">
        <w:rPr>
          <w:lang w:val="en-GB"/>
        </w:rPr>
        <w:t>.</w:t>
      </w:r>
      <w:r w:rsidR="00635828" w:rsidRPr="005F73BE">
        <w:rPr>
          <w:vertAlign w:val="superscript"/>
          <w:lang w:val="en-GB"/>
        </w:rPr>
        <w:t>14,38</w:t>
      </w:r>
      <w:r w:rsidR="00171318" w:rsidRPr="005F73BE">
        <w:rPr>
          <w:lang w:val="en-GB"/>
        </w:rPr>
        <w:t xml:space="preserve"> In consequence, we </w:t>
      </w:r>
      <w:r w:rsidR="00AB6930" w:rsidRPr="005F73BE">
        <w:rPr>
          <w:lang w:val="en-GB"/>
        </w:rPr>
        <w:t>think</w:t>
      </w:r>
      <w:r w:rsidR="00171318" w:rsidRPr="005F73BE">
        <w:rPr>
          <w:lang w:val="en-GB"/>
        </w:rPr>
        <w:t xml:space="preserve"> that researchers’ reflective representations of observations can </w:t>
      </w:r>
      <w:r w:rsidR="00B118B8" w:rsidRPr="005F73BE">
        <w:rPr>
          <w:lang w:val="en-GB"/>
        </w:rPr>
        <w:t>convey</w:t>
      </w:r>
      <w:r w:rsidR="00BB4777" w:rsidRPr="005F73BE">
        <w:rPr>
          <w:lang w:val="en-GB"/>
        </w:rPr>
        <w:t xml:space="preserve"> valuable</w:t>
      </w:r>
      <w:r w:rsidR="00171318" w:rsidRPr="005F73BE">
        <w:rPr>
          <w:lang w:val="en-GB"/>
        </w:rPr>
        <w:t xml:space="preserve"> insights into observed practices.</w:t>
      </w:r>
    </w:p>
    <w:p w14:paraId="0512CAF1" w14:textId="4A3A5C67" w:rsidR="00AA5A04" w:rsidRPr="005F73BE" w:rsidRDefault="00AA5A04" w:rsidP="00AA5A04">
      <w:pPr>
        <w:spacing w:after="120"/>
        <w:rPr>
          <w:i/>
          <w:lang w:val="en-GB"/>
        </w:rPr>
      </w:pPr>
      <w:r w:rsidRPr="005F73BE">
        <w:rPr>
          <w:i/>
          <w:lang w:val="en-GB"/>
        </w:rPr>
        <w:t xml:space="preserve">The level of meaning </w:t>
      </w:r>
      <w:r w:rsidR="00812982" w:rsidRPr="005F73BE">
        <w:rPr>
          <w:lang w:val="en-GB"/>
        </w:rPr>
        <w:t xml:space="preserve">Because we cannot see something without seeing it </w:t>
      </w:r>
      <w:r w:rsidR="00812982" w:rsidRPr="005F73BE">
        <w:rPr>
          <w:i/>
          <w:lang w:val="en-GB"/>
        </w:rPr>
        <w:t>as</w:t>
      </w:r>
      <w:r w:rsidR="00812982" w:rsidRPr="005F73BE">
        <w:rPr>
          <w:lang w:val="en-GB"/>
        </w:rPr>
        <w:t xml:space="preserve"> something</w:t>
      </w:r>
      <w:r w:rsidR="00126821">
        <w:rPr>
          <w:lang w:val="en-GB"/>
        </w:rPr>
        <w:t>,</w:t>
      </w:r>
      <w:r w:rsidR="00812982" w:rsidRPr="005F73BE">
        <w:rPr>
          <w:lang w:val="en-GB"/>
        </w:rPr>
        <w:t xml:space="preserve"> </w:t>
      </w:r>
      <w:r w:rsidR="00635828" w:rsidRPr="005F73BE">
        <w:rPr>
          <w:vertAlign w:val="superscript"/>
          <w:lang w:val="en-GB"/>
        </w:rPr>
        <w:t>3</w:t>
      </w:r>
      <w:r w:rsidR="0085796E">
        <w:rPr>
          <w:vertAlign w:val="superscript"/>
          <w:lang w:val="en-GB"/>
        </w:rPr>
        <w:t>9</w:t>
      </w:r>
      <w:r w:rsidR="00812982" w:rsidRPr="005F73BE">
        <w:rPr>
          <w:lang w:val="en-GB"/>
        </w:rPr>
        <w:t xml:space="preserve"> the level of meaning is irreducible from attempts to figure out what people are doing or saying. One is already interpreting when seeing people engaged in verbal exchange as talking to each other. The sense made by the researcher, however, is only one aspect of the level of meaning as the meanings made by research participants may be of even greater significance when conducting empirical research. To consider the level of meaning implies t</w:t>
      </w:r>
      <w:r w:rsidR="00C82DA8" w:rsidRPr="005F73BE">
        <w:rPr>
          <w:lang w:val="en-GB"/>
        </w:rPr>
        <w:t xml:space="preserve">o learn the meanings used by the people under study: to become fluent in the specific </w:t>
      </w:r>
      <w:r w:rsidR="00E14E51" w:rsidRPr="005F73BE">
        <w:rPr>
          <w:lang w:val="en-GB"/>
        </w:rPr>
        <w:t>vernacular</w:t>
      </w:r>
      <w:r w:rsidR="00C82DA8" w:rsidRPr="005F73BE">
        <w:rPr>
          <w:lang w:val="en-GB"/>
        </w:rPr>
        <w:t xml:space="preserve"> used by the group of people you follow and try to understand</w:t>
      </w:r>
      <w:r w:rsidRPr="005F73BE">
        <w:rPr>
          <w:lang w:val="en-GB"/>
        </w:rPr>
        <w:t xml:space="preserve">. In Geertz formulation, it means to engage in thick, rather than thin, descriptions: </w:t>
      </w:r>
      <w:r w:rsidR="00C82DA8" w:rsidRPr="005F73BE">
        <w:rPr>
          <w:lang w:val="en-GB"/>
        </w:rPr>
        <w:t>unpacking</w:t>
      </w:r>
      <w:r w:rsidRPr="005F73BE">
        <w:rPr>
          <w:lang w:val="en-GB"/>
        </w:rPr>
        <w:t xml:space="preserve"> the many layers of meaning in cultural material</w:t>
      </w:r>
      <w:r w:rsidR="00C82DA8" w:rsidRPr="005F73BE">
        <w:rPr>
          <w:lang w:val="en-GB"/>
        </w:rPr>
        <w:t xml:space="preserve"> tapped</w:t>
      </w:r>
      <w:r w:rsidR="00E14E51" w:rsidRPr="005F73BE">
        <w:rPr>
          <w:lang w:val="en-GB"/>
        </w:rPr>
        <w:t>, deployed</w:t>
      </w:r>
      <w:r w:rsidR="00C82DA8" w:rsidRPr="005F73BE">
        <w:rPr>
          <w:lang w:val="en-GB"/>
        </w:rPr>
        <w:t xml:space="preserve"> and </w:t>
      </w:r>
      <w:r w:rsidR="00E14E51" w:rsidRPr="005F73BE">
        <w:rPr>
          <w:lang w:val="en-GB"/>
        </w:rPr>
        <w:t>played</w:t>
      </w:r>
      <w:r w:rsidR="00C82DA8" w:rsidRPr="005F73BE">
        <w:rPr>
          <w:lang w:val="en-GB"/>
        </w:rPr>
        <w:t xml:space="preserve"> with by the insiders</w:t>
      </w:r>
      <w:r w:rsidRPr="005F73BE">
        <w:rPr>
          <w:lang w:val="en-GB"/>
        </w:rPr>
        <w:t>.</w:t>
      </w:r>
      <w:r w:rsidR="00635828" w:rsidRPr="005F73BE">
        <w:rPr>
          <w:vertAlign w:val="superscript"/>
          <w:lang w:val="en-GB"/>
        </w:rPr>
        <w:t>3</w:t>
      </w:r>
      <w:r w:rsidR="0085796E">
        <w:rPr>
          <w:vertAlign w:val="superscript"/>
          <w:lang w:val="en-GB"/>
        </w:rPr>
        <w:t>9</w:t>
      </w:r>
    </w:p>
    <w:p w14:paraId="4763AEB3" w14:textId="2821886B" w:rsidR="00A62520" w:rsidRPr="005F73BE" w:rsidRDefault="00C82DA8" w:rsidP="006244E1">
      <w:pPr>
        <w:spacing w:after="120"/>
        <w:rPr>
          <w:lang w:val="en-GB"/>
        </w:rPr>
      </w:pPr>
      <w:r w:rsidRPr="005F73BE">
        <w:rPr>
          <w:lang w:val="en-GB"/>
        </w:rPr>
        <w:t xml:space="preserve">Since meaning can be ephemeral as well as persistent, there is a need to attempt to make the distinction. Both types of meaning give clues to how the people under study make sense and understand the world they inhabit. </w:t>
      </w:r>
      <w:r w:rsidR="00AA5A04" w:rsidRPr="005F73BE">
        <w:rPr>
          <w:lang w:val="en-GB"/>
        </w:rPr>
        <w:t xml:space="preserve"> </w:t>
      </w:r>
      <w:r w:rsidRPr="005F73BE">
        <w:rPr>
          <w:lang w:val="en-GB"/>
        </w:rPr>
        <w:t>As for</w:t>
      </w:r>
      <w:r w:rsidR="00AA5A04" w:rsidRPr="005F73BE">
        <w:rPr>
          <w:lang w:val="en-GB"/>
        </w:rPr>
        <w:t xml:space="preserve"> the practices </w:t>
      </w:r>
      <w:r w:rsidRPr="005F73BE">
        <w:rPr>
          <w:lang w:val="en-GB"/>
        </w:rPr>
        <w:t>engaged in</w:t>
      </w:r>
      <w:r w:rsidR="00AA5A04" w:rsidRPr="005F73BE">
        <w:rPr>
          <w:lang w:val="en-GB"/>
        </w:rPr>
        <w:t xml:space="preserve"> by the inhabitants, </w:t>
      </w:r>
      <w:r w:rsidRPr="005F73BE">
        <w:rPr>
          <w:lang w:val="en-GB"/>
        </w:rPr>
        <w:t xml:space="preserve">researching the </w:t>
      </w:r>
      <w:r w:rsidR="00AA5A04" w:rsidRPr="005F73BE">
        <w:rPr>
          <w:lang w:val="en-GB"/>
        </w:rPr>
        <w:t xml:space="preserve">level of meaning </w:t>
      </w:r>
      <w:r w:rsidRPr="005F73BE">
        <w:rPr>
          <w:lang w:val="en-GB"/>
        </w:rPr>
        <w:t xml:space="preserve">deals with the issue of figuring out </w:t>
      </w:r>
      <w:r w:rsidR="00AA5A04" w:rsidRPr="005F73BE">
        <w:rPr>
          <w:lang w:val="en-GB"/>
        </w:rPr>
        <w:t xml:space="preserve">what these practices mean for the people that </w:t>
      </w:r>
      <w:r w:rsidR="00E14E51" w:rsidRPr="005F73BE">
        <w:rPr>
          <w:lang w:val="en-GB"/>
        </w:rPr>
        <w:t xml:space="preserve">are actually engaging in them. </w:t>
      </w:r>
      <w:r w:rsidR="00812982" w:rsidRPr="005F73BE">
        <w:rPr>
          <w:lang w:val="en-GB"/>
        </w:rPr>
        <w:t xml:space="preserve">From the researcher’s perspective, extensive study of the practices employed in medical education may reveal what people </w:t>
      </w:r>
      <w:r w:rsidR="00812982" w:rsidRPr="005F73BE">
        <w:rPr>
          <w:lang w:val="en-GB"/>
        </w:rPr>
        <w:lastRenderedPageBreak/>
        <w:t>actually do and how they accomplish things, but provides little indication of what counts as significant in the setting examined.  One might learn what the investigator considers to be significant, but not what the practices mean to inhabitants or the consequences they deem to arise from those practices.</w:t>
      </w:r>
    </w:p>
    <w:p w14:paraId="451BB97B" w14:textId="77777777" w:rsidR="006244E1" w:rsidRPr="005F73BE" w:rsidRDefault="006244E1" w:rsidP="006244E1">
      <w:pPr>
        <w:spacing w:after="120"/>
        <w:rPr>
          <w:lang w:val="en-GB"/>
        </w:rPr>
      </w:pPr>
    </w:p>
    <w:p w14:paraId="5631E1AB" w14:textId="52AB3264" w:rsidR="00A62520" w:rsidRPr="005F73BE" w:rsidRDefault="00A62520" w:rsidP="00FE4AE1">
      <w:pPr>
        <w:spacing w:after="120"/>
        <w:outlineLvl w:val="0"/>
        <w:rPr>
          <w:caps/>
          <w:lang w:val="en-GB"/>
        </w:rPr>
      </w:pPr>
      <w:r w:rsidRPr="005F73BE">
        <w:rPr>
          <w:caps/>
          <w:lang w:val="en-GB"/>
        </w:rPr>
        <w:t>Conclusion</w:t>
      </w:r>
    </w:p>
    <w:p w14:paraId="78728AAA" w14:textId="77777777" w:rsidR="00812982" w:rsidRPr="005F73BE" w:rsidRDefault="00812982" w:rsidP="00812982">
      <w:pPr>
        <w:spacing w:after="120"/>
        <w:rPr>
          <w:lang w:val="en-GB"/>
        </w:rPr>
      </w:pPr>
      <w:r w:rsidRPr="005F73BE">
        <w:rPr>
          <w:lang w:val="en-GB"/>
        </w:rPr>
        <w:t xml:space="preserve">In this article we have argued that discourse analysis provides better supported argument when it is possible to defend claims on three levels: </w:t>
      </w:r>
      <w:r w:rsidRPr="005F73BE">
        <w:rPr>
          <w:i/>
          <w:lang w:val="en-GB"/>
        </w:rPr>
        <w:t>Practice</w:t>
      </w:r>
      <w:r w:rsidRPr="005F73BE">
        <w:rPr>
          <w:lang w:val="en-GB"/>
        </w:rPr>
        <w:t xml:space="preserve"> (with observational evidence), </w:t>
      </w:r>
      <w:r w:rsidRPr="005F73BE">
        <w:rPr>
          <w:i/>
          <w:lang w:val="en-GB"/>
        </w:rPr>
        <w:t>Meaning</w:t>
      </w:r>
      <w:r w:rsidRPr="005F73BE">
        <w:rPr>
          <w:lang w:val="en-GB"/>
        </w:rPr>
        <w:t xml:space="preserve"> (with ethnographic evidence), and </w:t>
      </w:r>
      <w:r w:rsidRPr="005F73BE">
        <w:rPr>
          <w:i/>
          <w:lang w:val="en-GB"/>
        </w:rPr>
        <w:t>Text</w:t>
      </w:r>
      <w:r w:rsidRPr="005F73BE">
        <w:rPr>
          <w:lang w:val="en-GB"/>
        </w:rPr>
        <w:t xml:space="preserve"> (with conversational and textual evidence). Such data allow better </w:t>
      </w:r>
      <w:proofErr w:type="spellStart"/>
      <w:r w:rsidRPr="005F73BE">
        <w:rPr>
          <w:lang w:val="en-GB"/>
        </w:rPr>
        <w:t>defense</w:t>
      </w:r>
      <w:proofErr w:type="spellEnd"/>
      <w:r w:rsidRPr="005F73BE">
        <w:rPr>
          <w:lang w:val="en-GB"/>
        </w:rPr>
        <w:t xml:space="preserve"> of claims of interrelations between talk, meanings, and practices in the area of study at hand. By supporting claims in this way the researcher arguably is able to say something revealing also about matters beyond the situation at hand. In a sense, the heuristic model we suggest may limit the possibility to make claims on general and broad patterns. However, it can be argued that our heuristics provide a </w:t>
      </w:r>
      <w:r w:rsidRPr="005F73BE">
        <w:rPr>
          <w:i/>
          <w:lang w:val="en-GB"/>
        </w:rPr>
        <w:t>stronger and more well-founded</w:t>
      </w:r>
      <w:r w:rsidRPr="005F73BE">
        <w:rPr>
          <w:lang w:val="en-GB"/>
        </w:rPr>
        <w:t xml:space="preserve"> foundation for broader patterns since the approach encourages systematic comparisons </w:t>
      </w:r>
      <w:r w:rsidRPr="005F73BE">
        <w:rPr>
          <w:i/>
          <w:lang w:val="en-GB"/>
        </w:rPr>
        <w:t>within</w:t>
      </w:r>
      <w:r w:rsidRPr="005F73BE">
        <w:rPr>
          <w:lang w:val="en-GB"/>
        </w:rPr>
        <w:t xml:space="preserve"> the setting where field work has been carried out.</w:t>
      </w:r>
    </w:p>
    <w:p w14:paraId="3D5A463A" w14:textId="5D3E8628" w:rsidR="004D28EF" w:rsidRPr="005F73BE" w:rsidRDefault="00812982" w:rsidP="00812982">
      <w:pPr>
        <w:spacing w:after="120"/>
        <w:rPr>
          <w:lang w:val="en-GB"/>
        </w:rPr>
      </w:pPr>
      <w:r w:rsidRPr="005F73BE">
        <w:rPr>
          <w:lang w:val="en-GB"/>
        </w:rPr>
        <w:t>The trend within social science towards refined understanding of the meaning of talk undoubtedly unsettles the conventional wisdom that language is complicated philosophically, but unproblematic methodologically. Discourse analysis provides fruitful and worthwhile tools and ideas to help us understand the role of text in social realities. However, as pointed out above, discourse analysis may mean many different things. This is not necessarily a problem, but it makes it imperative to be clear on how you as a researcher will use the term and how the claims you make on the levels of text, meaning and practice are supported by the empirical material at hand.</w:t>
      </w:r>
    </w:p>
    <w:p w14:paraId="74BA7E75" w14:textId="77777777" w:rsidR="0032766F" w:rsidRPr="005F73BE" w:rsidRDefault="0032766F" w:rsidP="0032766F">
      <w:pPr>
        <w:spacing w:after="120"/>
        <w:rPr>
          <w:lang w:val="en-GB"/>
        </w:rPr>
      </w:pPr>
    </w:p>
    <w:p w14:paraId="5BD055A8" w14:textId="77777777" w:rsidR="00635828" w:rsidRPr="005F73BE" w:rsidRDefault="00635828" w:rsidP="00635828">
      <w:pPr>
        <w:pStyle w:val="Referens0"/>
        <w:rPr>
          <w:b/>
          <w:lang w:val="en-GB"/>
        </w:rPr>
      </w:pPr>
      <w:r w:rsidRPr="005F73BE">
        <w:rPr>
          <w:b/>
          <w:lang w:val="en-GB"/>
        </w:rPr>
        <w:t>References</w:t>
      </w:r>
    </w:p>
    <w:p w14:paraId="6272E9E5" w14:textId="77777777" w:rsidR="00635828" w:rsidRPr="005F73BE" w:rsidRDefault="00635828" w:rsidP="00635828">
      <w:pPr>
        <w:pStyle w:val="Referens0"/>
        <w:rPr>
          <w:lang w:val="en-GB"/>
        </w:rPr>
      </w:pPr>
    </w:p>
    <w:p w14:paraId="6D83CFA7" w14:textId="77777777" w:rsidR="00635828" w:rsidRPr="005F73BE" w:rsidRDefault="00635828" w:rsidP="00635828">
      <w:pPr>
        <w:pStyle w:val="Referens0"/>
        <w:rPr>
          <w:rFonts w:cs="Helvetica"/>
          <w:lang w:val="en-GB"/>
        </w:rPr>
      </w:pPr>
      <w:r w:rsidRPr="005F73BE">
        <w:rPr>
          <w:lang w:val="en-GB"/>
        </w:rPr>
        <w:t>1. Alvesson M. &amp; Kärreman, D. Varieties of discourse: On the study of organizations</w:t>
      </w:r>
      <w:r w:rsidRPr="005F73BE">
        <w:rPr>
          <w:rFonts w:cs="Helvetica"/>
          <w:lang w:val="en-GB"/>
        </w:rPr>
        <w:t xml:space="preserve"> </w:t>
      </w:r>
    </w:p>
    <w:p w14:paraId="74C23539" w14:textId="77777777" w:rsidR="00635828" w:rsidRPr="005F73BE" w:rsidRDefault="00635828" w:rsidP="00635828">
      <w:pPr>
        <w:pStyle w:val="Referens0"/>
        <w:ind w:hanging="56"/>
        <w:rPr>
          <w:rFonts w:cs="Helvetica"/>
          <w:lang w:val="en-GB"/>
        </w:rPr>
      </w:pPr>
      <w:r w:rsidRPr="005F73BE">
        <w:rPr>
          <w:lang w:val="en-GB"/>
        </w:rPr>
        <w:t xml:space="preserve">through discourse analysis. </w:t>
      </w:r>
      <w:r w:rsidRPr="005F73BE">
        <w:rPr>
          <w:i/>
          <w:iCs/>
          <w:lang w:val="en-GB"/>
        </w:rPr>
        <w:t>Human Relations</w:t>
      </w:r>
      <w:r w:rsidRPr="005F73BE">
        <w:rPr>
          <w:lang w:val="en-GB"/>
        </w:rPr>
        <w:t>, 2000; 53 (9): 1125–49.</w:t>
      </w:r>
      <w:r w:rsidRPr="005F73BE">
        <w:rPr>
          <w:rFonts w:cs="Helvetica"/>
          <w:lang w:val="en-GB"/>
        </w:rPr>
        <w:t xml:space="preserve"> </w:t>
      </w:r>
    </w:p>
    <w:p w14:paraId="5980B9C7" w14:textId="77777777" w:rsidR="00635828" w:rsidRPr="005F73BE" w:rsidRDefault="00635828" w:rsidP="00635828">
      <w:pPr>
        <w:pStyle w:val="Referens0"/>
        <w:rPr>
          <w:rFonts w:cs="Times"/>
          <w:lang w:val="en-GB"/>
        </w:rPr>
      </w:pPr>
      <w:r w:rsidRPr="005F73BE">
        <w:rPr>
          <w:rFonts w:eastAsia="Cambria" w:cs="Times"/>
          <w:lang w:val="en-GB"/>
        </w:rPr>
        <w:t xml:space="preserve">2. Alvesson M. &amp; Kärreman, D. </w:t>
      </w:r>
      <w:r w:rsidRPr="005F73BE">
        <w:rPr>
          <w:rFonts w:cs="Times"/>
          <w:lang w:val="en-GB"/>
        </w:rPr>
        <w:t xml:space="preserve">Taking the linguistic turn in organizational research: challenges, responses, consequences. </w:t>
      </w:r>
      <w:r w:rsidRPr="005F73BE">
        <w:rPr>
          <w:rFonts w:cs="Times"/>
          <w:i/>
          <w:lang w:val="en-GB"/>
        </w:rPr>
        <w:t xml:space="preserve">Journal of Applied Behavioural Science </w:t>
      </w:r>
      <w:r w:rsidRPr="005F73BE">
        <w:rPr>
          <w:rFonts w:cs="Times"/>
          <w:lang w:val="en-GB"/>
        </w:rPr>
        <w:t>2000</w:t>
      </w:r>
      <w:r w:rsidRPr="005F73BE">
        <w:rPr>
          <w:rFonts w:cs="Times"/>
          <w:i/>
          <w:lang w:val="en-GB"/>
        </w:rPr>
        <w:t>;</w:t>
      </w:r>
      <w:r w:rsidRPr="005F73BE">
        <w:rPr>
          <w:rFonts w:cs="Times"/>
          <w:lang w:val="en-GB"/>
        </w:rPr>
        <w:t>36 (2): 134-156.</w:t>
      </w:r>
    </w:p>
    <w:p w14:paraId="074C4AFD" w14:textId="37CD5F1A" w:rsidR="00CF74AD" w:rsidRPr="005F73BE" w:rsidRDefault="00CF74AD" w:rsidP="00CF74AD">
      <w:pPr>
        <w:pStyle w:val="Referens0"/>
        <w:rPr>
          <w:rFonts w:eastAsia="ヒラギノ角ゴ Pro W3"/>
          <w:lang w:val="en-GB"/>
        </w:rPr>
      </w:pPr>
      <w:r w:rsidRPr="005F73BE">
        <w:rPr>
          <w:rFonts w:cs="Arial"/>
          <w:color w:val="1A1A1A"/>
          <w:lang w:val="en-GB"/>
        </w:rPr>
        <w:t xml:space="preserve">3. </w:t>
      </w:r>
      <w:r w:rsidRPr="005F73BE">
        <w:rPr>
          <w:rFonts w:eastAsia="ヒラギノ角ゴ Pro W3"/>
          <w:lang w:val="en-GB"/>
        </w:rPr>
        <w:t xml:space="preserve">Potter, J. &amp; </w:t>
      </w:r>
      <w:proofErr w:type="spellStart"/>
      <w:r w:rsidRPr="005F73BE">
        <w:rPr>
          <w:rFonts w:eastAsia="ヒラギノ角ゴ Pro W3"/>
          <w:lang w:val="en-GB"/>
        </w:rPr>
        <w:t>Wetherell</w:t>
      </w:r>
      <w:proofErr w:type="spellEnd"/>
      <w:r w:rsidRPr="005F73BE">
        <w:rPr>
          <w:rFonts w:eastAsia="ヒラギノ角ゴ Pro W3"/>
          <w:lang w:val="en-GB"/>
        </w:rPr>
        <w:t>, M. Discourse and Social Psychology. Beyond Attitudes and Behaviour. London: SAGE</w:t>
      </w:r>
      <w:r w:rsidR="00F7126B">
        <w:rPr>
          <w:rFonts w:eastAsia="ヒラギノ角ゴ Pro W3"/>
          <w:lang w:val="en-GB"/>
        </w:rPr>
        <w:t xml:space="preserve">; </w:t>
      </w:r>
      <w:r w:rsidR="00F7126B" w:rsidRPr="005F73BE">
        <w:rPr>
          <w:rFonts w:eastAsia="ヒラギノ角ゴ Pro W3"/>
          <w:lang w:val="en-GB"/>
        </w:rPr>
        <w:t>1987</w:t>
      </w:r>
    </w:p>
    <w:p w14:paraId="14E59259" w14:textId="61A073C7" w:rsidR="00CF74AD" w:rsidRPr="005F73BE" w:rsidRDefault="00F7126B" w:rsidP="00CF74AD">
      <w:pPr>
        <w:pStyle w:val="Referens0"/>
        <w:rPr>
          <w:lang w:val="en-GB"/>
        </w:rPr>
      </w:pPr>
      <w:r>
        <w:rPr>
          <w:rFonts w:cs="Arial"/>
          <w:color w:val="1A1A1A"/>
          <w:lang w:val="en-GB"/>
        </w:rPr>
        <w:t>4. Potter, J</w:t>
      </w:r>
      <w:r w:rsidR="00CF74AD" w:rsidRPr="005F73BE">
        <w:rPr>
          <w:rFonts w:cs="Arial"/>
          <w:color w:val="1A1A1A"/>
          <w:lang w:val="en-GB"/>
        </w:rPr>
        <w:t xml:space="preserve">. Discourse analysis as a way of analysing naturally occurring talk. </w:t>
      </w:r>
      <w:r w:rsidR="00CF74AD" w:rsidRPr="005F73BE">
        <w:rPr>
          <w:rFonts w:cs="Arial"/>
          <w:i/>
          <w:iCs/>
          <w:color w:val="1A1A1A"/>
          <w:lang w:val="en-GB"/>
        </w:rPr>
        <w:t>Qualitative research: Theory, method and practice</w:t>
      </w:r>
      <w:r w:rsidR="00CF74AD" w:rsidRPr="005F73BE">
        <w:rPr>
          <w:rFonts w:cs="Arial"/>
          <w:color w:val="1A1A1A"/>
          <w:lang w:val="en-GB"/>
        </w:rPr>
        <w:t xml:space="preserve">, </w:t>
      </w:r>
      <w:r w:rsidRPr="005F73BE">
        <w:rPr>
          <w:rFonts w:cs="Arial"/>
          <w:color w:val="1A1A1A"/>
          <w:lang w:val="en-GB"/>
        </w:rPr>
        <w:t>1997</w:t>
      </w:r>
      <w:r>
        <w:rPr>
          <w:rFonts w:cs="Arial"/>
          <w:color w:val="1A1A1A"/>
          <w:lang w:val="en-GB"/>
        </w:rPr>
        <w:t xml:space="preserve">; </w:t>
      </w:r>
      <w:r w:rsidR="00CF74AD" w:rsidRPr="005F73BE">
        <w:rPr>
          <w:rFonts w:cs="Arial"/>
          <w:color w:val="1A1A1A"/>
          <w:lang w:val="en-GB"/>
        </w:rPr>
        <w:t>144-160.</w:t>
      </w:r>
    </w:p>
    <w:p w14:paraId="3A63DAB0" w14:textId="5BEC2035" w:rsidR="00635828" w:rsidRPr="00F7126B" w:rsidRDefault="00CF74AD" w:rsidP="00635828">
      <w:pPr>
        <w:pStyle w:val="Referens0"/>
        <w:rPr>
          <w:rFonts w:cs="Arial"/>
          <w:color w:val="1A1A1A"/>
          <w:lang w:val="en-GB"/>
        </w:rPr>
      </w:pPr>
      <w:r w:rsidRPr="005F73BE">
        <w:rPr>
          <w:rFonts w:cs="Arial"/>
          <w:color w:val="1A1A1A"/>
          <w:lang w:val="en-GB"/>
        </w:rPr>
        <w:t>5</w:t>
      </w:r>
      <w:r w:rsidR="00F7126B">
        <w:rPr>
          <w:rFonts w:cs="Arial"/>
          <w:color w:val="1A1A1A"/>
          <w:lang w:val="en-GB"/>
        </w:rPr>
        <w:t xml:space="preserve">. </w:t>
      </w:r>
      <w:r w:rsidR="00462F80" w:rsidRPr="00F7126B">
        <w:rPr>
          <w:rFonts w:cs="Arial"/>
          <w:color w:val="1A1A1A"/>
          <w:lang w:val="en-GB" w:eastAsia="en-US"/>
        </w:rPr>
        <w:t>Butler,</w:t>
      </w:r>
      <w:r w:rsidR="00462F80">
        <w:rPr>
          <w:rFonts w:cs="Arial"/>
          <w:color w:val="1A1A1A"/>
          <w:lang w:val="en-GB" w:eastAsia="en-US"/>
        </w:rPr>
        <w:t xml:space="preserve"> J. </w:t>
      </w:r>
      <w:r w:rsidR="00462F80" w:rsidRPr="009606B3">
        <w:rPr>
          <w:rFonts w:cs="Arial"/>
          <w:color w:val="1A1A1A"/>
          <w:lang w:val="en-GB" w:eastAsia="en-US"/>
        </w:rPr>
        <w:t xml:space="preserve"> Performative acts and gender constitution: An essay in phenomenology and feminist theory. </w:t>
      </w:r>
      <w:r w:rsidR="00462F80" w:rsidRPr="009606B3">
        <w:rPr>
          <w:rFonts w:cs="Arial"/>
          <w:i/>
          <w:iCs/>
          <w:color w:val="1A1A1A"/>
          <w:lang w:val="en-GB" w:eastAsia="en-US"/>
        </w:rPr>
        <w:t>Theatre journal</w:t>
      </w:r>
      <w:r w:rsidR="00462F80" w:rsidRPr="009606B3">
        <w:rPr>
          <w:rFonts w:cs="Arial"/>
          <w:color w:val="1A1A1A"/>
          <w:lang w:val="en-GB" w:eastAsia="en-US"/>
        </w:rPr>
        <w:t>, 1988</w:t>
      </w:r>
      <w:r w:rsidR="00462F80">
        <w:rPr>
          <w:rFonts w:cs="Arial"/>
          <w:color w:val="1A1A1A"/>
          <w:lang w:val="en-GB" w:eastAsia="en-US"/>
        </w:rPr>
        <w:t>;</w:t>
      </w:r>
      <w:r w:rsidR="00462F80" w:rsidRPr="009606B3">
        <w:rPr>
          <w:rFonts w:cs="Arial"/>
          <w:i/>
          <w:iCs/>
          <w:color w:val="1A1A1A"/>
          <w:lang w:val="en-GB" w:eastAsia="en-US"/>
        </w:rPr>
        <w:t>40</w:t>
      </w:r>
      <w:r w:rsidR="00462F80" w:rsidRPr="009606B3">
        <w:rPr>
          <w:rFonts w:cs="Arial"/>
          <w:color w:val="1A1A1A"/>
          <w:lang w:val="en-GB" w:eastAsia="en-US"/>
        </w:rPr>
        <w:t>(4), 519-531.</w:t>
      </w:r>
    </w:p>
    <w:p w14:paraId="23C97226" w14:textId="3FC15D27" w:rsidR="00635828" w:rsidRPr="00F7126B" w:rsidRDefault="00CF74AD" w:rsidP="00635828">
      <w:pPr>
        <w:pStyle w:val="Referens0"/>
        <w:rPr>
          <w:rFonts w:cs="Arial"/>
          <w:color w:val="1A1A1A"/>
          <w:lang w:val="en-GB"/>
        </w:rPr>
      </w:pPr>
      <w:r w:rsidRPr="00F7126B">
        <w:rPr>
          <w:rFonts w:cs="Arial"/>
          <w:color w:val="1A1A1A"/>
          <w:lang w:val="en-GB"/>
        </w:rPr>
        <w:t>6</w:t>
      </w:r>
      <w:r w:rsidR="00635828" w:rsidRPr="00F7126B">
        <w:rPr>
          <w:rFonts w:cs="Arial"/>
          <w:color w:val="1A1A1A"/>
          <w:lang w:val="en-GB"/>
        </w:rPr>
        <w:t xml:space="preserve">. </w:t>
      </w:r>
      <w:r w:rsidR="00F7126B" w:rsidRPr="00F7126B">
        <w:rPr>
          <w:rFonts w:cs="Arial"/>
          <w:color w:val="1A1A1A"/>
        </w:rPr>
        <w:t xml:space="preserve">Ashcraft, K. L., Kuhn, T. R., &amp; </w:t>
      </w:r>
      <w:proofErr w:type="spellStart"/>
      <w:r w:rsidR="00F7126B" w:rsidRPr="00F7126B">
        <w:rPr>
          <w:rFonts w:cs="Arial"/>
          <w:color w:val="1A1A1A"/>
        </w:rPr>
        <w:t>Cooren</w:t>
      </w:r>
      <w:proofErr w:type="spellEnd"/>
      <w:r w:rsidR="00F7126B" w:rsidRPr="00F7126B">
        <w:rPr>
          <w:rFonts w:cs="Arial"/>
          <w:color w:val="1A1A1A"/>
        </w:rPr>
        <w:t xml:space="preserve">, F.  Constitutional </w:t>
      </w:r>
      <w:proofErr w:type="spellStart"/>
      <w:proofErr w:type="gramStart"/>
      <w:r w:rsidR="00F7126B" w:rsidRPr="00F7126B">
        <w:rPr>
          <w:rFonts w:cs="Arial"/>
          <w:color w:val="1A1A1A"/>
        </w:rPr>
        <w:t>Amendments:“</w:t>
      </w:r>
      <w:proofErr w:type="gramEnd"/>
      <w:r w:rsidR="00F7126B" w:rsidRPr="00F7126B">
        <w:rPr>
          <w:rFonts w:cs="Arial"/>
          <w:color w:val="1A1A1A"/>
        </w:rPr>
        <w:t>Materializing</w:t>
      </w:r>
      <w:proofErr w:type="spellEnd"/>
      <w:r w:rsidR="00F7126B" w:rsidRPr="00F7126B">
        <w:rPr>
          <w:rFonts w:cs="Arial"/>
          <w:color w:val="1A1A1A"/>
        </w:rPr>
        <w:t xml:space="preserve">” Organizational Communication. </w:t>
      </w:r>
      <w:r w:rsidR="00F7126B">
        <w:rPr>
          <w:rFonts w:cs="Arial"/>
          <w:i/>
          <w:iCs/>
          <w:color w:val="1A1A1A"/>
        </w:rPr>
        <w:t>The Academy of Management A</w:t>
      </w:r>
      <w:r w:rsidR="00F7126B" w:rsidRPr="00F7126B">
        <w:rPr>
          <w:rFonts w:cs="Arial"/>
          <w:i/>
          <w:iCs/>
          <w:color w:val="1A1A1A"/>
        </w:rPr>
        <w:t>nnals</w:t>
      </w:r>
      <w:r w:rsidR="00F7126B" w:rsidRPr="00F7126B">
        <w:rPr>
          <w:rFonts w:cs="Arial"/>
          <w:color w:val="1A1A1A"/>
        </w:rPr>
        <w:t xml:space="preserve">, 2009; </w:t>
      </w:r>
      <w:r w:rsidR="00F7126B" w:rsidRPr="00F7126B">
        <w:rPr>
          <w:rFonts w:cs="Arial"/>
          <w:i/>
          <w:iCs/>
          <w:color w:val="1A1A1A"/>
        </w:rPr>
        <w:t>3</w:t>
      </w:r>
      <w:r w:rsidR="00F7126B" w:rsidRPr="00F7126B">
        <w:rPr>
          <w:rFonts w:cs="Arial"/>
          <w:color w:val="1A1A1A"/>
        </w:rPr>
        <w:t>(1): 1-64.</w:t>
      </w:r>
    </w:p>
    <w:p w14:paraId="022CD7FA" w14:textId="103848D1" w:rsidR="00635828" w:rsidRPr="009606B3" w:rsidRDefault="00CF74AD" w:rsidP="00635828">
      <w:pPr>
        <w:pStyle w:val="Referens0"/>
        <w:rPr>
          <w:rFonts w:cs="Arial"/>
          <w:color w:val="1A1A1A"/>
          <w:lang w:val="en-GB"/>
        </w:rPr>
      </w:pPr>
      <w:r w:rsidRPr="00F7126B">
        <w:rPr>
          <w:rFonts w:cs="Arial"/>
          <w:color w:val="1A1A1A"/>
          <w:lang w:val="en-GB"/>
        </w:rPr>
        <w:t>7</w:t>
      </w:r>
      <w:r w:rsidR="00635828" w:rsidRPr="00F7126B">
        <w:rPr>
          <w:rFonts w:cs="Arial"/>
          <w:color w:val="1A1A1A"/>
          <w:lang w:val="en-GB"/>
        </w:rPr>
        <w:t xml:space="preserve">. </w:t>
      </w:r>
      <w:r w:rsidR="00462F80">
        <w:rPr>
          <w:rFonts w:cs="Arial"/>
          <w:color w:val="1A1A1A"/>
          <w:lang w:val="en-GB"/>
        </w:rPr>
        <w:t>Deetz, S.</w:t>
      </w:r>
      <w:r w:rsidR="00462F80" w:rsidRPr="005F73BE">
        <w:rPr>
          <w:rFonts w:cs="Arial"/>
          <w:color w:val="1A1A1A"/>
          <w:lang w:val="en-GB"/>
        </w:rPr>
        <w:t xml:space="preserve"> </w:t>
      </w:r>
      <w:r w:rsidR="00462F80" w:rsidRPr="005F73BE">
        <w:rPr>
          <w:rFonts w:cs="Arial"/>
          <w:i/>
          <w:iCs/>
          <w:color w:val="1A1A1A"/>
          <w:lang w:val="en-GB"/>
        </w:rPr>
        <w:t>Democracy in an age of corporate colonization</w:t>
      </w:r>
      <w:r w:rsidR="00D83319">
        <w:rPr>
          <w:rFonts w:cs="Arial"/>
          <w:i/>
          <w:iCs/>
          <w:color w:val="1A1A1A"/>
          <w:lang w:val="en-GB"/>
        </w:rPr>
        <w:t xml:space="preserve">: Developments in communication </w:t>
      </w:r>
      <w:r w:rsidR="00462F80" w:rsidRPr="00F7126B">
        <w:rPr>
          <w:rFonts w:cs="Arial"/>
          <w:i/>
          <w:iCs/>
          <w:color w:val="1A1A1A"/>
          <w:lang w:val="en-GB"/>
        </w:rPr>
        <w:t>and the politics of everyday life</w:t>
      </w:r>
      <w:r w:rsidR="00462F80" w:rsidRPr="00F7126B">
        <w:rPr>
          <w:rFonts w:cs="Arial"/>
          <w:color w:val="1A1A1A"/>
          <w:lang w:val="en-GB"/>
        </w:rPr>
        <w:t>. SUNY Press; 1992</w:t>
      </w:r>
      <w:r w:rsidR="00462F80">
        <w:rPr>
          <w:rFonts w:cs="Arial"/>
          <w:color w:val="1A1A1A"/>
          <w:lang w:val="en-GB"/>
        </w:rPr>
        <w:t>.</w:t>
      </w:r>
    </w:p>
    <w:p w14:paraId="26AB6FBA" w14:textId="7BFD5F4C" w:rsidR="00635828" w:rsidRPr="009606B3" w:rsidRDefault="00CF74AD" w:rsidP="00916589">
      <w:pPr>
        <w:pStyle w:val="Referens0"/>
        <w:rPr>
          <w:lang w:val="en-GB" w:eastAsia="en-US"/>
        </w:rPr>
      </w:pPr>
      <w:r w:rsidRPr="009606B3">
        <w:rPr>
          <w:rFonts w:cs="Arial"/>
          <w:color w:val="1A1A1A"/>
          <w:lang w:val="en-GB"/>
        </w:rPr>
        <w:t>8</w:t>
      </w:r>
      <w:r w:rsidR="00635828" w:rsidRPr="009606B3">
        <w:rPr>
          <w:rFonts w:cs="Arial"/>
          <w:color w:val="1A1A1A"/>
          <w:lang w:val="en-GB"/>
        </w:rPr>
        <w:t>.</w:t>
      </w:r>
      <w:r w:rsidR="00635828" w:rsidRPr="009606B3">
        <w:rPr>
          <w:lang w:val="en-GB"/>
        </w:rPr>
        <w:t xml:space="preserve"> </w:t>
      </w:r>
      <w:r w:rsidR="0085796E" w:rsidRPr="009606B3">
        <w:rPr>
          <w:rFonts w:cs="Arial"/>
          <w:color w:val="1A1A1A"/>
        </w:rPr>
        <w:t xml:space="preserve">Fournier, V. Stories of development and exploitation: Militant voices in an enterprise culture. </w:t>
      </w:r>
      <w:r w:rsidR="0085796E" w:rsidRPr="009606B3">
        <w:rPr>
          <w:rFonts w:cs="Arial"/>
          <w:i/>
          <w:iCs/>
          <w:color w:val="1A1A1A"/>
        </w:rPr>
        <w:t>Organization</w:t>
      </w:r>
      <w:r w:rsidR="009B0F59">
        <w:rPr>
          <w:rFonts w:cs="Arial"/>
          <w:color w:val="1A1A1A"/>
        </w:rPr>
        <w:t>, 1998;</w:t>
      </w:r>
      <w:r w:rsidR="0085796E" w:rsidRPr="009606B3">
        <w:rPr>
          <w:rFonts w:cs="Arial"/>
          <w:color w:val="1A1A1A"/>
        </w:rPr>
        <w:t xml:space="preserve"> 5.1: 55-80.</w:t>
      </w:r>
    </w:p>
    <w:p w14:paraId="19E9F688" w14:textId="5BCC43A0" w:rsidR="00635828" w:rsidRPr="009606B3" w:rsidRDefault="00CF74AD" w:rsidP="00635828">
      <w:pPr>
        <w:pStyle w:val="Referens0"/>
        <w:rPr>
          <w:rFonts w:cs="Arial"/>
          <w:color w:val="1A1A1A"/>
          <w:lang w:val="en-GB"/>
        </w:rPr>
      </w:pPr>
      <w:r w:rsidRPr="009606B3">
        <w:rPr>
          <w:rFonts w:cs="Arial"/>
          <w:color w:val="1A1A1A"/>
          <w:lang w:val="en-GB"/>
        </w:rPr>
        <w:lastRenderedPageBreak/>
        <w:t>9</w:t>
      </w:r>
      <w:r w:rsidR="00635828" w:rsidRPr="009606B3">
        <w:rPr>
          <w:rFonts w:cs="Arial"/>
          <w:color w:val="1A1A1A"/>
          <w:lang w:val="en-GB"/>
        </w:rPr>
        <w:t xml:space="preserve">. </w:t>
      </w:r>
      <w:r w:rsidR="0085796E" w:rsidRPr="009606B3">
        <w:rPr>
          <w:rFonts w:cs="Arial"/>
          <w:color w:val="1A1A1A"/>
        </w:rPr>
        <w:t xml:space="preserve">Kärreman, D., &amp; Alvesson, M. Resisting resistance: Counter-resistance, consent and compliance in a consultancy firm. </w:t>
      </w:r>
      <w:r w:rsidR="0085796E" w:rsidRPr="009606B3">
        <w:rPr>
          <w:rFonts w:cs="Arial"/>
          <w:i/>
          <w:iCs/>
          <w:color w:val="1A1A1A"/>
        </w:rPr>
        <w:t>Human relations</w:t>
      </w:r>
      <w:r w:rsidR="0085796E" w:rsidRPr="009606B3">
        <w:rPr>
          <w:rFonts w:cs="Arial"/>
          <w:color w:val="1A1A1A"/>
        </w:rPr>
        <w:t>, 2009</w:t>
      </w:r>
      <w:r w:rsidR="006251B4">
        <w:rPr>
          <w:rFonts w:cs="Arial"/>
          <w:color w:val="1A1A1A"/>
        </w:rPr>
        <w:t xml:space="preserve">; </w:t>
      </w:r>
      <w:r w:rsidR="0085796E" w:rsidRPr="009606B3">
        <w:rPr>
          <w:rFonts w:cs="Arial"/>
          <w:i/>
          <w:iCs/>
          <w:color w:val="1A1A1A"/>
        </w:rPr>
        <w:t>62</w:t>
      </w:r>
      <w:r w:rsidR="0085796E" w:rsidRPr="009606B3">
        <w:rPr>
          <w:rFonts w:cs="Arial"/>
          <w:color w:val="1A1A1A"/>
        </w:rPr>
        <w:t>(8), 1115-1144.</w:t>
      </w:r>
    </w:p>
    <w:p w14:paraId="00C8083F" w14:textId="32820AC6" w:rsidR="00635828" w:rsidRPr="005F73BE" w:rsidRDefault="00CF74AD" w:rsidP="00635828">
      <w:pPr>
        <w:pStyle w:val="Referens0"/>
        <w:rPr>
          <w:lang w:val="en-GB"/>
        </w:rPr>
      </w:pPr>
      <w:r w:rsidRPr="005F73BE">
        <w:rPr>
          <w:rFonts w:cs="Arial"/>
          <w:color w:val="1A1A1A"/>
          <w:lang w:val="en-GB"/>
        </w:rPr>
        <w:t>10</w:t>
      </w:r>
      <w:r w:rsidR="00635828" w:rsidRPr="005F73BE">
        <w:rPr>
          <w:rFonts w:cs="Arial"/>
          <w:color w:val="1A1A1A"/>
          <w:lang w:val="en-GB"/>
        </w:rPr>
        <w:t xml:space="preserve">. </w:t>
      </w:r>
      <w:proofErr w:type="spellStart"/>
      <w:r w:rsidR="006251B4">
        <w:rPr>
          <w:lang w:val="en-GB"/>
        </w:rPr>
        <w:t>Townley</w:t>
      </w:r>
      <w:proofErr w:type="spellEnd"/>
      <w:r w:rsidR="006251B4">
        <w:rPr>
          <w:lang w:val="en-GB"/>
        </w:rPr>
        <w:t xml:space="preserve">, B. </w:t>
      </w:r>
      <w:r w:rsidR="00635828" w:rsidRPr="005F73BE">
        <w:rPr>
          <w:lang w:val="en-GB"/>
        </w:rPr>
        <w:t xml:space="preserve">Foucault, power/knowledge, and its relevance for human resource management. </w:t>
      </w:r>
      <w:r w:rsidR="00635828" w:rsidRPr="005F73BE">
        <w:rPr>
          <w:i/>
          <w:lang w:val="en-GB"/>
        </w:rPr>
        <w:t xml:space="preserve">Academy of Management Review. </w:t>
      </w:r>
      <w:r w:rsidR="006251B4" w:rsidRPr="005F73BE">
        <w:rPr>
          <w:lang w:val="en-GB"/>
        </w:rPr>
        <w:t>1993</w:t>
      </w:r>
      <w:r w:rsidR="006251B4">
        <w:rPr>
          <w:lang w:val="en-GB"/>
        </w:rPr>
        <w:t xml:space="preserve">; </w:t>
      </w:r>
      <w:r w:rsidR="00635828" w:rsidRPr="005F73BE">
        <w:rPr>
          <w:lang w:val="en-GB"/>
        </w:rPr>
        <w:t>18, 518–545.</w:t>
      </w:r>
    </w:p>
    <w:p w14:paraId="1A5E9D96" w14:textId="6C911604" w:rsidR="00635828" w:rsidRPr="005F73BE" w:rsidRDefault="00635828" w:rsidP="00635828">
      <w:pPr>
        <w:pStyle w:val="Referens0"/>
        <w:rPr>
          <w:lang w:val="en-GB"/>
        </w:rPr>
      </w:pPr>
      <w:r w:rsidRPr="005F73BE">
        <w:rPr>
          <w:rFonts w:cs="Arial"/>
          <w:color w:val="1A1A1A"/>
          <w:lang w:val="en-GB"/>
        </w:rPr>
        <w:t>11.</w:t>
      </w:r>
      <w:r w:rsidR="006251B4">
        <w:rPr>
          <w:lang w:val="en-GB"/>
        </w:rPr>
        <w:t xml:space="preserve"> Dornan, T. </w:t>
      </w:r>
      <w:r w:rsidRPr="005F73BE">
        <w:rPr>
          <w:lang w:val="en-GB"/>
        </w:rPr>
        <w:t xml:space="preserve">When I say… discourse analysis. </w:t>
      </w:r>
      <w:r w:rsidRPr="005F73BE">
        <w:rPr>
          <w:i/>
          <w:iCs/>
          <w:lang w:val="en-GB"/>
        </w:rPr>
        <w:t>Medical Education</w:t>
      </w:r>
      <w:r w:rsidRPr="005F73BE">
        <w:rPr>
          <w:lang w:val="en-GB"/>
        </w:rPr>
        <w:t xml:space="preserve">, </w:t>
      </w:r>
      <w:r w:rsidR="006251B4" w:rsidRPr="005F73BE">
        <w:rPr>
          <w:lang w:val="en-GB"/>
        </w:rPr>
        <w:t>2014</w:t>
      </w:r>
      <w:r w:rsidR="006251B4">
        <w:rPr>
          <w:lang w:val="en-GB"/>
        </w:rPr>
        <w:t xml:space="preserve">; </w:t>
      </w:r>
      <w:r w:rsidRPr="005F73BE">
        <w:rPr>
          <w:i/>
          <w:iCs/>
          <w:lang w:val="en-GB"/>
        </w:rPr>
        <w:t>48</w:t>
      </w:r>
      <w:r w:rsidRPr="005F73BE">
        <w:rPr>
          <w:lang w:val="en-GB"/>
        </w:rPr>
        <w:t>(5), 466-467.</w:t>
      </w:r>
    </w:p>
    <w:p w14:paraId="3AD049A0" w14:textId="5E938F28" w:rsidR="00635828" w:rsidRPr="005F73BE" w:rsidRDefault="00635828" w:rsidP="00635828">
      <w:pPr>
        <w:pStyle w:val="Referens0"/>
        <w:rPr>
          <w:lang w:val="en-GB"/>
        </w:rPr>
      </w:pPr>
      <w:r w:rsidRPr="005F73BE">
        <w:rPr>
          <w:rFonts w:cs="Arial"/>
          <w:color w:val="1A1A1A"/>
          <w:lang w:val="en-GB"/>
        </w:rPr>
        <w:t>12.</w:t>
      </w:r>
      <w:r w:rsidRPr="005F73BE">
        <w:rPr>
          <w:lang w:val="en-GB"/>
        </w:rPr>
        <w:t xml:space="preserve"> Hodges, B. D., </w:t>
      </w:r>
      <w:proofErr w:type="spellStart"/>
      <w:r w:rsidRPr="005F73BE">
        <w:rPr>
          <w:lang w:val="en-GB"/>
        </w:rPr>
        <w:t>Martimianakis</w:t>
      </w:r>
      <w:proofErr w:type="spellEnd"/>
      <w:r w:rsidRPr="005F73BE">
        <w:rPr>
          <w:lang w:val="en-GB"/>
        </w:rPr>
        <w:t>, M. A., McNaughton, N., &amp; Whitehead, C</w:t>
      </w:r>
      <w:r w:rsidR="006251B4">
        <w:rPr>
          <w:lang w:val="en-GB"/>
        </w:rPr>
        <w:t xml:space="preserve">. </w:t>
      </w:r>
      <w:r w:rsidRPr="005F73BE">
        <w:rPr>
          <w:lang w:val="en-GB"/>
        </w:rPr>
        <w:t xml:space="preserve"> Medical education… meet Michel Foucault. </w:t>
      </w:r>
      <w:r w:rsidRPr="005F73BE">
        <w:rPr>
          <w:i/>
          <w:iCs/>
          <w:lang w:val="en-GB"/>
        </w:rPr>
        <w:t>Medical Education</w:t>
      </w:r>
      <w:r w:rsidRPr="005F73BE">
        <w:rPr>
          <w:lang w:val="en-GB"/>
        </w:rPr>
        <w:t xml:space="preserve">, </w:t>
      </w:r>
      <w:r w:rsidR="006251B4" w:rsidRPr="005F73BE">
        <w:rPr>
          <w:lang w:val="en-GB"/>
        </w:rPr>
        <w:t>2014</w:t>
      </w:r>
      <w:r w:rsidR="006251B4">
        <w:rPr>
          <w:lang w:val="en-GB"/>
        </w:rPr>
        <w:t xml:space="preserve">; </w:t>
      </w:r>
      <w:r w:rsidRPr="005F73BE">
        <w:rPr>
          <w:i/>
          <w:iCs/>
          <w:lang w:val="en-GB"/>
        </w:rPr>
        <w:t>48</w:t>
      </w:r>
      <w:r w:rsidRPr="005F73BE">
        <w:rPr>
          <w:lang w:val="en-GB"/>
        </w:rPr>
        <w:t>(6), 563-571.</w:t>
      </w:r>
    </w:p>
    <w:p w14:paraId="63A55990" w14:textId="548A6FAB" w:rsidR="00635828" w:rsidRPr="005F73BE" w:rsidRDefault="00635828" w:rsidP="00635828">
      <w:pPr>
        <w:pStyle w:val="Referens0"/>
        <w:rPr>
          <w:lang w:val="en-GB"/>
        </w:rPr>
      </w:pPr>
      <w:r w:rsidRPr="005F73BE">
        <w:rPr>
          <w:rFonts w:cs="Arial"/>
          <w:color w:val="1A1A1A"/>
          <w:lang w:val="en-GB"/>
        </w:rPr>
        <w:t xml:space="preserve">13. </w:t>
      </w:r>
      <w:r w:rsidR="006251B4">
        <w:rPr>
          <w:lang w:val="en-GB"/>
        </w:rPr>
        <w:t>Roberts, C., &amp; Sarangi, S.</w:t>
      </w:r>
      <w:r w:rsidRPr="005F73BE">
        <w:rPr>
          <w:lang w:val="en-GB"/>
        </w:rPr>
        <w:t xml:space="preserve"> Theme</w:t>
      </w:r>
      <w:r w:rsidRPr="005F73BE">
        <w:rPr>
          <w:rFonts w:cs="Noteworthy Bold"/>
          <w:lang w:val="en-GB"/>
        </w:rPr>
        <w:t>‐</w:t>
      </w:r>
      <w:r w:rsidRPr="005F73BE">
        <w:rPr>
          <w:lang w:val="en-GB"/>
        </w:rPr>
        <w:t xml:space="preserve">oriented discourse analysis of medical encounters. </w:t>
      </w:r>
      <w:r w:rsidRPr="005F73BE">
        <w:rPr>
          <w:i/>
          <w:iCs/>
          <w:lang w:val="en-GB"/>
        </w:rPr>
        <w:t>Medical Education</w:t>
      </w:r>
      <w:r w:rsidRPr="005F73BE">
        <w:rPr>
          <w:lang w:val="en-GB"/>
        </w:rPr>
        <w:t xml:space="preserve">, </w:t>
      </w:r>
      <w:r w:rsidR="006251B4" w:rsidRPr="005F73BE">
        <w:rPr>
          <w:lang w:val="en-GB"/>
        </w:rPr>
        <w:t>2005</w:t>
      </w:r>
      <w:r w:rsidR="006251B4">
        <w:rPr>
          <w:lang w:val="en-GB"/>
        </w:rPr>
        <w:t xml:space="preserve">; </w:t>
      </w:r>
      <w:r w:rsidRPr="005F73BE">
        <w:rPr>
          <w:i/>
          <w:iCs/>
          <w:lang w:val="en-GB"/>
        </w:rPr>
        <w:t>39</w:t>
      </w:r>
      <w:r w:rsidRPr="005F73BE">
        <w:rPr>
          <w:lang w:val="en-GB"/>
        </w:rPr>
        <w:t>(6), 632-640.</w:t>
      </w:r>
    </w:p>
    <w:p w14:paraId="5969CC5E" w14:textId="37C94A19" w:rsidR="00635828" w:rsidRPr="005F73BE" w:rsidRDefault="00635828" w:rsidP="00635828">
      <w:pPr>
        <w:pStyle w:val="Referens0"/>
        <w:rPr>
          <w:lang w:val="en-GB"/>
        </w:rPr>
      </w:pPr>
      <w:r w:rsidRPr="005F73BE">
        <w:rPr>
          <w:rFonts w:cs="Arial"/>
          <w:color w:val="1A1A1A"/>
          <w:lang w:val="en-GB"/>
        </w:rPr>
        <w:t>14.</w:t>
      </w:r>
      <w:r w:rsidRPr="005F73BE">
        <w:rPr>
          <w:lang w:val="en-GB"/>
        </w:rPr>
        <w:t xml:space="preserve"> Alvesson M and Kärrema</w:t>
      </w:r>
      <w:r w:rsidR="006251B4">
        <w:rPr>
          <w:lang w:val="en-GB"/>
        </w:rPr>
        <w:t>n D</w:t>
      </w:r>
      <w:r w:rsidRPr="005F73BE">
        <w:rPr>
          <w:lang w:val="en-GB"/>
        </w:rPr>
        <w:t xml:space="preserve"> </w:t>
      </w:r>
      <w:proofErr w:type="spellStart"/>
      <w:r w:rsidRPr="005F73BE">
        <w:rPr>
          <w:lang w:val="en-GB"/>
        </w:rPr>
        <w:t>Decolonializing</w:t>
      </w:r>
      <w:proofErr w:type="spellEnd"/>
      <w:r w:rsidRPr="005F73BE">
        <w:rPr>
          <w:lang w:val="en-GB"/>
        </w:rPr>
        <w:t xml:space="preserve"> discourse: Critical reflections on organizational discourse analysis. </w:t>
      </w:r>
      <w:r w:rsidRPr="006251B4">
        <w:rPr>
          <w:i/>
          <w:lang w:val="en-GB"/>
        </w:rPr>
        <w:t>Human Relations</w:t>
      </w:r>
      <w:r w:rsidRPr="005F73BE">
        <w:rPr>
          <w:lang w:val="en-GB"/>
        </w:rPr>
        <w:t xml:space="preserve"> </w:t>
      </w:r>
      <w:r w:rsidR="006251B4">
        <w:rPr>
          <w:lang w:val="en-GB"/>
        </w:rPr>
        <w:t xml:space="preserve">2011; </w:t>
      </w:r>
      <w:r w:rsidRPr="005F73BE">
        <w:rPr>
          <w:lang w:val="en-GB"/>
        </w:rPr>
        <w:t>64 (9) 1121-1146</w:t>
      </w:r>
    </w:p>
    <w:p w14:paraId="4AD210EF" w14:textId="677C27D3" w:rsidR="00635828" w:rsidRPr="005F73BE" w:rsidRDefault="00635828" w:rsidP="00635828">
      <w:pPr>
        <w:pStyle w:val="Referens0"/>
        <w:rPr>
          <w:lang w:val="en-GB"/>
        </w:rPr>
      </w:pPr>
      <w:r w:rsidRPr="005F73BE">
        <w:rPr>
          <w:rFonts w:cs="Arial"/>
          <w:color w:val="1A1A1A"/>
          <w:lang w:val="en-GB"/>
        </w:rPr>
        <w:t xml:space="preserve">15. </w:t>
      </w:r>
      <w:proofErr w:type="spellStart"/>
      <w:r w:rsidR="006251B4">
        <w:rPr>
          <w:rFonts w:cs="Arial"/>
          <w:color w:val="1A1A1A"/>
          <w:lang w:val="en-GB" w:eastAsia="en-US"/>
        </w:rPr>
        <w:t>Wetherell</w:t>
      </w:r>
      <w:proofErr w:type="spellEnd"/>
      <w:r w:rsidR="006251B4">
        <w:rPr>
          <w:rFonts w:cs="Arial"/>
          <w:color w:val="1A1A1A"/>
          <w:lang w:val="en-GB" w:eastAsia="en-US"/>
        </w:rPr>
        <w:t xml:space="preserve">, M. </w:t>
      </w:r>
      <w:r w:rsidRPr="005F73BE">
        <w:rPr>
          <w:rFonts w:cs="Arial"/>
          <w:color w:val="1A1A1A"/>
          <w:lang w:val="en-GB" w:eastAsia="en-US"/>
        </w:rPr>
        <w:t xml:space="preserve">Positioning and interpretative repertoires: Conversation analysis and post-structuralism in dialogue. </w:t>
      </w:r>
      <w:r w:rsidRPr="005F73BE">
        <w:rPr>
          <w:rFonts w:cs="Arial"/>
          <w:i/>
          <w:iCs/>
          <w:color w:val="1A1A1A"/>
          <w:lang w:val="en-GB" w:eastAsia="en-US"/>
        </w:rPr>
        <w:t>Discourse &amp; Society</w:t>
      </w:r>
      <w:r w:rsidRPr="005F73BE">
        <w:rPr>
          <w:rFonts w:cs="Arial"/>
          <w:color w:val="1A1A1A"/>
          <w:lang w:val="en-GB" w:eastAsia="en-US"/>
        </w:rPr>
        <w:t xml:space="preserve">, </w:t>
      </w:r>
      <w:r w:rsidR="006251B4" w:rsidRPr="005F73BE">
        <w:rPr>
          <w:rFonts w:cs="Arial"/>
          <w:color w:val="1A1A1A"/>
          <w:lang w:val="en-GB" w:eastAsia="en-US"/>
        </w:rPr>
        <w:t>1998</w:t>
      </w:r>
      <w:r w:rsidR="006251B4">
        <w:rPr>
          <w:rFonts w:cs="Arial"/>
          <w:color w:val="1A1A1A"/>
          <w:lang w:val="en-GB" w:eastAsia="en-US"/>
        </w:rPr>
        <w:t xml:space="preserve">; </w:t>
      </w:r>
      <w:r w:rsidRPr="005F73BE">
        <w:rPr>
          <w:rFonts w:cs="Arial"/>
          <w:i/>
          <w:iCs/>
          <w:color w:val="1A1A1A"/>
          <w:lang w:val="en-GB" w:eastAsia="en-US"/>
        </w:rPr>
        <w:t>9</w:t>
      </w:r>
      <w:r w:rsidRPr="005F73BE">
        <w:rPr>
          <w:rFonts w:cs="Arial"/>
          <w:color w:val="1A1A1A"/>
          <w:lang w:val="en-GB" w:eastAsia="en-US"/>
        </w:rPr>
        <w:t>(3), 387-412.</w:t>
      </w:r>
    </w:p>
    <w:p w14:paraId="78840C4D" w14:textId="11789522" w:rsidR="00635828" w:rsidRPr="005F73BE" w:rsidRDefault="00635828" w:rsidP="00635828">
      <w:pPr>
        <w:pStyle w:val="Referens0"/>
        <w:rPr>
          <w:lang w:val="en-GB"/>
        </w:rPr>
      </w:pPr>
      <w:r w:rsidRPr="005F73BE">
        <w:rPr>
          <w:rFonts w:cs="Arial"/>
          <w:color w:val="1A1A1A"/>
          <w:lang w:val="en-GB"/>
        </w:rPr>
        <w:t>16.</w:t>
      </w:r>
      <w:r w:rsidR="006251B4">
        <w:rPr>
          <w:lang w:val="en-GB"/>
        </w:rPr>
        <w:t xml:space="preserve"> Foucault, M.</w:t>
      </w:r>
      <w:r w:rsidRPr="005F73BE">
        <w:rPr>
          <w:lang w:val="en-GB"/>
        </w:rPr>
        <w:t xml:space="preserve"> </w:t>
      </w:r>
      <w:r w:rsidRPr="005F73BE">
        <w:rPr>
          <w:i/>
          <w:lang w:val="en-GB"/>
        </w:rPr>
        <w:t>Power/Knowledge.</w:t>
      </w:r>
      <w:r w:rsidRPr="005F73BE">
        <w:rPr>
          <w:lang w:val="en-GB"/>
        </w:rPr>
        <w:t xml:space="preserve"> New York: Pantheon</w:t>
      </w:r>
      <w:r w:rsidR="006251B4">
        <w:rPr>
          <w:lang w:val="en-GB"/>
        </w:rPr>
        <w:t xml:space="preserve">; </w:t>
      </w:r>
      <w:r w:rsidR="006251B4" w:rsidRPr="005F73BE">
        <w:rPr>
          <w:lang w:val="en-GB"/>
        </w:rPr>
        <w:t>1980</w:t>
      </w:r>
    </w:p>
    <w:p w14:paraId="243D498D" w14:textId="574AA77E" w:rsidR="00635828" w:rsidRPr="005F73BE" w:rsidRDefault="00635828" w:rsidP="00635828">
      <w:pPr>
        <w:pStyle w:val="Referens0"/>
        <w:rPr>
          <w:rFonts w:cs="Arial"/>
          <w:color w:val="1A1A1A"/>
          <w:lang w:val="en-GB" w:eastAsia="en-US"/>
        </w:rPr>
      </w:pPr>
      <w:r w:rsidRPr="005F73BE">
        <w:rPr>
          <w:rFonts w:cs="Arial"/>
          <w:color w:val="1A1A1A"/>
          <w:lang w:val="en-GB"/>
        </w:rPr>
        <w:t>17.</w:t>
      </w:r>
      <w:r w:rsidR="006251B4">
        <w:rPr>
          <w:rFonts w:cs="Arial"/>
          <w:color w:val="1A1A1A"/>
          <w:lang w:val="en-GB" w:eastAsia="en-US"/>
        </w:rPr>
        <w:t xml:space="preserve"> Berger, P. L., &amp; </w:t>
      </w:r>
      <w:proofErr w:type="spellStart"/>
      <w:r w:rsidR="006251B4">
        <w:rPr>
          <w:rFonts w:cs="Arial"/>
          <w:color w:val="1A1A1A"/>
          <w:lang w:val="en-GB" w:eastAsia="en-US"/>
        </w:rPr>
        <w:t>Luckmann</w:t>
      </w:r>
      <w:proofErr w:type="spellEnd"/>
      <w:r w:rsidR="006251B4">
        <w:rPr>
          <w:rFonts w:cs="Arial"/>
          <w:color w:val="1A1A1A"/>
          <w:lang w:val="en-GB" w:eastAsia="en-US"/>
        </w:rPr>
        <w:t>, T.</w:t>
      </w:r>
      <w:r w:rsidRPr="005F73BE">
        <w:rPr>
          <w:rFonts w:cs="Arial"/>
          <w:color w:val="1A1A1A"/>
          <w:lang w:val="en-GB" w:eastAsia="en-US"/>
        </w:rPr>
        <w:t xml:space="preserve"> </w:t>
      </w:r>
      <w:r w:rsidRPr="005F73BE">
        <w:rPr>
          <w:rFonts w:cs="Arial"/>
          <w:i/>
          <w:iCs/>
          <w:color w:val="1A1A1A"/>
          <w:lang w:val="en-GB" w:eastAsia="en-US"/>
        </w:rPr>
        <w:t>The Social Construction of Reality: A Treatise in the Sociology of Knowledge</w:t>
      </w:r>
      <w:r w:rsidR="006251B4">
        <w:rPr>
          <w:rFonts w:cs="Arial"/>
          <w:color w:val="1A1A1A"/>
          <w:lang w:val="en-GB" w:eastAsia="en-US"/>
        </w:rPr>
        <w:t xml:space="preserve">. Anchor books; </w:t>
      </w:r>
      <w:r w:rsidR="006251B4" w:rsidRPr="005F73BE">
        <w:rPr>
          <w:rFonts w:cs="Arial"/>
          <w:color w:val="1A1A1A"/>
          <w:lang w:val="en-GB" w:eastAsia="en-US"/>
        </w:rPr>
        <w:t>1967</w:t>
      </w:r>
    </w:p>
    <w:p w14:paraId="2773E81D" w14:textId="2F7EBB25" w:rsidR="00635828" w:rsidRPr="005F73BE" w:rsidRDefault="00635828" w:rsidP="00635828">
      <w:pPr>
        <w:pStyle w:val="Referens0"/>
        <w:rPr>
          <w:lang w:val="en-GB"/>
        </w:rPr>
      </w:pPr>
      <w:r w:rsidRPr="005F73BE">
        <w:rPr>
          <w:rFonts w:cs="Arial"/>
          <w:color w:val="1A1A1A"/>
          <w:lang w:val="en-GB"/>
        </w:rPr>
        <w:t>18.</w:t>
      </w:r>
      <w:r w:rsidR="006251B4">
        <w:rPr>
          <w:lang w:val="en-GB"/>
        </w:rPr>
        <w:t xml:space="preserve"> Cheng, L. F., &amp; Yang, H. C.</w:t>
      </w:r>
      <w:r w:rsidRPr="005F73BE">
        <w:rPr>
          <w:lang w:val="en-GB"/>
        </w:rPr>
        <w:t xml:space="preserve"> Learning about gender on campus: an analysis of the hidden curriculum for medical students. </w:t>
      </w:r>
      <w:r w:rsidRPr="005F73BE">
        <w:rPr>
          <w:i/>
          <w:iCs/>
          <w:lang w:val="en-GB"/>
        </w:rPr>
        <w:t>Medical Education</w:t>
      </w:r>
      <w:r w:rsidRPr="005F73BE">
        <w:rPr>
          <w:lang w:val="en-GB"/>
        </w:rPr>
        <w:t xml:space="preserve">, </w:t>
      </w:r>
      <w:r w:rsidR="006251B4" w:rsidRPr="005F73BE">
        <w:rPr>
          <w:lang w:val="en-GB"/>
        </w:rPr>
        <w:t>2015</w:t>
      </w:r>
      <w:r w:rsidR="006251B4">
        <w:rPr>
          <w:lang w:val="en-GB"/>
        </w:rPr>
        <w:t xml:space="preserve">; </w:t>
      </w:r>
      <w:r w:rsidRPr="005F73BE">
        <w:rPr>
          <w:i/>
          <w:iCs/>
          <w:lang w:val="en-GB"/>
        </w:rPr>
        <w:t>49</w:t>
      </w:r>
      <w:r w:rsidRPr="005F73BE">
        <w:rPr>
          <w:lang w:val="en-GB"/>
        </w:rPr>
        <w:t>(3), 321-331.</w:t>
      </w:r>
    </w:p>
    <w:p w14:paraId="1E7D6FAD" w14:textId="42BBD2C0" w:rsidR="00635828" w:rsidRPr="005F73BE" w:rsidRDefault="00635828" w:rsidP="00635828">
      <w:pPr>
        <w:pStyle w:val="Referens0"/>
        <w:rPr>
          <w:lang w:val="en-GB"/>
        </w:rPr>
      </w:pPr>
      <w:r w:rsidRPr="005F73BE">
        <w:rPr>
          <w:rFonts w:cs="Arial"/>
          <w:color w:val="1A1A1A"/>
          <w:lang w:val="en-GB"/>
        </w:rPr>
        <w:t>19.</w:t>
      </w:r>
      <w:r w:rsidRPr="005F73BE">
        <w:rPr>
          <w:lang w:val="en-GB"/>
        </w:rPr>
        <w:t xml:space="preserve"> Dornan, T., Pearson, E., Carson</w:t>
      </w:r>
      <w:r w:rsidR="00134FEA">
        <w:rPr>
          <w:lang w:val="en-GB"/>
        </w:rPr>
        <w:t xml:space="preserve">, P., </w:t>
      </w:r>
      <w:proofErr w:type="spellStart"/>
      <w:r w:rsidR="00134FEA">
        <w:rPr>
          <w:lang w:val="en-GB"/>
        </w:rPr>
        <w:t>Helmich</w:t>
      </w:r>
      <w:proofErr w:type="spellEnd"/>
      <w:r w:rsidR="00134FEA">
        <w:rPr>
          <w:lang w:val="en-GB"/>
        </w:rPr>
        <w:t>, E., &amp; Bundy, C.</w:t>
      </w:r>
      <w:r w:rsidRPr="005F73BE">
        <w:rPr>
          <w:lang w:val="en-GB"/>
        </w:rPr>
        <w:t xml:space="preserve"> Emotions and identity in the figured world of becoming a doctor. </w:t>
      </w:r>
      <w:r w:rsidRPr="005F73BE">
        <w:rPr>
          <w:i/>
          <w:iCs/>
          <w:lang w:val="en-GB"/>
        </w:rPr>
        <w:t>Medical Education</w:t>
      </w:r>
      <w:r w:rsidRPr="005F73BE">
        <w:rPr>
          <w:lang w:val="en-GB"/>
        </w:rPr>
        <w:t xml:space="preserve">, </w:t>
      </w:r>
      <w:r w:rsidR="00134FEA" w:rsidRPr="005F73BE">
        <w:rPr>
          <w:lang w:val="en-GB"/>
        </w:rPr>
        <w:t>2015</w:t>
      </w:r>
      <w:r w:rsidR="00134FEA">
        <w:rPr>
          <w:lang w:val="en-GB"/>
        </w:rPr>
        <w:t xml:space="preserve">; </w:t>
      </w:r>
      <w:r w:rsidRPr="005F73BE">
        <w:rPr>
          <w:i/>
          <w:iCs/>
          <w:lang w:val="en-GB"/>
        </w:rPr>
        <w:t>49</w:t>
      </w:r>
      <w:r w:rsidRPr="005F73BE">
        <w:rPr>
          <w:lang w:val="en-GB"/>
        </w:rPr>
        <w:t>(2), 174-185.</w:t>
      </w:r>
    </w:p>
    <w:p w14:paraId="112AFF00" w14:textId="3B15F721" w:rsidR="00635828" w:rsidRPr="005F73BE" w:rsidRDefault="00635828" w:rsidP="00635828">
      <w:pPr>
        <w:pStyle w:val="Referens0"/>
        <w:rPr>
          <w:lang w:val="en-GB"/>
        </w:rPr>
      </w:pPr>
      <w:r w:rsidRPr="005F73BE">
        <w:rPr>
          <w:rFonts w:cs="Arial"/>
          <w:color w:val="1A1A1A"/>
          <w:lang w:val="en-GB"/>
        </w:rPr>
        <w:t>20.</w:t>
      </w:r>
      <w:r w:rsidRPr="005F73BE">
        <w:rPr>
          <w:lang w:val="en-GB"/>
        </w:rPr>
        <w:t xml:space="preserve"> Lingard, L., </w:t>
      </w:r>
      <w:proofErr w:type="spellStart"/>
      <w:r w:rsidRPr="005F73BE">
        <w:rPr>
          <w:lang w:val="en-GB"/>
        </w:rPr>
        <w:t>Schryer</w:t>
      </w:r>
      <w:proofErr w:type="spellEnd"/>
      <w:r w:rsidRPr="005F73BE">
        <w:rPr>
          <w:lang w:val="en-GB"/>
        </w:rPr>
        <w:t xml:space="preserve">, C., Garwood, K., &amp; Spafford, M. ‘Talking the talk’: school and workplace genre tension in clerkship case presentations. </w:t>
      </w:r>
      <w:r w:rsidRPr="005F73BE">
        <w:rPr>
          <w:i/>
          <w:iCs/>
          <w:lang w:val="en-GB"/>
        </w:rPr>
        <w:t>Medical Education</w:t>
      </w:r>
      <w:r w:rsidRPr="005F73BE">
        <w:rPr>
          <w:lang w:val="en-GB"/>
        </w:rPr>
        <w:t xml:space="preserve">, </w:t>
      </w:r>
      <w:r w:rsidR="00220A89" w:rsidRPr="005F73BE">
        <w:rPr>
          <w:lang w:val="en-GB"/>
        </w:rPr>
        <w:t>2003</w:t>
      </w:r>
      <w:r w:rsidR="00220A89">
        <w:rPr>
          <w:lang w:val="en-GB"/>
        </w:rPr>
        <w:t xml:space="preserve">; </w:t>
      </w:r>
      <w:r w:rsidRPr="005F73BE">
        <w:rPr>
          <w:i/>
          <w:iCs/>
          <w:lang w:val="en-GB"/>
        </w:rPr>
        <w:t>37</w:t>
      </w:r>
      <w:r w:rsidRPr="005F73BE">
        <w:rPr>
          <w:lang w:val="en-GB"/>
        </w:rPr>
        <w:t>(7), 612-620.</w:t>
      </w:r>
    </w:p>
    <w:p w14:paraId="39854FBC" w14:textId="5E3A2D4F" w:rsidR="00635828" w:rsidRPr="005F73BE" w:rsidRDefault="00635828" w:rsidP="00635828">
      <w:pPr>
        <w:pStyle w:val="Referens0"/>
        <w:rPr>
          <w:lang w:val="en-GB"/>
        </w:rPr>
      </w:pPr>
      <w:r w:rsidRPr="005F73BE">
        <w:rPr>
          <w:rFonts w:cs="Arial"/>
          <w:color w:val="1A1A1A"/>
          <w:lang w:val="en-GB"/>
        </w:rPr>
        <w:t>21.</w:t>
      </w:r>
      <w:r w:rsidRPr="005F73BE">
        <w:rPr>
          <w:lang w:val="en-GB"/>
        </w:rPr>
        <w:t xml:space="preserve"> </w:t>
      </w:r>
      <w:proofErr w:type="spellStart"/>
      <w:r w:rsidRPr="005F73BE">
        <w:rPr>
          <w:lang w:val="en-GB"/>
        </w:rPr>
        <w:t>Monrouxe</w:t>
      </w:r>
      <w:proofErr w:type="spellEnd"/>
      <w:r w:rsidRPr="005F73BE">
        <w:rPr>
          <w:lang w:val="en-GB"/>
        </w:rPr>
        <w:t xml:space="preserve">, L. V., Rees, C. E., &amp; Hu, W. Differences in medical students’ explicit discourses of professionalism: acting, representing, becoming. </w:t>
      </w:r>
      <w:r w:rsidRPr="005F73BE">
        <w:rPr>
          <w:i/>
          <w:iCs/>
          <w:lang w:val="en-GB"/>
        </w:rPr>
        <w:t>Medical Education</w:t>
      </w:r>
      <w:r w:rsidRPr="005F73BE">
        <w:rPr>
          <w:lang w:val="en-GB"/>
        </w:rPr>
        <w:t xml:space="preserve">, </w:t>
      </w:r>
      <w:r w:rsidR="00220A89" w:rsidRPr="005F73BE">
        <w:rPr>
          <w:lang w:val="en-GB"/>
        </w:rPr>
        <w:t>2011</w:t>
      </w:r>
      <w:r w:rsidR="00220A89">
        <w:rPr>
          <w:lang w:val="en-GB"/>
        </w:rPr>
        <w:t xml:space="preserve">; </w:t>
      </w:r>
      <w:r w:rsidRPr="005F73BE">
        <w:rPr>
          <w:i/>
          <w:iCs/>
          <w:lang w:val="en-GB"/>
        </w:rPr>
        <w:t>45</w:t>
      </w:r>
      <w:r w:rsidRPr="005F73BE">
        <w:rPr>
          <w:lang w:val="en-GB"/>
        </w:rPr>
        <w:t>(6), 585-602.</w:t>
      </w:r>
    </w:p>
    <w:p w14:paraId="4A50A3A2" w14:textId="5499E271" w:rsidR="00635828" w:rsidRPr="005F73BE" w:rsidRDefault="00635828" w:rsidP="00635828">
      <w:pPr>
        <w:pStyle w:val="Referens0"/>
        <w:rPr>
          <w:lang w:val="en-GB"/>
        </w:rPr>
      </w:pPr>
      <w:r w:rsidRPr="005F73BE">
        <w:rPr>
          <w:lang w:val="en-GB"/>
        </w:rPr>
        <w:t xml:space="preserve">22. </w:t>
      </w:r>
      <w:proofErr w:type="spellStart"/>
      <w:r w:rsidRPr="005F73BE">
        <w:rPr>
          <w:lang w:val="en-GB"/>
        </w:rPr>
        <w:t>Zwet</w:t>
      </w:r>
      <w:proofErr w:type="spellEnd"/>
      <w:r w:rsidRPr="005F73BE">
        <w:rPr>
          <w:lang w:val="en-GB"/>
        </w:rPr>
        <w:t xml:space="preserve">, J., Croix, A., </w:t>
      </w:r>
      <w:proofErr w:type="spellStart"/>
      <w:r w:rsidRPr="005F73BE">
        <w:rPr>
          <w:lang w:val="en-GB"/>
        </w:rPr>
        <w:t>Jonge</w:t>
      </w:r>
      <w:proofErr w:type="spellEnd"/>
      <w:r w:rsidRPr="005F73BE">
        <w:rPr>
          <w:lang w:val="en-GB"/>
        </w:rPr>
        <w:t xml:space="preserve">, L. P., </w:t>
      </w:r>
      <w:proofErr w:type="spellStart"/>
      <w:r w:rsidRPr="005F73BE">
        <w:rPr>
          <w:lang w:val="en-GB"/>
        </w:rPr>
        <w:t>Stalmeijer</w:t>
      </w:r>
      <w:proofErr w:type="spellEnd"/>
      <w:r w:rsidRPr="005F73BE">
        <w:rPr>
          <w:lang w:val="en-GB"/>
        </w:rPr>
        <w:t xml:space="preserve">, R. E., </w:t>
      </w:r>
      <w:proofErr w:type="spellStart"/>
      <w:r w:rsidRPr="005F73BE">
        <w:rPr>
          <w:lang w:val="en-GB"/>
        </w:rPr>
        <w:t>Scherpbier</w:t>
      </w:r>
      <w:proofErr w:type="spellEnd"/>
      <w:r w:rsidRPr="005F73BE">
        <w:rPr>
          <w:lang w:val="en-GB"/>
        </w:rPr>
        <w:t xml:space="preserve">, A. J., &amp; </w:t>
      </w:r>
      <w:proofErr w:type="spellStart"/>
      <w:r w:rsidRPr="005F73BE">
        <w:rPr>
          <w:lang w:val="en-GB"/>
        </w:rPr>
        <w:t>Teunissen</w:t>
      </w:r>
      <w:proofErr w:type="spellEnd"/>
      <w:r w:rsidRPr="005F73BE">
        <w:rPr>
          <w:lang w:val="en-GB"/>
        </w:rPr>
        <w:t xml:space="preserve">, P. W. The power of questions: a discourse analysis about doctor–student interaction. </w:t>
      </w:r>
      <w:r w:rsidRPr="005F73BE">
        <w:rPr>
          <w:i/>
          <w:iCs/>
          <w:lang w:val="en-GB"/>
        </w:rPr>
        <w:t>Medical Education</w:t>
      </w:r>
      <w:r w:rsidRPr="005F73BE">
        <w:rPr>
          <w:lang w:val="en-GB"/>
        </w:rPr>
        <w:t xml:space="preserve">, </w:t>
      </w:r>
      <w:r w:rsidR="00220A89" w:rsidRPr="005F73BE">
        <w:rPr>
          <w:lang w:val="en-GB"/>
        </w:rPr>
        <w:t>2014</w:t>
      </w:r>
      <w:r w:rsidR="00220A89">
        <w:rPr>
          <w:lang w:val="en-GB"/>
        </w:rPr>
        <w:t xml:space="preserve">; </w:t>
      </w:r>
      <w:r w:rsidRPr="005F73BE">
        <w:rPr>
          <w:i/>
          <w:iCs/>
          <w:lang w:val="en-GB"/>
        </w:rPr>
        <w:t>48</w:t>
      </w:r>
      <w:r w:rsidRPr="005F73BE">
        <w:rPr>
          <w:lang w:val="en-GB"/>
        </w:rPr>
        <w:t>(8), 806-819.</w:t>
      </w:r>
    </w:p>
    <w:p w14:paraId="771109BB" w14:textId="4344F9CE" w:rsidR="00635828" w:rsidRPr="005F73BE" w:rsidRDefault="00635828" w:rsidP="00635828">
      <w:pPr>
        <w:pStyle w:val="Referens0"/>
        <w:rPr>
          <w:lang w:val="en-GB"/>
        </w:rPr>
      </w:pPr>
      <w:r w:rsidRPr="005F73BE">
        <w:rPr>
          <w:lang w:val="en-GB"/>
        </w:rPr>
        <w:t>23. Burford, B., Morrow, G., Rothwell, C., Carter, M., &amp;</w:t>
      </w:r>
      <w:r w:rsidR="00220A89">
        <w:rPr>
          <w:lang w:val="en-GB"/>
        </w:rPr>
        <w:t xml:space="preserve"> </w:t>
      </w:r>
      <w:proofErr w:type="spellStart"/>
      <w:r w:rsidR="00220A89">
        <w:rPr>
          <w:lang w:val="en-GB"/>
        </w:rPr>
        <w:t>Illing</w:t>
      </w:r>
      <w:proofErr w:type="spellEnd"/>
      <w:r w:rsidR="00220A89">
        <w:rPr>
          <w:lang w:val="en-GB"/>
        </w:rPr>
        <w:t xml:space="preserve">, J. </w:t>
      </w:r>
      <w:r w:rsidRPr="005F73BE">
        <w:rPr>
          <w:lang w:val="en-GB"/>
        </w:rPr>
        <w:t xml:space="preserve">Professionalism education should reflect reality: findings from three health professions. </w:t>
      </w:r>
      <w:r w:rsidRPr="005F73BE">
        <w:rPr>
          <w:i/>
          <w:iCs/>
          <w:lang w:val="en-GB"/>
        </w:rPr>
        <w:t>Medical Education</w:t>
      </w:r>
      <w:r w:rsidRPr="005F73BE">
        <w:rPr>
          <w:lang w:val="en-GB"/>
        </w:rPr>
        <w:t xml:space="preserve">, </w:t>
      </w:r>
      <w:r w:rsidR="00220A89" w:rsidRPr="005F73BE">
        <w:rPr>
          <w:lang w:val="en-GB"/>
        </w:rPr>
        <w:t>2014</w:t>
      </w:r>
      <w:r w:rsidR="00220A89">
        <w:rPr>
          <w:lang w:val="en-GB"/>
        </w:rPr>
        <w:t xml:space="preserve">; </w:t>
      </w:r>
      <w:r w:rsidRPr="005F73BE">
        <w:rPr>
          <w:i/>
          <w:iCs/>
          <w:lang w:val="en-GB"/>
        </w:rPr>
        <w:t>48</w:t>
      </w:r>
      <w:r w:rsidRPr="005F73BE">
        <w:rPr>
          <w:lang w:val="en-GB"/>
        </w:rPr>
        <w:t>(4), 361-374.</w:t>
      </w:r>
    </w:p>
    <w:p w14:paraId="63AF4717" w14:textId="26703AA7" w:rsidR="00635828" w:rsidRPr="005F73BE" w:rsidRDefault="00220A89" w:rsidP="00635828">
      <w:pPr>
        <w:pStyle w:val="Referens0"/>
        <w:rPr>
          <w:lang w:val="en-GB"/>
        </w:rPr>
      </w:pPr>
      <w:r>
        <w:rPr>
          <w:lang w:val="en-GB"/>
        </w:rPr>
        <w:t>24. Frank, A. W.</w:t>
      </w:r>
      <w:r w:rsidR="00635828" w:rsidRPr="005F73BE">
        <w:rPr>
          <w:lang w:val="en-GB"/>
        </w:rPr>
        <w:t xml:space="preserve"> From sick role to practices of health and illness. </w:t>
      </w:r>
      <w:r w:rsidR="00635828" w:rsidRPr="005F73BE">
        <w:rPr>
          <w:i/>
          <w:iCs/>
          <w:lang w:val="en-GB"/>
        </w:rPr>
        <w:t>Medical Education</w:t>
      </w:r>
      <w:r w:rsidR="00635828" w:rsidRPr="005F73BE">
        <w:rPr>
          <w:lang w:val="en-GB"/>
        </w:rPr>
        <w:t xml:space="preserve">, </w:t>
      </w:r>
      <w:r w:rsidRPr="005F73BE">
        <w:rPr>
          <w:lang w:val="en-GB"/>
        </w:rPr>
        <w:t>2013</w:t>
      </w:r>
      <w:r>
        <w:rPr>
          <w:lang w:val="en-GB"/>
        </w:rPr>
        <w:t xml:space="preserve">; </w:t>
      </w:r>
      <w:r w:rsidR="00635828" w:rsidRPr="005F73BE">
        <w:rPr>
          <w:i/>
          <w:iCs/>
          <w:lang w:val="en-GB"/>
        </w:rPr>
        <w:t>47</w:t>
      </w:r>
      <w:r w:rsidR="00635828" w:rsidRPr="005F73BE">
        <w:rPr>
          <w:lang w:val="en-GB"/>
        </w:rPr>
        <w:t>(1), 18-25.</w:t>
      </w:r>
    </w:p>
    <w:p w14:paraId="56471672" w14:textId="46C85560" w:rsidR="00635828" w:rsidRPr="005F73BE" w:rsidRDefault="00635828" w:rsidP="00635828">
      <w:pPr>
        <w:pStyle w:val="Referens0"/>
        <w:rPr>
          <w:rFonts w:eastAsia="Times New Roman"/>
          <w:lang w:val="en-GB"/>
        </w:rPr>
      </w:pPr>
      <w:r w:rsidRPr="005F73BE">
        <w:rPr>
          <w:lang w:val="en-GB"/>
        </w:rPr>
        <w:t>25.</w:t>
      </w:r>
      <w:r w:rsidRPr="005F73BE">
        <w:rPr>
          <w:rFonts w:eastAsia="Times New Roman"/>
          <w:lang w:val="en-GB"/>
        </w:rPr>
        <w:t xml:space="preserve"> </w:t>
      </w:r>
      <w:proofErr w:type="spellStart"/>
      <w:r w:rsidRPr="005F73BE">
        <w:rPr>
          <w:rFonts w:eastAsia="Times New Roman"/>
          <w:lang w:val="en-GB"/>
        </w:rPr>
        <w:t>Ho</w:t>
      </w:r>
      <w:proofErr w:type="spellEnd"/>
      <w:r w:rsidRPr="005F73BE">
        <w:rPr>
          <w:rFonts w:eastAsia="Times New Roman"/>
          <w:lang w:val="en-GB"/>
        </w:rPr>
        <w:t xml:space="preserve">, M. J., Shaw, K., Liu, T. H., Norris, J., &amp; Chiu, Y. T. Equal, global, local: discourses in Taiwan's international medical graduate debate. </w:t>
      </w:r>
      <w:r w:rsidRPr="005F73BE">
        <w:rPr>
          <w:rFonts w:eastAsia="Times New Roman"/>
          <w:i/>
          <w:iCs/>
          <w:lang w:val="en-GB"/>
        </w:rPr>
        <w:t>Medical Education</w:t>
      </w:r>
      <w:r w:rsidRPr="005F73BE">
        <w:rPr>
          <w:rFonts w:eastAsia="Times New Roman"/>
          <w:lang w:val="en-GB"/>
        </w:rPr>
        <w:t xml:space="preserve">, </w:t>
      </w:r>
      <w:r w:rsidR="00220A89" w:rsidRPr="005F73BE">
        <w:rPr>
          <w:rFonts w:eastAsia="Times New Roman"/>
          <w:lang w:val="en-GB"/>
        </w:rPr>
        <w:t>2015</w:t>
      </w:r>
      <w:r w:rsidR="00220A89">
        <w:rPr>
          <w:rFonts w:eastAsia="Times New Roman"/>
          <w:lang w:val="en-GB"/>
        </w:rPr>
        <w:t xml:space="preserve">; </w:t>
      </w:r>
      <w:r w:rsidRPr="005F73BE">
        <w:rPr>
          <w:rFonts w:eastAsia="Times New Roman"/>
          <w:i/>
          <w:iCs/>
          <w:lang w:val="en-GB"/>
        </w:rPr>
        <w:t>49</w:t>
      </w:r>
      <w:r w:rsidRPr="005F73BE">
        <w:rPr>
          <w:rFonts w:eastAsia="Times New Roman"/>
          <w:lang w:val="en-GB"/>
        </w:rPr>
        <w:t>(1), 48-59.</w:t>
      </w:r>
    </w:p>
    <w:p w14:paraId="0034EC22" w14:textId="5213CE8E" w:rsidR="00635828" w:rsidRPr="005F73BE" w:rsidRDefault="00635828" w:rsidP="00635828">
      <w:pPr>
        <w:pStyle w:val="Referens0"/>
        <w:rPr>
          <w:lang w:val="en-GB"/>
        </w:rPr>
      </w:pPr>
      <w:r w:rsidRPr="005F73BE">
        <w:rPr>
          <w:lang w:val="en-GB"/>
        </w:rPr>
        <w:t>26. M</w:t>
      </w:r>
      <w:r w:rsidR="008B643D">
        <w:rPr>
          <w:lang w:val="en-GB"/>
        </w:rPr>
        <w:t>cNaughton, N. Discourse</w:t>
      </w:r>
      <w:r w:rsidRPr="005F73BE">
        <w:rPr>
          <w:lang w:val="en-GB"/>
        </w:rPr>
        <w:t>(s) of emotion within medical education: the ever</w:t>
      </w:r>
      <w:r w:rsidRPr="005F73BE">
        <w:rPr>
          <w:rFonts w:cs="Noteworthy Bold"/>
          <w:lang w:val="en-GB"/>
        </w:rPr>
        <w:t>‐</w:t>
      </w:r>
      <w:r w:rsidRPr="005F73BE">
        <w:rPr>
          <w:lang w:val="en-GB"/>
        </w:rPr>
        <w:t xml:space="preserve">present absence. </w:t>
      </w:r>
      <w:r w:rsidRPr="005F73BE">
        <w:rPr>
          <w:i/>
          <w:iCs/>
          <w:lang w:val="en-GB"/>
        </w:rPr>
        <w:t>Medical Education</w:t>
      </w:r>
      <w:r w:rsidRPr="005F73BE">
        <w:rPr>
          <w:lang w:val="en-GB"/>
        </w:rPr>
        <w:t xml:space="preserve">, </w:t>
      </w:r>
      <w:r w:rsidR="00811FB0">
        <w:rPr>
          <w:lang w:val="en-GB"/>
        </w:rPr>
        <w:t xml:space="preserve">2013; </w:t>
      </w:r>
      <w:r w:rsidRPr="005F73BE">
        <w:rPr>
          <w:i/>
          <w:iCs/>
          <w:lang w:val="en-GB"/>
        </w:rPr>
        <w:t>47</w:t>
      </w:r>
      <w:r w:rsidRPr="005F73BE">
        <w:rPr>
          <w:lang w:val="en-GB"/>
        </w:rPr>
        <w:t>(1), 71-79.</w:t>
      </w:r>
    </w:p>
    <w:p w14:paraId="09538A3B" w14:textId="5FEB1820" w:rsidR="00635828" w:rsidRPr="005F73BE" w:rsidRDefault="00635828" w:rsidP="00635828">
      <w:pPr>
        <w:pStyle w:val="Referens0"/>
        <w:rPr>
          <w:lang w:val="en-GB"/>
        </w:rPr>
      </w:pPr>
      <w:r w:rsidRPr="005F73BE">
        <w:rPr>
          <w:lang w:val="en-GB"/>
        </w:rPr>
        <w:t xml:space="preserve">27. Ng, S. L., Kinsella, E. A., Friesen, F., &amp; Hodges, B. Reclaiming a theoretical orientation to reflection in medical education research: a critical narrative review. </w:t>
      </w:r>
      <w:r w:rsidRPr="005F73BE">
        <w:rPr>
          <w:i/>
          <w:iCs/>
          <w:lang w:val="en-GB"/>
        </w:rPr>
        <w:t>Medical Education</w:t>
      </w:r>
      <w:r w:rsidRPr="005F73BE">
        <w:rPr>
          <w:lang w:val="en-GB"/>
        </w:rPr>
        <w:t xml:space="preserve">, </w:t>
      </w:r>
      <w:r w:rsidR="0089217E" w:rsidRPr="005F73BE">
        <w:rPr>
          <w:lang w:val="en-GB"/>
        </w:rPr>
        <w:t>2015</w:t>
      </w:r>
      <w:r w:rsidR="0089217E">
        <w:rPr>
          <w:lang w:val="en-GB"/>
        </w:rPr>
        <w:t xml:space="preserve">; </w:t>
      </w:r>
      <w:r w:rsidRPr="005F73BE">
        <w:rPr>
          <w:i/>
          <w:iCs/>
          <w:lang w:val="en-GB"/>
        </w:rPr>
        <w:t>49</w:t>
      </w:r>
      <w:r w:rsidRPr="005F73BE">
        <w:rPr>
          <w:lang w:val="en-GB"/>
        </w:rPr>
        <w:t>(5), 461-475</w:t>
      </w:r>
    </w:p>
    <w:p w14:paraId="64EA9D8C" w14:textId="09556AC1" w:rsidR="00635828" w:rsidRPr="005F73BE" w:rsidRDefault="00635828" w:rsidP="00635828">
      <w:pPr>
        <w:pStyle w:val="Referens0"/>
        <w:rPr>
          <w:lang w:val="en-GB"/>
        </w:rPr>
      </w:pPr>
      <w:r w:rsidRPr="005F73BE">
        <w:rPr>
          <w:lang w:val="en-GB"/>
        </w:rPr>
        <w:t xml:space="preserve">28. Park, S., Griffin, A., &amp; Gill, D. Working with words: exploring textual analysis in medical education research. </w:t>
      </w:r>
      <w:r w:rsidRPr="005F73BE">
        <w:rPr>
          <w:i/>
          <w:iCs/>
          <w:lang w:val="en-GB"/>
        </w:rPr>
        <w:t>Medical Education</w:t>
      </w:r>
      <w:r w:rsidRPr="005F73BE">
        <w:rPr>
          <w:lang w:val="en-GB"/>
        </w:rPr>
        <w:t xml:space="preserve">, </w:t>
      </w:r>
      <w:r w:rsidR="0089217E" w:rsidRPr="005F73BE">
        <w:rPr>
          <w:lang w:val="en-GB"/>
        </w:rPr>
        <w:t>2012</w:t>
      </w:r>
      <w:r w:rsidR="0089217E">
        <w:rPr>
          <w:lang w:val="en-GB"/>
        </w:rPr>
        <w:t xml:space="preserve">; </w:t>
      </w:r>
      <w:r w:rsidRPr="005F73BE">
        <w:rPr>
          <w:i/>
          <w:iCs/>
          <w:lang w:val="en-GB"/>
        </w:rPr>
        <w:t>46</w:t>
      </w:r>
      <w:r w:rsidRPr="005F73BE">
        <w:rPr>
          <w:lang w:val="en-GB"/>
        </w:rPr>
        <w:t>(4), 372-380.</w:t>
      </w:r>
    </w:p>
    <w:p w14:paraId="17AB0135" w14:textId="5D550EE8" w:rsidR="00635828" w:rsidRPr="005F73BE" w:rsidRDefault="00635828" w:rsidP="00635828">
      <w:pPr>
        <w:pStyle w:val="Referens0"/>
        <w:rPr>
          <w:lang w:val="en-GB"/>
        </w:rPr>
      </w:pPr>
      <w:r w:rsidRPr="005F73BE">
        <w:rPr>
          <w:lang w:val="en-GB"/>
        </w:rPr>
        <w:t xml:space="preserve">29. </w:t>
      </w:r>
      <w:proofErr w:type="spellStart"/>
      <w:r w:rsidRPr="005F73BE">
        <w:rPr>
          <w:lang w:val="en-GB"/>
        </w:rPr>
        <w:t>Razack</w:t>
      </w:r>
      <w:proofErr w:type="spellEnd"/>
      <w:r w:rsidRPr="005F73BE">
        <w:rPr>
          <w:lang w:val="en-GB"/>
        </w:rPr>
        <w:t xml:space="preserve">, S., Hodges, B., </w:t>
      </w:r>
      <w:proofErr w:type="spellStart"/>
      <w:r w:rsidRPr="005F73BE">
        <w:rPr>
          <w:lang w:val="en-GB"/>
        </w:rPr>
        <w:t>Steinert</w:t>
      </w:r>
      <w:proofErr w:type="spellEnd"/>
      <w:r w:rsidRPr="005F73BE">
        <w:rPr>
          <w:lang w:val="en-GB"/>
        </w:rPr>
        <w:t xml:space="preserve">, Y., &amp; Maguire, M. Seeking inclusion in an exclusive process: discourses of medical school student selection. </w:t>
      </w:r>
      <w:r w:rsidRPr="005F73BE">
        <w:rPr>
          <w:i/>
          <w:iCs/>
          <w:lang w:val="en-GB"/>
        </w:rPr>
        <w:t>Medical Education</w:t>
      </w:r>
      <w:r w:rsidRPr="005F73BE">
        <w:rPr>
          <w:lang w:val="en-GB"/>
        </w:rPr>
        <w:t xml:space="preserve">, </w:t>
      </w:r>
      <w:r w:rsidR="0089217E" w:rsidRPr="005F73BE">
        <w:rPr>
          <w:lang w:val="en-GB"/>
        </w:rPr>
        <w:t>2015</w:t>
      </w:r>
      <w:r w:rsidR="0089217E">
        <w:rPr>
          <w:lang w:val="en-GB"/>
        </w:rPr>
        <w:t xml:space="preserve">; </w:t>
      </w:r>
      <w:r w:rsidRPr="005F73BE">
        <w:rPr>
          <w:i/>
          <w:iCs/>
          <w:lang w:val="en-GB"/>
        </w:rPr>
        <w:t>49</w:t>
      </w:r>
      <w:r w:rsidRPr="005F73BE">
        <w:rPr>
          <w:lang w:val="en-GB"/>
        </w:rPr>
        <w:t>(1), 36-47.</w:t>
      </w:r>
    </w:p>
    <w:p w14:paraId="165A1464" w14:textId="406787B6" w:rsidR="00635828" w:rsidRPr="005F73BE" w:rsidRDefault="00635828" w:rsidP="00635828">
      <w:pPr>
        <w:pStyle w:val="Referens0"/>
        <w:rPr>
          <w:lang w:val="en-GB"/>
        </w:rPr>
      </w:pPr>
      <w:r w:rsidRPr="005F73BE">
        <w:rPr>
          <w:lang w:val="en-GB"/>
        </w:rPr>
        <w:lastRenderedPageBreak/>
        <w:t>30. Whitehead, C. Scientist or science</w:t>
      </w:r>
      <w:r w:rsidRPr="005F73BE">
        <w:rPr>
          <w:rFonts w:cs="Noteworthy Bold"/>
          <w:lang w:val="en-GB"/>
        </w:rPr>
        <w:t>‐</w:t>
      </w:r>
      <w:r w:rsidRPr="005F73BE">
        <w:rPr>
          <w:lang w:val="en-GB"/>
        </w:rPr>
        <w:t xml:space="preserve">stuffed? Discourses of science in North American medical education. </w:t>
      </w:r>
      <w:r w:rsidRPr="005F73BE">
        <w:rPr>
          <w:i/>
          <w:iCs/>
          <w:lang w:val="en-GB"/>
        </w:rPr>
        <w:t>Medical Education</w:t>
      </w:r>
      <w:r w:rsidRPr="005F73BE">
        <w:rPr>
          <w:lang w:val="en-GB"/>
        </w:rPr>
        <w:t xml:space="preserve">, </w:t>
      </w:r>
      <w:r w:rsidR="0089217E" w:rsidRPr="005F73BE">
        <w:rPr>
          <w:lang w:val="en-GB"/>
        </w:rPr>
        <w:t>2013</w:t>
      </w:r>
      <w:r w:rsidR="0089217E">
        <w:rPr>
          <w:lang w:val="en-GB"/>
        </w:rPr>
        <w:t xml:space="preserve">; </w:t>
      </w:r>
      <w:r w:rsidRPr="005F73BE">
        <w:rPr>
          <w:i/>
          <w:iCs/>
          <w:lang w:val="en-GB"/>
        </w:rPr>
        <w:t>47</w:t>
      </w:r>
      <w:r w:rsidRPr="005F73BE">
        <w:rPr>
          <w:lang w:val="en-GB"/>
        </w:rPr>
        <w:t>(1), 26-32.</w:t>
      </w:r>
    </w:p>
    <w:p w14:paraId="18CCF468" w14:textId="6EE7158F" w:rsidR="00635828" w:rsidRPr="005F73BE" w:rsidRDefault="00635828" w:rsidP="00635828">
      <w:pPr>
        <w:pStyle w:val="Referens0"/>
        <w:rPr>
          <w:lang w:val="en-GB"/>
        </w:rPr>
      </w:pPr>
      <w:r w:rsidRPr="005F73BE">
        <w:rPr>
          <w:lang w:val="en-GB"/>
        </w:rPr>
        <w:t xml:space="preserve">31. Whitehead, C., </w:t>
      </w:r>
      <w:proofErr w:type="spellStart"/>
      <w:r w:rsidRPr="005F73BE">
        <w:rPr>
          <w:lang w:val="en-GB"/>
        </w:rPr>
        <w:t>Kuper</w:t>
      </w:r>
      <w:proofErr w:type="spellEnd"/>
      <w:r w:rsidRPr="005F73BE">
        <w:rPr>
          <w:lang w:val="en-GB"/>
        </w:rPr>
        <w:t xml:space="preserve">, A., Freeman, R., </w:t>
      </w:r>
      <w:proofErr w:type="spellStart"/>
      <w:r w:rsidRPr="005F73BE">
        <w:rPr>
          <w:lang w:val="en-GB"/>
        </w:rPr>
        <w:t>Gru</w:t>
      </w:r>
      <w:r w:rsidR="002308C9">
        <w:rPr>
          <w:lang w:val="en-GB"/>
        </w:rPr>
        <w:t>ndland</w:t>
      </w:r>
      <w:proofErr w:type="spellEnd"/>
      <w:r w:rsidR="002308C9">
        <w:rPr>
          <w:lang w:val="en-GB"/>
        </w:rPr>
        <w:t xml:space="preserve">, B., &amp; Webster, F. </w:t>
      </w:r>
      <w:r w:rsidRPr="005F73BE">
        <w:rPr>
          <w:lang w:val="en-GB"/>
        </w:rPr>
        <w:t xml:space="preserve">Compassionate care? A critical discourse analysis of accreditation standards. </w:t>
      </w:r>
      <w:r w:rsidRPr="005F73BE">
        <w:rPr>
          <w:i/>
          <w:iCs/>
          <w:lang w:val="en-GB"/>
        </w:rPr>
        <w:t>Medical Education</w:t>
      </w:r>
      <w:r w:rsidRPr="005F73BE">
        <w:rPr>
          <w:lang w:val="en-GB"/>
        </w:rPr>
        <w:t>,</w:t>
      </w:r>
      <w:r w:rsidR="00AF474D">
        <w:rPr>
          <w:lang w:val="en-GB"/>
        </w:rPr>
        <w:t xml:space="preserve"> 2014;</w:t>
      </w:r>
      <w:r w:rsidRPr="005F73BE">
        <w:rPr>
          <w:lang w:val="en-GB"/>
        </w:rPr>
        <w:t xml:space="preserve"> </w:t>
      </w:r>
      <w:r w:rsidRPr="005F73BE">
        <w:rPr>
          <w:i/>
          <w:iCs/>
          <w:lang w:val="en-GB"/>
        </w:rPr>
        <w:t>48</w:t>
      </w:r>
      <w:r w:rsidRPr="005F73BE">
        <w:rPr>
          <w:lang w:val="en-GB"/>
        </w:rPr>
        <w:t>(6), 632-643.</w:t>
      </w:r>
    </w:p>
    <w:p w14:paraId="09C8F67A" w14:textId="1E886EFF" w:rsidR="00635828" w:rsidRPr="005F73BE" w:rsidRDefault="00635828" w:rsidP="00635828">
      <w:pPr>
        <w:pStyle w:val="Referens0"/>
        <w:rPr>
          <w:lang w:val="en-GB"/>
        </w:rPr>
      </w:pPr>
      <w:r w:rsidRPr="005F73BE">
        <w:rPr>
          <w:lang w:val="en-GB"/>
        </w:rPr>
        <w:t xml:space="preserve">32. Whitehead, C., </w:t>
      </w:r>
      <w:proofErr w:type="spellStart"/>
      <w:r w:rsidRPr="005F73BE">
        <w:rPr>
          <w:lang w:val="en-GB"/>
        </w:rPr>
        <w:t>Selleger</w:t>
      </w:r>
      <w:proofErr w:type="spellEnd"/>
      <w:r w:rsidRPr="005F73BE">
        <w:rPr>
          <w:lang w:val="en-GB"/>
        </w:rPr>
        <w:t xml:space="preserve">, V. </w:t>
      </w:r>
      <w:proofErr w:type="spellStart"/>
      <w:r w:rsidRPr="005F73BE">
        <w:rPr>
          <w:lang w:val="en-GB"/>
        </w:rPr>
        <w:t>Kreeke</w:t>
      </w:r>
      <w:proofErr w:type="spellEnd"/>
      <w:r w:rsidRPr="005F73BE">
        <w:rPr>
          <w:lang w:val="en-GB"/>
        </w:rPr>
        <w:t xml:space="preserve">, J., &amp; Hodges, B. The ‘missing person’ in roles-based competency models: a historical, cross-national, contrastive case study. </w:t>
      </w:r>
      <w:r w:rsidRPr="005F73BE">
        <w:rPr>
          <w:i/>
          <w:lang w:val="en-GB"/>
        </w:rPr>
        <w:t xml:space="preserve">Medical Education, </w:t>
      </w:r>
      <w:r w:rsidR="00AF474D" w:rsidRPr="005F73BE">
        <w:rPr>
          <w:lang w:val="en-GB"/>
        </w:rPr>
        <w:t>2014</w:t>
      </w:r>
      <w:r w:rsidR="00AF474D">
        <w:rPr>
          <w:lang w:val="en-GB"/>
        </w:rPr>
        <w:t xml:space="preserve">; </w:t>
      </w:r>
      <w:r w:rsidRPr="005F73BE">
        <w:rPr>
          <w:i/>
          <w:lang w:val="en-GB"/>
        </w:rPr>
        <w:t>48(8)</w:t>
      </w:r>
      <w:r w:rsidRPr="005F73BE">
        <w:rPr>
          <w:lang w:val="en-GB"/>
        </w:rPr>
        <w:t>, 785-795</w:t>
      </w:r>
      <w:r w:rsidR="00F02397">
        <w:rPr>
          <w:lang w:val="en-GB"/>
        </w:rPr>
        <w:t>.</w:t>
      </w:r>
    </w:p>
    <w:p w14:paraId="7DA45EBD" w14:textId="3ED60873" w:rsidR="00635828" w:rsidRPr="005F73BE" w:rsidRDefault="00635828" w:rsidP="00635828">
      <w:pPr>
        <w:pStyle w:val="Referens0"/>
        <w:rPr>
          <w:rFonts w:eastAsia="Times New Roman"/>
          <w:lang w:val="en-GB"/>
        </w:rPr>
      </w:pPr>
      <w:r w:rsidRPr="005F73BE">
        <w:rPr>
          <w:lang w:val="en-GB"/>
        </w:rPr>
        <w:t>33.</w:t>
      </w:r>
      <w:r w:rsidRPr="005F73BE">
        <w:rPr>
          <w:rFonts w:eastAsia="Times New Roman" w:cs="Times New Roman"/>
          <w:lang w:val="en-GB"/>
        </w:rPr>
        <w:t xml:space="preserve"> Hodges, B. D. </w:t>
      </w:r>
      <w:r w:rsidRPr="005F73BE">
        <w:rPr>
          <w:rFonts w:eastAsia="Times New Roman" w:cs="Times New Roman"/>
          <w:i/>
          <w:iCs/>
          <w:lang w:val="en-GB"/>
        </w:rPr>
        <w:t>The objective structured clinical examination: A socio-history</w:t>
      </w:r>
      <w:r w:rsidRPr="005F73BE">
        <w:rPr>
          <w:rFonts w:eastAsia="Times New Roman" w:cs="Times New Roman"/>
          <w:lang w:val="en-GB"/>
        </w:rPr>
        <w:t xml:space="preserve">. Cologne: LAP </w:t>
      </w:r>
      <w:r w:rsidR="00AF474D">
        <w:rPr>
          <w:rFonts w:eastAsia="Times New Roman" w:cs="Times New Roman"/>
          <w:lang w:val="en-GB"/>
        </w:rPr>
        <w:t xml:space="preserve">Lambert Academic Publishing; </w:t>
      </w:r>
      <w:r w:rsidR="00AF474D" w:rsidRPr="005F73BE">
        <w:rPr>
          <w:rFonts w:eastAsia="Times New Roman" w:cs="Times New Roman"/>
          <w:lang w:val="en-GB"/>
        </w:rPr>
        <w:t>2009</w:t>
      </w:r>
    </w:p>
    <w:p w14:paraId="25D3703F" w14:textId="78C7D36F" w:rsidR="00635828" w:rsidRPr="005F73BE" w:rsidRDefault="00635828" w:rsidP="00635828">
      <w:pPr>
        <w:pStyle w:val="Referens0"/>
        <w:rPr>
          <w:lang w:val="en-GB"/>
        </w:rPr>
      </w:pPr>
      <w:r w:rsidRPr="005F73BE">
        <w:rPr>
          <w:lang w:val="en-GB"/>
        </w:rPr>
        <w:t>34.</w:t>
      </w:r>
      <w:r w:rsidRPr="005F73BE">
        <w:rPr>
          <w:rFonts w:eastAsia="Times New Roman" w:cs="Times New Roman"/>
          <w:lang w:val="en-GB"/>
        </w:rPr>
        <w:t xml:space="preserve"> </w:t>
      </w:r>
      <w:proofErr w:type="spellStart"/>
      <w:r w:rsidRPr="005F73BE">
        <w:rPr>
          <w:rFonts w:eastAsia="Times New Roman" w:cs="Times New Roman"/>
          <w:lang w:val="en-GB"/>
        </w:rPr>
        <w:t>Martimianakis</w:t>
      </w:r>
      <w:proofErr w:type="spellEnd"/>
      <w:r w:rsidRPr="005F73BE">
        <w:rPr>
          <w:rFonts w:eastAsia="Times New Roman" w:cs="Times New Roman"/>
          <w:lang w:val="en-GB"/>
        </w:rPr>
        <w:t xml:space="preserve">, M. A., &amp; </w:t>
      </w:r>
      <w:proofErr w:type="spellStart"/>
      <w:r w:rsidRPr="005F73BE">
        <w:rPr>
          <w:rFonts w:eastAsia="Times New Roman" w:cs="Times New Roman"/>
          <w:lang w:val="en-GB"/>
        </w:rPr>
        <w:t>Hafferty</w:t>
      </w:r>
      <w:proofErr w:type="spellEnd"/>
      <w:r w:rsidRPr="005F73BE">
        <w:rPr>
          <w:rFonts w:eastAsia="Times New Roman" w:cs="Times New Roman"/>
          <w:lang w:val="en-GB"/>
        </w:rPr>
        <w:t xml:space="preserve">, F. W. The world as the new local clinic: A critical analysis of three discourses of global medical competency. </w:t>
      </w:r>
      <w:r w:rsidRPr="005F73BE">
        <w:rPr>
          <w:rFonts w:eastAsia="Times New Roman" w:cs="Times New Roman"/>
          <w:i/>
          <w:iCs/>
          <w:lang w:val="en-GB"/>
        </w:rPr>
        <w:t>Social Science &amp; Medicine</w:t>
      </w:r>
      <w:r w:rsidRPr="005F73BE">
        <w:rPr>
          <w:rFonts w:eastAsia="Times New Roman" w:cs="Times New Roman"/>
          <w:lang w:val="en-GB"/>
        </w:rPr>
        <w:t xml:space="preserve">, </w:t>
      </w:r>
      <w:r w:rsidR="00AF474D" w:rsidRPr="005F73BE">
        <w:rPr>
          <w:rFonts w:eastAsia="Times New Roman" w:cs="Times New Roman"/>
          <w:lang w:val="en-GB"/>
        </w:rPr>
        <w:t>2013</w:t>
      </w:r>
      <w:r w:rsidR="00AF474D">
        <w:rPr>
          <w:rFonts w:eastAsia="Times New Roman" w:cs="Times New Roman"/>
          <w:lang w:val="en-GB"/>
        </w:rPr>
        <w:t xml:space="preserve">; </w:t>
      </w:r>
      <w:r w:rsidRPr="005F73BE">
        <w:rPr>
          <w:rFonts w:eastAsia="Times New Roman" w:cs="Times New Roman"/>
          <w:i/>
          <w:iCs/>
          <w:lang w:val="en-GB"/>
        </w:rPr>
        <w:t>87</w:t>
      </w:r>
      <w:r w:rsidRPr="005F73BE">
        <w:rPr>
          <w:rFonts w:eastAsia="Times New Roman" w:cs="Times New Roman"/>
          <w:lang w:val="en-GB"/>
        </w:rPr>
        <w:t>, 31-38.</w:t>
      </w:r>
    </w:p>
    <w:p w14:paraId="1D5B09F8" w14:textId="50E559D0" w:rsidR="00635828" w:rsidRPr="005F73BE" w:rsidRDefault="00635828" w:rsidP="00CA6755">
      <w:pPr>
        <w:pStyle w:val="Referens0"/>
        <w:rPr>
          <w:lang w:val="en-GB"/>
        </w:rPr>
      </w:pPr>
      <w:r w:rsidRPr="005F73BE">
        <w:rPr>
          <w:lang w:val="en-GB"/>
        </w:rPr>
        <w:t xml:space="preserve">35. Giles, J. A., &amp; Hill, E. J. Examining our hidden curricula: powerful, visible, gendered and discriminatory. </w:t>
      </w:r>
      <w:r w:rsidRPr="005F73BE">
        <w:rPr>
          <w:i/>
          <w:iCs/>
          <w:lang w:val="en-GB"/>
        </w:rPr>
        <w:t>Medical Education</w:t>
      </w:r>
      <w:r w:rsidRPr="005F73BE">
        <w:rPr>
          <w:lang w:val="en-GB"/>
        </w:rPr>
        <w:t xml:space="preserve">, </w:t>
      </w:r>
      <w:r w:rsidR="00AF474D" w:rsidRPr="005F73BE">
        <w:rPr>
          <w:lang w:val="en-GB"/>
        </w:rPr>
        <w:t>2015</w:t>
      </w:r>
      <w:r w:rsidR="00AF474D">
        <w:rPr>
          <w:lang w:val="en-GB"/>
        </w:rPr>
        <w:t xml:space="preserve">; </w:t>
      </w:r>
      <w:r w:rsidRPr="005F73BE">
        <w:rPr>
          <w:i/>
          <w:iCs/>
          <w:lang w:val="en-GB"/>
        </w:rPr>
        <w:t>49</w:t>
      </w:r>
      <w:r w:rsidRPr="005F73BE">
        <w:rPr>
          <w:lang w:val="en-GB"/>
        </w:rPr>
        <w:t>(3), 244-246.</w:t>
      </w:r>
    </w:p>
    <w:p w14:paraId="489A3899" w14:textId="76AA341B" w:rsidR="00635828" w:rsidRPr="005F73BE" w:rsidRDefault="00635828" w:rsidP="00635828">
      <w:pPr>
        <w:pStyle w:val="Referens0"/>
        <w:rPr>
          <w:lang w:val="en-GB"/>
        </w:rPr>
      </w:pPr>
      <w:r w:rsidRPr="005F73BE">
        <w:rPr>
          <w:lang w:val="en-GB"/>
        </w:rPr>
        <w:t xml:space="preserve">36. Park, S., Pelletier, C., &amp; </w:t>
      </w:r>
      <w:proofErr w:type="spellStart"/>
      <w:r w:rsidRPr="005F73BE">
        <w:rPr>
          <w:lang w:val="en-GB"/>
        </w:rPr>
        <w:t>Klingenberg</w:t>
      </w:r>
      <w:proofErr w:type="spellEnd"/>
      <w:r w:rsidRPr="005F73BE">
        <w:rPr>
          <w:lang w:val="en-GB"/>
        </w:rPr>
        <w:t>, M</w:t>
      </w:r>
      <w:r w:rsidR="002C22FB">
        <w:rPr>
          <w:lang w:val="en-GB"/>
        </w:rPr>
        <w:t>.</w:t>
      </w:r>
      <w:r w:rsidRPr="005F73BE">
        <w:rPr>
          <w:lang w:val="en-GB"/>
        </w:rPr>
        <w:t xml:space="preserve"> The missing self: competence, the person and Foucault. </w:t>
      </w:r>
      <w:r w:rsidRPr="005F73BE">
        <w:rPr>
          <w:i/>
          <w:iCs/>
          <w:lang w:val="en-GB"/>
        </w:rPr>
        <w:t>Medical Education</w:t>
      </w:r>
      <w:r w:rsidRPr="005F73BE">
        <w:rPr>
          <w:lang w:val="en-GB"/>
        </w:rPr>
        <w:t xml:space="preserve">, </w:t>
      </w:r>
      <w:r w:rsidR="002C22FB" w:rsidRPr="005F73BE">
        <w:rPr>
          <w:lang w:val="en-GB"/>
        </w:rPr>
        <w:t>2014</w:t>
      </w:r>
      <w:r w:rsidR="002C22FB">
        <w:rPr>
          <w:lang w:val="en-GB"/>
        </w:rPr>
        <w:t xml:space="preserve">; </w:t>
      </w:r>
      <w:r w:rsidRPr="005F73BE">
        <w:rPr>
          <w:i/>
          <w:iCs/>
          <w:lang w:val="en-GB"/>
        </w:rPr>
        <w:t>48</w:t>
      </w:r>
      <w:r w:rsidRPr="005F73BE">
        <w:rPr>
          <w:lang w:val="en-GB"/>
        </w:rPr>
        <w:t>(8), 741-744.</w:t>
      </w:r>
    </w:p>
    <w:p w14:paraId="6C2B175C" w14:textId="1346E0D4" w:rsidR="00635828" w:rsidRPr="005F73BE" w:rsidRDefault="00635828" w:rsidP="00F85470">
      <w:pPr>
        <w:pStyle w:val="Referens0"/>
        <w:rPr>
          <w:lang w:val="en-GB"/>
        </w:rPr>
      </w:pPr>
      <w:r w:rsidRPr="005F73BE">
        <w:rPr>
          <w:lang w:val="en-GB"/>
        </w:rPr>
        <w:t>37.</w:t>
      </w:r>
      <w:r w:rsidRPr="005F73BE">
        <w:rPr>
          <w:rFonts w:cs="Arial"/>
          <w:color w:val="1A1A1A"/>
          <w:lang w:val="en-GB"/>
        </w:rPr>
        <w:t xml:space="preserve"> Kärreman, D. Understanding organizational realities through discourse analysis: the case for discursive pragmatism. </w:t>
      </w:r>
      <w:r w:rsidRPr="005F73BE">
        <w:rPr>
          <w:rFonts w:cs="Arial"/>
          <w:i/>
          <w:iCs/>
          <w:color w:val="1A1A1A"/>
          <w:lang w:val="en-GB"/>
        </w:rPr>
        <w:t>Journal of Business Anthropology</w:t>
      </w:r>
      <w:r w:rsidRPr="005F73BE">
        <w:rPr>
          <w:rFonts w:cs="Arial"/>
          <w:color w:val="1A1A1A"/>
          <w:lang w:val="en-GB"/>
        </w:rPr>
        <w:t xml:space="preserve">, </w:t>
      </w:r>
      <w:r w:rsidR="002C22FB" w:rsidRPr="005F73BE">
        <w:rPr>
          <w:rFonts w:cs="Arial"/>
          <w:color w:val="1A1A1A"/>
          <w:lang w:val="en-GB"/>
        </w:rPr>
        <w:t>2014</w:t>
      </w:r>
      <w:r w:rsidR="002C22FB">
        <w:rPr>
          <w:rFonts w:cs="Arial"/>
          <w:color w:val="1A1A1A"/>
          <w:lang w:val="en-GB"/>
        </w:rPr>
        <w:t xml:space="preserve">; </w:t>
      </w:r>
      <w:r w:rsidRPr="005F73BE">
        <w:rPr>
          <w:rFonts w:cs="Arial"/>
          <w:i/>
          <w:iCs/>
          <w:color w:val="1A1A1A"/>
          <w:lang w:val="en-GB"/>
        </w:rPr>
        <w:t>3</w:t>
      </w:r>
      <w:r w:rsidRPr="005F73BE">
        <w:rPr>
          <w:rFonts w:cs="Arial"/>
          <w:color w:val="1A1A1A"/>
          <w:lang w:val="en-GB"/>
        </w:rPr>
        <w:t>(2), 201-215.</w:t>
      </w:r>
    </w:p>
    <w:p w14:paraId="520A9C87" w14:textId="4430B5F2" w:rsidR="00635828" w:rsidRPr="005F73BE" w:rsidRDefault="00635828" w:rsidP="00F85470">
      <w:pPr>
        <w:pStyle w:val="Referens0"/>
        <w:rPr>
          <w:lang w:val="en-GB"/>
        </w:rPr>
      </w:pPr>
      <w:r w:rsidRPr="005F73BE">
        <w:rPr>
          <w:lang w:val="en-GB"/>
        </w:rPr>
        <w:t>38.</w:t>
      </w:r>
      <w:r w:rsidRPr="005F73BE">
        <w:rPr>
          <w:color w:val="1A1A1A"/>
          <w:lang w:val="en-GB"/>
        </w:rPr>
        <w:t xml:space="preserve"> Alvesson, M., &amp;</w:t>
      </w:r>
      <w:r w:rsidR="005C16FF">
        <w:rPr>
          <w:color w:val="1A1A1A"/>
          <w:lang w:val="en-GB"/>
        </w:rPr>
        <w:t xml:space="preserve"> Kärreman, D. </w:t>
      </w:r>
      <w:r w:rsidRPr="005F73BE">
        <w:rPr>
          <w:i/>
          <w:color w:val="1A1A1A"/>
          <w:lang w:val="en-GB"/>
        </w:rPr>
        <w:t>Qualitative research and theory development: Mystery as method</w:t>
      </w:r>
      <w:r w:rsidRPr="005F73BE">
        <w:rPr>
          <w:color w:val="1A1A1A"/>
          <w:lang w:val="en-GB"/>
        </w:rPr>
        <w:t xml:space="preserve">. </w:t>
      </w:r>
      <w:r w:rsidRPr="005F73BE">
        <w:rPr>
          <w:rFonts w:cs="Arial"/>
          <w:color w:val="1A1A1A"/>
          <w:lang w:val="en-GB"/>
        </w:rPr>
        <w:t xml:space="preserve">London, </w:t>
      </w:r>
      <w:r w:rsidRPr="005F73BE">
        <w:rPr>
          <w:color w:val="1A1A1A"/>
          <w:lang w:val="en-GB"/>
        </w:rPr>
        <w:t>Sage Publications</w:t>
      </w:r>
      <w:r w:rsidR="002C22FB">
        <w:rPr>
          <w:color w:val="1A1A1A"/>
          <w:lang w:val="en-GB"/>
        </w:rPr>
        <w:t>; 2011</w:t>
      </w:r>
    </w:p>
    <w:p w14:paraId="7C23C466" w14:textId="64B84FB2" w:rsidR="00635828" w:rsidRPr="005F73BE" w:rsidRDefault="00635828" w:rsidP="00635828">
      <w:pPr>
        <w:pStyle w:val="Referens0"/>
        <w:rPr>
          <w:lang w:val="en-GB"/>
        </w:rPr>
      </w:pPr>
      <w:r w:rsidRPr="005F73BE">
        <w:rPr>
          <w:lang w:val="en-GB"/>
        </w:rPr>
        <w:t xml:space="preserve">39. Geertz, C. </w:t>
      </w:r>
      <w:r w:rsidRPr="005F73BE">
        <w:rPr>
          <w:i/>
          <w:lang w:val="en-GB"/>
        </w:rPr>
        <w:t>The Interpretation of Cultures</w:t>
      </w:r>
      <w:r w:rsidRPr="005F73BE">
        <w:rPr>
          <w:lang w:val="en-GB"/>
        </w:rPr>
        <w:t>. New York: Basic Books</w:t>
      </w:r>
      <w:r w:rsidR="002C22FB">
        <w:rPr>
          <w:lang w:val="en-GB"/>
        </w:rPr>
        <w:t xml:space="preserve">; </w:t>
      </w:r>
      <w:r w:rsidR="002C22FB" w:rsidRPr="005F73BE">
        <w:rPr>
          <w:lang w:val="en-GB"/>
        </w:rPr>
        <w:t>1973</w:t>
      </w:r>
    </w:p>
    <w:p w14:paraId="033289B3" w14:textId="77777777" w:rsidR="00635828" w:rsidRPr="005F73BE" w:rsidRDefault="00635828" w:rsidP="00635828">
      <w:pPr>
        <w:pStyle w:val="Referens0"/>
        <w:rPr>
          <w:lang w:val="en-GB"/>
        </w:rPr>
      </w:pPr>
    </w:p>
    <w:p w14:paraId="5EDC296A" w14:textId="77777777" w:rsidR="00635828" w:rsidRPr="005F73BE" w:rsidRDefault="00635828" w:rsidP="00635828">
      <w:pPr>
        <w:pStyle w:val="Referens0"/>
        <w:rPr>
          <w:rFonts w:cs="Times"/>
          <w:lang w:val="en-GB"/>
        </w:rPr>
      </w:pPr>
    </w:p>
    <w:p w14:paraId="35707EC8" w14:textId="77777777" w:rsidR="003906FB" w:rsidRPr="005F73BE" w:rsidRDefault="003906FB">
      <w:pPr>
        <w:rPr>
          <w:lang w:val="en-GB"/>
        </w:rPr>
      </w:pPr>
    </w:p>
    <w:sectPr w:rsidR="003906FB" w:rsidRPr="005F73BE" w:rsidSect="00F100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Garamond">
    <w:panose1 w:val="020204040303010108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oteworthy Bold">
    <w:altName w:val="Noteworthy"/>
    <w:charset w:val="00"/>
    <w:family w:val="auto"/>
    <w:pitch w:val="variable"/>
    <w:sig w:usb0="8000006F" w:usb1="08000048" w:usb2="14600000" w:usb3="00000000" w:csb0="0000011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749C2"/>
    <w:multiLevelType w:val="hybridMultilevel"/>
    <w:tmpl w:val="6E50554E"/>
    <w:lvl w:ilvl="0" w:tplc="7464B64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DFE569A"/>
    <w:multiLevelType w:val="hybridMultilevel"/>
    <w:tmpl w:val="194483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5F"/>
    <w:rsid w:val="00013595"/>
    <w:rsid w:val="0001424D"/>
    <w:rsid w:val="00021DED"/>
    <w:rsid w:val="00021FF2"/>
    <w:rsid w:val="0002442B"/>
    <w:rsid w:val="00043605"/>
    <w:rsid w:val="00045AC2"/>
    <w:rsid w:val="00050485"/>
    <w:rsid w:val="000553E4"/>
    <w:rsid w:val="00067618"/>
    <w:rsid w:val="0007619A"/>
    <w:rsid w:val="0009067D"/>
    <w:rsid w:val="000924EE"/>
    <w:rsid w:val="00093197"/>
    <w:rsid w:val="00097AC5"/>
    <w:rsid w:val="000B3428"/>
    <w:rsid w:val="000B705C"/>
    <w:rsid w:val="000D2D5A"/>
    <w:rsid w:val="000E65AF"/>
    <w:rsid w:val="000E7EB1"/>
    <w:rsid w:val="0011359A"/>
    <w:rsid w:val="00114813"/>
    <w:rsid w:val="00126821"/>
    <w:rsid w:val="00134FEA"/>
    <w:rsid w:val="00141868"/>
    <w:rsid w:val="0014289D"/>
    <w:rsid w:val="001472CE"/>
    <w:rsid w:val="001510C5"/>
    <w:rsid w:val="001525C0"/>
    <w:rsid w:val="00153ACC"/>
    <w:rsid w:val="00155FAC"/>
    <w:rsid w:val="00163923"/>
    <w:rsid w:val="00165C24"/>
    <w:rsid w:val="00170239"/>
    <w:rsid w:val="00171318"/>
    <w:rsid w:val="00180A24"/>
    <w:rsid w:val="00185124"/>
    <w:rsid w:val="001A2A71"/>
    <w:rsid w:val="001A4152"/>
    <w:rsid w:val="001B0A26"/>
    <w:rsid w:val="001B2FD3"/>
    <w:rsid w:val="001B398A"/>
    <w:rsid w:val="001B55D0"/>
    <w:rsid w:val="001E19CC"/>
    <w:rsid w:val="001E3F7A"/>
    <w:rsid w:val="00214E2A"/>
    <w:rsid w:val="00220A89"/>
    <w:rsid w:val="002223C1"/>
    <w:rsid w:val="002308C9"/>
    <w:rsid w:val="00235D02"/>
    <w:rsid w:val="00276294"/>
    <w:rsid w:val="00280CC8"/>
    <w:rsid w:val="002842E3"/>
    <w:rsid w:val="002A59AE"/>
    <w:rsid w:val="002A65DC"/>
    <w:rsid w:val="002B65A9"/>
    <w:rsid w:val="002B7C95"/>
    <w:rsid w:val="002C0903"/>
    <w:rsid w:val="002C22FB"/>
    <w:rsid w:val="002C520B"/>
    <w:rsid w:val="002C588B"/>
    <w:rsid w:val="002D2B83"/>
    <w:rsid w:val="002E3FC0"/>
    <w:rsid w:val="002F04DC"/>
    <w:rsid w:val="002F16DC"/>
    <w:rsid w:val="002F28ED"/>
    <w:rsid w:val="002F47C7"/>
    <w:rsid w:val="002F4A7B"/>
    <w:rsid w:val="003003B4"/>
    <w:rsid w:val="00301566"/>
    <w:rsid w:val="00302DAB"/>
    <w:rsid w:val="00316F28"/>
    <w:rsid w:val="00320BD1"/>
    <w:rsid w:val="00320EBF"/>
    <w:rsid w:val="0032766F"/>
    <w:rsid w:val="00342974"/>
    <w:rsid w:val="00356068"/>
    <w:rsid w:val="00361A99"/>
    <w:rsid w:val="0036621D"/>
    <w:rsid w:val="003678D6"/>
    <w:rsid w:val="00375D4F"/>
    <w:rsid w:val="00381BC6"/>
    <w:rsid w:val="003906FB"/>
    <w:rsid w:val="00391AD1"/>
    <w:rsid w:val="0039567C"/>
    <w:rsid w:val="003A3391"/>
    <w:rsid w:val="003A6D27"/>
    <w:rsid w:val="003B6132"/>
    <w:rsid w:val="003B79F3"/>
    <w:rsid w:val="003E6BB2"/>
    <w:rsid w:val="003F4C16"/>
    <w:rsid w:val="003F6F7C"/>
    <w:rsid w:val="003F7DD1"/>
    <w:rsid w:val="00403CBA"/>
    <w:rsid w:val="00404A50"/>
    <w:rsid w:val="00413B8D"/>
    <w:rsid w:val="00414A3B"/>
    <w:rsid w:val="0042225D"/>
    <w:rsid w:val="004440A5"/>
    <w:rsid w:val="004524B4"/>
    <w:rsid w:val="00462F80"/>
    <w:rsid w:val="004767F1"/>
    <w:rsid w:val="004941E5"/>
    <w:rsid w:val="004949AC"/>
    <w:rsid w:val="00495CB9"/>
    <w:rsid w:val="00497E7A"/>
    <w:rsid w:val="004B44CA"/>
    <w:rsid w:val="004C13AC"/>
    <w:rsid w:val="004D28EF"/>
    <w:rsid w:val="004D6C4D"/>
    <w:rsid w:val="004E1639"/>
    <w:rsid w:val="004F4F68"/>
    <w:rsid w:val="0050462E"/>
    <w:rsid w:val="0052055C"/>
    <w:rsid w:val="00525DF1"/>
    <w:rsid w:val="0053454B"/>
    <w:rsid w:val="00534AEA"/>
    <w:rsid w:val="00566A50"/>
    <w:rsid w:val="0056700A"/>
    <w:rsid w:val="00572A26"/>
    <w:rsid w:val="005812E1"/>
    <w:rsid w:val="00596E0C"/>
    <w:rsid w:val="005B711E"/>
    <w:rsid w:val="005B71C1"/>
    <w:rsid w:val="005B7B06"/>
    <w:rsid w:val="005C16FF"/>
    <w:rsid w:val="005D28D3"/>
    <w:rsid w:val="005D2B12"/>
    <w:rsid w:val="005D42AE"/>
    <w:rsid w:val="005F1125"/>
    <w:rsid w:val="005F2FAD"/>
    <w:rsid w:val="005F36A6"/>
    <w:rsid w:val="005F51F3"/>
    <w:rsid w:val="005F73BE"/>
    <w:rsid w:val="00612D27"/>
    <w:rsid w:val="006244E1"/>
    <w:rsid w:val="006251B4"/>
    <w:rsid w:val="00635828"/>
    <w:rsid w:val="00637298"/>
    <w:rsid w:val="00665983"/>
    <w:rsid w:val="00667C1C"/>
    <w:rsid w:val="00674AF7"/>
    <w:rsid w:val="0068124E"/>
    <w:rsid w:val="00686959"/>
    <w:rsid w:val="00693FF3"/>
    <w:rsid w:val="00694A1D"/>
    <w:rsid w:val="0069683F"/>
    <w:rsid w:val="00697690"/>
    <w:rsid w:val="006A15C4"/>
    <w:rsid w:val="006A4D42"/>
    <w:rsid w:val="006B08CB"/>
    <w:rsid w:val="006B2910"/>
    <w:rsid w:val="006B401B"/>
    <w:rsid w:val="006B7EDF"/>
    <w:rsid w:val="006C7492"/>
    <w:rsid w:val="006D3A64"/>
    <w:rsid w:val="006E4432"/>
    <w:rsid w:val="006E7DB3"/>
    <w:rsid w:val="006F233E"/>
    <w:rsid w:val="006F67BC"/>
    <w:rsid w:val="007038DF"/>
    <w:rsid w:val="00706C84"/>
    <w:rsid w:val="00707325"/>
    <w:rsid w:val="00707397"/>
    <w:rsid w:val="0071281B"/>
    <w:rsid w:val="00713ADA"/>
    <w:rsid w:val="00716312"/>
    <w:rsid w:val="00725682"/>
    <w:rsid w:val="007337C1"/>
    <w:rsid w:val="00735165"/>
    <w:rsid w:val="007379C0"/>
    <w:rsid w:val="0075181D"/>
    <w:rsid w:val="00753975"/>
    <w:rsid w:val="0075460A"/>
    <w:rsid w:val="00761ED9"/>
    <w:rsid w:val="00794FC0"/>
    <w:rsid w:val="007A587D"/>
    <w:rsid w:val="007C5381"/>
    <w:rsid w:val="007D15C8"/>
    <w:rsid w:val="007D45C9"/>
    <w:rsid w:val="007D7384"/>
    <w:rsid w:val="007E43F5"/>
    <w:rsid w:val="00811869"/>
    <w:rsid w:val="00811FB0"/>
    <w:rsid w:val="00812982"/>
    <w:rsid w:val="0081547A"/>
    <w:rsid w:val="008210FC"/>
    <w:rsid w:val="0083747A"/>
    <w:rsid w:val="0085796E"/>
    <w:rsid w:val="008639F4"/>
    <w:rsid w:val="00874CB2"/>
    <w:rsid w:val="00882DC9"/>
    <w:rsid w:val="0088703B"/>
    <w:rsid w:val="0089217E"/>
    <w:rsid w:val="00892CDB"/>
    <w:rsid w:val="008B643D"/>
    <w:rsid w:val="008C13B1"/>
    <w:rsid w:val="008C19D8"/>
    <w:rsid w:val="008D02F1"/>
    <w:rsid w:val="008D0352"/>
    <w:rsid w:val="008D3A8E"/>
    <w:rsid w:val="008F1B3C"/>
    <w:rsid w:val="008F5A03"/>
    <w:rsid w:val="00916589"/>
    <w:rsid w:val="0092018F"/>
    <w:rsid w:val="00923565"/>
    <w:rsid w:val="00934701"/>
    <w:rsid w:val="00937268"/>
    <w:rsid w:val="00951296"/>
    <w:rsid w:val="009606B3"/>
    <w:rsid w:val="0096124D"/>
    <w:rsid w:val="00964AC0"/>
    <w:rsid w:val="00965833"/>
    <w:rsid w:val="00980310"/>
    <w:rsid w:val="00980C3A"/>
    <w:rsid w:val="00981C17"/>
    <w:rsid w:val="00994068"/>
    <w:rsid w:val="009A340E"/>
    <w:rsid w:val="009A4DA4"/>
    <w:rsid w:val="009A555A"/>
    <w:rsid w:val="009B0F59"/>
    <w:rsid w:val="009B66DA"/>
    <w:rsid w:val="009C72C2"/>
    <w:rsid w:val="009D2E93"/>
    <w:rsid w:val="009E261E"/>
    <w:rsid w:val="00A14B47"/>
    <w:rsid w:val="00A22565"/>
    <w:rsid w:val="00A23934"/>
    <w:rsid w:val="00A25ECE"/>
    <w:rsid w:val="00A3083A"/>
    <w:rsid w:val="00A41FAE"/>
    <w:rsid w:val="00A4701D"/>
    <w:rsid w:val="00A471DF"/>
    <w:rsid w:val="00A47E28"/>
    <w:rsid w:val="00A62520"/>
    <w:rsid w:val="00A63D08"/>
    <w:rsid w:val="00A71072"/>
    <w:rsid w:val="00A72706"/>
    <w:rsid w:val="00AA5A04"/>
    <w:rsid w:val="00AB005A"/>
    <w:rsid w:val="00AB0C77"/>
    <w:rsid w:val="00AB18B3"/>
    <w:rsid w:val="00AB6930"/>
    <w:rsid w:val="00AC7888"/>
    <w:rsid w:val="00AD4258"/>
    <w:rsid w:val="00AD51BD"/>
    <w:rsid w:val="00AD7D16"/>
    <w:rsid w:val="00AE16D9"/>
    <w:rsid w:val="00AF1DD9"/>
    <w:rsid w:val="00AF474D"/>
    <w:rsid w:val="00B078D2"/>
    <w:rsid w:val="00B118B8"/>
    <w:rsid w:val="00B11C54"/>
    <w:rsid w:val="00B1204E"/>
    <w:rsid w:val="00B13685"/>
    <w:rsid w:val="00B15387"/>
    <w:rsid w:val="00B20BF0"/>
    <w:rsid w:val="00B44284"/>
    <w:rsid w:val="00B44B1F"/>
    <w:rsid w:val="00B457CB"/>
    <w:rsid w:val="00B53AC9"/>
    <w:rsid w:val="00B569C0"/>
    <w:rsid w:val="00B64E14"/>
    <w:rsid w:val="00B668D5"/>
    <w:rsid w:val="00B72EBE"/>
    <w:rsid w:val="00B73561"/>
    <w:rsid w:val="00B77F61"/>
    <w:rsid w:val="00BA1620"/>
    <w:rsid w:val="00BB0036"/>
    <w:rsid w:val="00BB4777"/>
    <w:rsid w:val="00BC05A5"/>
    <w:rsid w:val="00BD4DB2"/>
    <w:rsid w:val="00BF2138"/>
    <w:rsid w:val="00BF2682"/>
    <w:rsid w:val="00BF2DB9"/>
    <w:rsid w:val="00C07C01"/>
    <w:rsid w:val="00C07F9E"/>
    <w:rsid w:val="00C11CB9"/>
    <w:rsid w:val="00C17373"/>
    <w:rsid w:val="00C200DB"/>
    <w:rsid w:val="00C258F1"/>
    <w:rsid w:val="00C32595"/>
    <w:rsid w:val="00C354B8"/>
    <w:rsid w:val="00C63A51"/>
    <w:rsid w:val="00C75387"/>
    <w:rsid w:val="00C76D90"/>
    <w:rsid w:val="00C82DA8"/>
    <w:rsid w:val="00C85EE6"/>
    <w:rsid w:val="00C900E1"/>
    <w:rsid w:val="00C94964"/>
    <w:rsid w:val="00C97CD6"/>
    <w:rsid w:val="00CA2972"/>
    <w:rsid w:val="00CA6755"/>
    <w:rsid w:val="00CB15C5"/>
    <w:rsid w:val="00CC2C19"/>
    <w:rsid w:val="00CC68C3"/>
    <w:rsid w:val="00CD1850"/>
    <w:rsid w:val="00CD3954"/>
    <w:rsid w:val="00CD4F6B"/>
    <w:rsid w:val="00CF74AD"/>
    <w:rsid w:val="00D0699B"/>
    <w:rsid w:val="00D06BB9"/>
    <w:rsid w:val="00D17975"/>
    <w:rsid w:val="00D26501"/>
    <w:rsid w:val="00D34E95"/>
    <w:rsid w:val="00D4741D"/>
    <w:rsid w:val="00D55215"/>
    <w:rsid w:val="00D56AEF"/>
    <w:rsid w:val="00D603FE"/>
    <w:rsid w:val="00D63416"/>
    <w:rsid w:val="00D64210"/>
    <w:rsid w:val="00D7331F"/>
    <w:rsid w:val="00D77D25"/>
    <w:rsid w:val="00D826FF"/>
    <w:rsid w:val="00D83319"/>
    <w:rsid w:val="00D85127"/>
    <w:rsid w:val="00D92A1D"/>
    <w:rsid w:val="00DA080D"/>
    <w:rsid w:val="00DB631C"/>
    <w:rsid w:val="00DD1B08"/>
    <w:rsid w:val="00DD2D80"/>
    <w:rsid w:val="00DD76D1"/>
    <w:rsid w:val="00DD7703"/>
    <w:rsid w:val="00DE0C94"/>
    <w:rsid w:val="00DE2817"/>
    <w:rsid w:val="00DF11E1"/>
    <w:rsid w:val="00E0150D"/>
    <w:rsid w:val="00E14E51"/>
    <w:rsid w:val="00E22947"/>
    <w:rsid w:val="00E24D31"/>
    <w:rsid w:val="00E25101"/>
    <w:rsid w:val="00E345CE"/>
    <w:rsid w:val="00E5175C"/>
    <w:rsid w:val="00E53BDE"/>
    <w:rsid w:val="00E60D9C"/>
    <w:rsid w:val="00E611BA"/>
    <w:rsid w:val="00E646FF"/>
    <w:rsid w:val="00E868D7"/>
    <w:rsid w:val="00EA194C"/>
    <w:rsid w:val="00EC0024"/>
    <w:rsid w:val="00EC44E8"/>
    <w:rsid w:val="00ED0CF5"/>
    <w:rsid w:val="00ED4E29"/>
    <w:rsid w:val="00EE0DDD"/>
    <w:rsid w:val="00EE3904"/>
    <w:rsid w:val="00EF1BDE"/>
    <w:rsid w:val="00EF42E5"/>
    <w:rsid w:val="00EF555D"/>
    <w:rsid w:val="00F02397"/>
    <w:rsid w:val="00F100A6"/>
    <w:rsid w:val="00F10A4F"/>
    <w:rsid w:val="00F12331"/>
    <w:rsid w:val="00F16A3D"/>
    <w:rsid w:val="00F21062"/>
    <w:rsid w:val="00F24E16"/>
    <w:rsid w:val="00F3071F"/>
    <w:rsid w:val="00F46924"/>
    <w:rsid w:val="00F52E40"/>
    <w:rsid w:val="00F55899"/>
    <w:rsid w:val="00F665D9"/>
    <w:rsid w:val="00F7126B"/>
    <w:rsid w:val="00F72E74"/>
    <w:rsid w:val="00F7408B"/>
    <w:rsid w:val="00F7759C"/>
    <w:rsid w:val="00F7785F"/>
    <w:rsid w:val="00F8226E"/>
    <w:rsid w:val="00F84C77"/>
    <w:rsid w:val="00F85470"/>
    <w:rsid w:val="00F873E3"/>
    <w:rsid w:val="00FA570E"/>
    <w:rsid w:val="00FA7D15"/>
    <w:rsid w:val="00FB24C6"/>
    <w:rsid w:val="00FB5ACE"/>
    <w:rsid w:val="00FB7E2B"/>
    <w:rsid w:val="00FC30C3"/>
    <w:rsid w:val="00FD1607"/>
    <w:rsid w:val="00FE4AE1"/>
    <w:rsid w:val="00FF478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B45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Rubrik5">
    <w:name w:val="heading 5"/>
    <w:basedOn w:val="Normal"/>
    <w:next w:val="Normal"/>
    <w:link w:val="Rubrik5Char"/>
    <w:qFormat/>
    <w:rsid w:val="00EA194C"/>
    <w:pPr>
      <w:keepNext/>
      <w:spacing w:before="60" w:after="60"/>
      <w:ind w:right="-462"/>
      <w:jc w:val="center"/>
      <w:outlineLvl w:val="4"/>
    </w:pPr>
    <w:rPr>
      <w:rFonts w:ascii="Palatino" w:eastAsia="Times New Roman" w:hAnsi="Palatino" w:cs="Times New Roman"/>
      <w:b/>
      <w:szCs w:val="20"/>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rsid w:val="00EA194C"/>
    <w:rPr>
      <w:rFonts w:ascii="Palatino" w:eastAsia="Times New Roman" w:hAnsi="Palatino" w:cs="Times New Roman"/>
      <w:b/>
      <w:szCs w:val="20"/>
      <w:lang w:val="en-US" w:eastAsia="sv-SE"/>
    </w:rPr>
  </w:style>
  <w:style w:type="paragraph" w:styleId="Liststycke">
    <w:name w:val="List Paragraph"/>
    <w:basedOn w:val="Normal"/>
    <w:uiPriority w:val="34"/>
    <w:qFormat/>
    <w:rsid w:val="00E611BA"/>
    <w:pPr>
      <w:ind w:left="720"/>
      <w:contextualSpacing/>
    </w:pPr>
  </w:style>
  <w:style w:type="paragraph" w:styleId="Ballongtext">
    <w:name w:val="Balloon Text"/>
    <w:basedOn w:val="Normal"/>
    <w:link w:val="BallongtextChar"/>
    <w:uiPriority w:val="99"/>
    <w:semiHidden/>
    <w:unhideWhenUsed/>
    <w:rsid w:val="005D28D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5D28D3"/>
    <w:rPr>
      <w:rFonts w:ascii="Lucida Grande" w:hAnsi="Lucida Grande"/>
      <w:sz w:val="18"/>
      <w:szCs w:val="18"/>
    </w:rPr>
  </w:style>
  <w:style w:type="character" w:styleId="Kommentarsreferens">
    <w:name w:val="annotation reference"/>
    <w:basedOn w:val="Standardstycketeckensnitt"/>
    <w:uiPriority w:val="99"/>
    <w:semiHidden/>
    <w:unhideWhenUsed/>
    <w:rsid w:val="00C900E1"/>
    <w:rPr>
      <w:sz w:val="18"/>
      <w:szCs w:val="18"/>
    </w:rPr>
  </w:style>
  <w:style w:type="paragraph" w:styleId="Kommentarer">
    <w:name w:val="annotation text"/>
    <w:basedOn w:val="Normal"/>
    <w:link w:val="KommentarerChar"/>
    <w:uiPriority w:val="99"/>
    <w:semiHidden/>
    <w:unhideWhenUsed/>
    <w:rsid w:val="00C900E1"/>
  </w:style>
  <w:style w:type="character" w:customStyle="1" w:styleId="KommentarerChar">
    <w:name w:val="Kommentarer Char"/>
    <w:basedOn w:val="Standardstycketeckensnitt"/>
    <w:link w:val="Kommentarer"/>
    <w:uiPriority w:val="99"/>
    <w:semiHidden/>
    <w:rsid w:val="00C900E1"/>
  </w:style>
  <w:style w:type="paragraph" w:styleId="Kommentarsmne">
    <w:name w:val="annotation subject"/>
    <w:basedOn w:val="Kommentarer"/>
    <w:next w:val="Kommentarer"/>
    <w:link w:val="KommentarsmneChar"/>
    <w:uiPriority w:val="99"/>
    <w:semiHidden/>
    <w:unhideWhenUsed/>
    <w:rsid w:val="00C900E1"/>
    <w:rPr>
      <w:b/>
      <w:bCs/>
      <w:sz w:val="20"/>
      <w:szCs w:val="20"/>
    </w:rPr>
  </w:style>
  <w:style w:type="character" w:customStyle="1" w:styleId="KommentarsmneChar">
    <w:name w:val="Kommentarsämne Char"/>
    <w:basedOn w:val="KommentarerChar"/>
    <w:link w:val="Kommentarsmne"/>
    <w:uiPriority w:val="99"/>
    <w:semiHidden/>
    <w:rsid w:val="00C900E1"/>
    <w:rPr>
      <w:b/>
      <w:bCs/>
      <w:sz w:val="20"/>
      <w:szCs w:val="20"/>
    </w:rPr>
  </w:style>
  <w:style w:type="paragraph" w:customStyle="1" w:styleId="References">
    <w:name w:val="References"/>
    <w:rsid w:val="005F51F3"/>
    <w:pPr>
      <w:spacing w:line="200" w:lineRule="exact"/>
      <w:ind w:left="200" w:hanging="200"/>
      <w:jc w:val="both"/>
    </w:pPr>
    <w:rPr>
      <w:rFonts w:ascii="Times New Roman" w:eastAsia="ヒラギノ角ゴ Pro W3" w:hAnsi="Times New Roman" w:cs="Times New Roman"/>
      <w:color w:val="000000"/>
      <w:sz w:val="18"/>
      <w:szCs w:val="20"/>
      <w:lang w:eastAsia="sv-SE"/>
    </w:rPr>
  </w:style>
  <w:style w:type="paragraph" w:customStyle="1" w:styleId="Brdtextmedindrag21">
    <w:name w:val="Brödtext med indrag 21"/>
    <w:autoRedefine/>
    <w:rsid w:val="005F51F3"/>
    <w:pPr>
      <w:widowControl w:val="0"/>
      <w:suppressAutoHyphens/>
      <w:spacing w:after="120" w:line="480" w:lineRule="auto"/>
      <w:ind w:left="283"/>
    </w:pPr>
    <w:rPr>
      <w:rFonts w:ascii="Garamond" w:eastAsia="ヒラギノ角ゴ Pro W3" w:hAnsi="Garamond" w:cs="Times New Roman"/>
      <w:color w:val="000000"/>
      <w:kern w:val="1"/>
      <w:szCs w:val="20"/>
      <w:lang w:val="en-US" w:eastAsia="sv-SE"/>
    </w:rPr>
  </w:style>
  <w:style w:type="paragraph" w:customStyle="1" w:styleId="referens">
    <w:name w:val="referens"/>
    <w:basedOn w:val="Normal"/>
    <w:rsid w:val="005F51F3"/>
    <w:pPr>
      <w:spacing w:after="320"/>
      <w:ind w:left="20" w:right="-22" w:hanging="20"/>
      <w:jc w:val="both"/>
    </w:pPr>
    <w:rPr>
      <w:rFonts w:ascii="Times New Roman" w:eastAsia="Times New Roman" w:hAnsi="Times New Roman" w:cs="Times New Roman"/>
      <w:sz w:val="20"/>
      <w:szCs w:val="20"/>
      <w:lang w:eastAsia="sv-SE"/>
    </w:rPr>
  </w:style>
  <w:style w:type="paragraph" w:styleId="Revision">
    <w:name w:val="Revision"/>
    <w:hidden/>
    <w:uiPriority w:val="99"/>
    <w:semiHidden/>
    <w:rsid w:val="00403CBA"/>
  </w:style>
  <w:style w:type="paragraph" w:customStyle="1" w:styleId="Referens0">
    <w:name w:val="Referens"/>
    <w:basedOn w:val="Normal"/>
    <w:qFormat/>
    <w:rsid w:val="001472CE"/>
    <w:pPr>
      <w:ind w:left="340" w:hanging="340"/>
    </w:pPr>
    <w:rPr>
      <w:lang w:val="en-US" w:eastAsia="sv-SE"/>
    </w:rPr>
  </w:style>
  <w:style w:type="character" w:customStyle="1" w:styleId="apple-converted-space">
    <w:name w:val="apple-converted-space"/>
    <w:basedOn w:val="Standardstycketeckensnitt"/>
    <w:rsid w:val="00667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9601">
      <w:bodyDiv w:val="1"/>
      <w:marLeft w:val="0"/>
      <w:marRight w:val="0"/>
      <w:marTop w:val="0"/>
      <w:marBottom w:val="0"/>
      <w:divBdr>
        <w:top w:val="none" w:sz="0" w:space="0" w:color="auto"/>
        <w:left w:val="none" w:sz="0" w:space="0" w:color="auto"/>
        <w:bottom w:val="none" w:sz="0" w:space="0" w:color="auto"/>
        <w:right w:val="none" w:sz="0" w:space="0" w:color="auto"/>
      </w:divBdr>
    </w:div>
    <w:div w:id="1329097300">
      <w:bodyDiv w:val="1"/>
      <w:marLeft w:val="0"/>
      <w:marRight w:val="0"/>
      <w:marTop w:val="0"/>
      <w:marBottom w:val="0"/>
      <w:divBdr>
        <w:top w:val="none" w:sz="0" w:space="0" w:color="auto"/>
        <w:left w:val="none" w:sz="0" w:space="0" w:color="auto"/>
        <w:bottom w:val="none" w:sz="0" w:space="0" w:color="auto"/>
        <w:right w:val="none" w:sz="0" w:space="0" w:color="auto"/>
      </w:divBdr>
      <w:divsChild>
        <w:div w:id="3984838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5304</Words>
  <Characters>28112</Characters>
  <Application>Microsoft Macintosh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Kärreman</dc:creator>
  <cp:keywords/>
  <dc:description/>
  <cp:lastModifiedBy>Dan Kärreman</cp:lastModifiedBy>
  <cp:revision>4</cp:revision>
  <cp:lastPrinted>2016-08-12T12:48:00Z</cp:lastPrinted>
  <dcterms:created xsi:type="dcterms:W3CDTF">2016-08-19T09:17:00Z</dcterms:created>
  <dcterms:modified xsi:type="dcterms:W3CDTF">2016-08-19T09:27:00Z</dcterms:modified>
</cp:coreProperties>
</file>