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BF184" w14:textId="77777777" w:rsidR="009C0B2C" w:rsidRDefault="00462C20" w:rsidP="00C733F3">
      <w:pPr>
        <w:widowControl w:val="0"/>
        <w:autoSpaceDE w:val="0"/>
        <w:autoSpaceDN w:val="0"/>
        <w:adjustRightInd w:val="0"/>
        <w:spacing w:line="360" w:lineRule="auto"/>
        <w:jc w:val="center"/>
        <w:rPr>
          <w:rFonts w:ascii="Times" w:hAnsi="Times" w:cs="Calibri"/>
          <w:sz w:val="32"/>
          <w:szCs w:val="32"/>
        </w:rPr>
      </w:pPr>
      <w:r w:rsidRPr="009C0B2C">
        <w:rPr>
          <w:rFonts w:ascii="Times" w:hAnsi="Times" w:cs="Calibri"/>
          <w:sz w:val="32"/>
          <w:szCs w:val="32"/>
        </w:rPr>
        <w:t>The 2016 Referendum, Brexit and the Left Behind</w:t>
      </w:r>
      <w:r w:rsidR="00841279" w:rsidRPr="009C0B2C">
        <w:rPr>
          <w:rFonts w:ascii="Times" w:hAnsi="Times" w:cs="Calibri"/>
          <w:sz w:val="32"/>
          <w:szCs w:val="32"/>
        </w:rPr>
        <w:t xml:space="preserve">: </w:t>
      </w:r>
    </w:p>
    <w:p w14:paraId="75BC5EF2" w14:textId="122D3457" w:rsidR="00841279" w:rsidRPr="009C0B2C" w:rsidRDefault="00462C20" w:rsidP="00C733F3">
      <w:pPr>
        <w:widowControl w:val="0"/>
        <w:autoSpaceDE w:val="0"/>
        <w:autoSpaceDN w:val="0"/>
        <w:adjustRightInd w:val="0"/>
        <w:spacing w:line="360" w:lineRule="auto"/>
        <w:jc w:val="center"/>
        <w:rPr>
          <w:rFonts w:ascii="Times" w:hAnsi="Times" w:cs="Calibri"/>
          <w:sz w:val="32"/>
          <w:szCs w:val="32"/>
        </w:rPr>
      </w:pPr>
      <w:r w:rsidRPr="009C0B2C">
        <w:rPr>
          <w:rFonts w:ascii="Times" w:hAnsi="Times" w:cs="Calibri"/>
          <w:sz w:val="32"/>
          <w:szCs w:val="32"/>
        </w:rPr>
        <w:t>An Aggregate-Level Analysis of the Result</w:t>
      </w:r>
    </w:p>
    <w:p w14:paraId="01E5A941" w14:textId="77777777" w:rsidR="00462C20" w:rsidRPr="009C0B2C" w:rsidRDefault="00462C20" w:rsidP="00C733F3">
      <w:pPr>
        <w:widowControl w:val="0"/>
        <w:autoSpaceDE w:val="0"/>
        <w:autoSpaceDN w:val="0"/>
        <w:adjustRightInd w:val="0"/>
        <w:spacing w:line="360" w:lineRule="auto"/>
        <w:jc w:val="center"/>
        <w:rPr>
          <w:rFonts w:ascii="Times" w:hAnsi="Times" w:cs="Calibri"/>
          <w:sz w:val="32"/>
          <w:szCs w:val="32"/>
        </w:rPr>
      </w:pPr>
    </w:p>
    <w:p w14:paraId="56936F83" w14:textId="77777777" w:rsidR="00841279" w:rsidRDefault="00841279" w:rsidP="00C733F3">
      <w:pPr>
        <w:widowControl w:val="0"/>
        <w:autoSpaceDE w:val="0"/>
        <w:autoSpaceDN w:val="0"/>
        <w:adjustRightInd w:val="0"/>
        <w:spacing w:line="360" w:lineRule="auto"/>
        <w:jc w:val="center"/>
        <w:rPr>
          <w:rFonts w:ascii="Times" w:hAnsi="Times" w:cs="Calibri"/>
        </w:rPr>
      </w:pPr>
      <w:r w:rsidRPr="009C0B2C">
        <w:rPr>
          <w:rFonts w:ascii="Times" w:hAnsi="Times" w:cs="Calibri"/>
        </w:rPr>
        <w:t>Matthew Goodwin and Oliver Heath</w:t>
      </w:r>
    </w:p>
    <w:p w14:paraId="46DB4C48" w14:textId="77777777" w:rsidR="009C0B2C" w:rsidRDefault="009C0B2C" w:rsidP="00C733F3">
      <w:pPr>
        <w:widowControl w:val="0"/>
        <w:autoSpaceDE w:val="0"/>
        <w:autoSpaceDN w:val="0"/>
        <w:adjustRightInd w:val="0"/>
        <w:spacing w:line="360" w:lineRule="auto"/>
        <w:jc w:val="center"/>
        <w:rPr>
          <w:rFonts w:ascii="Times" w:hAnsi="Times" w:cs="Calibri"/>
        </w:rPr>
      </w:pPr>
    </w:p>
    <w:p w14:paraId="4B6EF267" w14:textId="77777777" w:rsidR="00B473E2" w:rsidRDefault="00B473E2" w:rsidP="00C733F3">
      <w:pPr>
        <w:widowControl w:val="0"/>
        <w:autoSpaceDE w:val="0"/>
        <w:autoSpaceDN w:val="0"/>
        <w:adjustRightInd w:val="0"/>
        <w:spacing w:line="360" w:lineRule="auto"/>
        <w:jc w:val="center"/>
        <w:rPr>
          <w:rFonts w:ascii="Times" w:hAnsi="Times" w:cs="Calibri"/>
        </w:rPr>
      </w:pPr>
    </w:p>
    <w:p w14:paraId="7A562D56" w14:textId="77777777" w:rsidR="00B473E2" w:rsidRDefault="00B473E2" w:rsidP="00C733F3">
      <w:pPr>
        <w:widowControl w:val="0"/>
        <w:autoSpaceDE w:val="0"/>
        <w:autoSpaceDN w:val="0"/>
        <w:adjustRightInd w:val="0"/>
        <w:spacing w:line="360" w:lineRule="auto"/>
        <w:jc w:val="center"/>
        <w:rPr>
          <w:rFonts w:ascii="Times" w:hAnsi="Times" w:cs="Calibri"/>
        </w:rPr>
      </w:pPr>
    </w:p>
    <w:p w14:paraId="660A3C66" w14:textId="62900DD1" w:rsidR="009C0B2C" w:rsidRPr="00B473E2" w:rsidRDefault="00B473E2" w:rsidP="00C733F3">
      <w:pPr>
        <w:widowControl w:val="0"/>
        <w:autoSpaceDE w:val="0"/>
        <w:autoSpaceDN w:val="0"/>
        <w:adjustRightInd w:val="0"/>
        <w:spacing w:line="360" w:lineRule="auto"/>
        <w:jc w:val="center"/>
        <w:rPr>
          <w:rFonts w:ascii="Times" w:hAnsi="Times" w:cs="Calibri"/>
          <w:b/>
          <w:i/>
        </w:rPr>
      </w:pPr>
      <w:r w:rsidRPr="00B473E2">
        <w:rPr>
          <w:rFonts w:ascii="Times" w:hAnsi="Times" w:cs="Calibri"/>
          <w:b/>
          <w:i/>
        </w:rPr>
        <w:t>Abstract</w:t>
      </w:r>
    </w:p>
    <w:p w14:paraId="5D74B272" w14:textId="77777777" w:rsidR="00575A01" w:rsidRDefault="00575A01" w:rsidP="00C733F3">
      <w:pPr>
        <w:widowControl w:val="0"/>
        <w:autoSpaceDE w:val="0"/>
        <w:autoSpaceDN w:val="0"/>
        <w:adjustRightInd w:val="0"/>
        <w:spacing w:line="360" w:lineRule="auto"/>
        <w:rPr>
          <w:rFonts w:asciiTheme="majorHAnsi" w:hAnsiTheme="majorHAnsi" w:cs="Calibri"/>
        </w:rPr>
      </w:pPr>
    </w:p>
    <w:p w14:paraId="0B19A850" w14:textId="2B87FBF5" w:rsidR="000751C6" w:rsidRPr="00BA23B3" w:rsidRDefault="000751C6" w:rsidP="000751C6">
      <w:pPr>
        <w:spacing w:line="720" w:lineRule="auto"/>
        <w:rPr>
          <w:rFonts w:ascii="Times New Roman" w:hAnsi="Times New Roman" w:cs="Times New Roman"/>
        </w:rPr>
      </w:pPr>
      <w:r w:rsidRPr="00BA23B3">
        <w:rPr>
          <w:rFonts w:ascii="Times New Roman" w:hAnsi="Times New Roman" w:cs="Times New Roman"/>
        </w:rPr>
        <w:t xml:space="preserve">Why did the country vote for Brexit? What was the relative importance of factors such as </w:t>
      </w:r>
      <w:r w:rsidR="0098229F">
        <w:rPr>
          <w:rFonts w:ascii="Times New Roman" w:hAnsi="Times New Roman" w:cs="Times New Roman"/>
        </w:rPr>
        <w:t>education</w:t>
      </w:r>
      <w:r w:rsidRPr="00BA23B3">
        <w:rPr>
          <w:rFonts w:ascii="Times New Roman" w:hAnsi="Times New Roman" w:cs="Times New Roman"/>
        </w:rPr>
        <w:t>, age, immigration, and ethnic diversity? And to what extent did the pattern of support for Brexit across the country map on to past campaigns by Eurosceptic parties, such as Ukip? In this article we draw on aggregate-level data to conduct an initial exploration of the vote</w:t>
      </w:r>
      <w:r>
        <w:rPr>
          <w:rFonts w:ascii="Times New Roman" w:hAnsi="Times New Roman" w:cs="Times New Roman"/>
        </w:rPr>
        <w:t>.</w:t>
      </w:r>
      <w:r w:rsidRPr="00BA23B3">
        <w:rPr>
          <w:rFonts w:ascii="Times New Roman" w:hAnsi="Times New Roman" w:cs="Times New Roman"/>
        </w:rPr>
        <w:t xml:space="preserve"> </w:t>
      </w:r>
      <w:r>
        <w:rPr>
          <w:rFonts w:ascii="Times New Roman" w:hAnsi="Times New Roman" w:cs="Times New Roman"/>
        </w:rPr>
        <w:t xml:space="preserve">First, we find that </w:t>
      </w:r>
      <w:r w:rsidRPr="00BA23B3">
        <w:rPr>
          <w:rFonts w:ascii="Times New Roman" w:hAnsi="Times New Roman" w:cs="Times New Roman"/>
        </w:rPr>
        <w:t>turnout was generally higher in more pro-leave areas.</w:t>
      </w:r>
      <w:r>
        <w:rPr>
          <w:rFonts w:ascii="Times New Roman" w:hAnsi="Times New Roman" w:cs="Times New Roman"/>
        </w:rPr>
        <w:t xml:space="preserve"> Second, we find that p</w:t>
      </w:r>
      <w:r w:rsidRPr="00BA23B3">
        <w:rPr>
          <w:rFonts w:ascii="Times New Roman" w:hAnsi="Times New Roman" w:cs="Times New Roman"/>
        </w:rPr>
        <w:t xml:space="preserve">ublic support for </w:t>
      </w:r>
      <w:r w:rsidR="00523C0F">
        <w:rPr>
          <w:rFonts w:ascii="Times New Roman" w:hAnsi="Times New Roman" w:cs="Times New Roman"/>
        </w:rPr>
        <w:t xml:space="preserve">Leave closely mapped past support for Ukip. And third, we find that </w:t>
      </w:r>
      <w:r w:rsidR="0098229F">
        <w:rPr>
          <w:rFonts w:ascii="Times New Roman" w:hAnsi="Times New Roman" w:cs="Times New Roman"/>
        </w:rPr>
        <w:t xml:space="preserve">support for Leave was more polarized along education lines than support for Ukip ever was. The implication of this finding is that support for </w:t>
      </w:r>
      <w:r w:rsidRPr="00BA23B3">
        <w:rPr>
          <w:rFonts w:ascii="Times New Roman" w:hAnsi="Times New Roman" w:cs="Times New Roman"/>
        </w:rPr>
        <w:t>Euroscepticism has both widened and narrowed – it is now more widespread across the country, but it is also more socially distinctive.</w:t>
      </w:r>
    </w:p>
    <w:p w14:paraId="2B0C1F4D" w14:textId="77777777" w:rsidR="000751C6" w:rsidRDefault="000751C6" w:rsidP="00C733F3">
      <w:pPr>
        <w:widowControl w:val="0"/>
        <w:autoSpaceDE w:val="0"/>
        <w:autoSpaceDN w:val="0"/>
        <w:adjustRightInd w:val="0"/>
        <w:spacing w:line="360" w:lineRule="auto"/>
        <w:rPr>
          <w:rFonts w:asciiTheme="majorHAnsi" w:hAnsiTheme="majorHAnsi" w:cs="Calibri"/>
        </w:rPr>
      </w:pPr>
    </w:p>
    <w:p w14:paraId="220ABE39" w14:textId="77777777" w:rsidR="00FE1A63" w:rsidRDefault="00FE1A63" w:rsidP="00854ABF">
      <w:pPr>
        <w:widowControl w:val="0"/>
        <w:autoSpaceDE w:val="0"/>
        <w:autoSpaceDN w:val="0"/>
        <w:adjustRightInd w:val="0"/>
        <w:spacing w:line="720" w:lineRule="auto"/>
        <w:jc w:val="both"/>
        <w:rPr>
          <w:rFonts w:ascii="Times" w:hAnsi="Times" w:cs="Calibri"/>
        </w:rPr>
      </w:pPr>
    </w:p>
    <w:p w14:paraId="07DDD869" w14:textId="2CFD0BD0" w:rsidR="00B473E2" w:rsidRDefault="00B473E2">
      <w:pPr>
        <w:rPr>
          <w:rFonts w:ascii="Times" w:hAnsi="Times" w:cs="Calibri"/>
        </w:rPr>
      </w:pPr>
    </w:p>
    <w:p w14:paraId="286C1E1C" w14:textId="571626DD" w:rsidR="00854ABF" w:rsidRDefault="00613821" w:rsidP="00854ABF">
      <w:pPr>
        <w:widowControl w:val="0"/>
        <w:autoSpaceDE w:val="0"/>
        <w:autoSpaceDN w:val="0"/>
        <w:adjustRightInd w:val="0"/>
        <w:spacing w:line="720" w:lineRule="auto"/>
        <w:jc w:val="both"/>
        <w:rPr>
          <w:rFonts w:ascii="Times" w:hAnsi="Times" w:cs="Calibri"/>
        </w:rPr>
      </w:pPr>
      <w:r>
        <w:rPr>
          <w:rFonts w:ascii="Times" w:hAnsi="Times" w:cs="Calibri"/>
        </w:rPr>
        <w:t>Writing in the aftermath of Britain’s first refe</w:t>
      </w:r>
      <w:r w:rsidR="00854ABF">
        <w:rPr>
          <w:rFonts w:ascii="Times" w:hAnsi="Times" w:cs="Calibri"/>
        </w:rPr>
        <w:t xml:space="preserve">rendum on its membership of the then-European Community, held on June 5 1975, </w:t>
      </w:r>
      <w:r>
        <w:rPr>
          <w:rFonts w:ascii="Times" w:hAnsi="Times" w:cs="Calibri"/>
        </w:rPr>
        <w:t>David Butler and Uwe Ki</w:t>
      </w:r>
      <w:r w:rsidR="00052BB2">
        <w:rPr>
          <w:rFonts w:ascii="Times" w:hAnsi="Times" w:cs="Calibri"/>
        </w:rPr>
        <w:t>tzinger</w:t>
      </w:r>
      <w:r w:rsidR="00854ABF">
        <w:rPr>
          <w:rFonts w:ascii="Times" w:hAnsi="Times" w:cs="Calibri"/>
        </w:rPr>
        <w:t xml:space="preserve"> observed how that earlier vote was of interest for mainly three reasons. First, it had delivered an unambiguous public endorsement of Britain’s continued participation in the Common Market. With 67 percent of voters opting to stay in the European Community the public had returned a level of support that was</w:t>
      </w:r>
      <w:r>
        <w:rPr>
          <w:rFonts w:ascii="Times" w:hAnsi="Times" w:cs="Calibri"/>
        </w:rPr>
        <w:t xml:space="preserve"> ‘beyond the dreams of pro-Europeans’.</w:t>
      </w:r>
      <w:r w:rsidR="00854ABF">
        <w:rPr>
          <w:rFonts w:ascii="Times" w:hAnsi="Times" w:cs="Calibri"/>
        </w:rPr>
        <w:t xml:space="preserve"> Second, for observers of party politics at the time the vote also represented an </w:t>
      </w:r>
      <w:r>
        <w:rPr>
          <w:rFonts w:ascii="Times" w:hAnsi="Times" w:cs="Calibri"/>
        </w:rPr>
        <w:t xml:space="preserve">historical episode of peculiar fascination, </w:t>
      </w:r>
      <w:r w:rsidR="00195007">
        <w:rPr>
          <w:rFonts w:ascii="Times" w:hAnsi="Times" w:cs="Calibri"/>
        </w:rPr>
        <w:t xml:space="preserve">cutting across </w:t>
      </w:r>
      <w:r>
        <w:rPr>
          <w:rFonts w:ascii="Times" w:hAnsi="Times" w:cs="Calibri"/>
        </w:rPr>
        <w:t xml:space="preserve">established patterns of </w:t>
      </w:r>
      <w:r w:rsidR="00052BB2">
        <w:rPr>
          <w:rFonts w:ascii="Times" w:hAnsi="Times" w:cs="Calibri"/>
        </w:rPr>
        <w:t xml:space="preserve">party </w:t>
      </w:r>
      <w:r w:rsidR="00854ABF">
        <w:rPr>
          <w:rFonts w:ascii="Times" w:hAnsi="Times" w:cs="Calibri"/>
        </w:rPr>
        <w:t>competition</w:t>
      </w:r>
      <w:r w:rsidR="00052BB2">
        <w:rPr>
          <w:rFonts w:ascii="Times" w:hAnsi="Times" w:cs="Calibri"/>
        </w:rPr>
        <w:t xml:space="preserve">, in particular with regard to the Labour Party that </w:t>
      </w:r>
      <w:r w:rsidR="00854ABF">
        <w:rPr>
          <w:rFonts w:ascii="Times" w:hAnsi="Times" w:cs="Calibri"/>
        </w:rPr>
        <w:t>had seen the</w:t>
      </w:r>
      <w:r w:rsidR="00052BB2">
        <w:rPr>
          <w:rFonts w:ascii="Times" w:hAnsi="Times" w:cs="Calibri"/>
        </w:rPr>
        <w:t xml:space="preserve"> referendum crystallize and exacerbate </w:t>
      </w:r>
      <w:r w:rsidR="00854ABF">
        <w:rPr>
          <w:rFonts w:ascii="Times" w:hAnsi="Times" w:cs="Calibri"/>
        </w:rPr>
        <w:t xml:space="preserve">internal </w:t>
      </w:r>
      <w:r w:rsidR="00052BB2">
        <w:rPr>
          <w:rFonts w:ascii="Times" w:hAnsi="Times" w:cs="Calibri"/>
        </w:rPr>
        <w:t>ideological conflicts. Third, the vo</w:t>
      </w:r>
      <w:r w:rsidR="00854ABF">
        <w:rPr>
          <w:rFonts w:ascii="Times" w:hAnsi="Times" w:cs="Calibri"/>
        </w:rPr>
        <w:t xml:space="preserve">te was a </w:t>
      </w:r>
      <w:r w:rsidR="00052BB2">
        <w:rPr>
          <w:rFonts w:ascii="Times" w:hAnsi="Times" w:cs="Calibri"/>
        </w:rPr>
        <w:t xml:space="preserve">distinct </w:t>
      </w:r>
      <w:r>
        <w:rPr>
          <w:rFonts w:ascii="Times" w:hAnsi="Times" w:cs="Calibri"/>
        </w:rPr>
        <w:t>innovation in British constitutional practice</w:t>
      </w:r>
      <w:r w:rsidR="00854ABF">
        <w:rPr>
          <w:rFonts w:ascii="Times" w:hAnsi="Times" w:cs="Calibri"/>
        </w:rPr>
        <w:t>, being the first nationwide referendum in the country’s entire history</w:t>
      </w:r>
      <w:r>
        <w:rPr>
          <w:rFonts w:ascii="Times" w:hAnsi="Times" w:cs="Calibri"/>
        </w:rPr>
        <w:t>.</w:t>
      </w:r>
      <w:r>
        <w:rPr>
          <w:rStyle w:val="EndnoteReference"/>
          <w:rFonts w:ascii="Times" w:hAnsi="Times" w:cs="Calibri"/>
        </w:rPr>
        <w:endnoteReference w:id="1"/>
      </w:r>
      <w:r w:rsidR="00052BB2">
        <w:rPr>
          <w:rFonts w:ascii="Times" w:hAnsi="Times" w:cs="Calibri"/>
        </w:rPr>
        <w:t xml:space="preserve"> </w:t>
      </w:r>
    </w:p>
    <w:p w14:paraId="57CDA9AF" w14:textId="44A24BE9" w:rsidR="00F2776C" w:rsidRDefault="00052BB2" w:rsidP="00CD0644">
      <w:pPr>
        <w:widowControl w:val="0"/>
        <w:autoSpaceDE w:val="0"/>
        <w:autoSpaceDN w:val="0"/>
        <w:adjustRightInd w:val="0"/>
        <w:spacing w:line="720" w:lineRule="auto"/>
        <w:ind w:firstLine="720"/>
        <w:jc w:val="both"/>
        <w:rPr>
          <w:rFonts w:ascii="Times" w:hAnsi="Times" w:cs="Calibri"/>
        </w:rPr>
      </w:pPr>
      <w:r>
        <w:rPr>
          <w:rFonts w:ascii="Times" w:hAnsi="Times" w:cs="Calibri"/>
        </w:rPr>
        <w:t>Forty-one years later, on June 23 2016, Britain held a secon</w:t>
      </w:r>
      <w:r w:rsidR="00A832C9">
        <w:rPr>
          <w:rFonts w:ascii="Times" w:hAnsi="Times" w:cs="Calibri"/>
        </w:rPr>
        <w:t>d referendum on its relations</w:t>
      </w:r>
      <w:r w:rsidR="00854ABF">
        <w:rPr>
          <w:rFonts w:ascii="Times" w:hAnsi="Times" w:cs="Calibri"/>
        </w:rPr>
        <w:t>hip</w:t>
      </w:r>
      <w:r>
        <w:rPr>
          <w:rFonts w:ascii="Times" w:hAnsi="Times" w:cs="Calibri"/>
        </w:rPr>
        <w:t xml:space="preserve"> with </w:t>
      </w:r>
      <w:r w:rsidR="00A832C9">
        <w:rPr>
          <w:rFonts w:ascii="Times" w:hAnsi="Times" w:cs="Calibri"/>
        </w:rPr>
        <w:t xml:space="preserve">Europe </w:t>
      </w:r>
      <w:r w:rsidR="00CD0644">
        <w:rPr>
          <w:rFonts w:ascii="Times" w:hAnsi="Times" w:cs="Calibri"/>
        </w:rPr>
        <w:t xml:space="preserve">and one that </w:t>
      </w:r>
      <w:r>
        <w:rPr>
          <w:rFonts w:ascii="Times" w:hAnsi="Times" w:cs="Calibri"/>
        </w:rPr>
        <w:t xml:space="preserve">impacted directly on all three of these areas, albeit in </w:t>
      </w:r>
      <w:r w:rsidR="00A832C9">
        <w:rPr>
          <w:rFonts w:ascii="Times" w:hAnsi="Times" w:cs="Calibri"/>
        </w:rPr>
        <w:t>profoundly</w:t>
      </w:r>
      <w:r>
        <w:rPr>
          <w:rFonts w:ascii="Times" w:hAnsi="Times" w:cs="Calibri"/>
        </w:rPr>
        <w:t xml:space="preserve"> </w:t>
      </w:r>
      <w:r w:rsidR="00195007">
        <w:rPr>
          <w:rFonts w:ascii="Times" w:hAnsi="Times" w:cs="Calibri"/>
        </w:rPr>
        <w:t xml:space="preserve">different </w:t>
      </w:r>
      <w:r>
        <w:rPr>
          <w:rFonts w:ascii="Times" w:hAnsi="Times" w:cs="Calibri"/>
        </w:rPr>
        <w:t xml:space="preserve">ways. </w:t>
      </w:r>
      <w:r w:rsidR="00CD0644">
        <w:rPr>
          <w:rFonts w:ascii="Times" w:hAnsi="Times" w:cs="Calibri"/>
        </w:rPr>
        <w:t xml:space="preserve">If the result of the referendum in 1975 had delivered a level of public support for the pro-Europeans that had been beyond their dreams then the result that arrived forty-one years later realized their nightmares. </w:t>
      </w:r>
      <w:r w:rsidR="00841279" w:rsidRPr="009C0B2C">
        <w:rPr>
          <w:rFonts w:ascii="Times" w:hAnsi="Times" w:cs="Calibri"/>
        </w:rPr>
        <w:t>When all</w:t>
      </w:r>
      <w:r w:rsidR="00652C75" w:rsidRPr="009C0B2C">
        <w:rPr>
          <w:rFonts w:ascii="Times" w:hAnsi="Times" w:cs="Calibri"/>
        </w:rPr>
        <w:t xml:space="preserve"> votes had been counted 51.9 p</w:t>
      </w:r>
      <w:r w:rsidR="00F2776C">
        <w:rPr>
          <w:rFonts w:ascii="Times" w:hAnsi="Times" w:cs="Calibri"/>
        </w:rPr>
        <w:t>er</w:t>
      </w:r>
      <w:r w:rsidR="00B92C82" w:rsidRPr="009C0B2C">
        <w:rPr>
          <w:rFonts w:ascii="Times" w:hAnsi="Times" w:cs="Calibri"/>
        </w:rPr>
        <w:t>cent of the electorate had voted</w:t>
      </w:r>
      <w:r w:rsidR="002B3CE5" w:rsidRPr="009C0B2C">
        <w:rPr>
          <w:rFonts w:ascii="Times" w:hAnsi="Times" w:cs="Calibri"/>
        </w:rPr>
        <w:t xml:space="preserve"> to l</w:t>
      </w:r>
      <w:r w:rsidR="00652C75" w:rsidRPr="009C0B2C">
        <w:rPr>
          <w:rFonts w:ascii="Times" w:hAnsi="Times" w:cs="Calibri"/>
        </w:rPr>
        <w:t xml:space="preserve">eave the </w:t>
      </w:r>
      <w:r w:rsidR="00CD74A7">
        <w:rPr>
          <w:rFonts w:ascii="Times" w:hAnsi="Times" w:cs="Calibri"/>
        </w:rPr>
        <w:t>European Union</w:t>
      </w:r>
      <w:r w:rsidR="00F2776C">
        <w:rPr>
          <w:rFonts w:ascii="Times" w:hAnsi="Times" w:cs="Calibri"/>
        </w:rPr>
        <w:t xml:space="preserve"> and 48.1 per</w:t>
      </w:r>
      <w:r w:rsidR="00652C75" w:rsidRPr="009C0B2C">
        <w:rPr>
          <w:rFonts w:ascii="Times" w:hAnsi="Times" w:cs="Calibri"/>
        </w:rPr>
        <w:t xml:space="preserve">cent </w:t>
      </w:r>
      <w:r w:rsidR="00CD0644">
        <w:rPr>
          <w:rFonts w:ascii="Times" w:hAnsi="Times" w:cs="Calibri"/>
        </w:rPr>
        <w:t xml:space="preserve">had opted </w:t>
      </w:r>
      <w:r w:rsidR="00F2776C">
        <w:rPr>
          <w:rFonts w:ascii="Times" w:hAnsi="Times" w:cs="Calibri"/>
        </w:rPr>
        <w:t xml:space="preserve">to </w:t>
      </w:r>
      <w:r w:rsidR="00F2776C">
        <w:rPr>
          <w:rFonts w:ascii="Times" w:hAnsi="Times" w:cs="Calibri"/>
        </w:rPr>
        <w:lastRenderedPageBreak/>
        <w:t xml:space="preserve">remain. </w:t>
      </w:r>
      <w:r w:rsidR="00652C75" w:rsidRPr="009C0B2C">
        <w:rPr>
          <w:rFonts w:ascii="Times" w:hAnsi="Times" w:cs="Calibri"/>
        </w:rPr>
        <w:t xml:space="preserve">Leave won the vote in the United Kingdom by </w:t>
      </w:r>
      <w:r w:rsidR="004A274D" w:rsidRPr="009C0B2C">
        <w:rPr>
          <w:rFonts w:ascii="Times" w:hAnsi="Times" w:cs="Calibri"/>
        </w:rPr>
        <w:t xml:space="preserve">3.8 percentage votes </w:t>
      </w:r>
      <w:r w:rsidR="00F2776C">
        <w:rPr>
          <w:rFonts w:ascii="Times" w:hAnsi="Times" w:cs="Calibri"/>
        </w:rPr>
        <w:t xml:space="preserve">but </w:t>
      </w:r>
      <w:r w:rsidR="004A274D" w:rsidRPr="009C0B2C">
        <w:rPr>
          <w:rFonts w:ascii="Times" w:hAnsi="Times" w:cs="Calibri"/>
        </w:rPr>
        <w:t xml:space="preserve">its lead was </w:t>
      </w:r>
      <w:r w:rsidR="00F2776C">
        <w:rPr>
          <w:rFonts w:ascii="Times" w:hAnsi="Times" w:cs="Calibri"/>
        </w:rPr>
        <w:t xml:space="preserve">even </w:t>
      </w:r>
      <w:r w:rsidR="004A274D" w:rsidRPr="009C0B2C">
        <w:rPr>
          <w:rFonts w:ascii="Times" w:hAnsi="Times" w:cs="Calibri"/>
        </w:rPr>
        <w:t>mor</w:t>
      </w:r>
      <w:r w:rsidR="00F2776C">
        <w:rPr>
          <w:rFonts w:ascii="Times" w:hAnsi="Times" w:cs="Calibri"/>
        </w:rPr>
        <w:t xml:space="preserve">e striking in England, where </w:t>
      </w:r>
      <w:r w:rsidR="00CD0644">
        <w:rPr>
          <w:rFonts w:ascii="Times" w:hAnsi="Times" w:cs="Calibri"/>
        </w:rPr>
        <w:t>it</w:t>
      </w:r>
      <w:r w:rsidR="00F2776C">
        <w:rPr>
          <w:rFonts w:ascii="Times" w:hAnsi="Times" w:cs="Calibri"/>
        </w:rPr>
        <w:t xml:space="preserve"> </w:t>
      </w:r>
      <w:r w:rsidR="006923ED" w:rsidRPr="009C0B2C">
        <w:rPr>
          <w:rFonts w:ascii="Times" w:hAnsi="Times" w:cs="Calibri"/>
        </w:rPr>
        <w:t>extended to nearly 7 points</w:t>
      </w:r>
      <w:r w:rsidR="004A274D" w:rsidRPr="009C0B2C">
        <w:rPr>
          <w:rFonts w:ascii="Times" w:hAnsi="Times" w:cs="Calibri"/>
        </w:rPr>
        <w:t>.</w:t>
      </w:r>
      <w:r w:rsidR="00F2776C">
        <w:rPr>
          <w:rFonts w:ascii="Times" w:hAnsi="Times" w:cs="Calibri"/>
        </w:rPr>
        <w:t xml:space="preserve"> </w:t>
      </w:r>
      <w:r w:rsidR="009C7DAA" w:rsidRPr="009C0B2C">
        <w:rPr>
          <w:rFonts w:ascii="Times" w:hAnsi="Times" w:cs="Calibri"/>
        </w:rPr>
        <w:t xml:space="preserve">Leave also </w:t>
      </w:r>
      <w:r w:rsidR="00CD0644">
        <w:rPr>
          <w:rFonts w:ascii="Times" w:hAnsi="Times" w:cs="Calibri"/>
        </w:rPr>
        <w:t xml:space="preserve">won the popular vote </w:t>
      </w:r>
      <w:r w:rsidR="00FE01B3" w:rsidRPr="009C0B2C">
        <w:rPr>
          <w:rFonts w:ascii="Times" w:hAnsi="Times" w:cs="Calibri"/>
        </w:rPr>
        <w:t>in</w:t>
      </w:r>
      <w:r w:rsidR="009C7DAA" w:rsidRPr="009C0B2C">
        <w:rPr>
          <w:rFonts w:ascii="Times" w:hAnsi="Times" w:cs="Calibri"/>
        </w:rPr>
        <w:t xml:space="preserve"> Wales,</w:t>
      </w:r>
      <w:r w:rsidR="00957B3C" w:rsidRPr="009C0B2C">
        <w:rPr>
          <w:rFonts w:ascii="Times" w:hAnsi="Times" w:cs="Calibri"/>
        </w:rPr>
        <w:t xml:space="preserve"> securing 52.5 per</w:t>
      </w:r>
      <w:r w:rsidR="00FE01B3" w:rsidRPr="009C0B2C">
        <w:rPr>
          <w:rFonts w:ascii="Times" w:hAnsi="Times" w:cs="Calibri"/>
        </w:rPr>
        <w:t xml:space="preserve">cent </w:t>
      </w:r>
      <w:r w:rsidR="00F2776C">
        <w:rPr>
          <w:rFonts w:ascii="Times" w:hAnsi="Times" w:cs="Calibri"/>
        </w:rPr>
        <w:t>and only</w:t>
      </w:r>
      <w:r w:rsidR="00957B3C" w:rsidRPr="009C0B2C">
        <w:rPr>
          <w:rFonts w:ascii="Times" w:hAnsi="Times" w:cs="Calibri"/>
        </w:rPr>
        <w:t xml:space="preserve"> </w:t>
      </w:r>
      <w:r w:rsidR="00FE01B3" w:rsidRPr="009C0B2C">
        <w:rPr>
          <w:rFonts w:ascii="Times" w:hAnsi="Times" w:cs="Calibri"/>
        </w:rPr>
        <w:t xml:space="preserve">one month after the insurgent </w:t>
      </w:r>
      <w:r w:rsidR="009C7DAA" w:rsidRPr="009C0B2C">
        <w:rPr>
          <w:rFonts w:ascii="Times" w:hAnsi="Times" w:cs="Calibri"/>
        </w:rPr>
        <w:t xml:space="preserve">UK Independence Party (Ukip) </w:t>
      </w:r>
      <w:r w:rsidR="00FE01B3" w:rsidRPr="009C0B2C">
        <w:rPr>
          <w:rFonts w:ascii="Times" w:hAnsi="Times" w:cs="Calibri"/>
        </w:rPr>
        <w:t xml:space="preserve">had won its </w:t>
      </w:r>
      <w:r w:rsidR="009C7DAA" w:rsidRPr="009C0B2C">
        <w:rPr>
          <w:rFonts w:ascii="Times" w:hAnsi="Times" w:cs="Calibri"/>
        </w:rPr>
        <w:t>first (seven) seats on the devolved Welsh</w:t>
      </w:r>
      <w:r w:rsidR="00FE01B3" w:rsidRPr="009C0B2C">
        <w:rPr>
          <w:rFonts w:ascii="Times" w:hAnsi="Times" w:cs="Calibri"/>
        </w:rPr>
        <w:t xml:space="preserve"> Assembly. </w:t>
      </w:r>
      <w:r w:rsidR="006923ED" w:rsidRPr="009C0B2C">
        <w:rPr>
          <w:rFonts w:ascii="Times" w:hAnsi="Times" w:cs="Calibri"/>
        </w:rPr>
        <w:t xml:space="preserve">Only in Scotland, Northern Ireland and London </w:t>
      </w:r>
      <w:r w:rsidR="00CD0644">
        <w:rPr>
          <w:rFonts w:ascii="Times" w:hAnsi="Times" w:cs="Calibri"/>
        </w:rPr>
        <w:t>did the Leave vote fail</w:t>
      </w:r>
      <w:r w:rsidR="00F2776C">
        <w:rPr>
          <w:rFonts w:ascii="Times" w:hAnsi="Times" w:cs="Calibri"/>
        </w:rPr>
        <w:t xml:space="preserve"> to</w:t>
      </w:r>
      <w:r w:rsidR="00B92C82" w:rsidRPr="009C0B2C">
        <w:rPr>
          <w:rFonts w:ascii="Times" w:hAnsi="Times" w:cs="Calibri"/>
        </w:rPr>
        <w:t xml:space="preserve"> </w:t>
      </w:r>
      <w:r w:rsidR="00F2776C">
        <w:rPr>
          <w:rFonts w:ascii="Times" w:hAnsi="Times" w:cs="Calibri"/>
        </w:rPr>
        <w:t>surpass 50 percent</w:t>
      </w:r>
      <w:r w:rsidR="00B92C82" w:rsidRPr="009C0B2C">
        <w:rPr>
          <w:rFonts w:ascii="Times" w:hAnsi="Times" w:cs="Calibri"/>
        </w:rPr>
        <w:t>.</w:t>
      </w:r>
      <w:r w:rsidR="00CD74A7">
        <w:rPr>
          <w:rFonts w:ascii="Times" w:hAnsi="Times" w:cs="Calibri"/>
        </w:rPr>
        <w:t xml:space="preserve"> </w:t>
      </w:r>
      <w:r w:rsidR="00DC7D01" w:rsidRPr="009C0B2C">
        <w:rPr>
          <w:rFonts w:ascii="Times" w:hAnsi="Times" w:cs="Calibri"/>
        </w:rPr>
        <w:t>The result se</w:t>
      </w:r>
      <w:r w:rsidR="00CD74A7">
        <w:rPr>
          <w:rFonts w:ascii="Times" w:hAnsi="Times" w:cs="Calibri"/>
        </w:rPr>
        <w:t xml:space="preserve">nt shockwaves around the world, wiping more than three trillion dollars off the value of financial markets in only a few days and prompting Eurosceptic parties in at least seven other member states to demand </w:t>
      </w:r>
      <w:r w:rsidR="000550C8">
        <w:rPr>
          <w:rFonts w:ascii="Times" w:hAnsi="Times" w:cs="Calibri"/>
        </w:rPr>
        <w:t xml:space="preserve">similar ‘British-style’ referendums. </w:t>
      </w:r>
    </w:p>
    <w:p w14:paraId="6A2469A7" w14:textId="63FDC35C" w:rsidR="00F2776C" w:rsidRDefault="0066496F" w:rsidP="006F2F69">
      <w:pPr>
        <w:widowControl w:val="0"/>
        <w:autoSpaceDE w:val="0"/>
        <w:autoSpaceDN w:val="0"/>
        <w:adjustRightInd w:val="0"/>
        <w:spacing w:line="720" w:lineRule="auto"/>
        <w:ind w:firstLine="720"/>
        <w:jc w:val="both"/>
        <w:rPr>
          <w:rFonts w:ascii="Times" w:hAnsi="Times" w:cs="Calibri"/>
        </w:rPr>
      </w:pPr>
      <w:r>
        <w:rPr>
          <w:rFonts w:ascii="Times" w:hAnsi="Times" w:cs="Calibri"/>
        </w:rPr>
        <w:t>As in 1975</w:t>
      </w:r>
      <w:r w:rsidR="00F2776C">
        <w:rPr>
          <w:rFonts w:ascii="Times" w:hAnsi="Times" w:cs="Calibri"/>
        </w:rPr>
        <w:t>,</w:t>
      </w:r>
      <w:r>
        <w:rPr>
          <w:rFonts w:ascii="Times" w:hAnsi="Times" w:cs="Calibri"/>
        </w:rPr>
        <w:t xml:space="preserve"> the outcome </w:t>
      </w:r>
      <w:r w:rsidR="00F2776C">
        <w:rPr>
          <w:rFonts w:ascii="Times" w:hAnsi="Times" w:cs="Calibri"/>
        </w:rPr>
        <w:t xml:space="preserve">of the 2016 referendum </w:t>
      </w:r>
      <w:r>
        <w:rPr>
          <w:rFonts w:ascii="Times" w:hAnsi="Times" w:cs="Calibri"/>
        </w:rPr>
        <w:t xml:space="preserve">also </w:t>
      </w:r>
      <w:r w:rsidR="00F2776C">
        <w:rPr>
          <w:rFonts w:ascii="Times" w:hAnsi="Times" w:cs="Calibri"/>
        </w:rPr>
        <w:t xml:space="preserve">shed light on </w:t>
      </w:r>
      <w:r w:rsidR="002B355E">
        <w:rPr>
          <w:rFonts w:ascii="Times" w:hAnsi="Times" w:cs="Calibri"/>
        </w:rPr>
        <w:t xml:space="preserve">tensions that </w:t>
      </w:r>
      <w:r w:rsidR="00F2776C">
        <w:rPr>
          <w:rFonts w:ascii="Times" w:hAnsi="Times" w:cs="Calibri"/>
        </w:rPr>
        <w:t>had long been evident within</w:t>
      </w:r>
      <w:r w:rsidR="002B355E">
        <w:rPr>
          <w:rFonts w:ascii="Times" w:hAnsi="Times" w:cs="Calibri"/>
        </w:rPr>
        <w:t xml:space="preserve"> </w:t>
      </w:r>
      <w:r>
        <w:rPr>
          <w:rFonts w:ascii="Times" w:hAnsi="Times" w:cs="Calibri"/>
        </w:rPr>
        <w:t>domestic party politi</w:t>
      </w:r>
      <w:r w:rsidR="00F2776C">
        <w:rPr>
          <w:rFonts w:ascii="Times" w:hAnsi="Times" w:cs="Calibri"/>
        </w:rPr>
        <w:t xml:space="preserve">cs. In the aftermath of a defeat that </w:t>
      </w:r>
      <w:r w:rsidR="00CD0644">
        <w:rPr>
          <w:rFonts w:ascii="Times" w:hAnsi="Times" w:cs="Calibri"/>
        </w:rPr>
        <w:t>had been</w:t>
      </w:r>
      <w:r w:rsidR="00F2776C">
        <w:rPr>
          <w:rFonts w:ascii="Times" w:hAnsi="Times" w:cs="Calibri"/>
        </w:rPr>
        <w:t xml:space="preserve"> partly engineered by the Eurosceptic tradition within his own party, David Cameron, the Conservative Prime Minister since 2010, </w:t>
      </w:r>
      <w:r w:rsidR="00B142A8">
        <w:rPr>
          <w:rFonts w:ascii="Times" w:hAnsi="Times" w:cs="Calibri"/>
        </w:rPr>
        <w:t xml:space="preserve">promptly </w:t>
      </w:r>
      <w:r w:rsidR="00F2776C">
        <w:rPr>
          <w:rFonts w:ascii="Times" w:hAnsi="Times" w:cs="Calibri"/>
        </w:rPr>
        <w:t xml:space="preserve">resigned. The act triggered a leadership election that would not only </w:t>
      </w:r>
      <w:r w:rsidR="00D36E7F" w:rsidRPr="009C0B2C">
        <w:rPr>
          <w:rFonts w:ascii="Times" w:hAnsi="Times" w:cs="Calibri"/>
        </w:rPr>
        <w:t>de</w:t>
      </w:r>
      <w:r w:rsidR="00B142A8">
        <w:rPr>
          <w:rFonts w:ascii="Times" w:hAnsi="Times" w:cs="Calibri"/>
        </w:rPr>
        <w:t>termine</w:t>
      </w:r>
      <w:r w:rsidR="00D36E7F" w:rsidRPr="009C0B2C">
        <w:rPr>
          <w:rFonts w:ascii="Times" w:hAnsi="Times" w:cs="Calibri"/>
        </w:rPr>
        <w:t xml:space="preserve"> the next Prime Minister</w:t>
      </w:r>
      <w:r w:rsidR="00F2776C">
        <w:rPr>
          <w:rFonts w:ascii="Times" w:hAnsi="Times" w:cs="Calibri"/>
        </w:rPr>
        <w:t xml:space="preserve"> but also</w:t>
      </w:r>
      <w:r>
        <w:rPr>
          <w:rFonts w:ascii="Times" w:hAnsi="Times" w:cs="Calibri"/>
        </w:rPr>
        <w:t xml:space="preserve"> push the centre-right party</w:t>
      </w:r>
      <w:r w:rsidR="00F2776C">
        <w:rPr>
          <w:rFonts w:ascii="Times" w:hAnsi="Times" w:cs="Calibri"/>
        </w:rPr>
        <w:t xml:space="preserve"> –and the country-</w:t>
      </w:r>
      <w:r>
        <w:rPr>
          <w:rFonts w:ascii="Times" w:hAnsi="Times" w:cs="Calibri"/>
        </w:rPr>
        <w:t xml:space="preserve"> down a more over</w:t>
      </w:r>
      <w:r w:rsidR="002B355E">
        <w:rPr>
          <w:rFonts w:ascii="Times" w:hAnsi="Times" w:cs="Calibri"/>
        </w:rPr>
        <w:t>t</w:t>
      </w:r>
      <w:r>
        <w:rPr>
          <w:rFonts w:ascii="Times" w:hAnsi="Times" w:cs="Calibri"/>
        </w:rPr>
        <w:t xml:space="preserve">ly Eurosceptic path. </w:t>
      </w:r>
      <w:r w:rsidR="00B142A8">
        <w:rPr>
          <w:rFonts w:ascii="Times" w:hAnsi="Times" w:cs="Calibri"/>
        </w:rPr>
        <w:t xml:space="preserve">The Labour Party, </w:t>
      </w:r>
      <w:r w:rsidR="00F2776C">
        <w:rPr>
          <w:rFonts w:ascii="Times" w:hAnsi="Times" w:cs="Calibri"/>
        </w:rPr>
        <w:t xml:space="preserve">meanwhile, </w:t>
      </w:r>
      <w:r w:rsidR="00D36E7F" w:rsidRPr="009C0B2C">
        <w:rPr>
          <w:rFonts w:ascii="Times" w:hAnsi="Times" w:cs="Calibri"/>
        </w:rPr>
        <w:t xml:space="preserve">which had </w:t>
      </w:r>
      <w:r w:rsidR="00CD0644">
        <w:rPr>
          <w:rFonts w:ascii="Times" w:hAnsi="Times" w:cs="Calibri"/>
        </w:rPr>
        <w:t xml:space="preserve">officially </w:t>
      </w:r>
      <w:r w:rsidR="00010925" w:rsidRPr="009C0B2C">
        <w:rPr>
          <w:rFonts w:ascii="Times" w:hAnsi="Times" w:cs="Calibri"/>
        </w:rPr>
        <w:t>campaigned to remain in the EU</w:t>
      </w:r>
      <w:r w:rsidR="009E0AD6" w:rsidRPr="009C0B2C">
        <w:rPr>
          <w:rFonts w:ascii="Times" w:hAnsi="Times" w:cs="Calibri"/>
        </w:rPr>
        <w:t>,</w:t>
      </w:r>
      <w:r w:rsidR="00010925" w:rsidRPr="009C0B2C">
        <w:rPr>
          <w:rFonts w:ascii="Times" w:hAnsi="Times" w:cs="Calibri"/>
        </w:rPr>
        <w:t xml:space="preserve"> descended into turmoil as</w:t>
      </w:r>
      <w:r w:rsidR="00F2776C">
        <w:rPr>
          <w:rFonts w:ascii="Times" w:hAnsi="Times" w:cs="Calibri"/>
        </w:rPr>
        <w:t xml:space="preserve"> Jeremy Corbyn,</w:t>
      </w:r>
      <w:r w:rsidR="00010925" w:rsidRPr="009C0B2C">
        <w:rPr>
          <w:rFonts w:ascii="Times" w:hAnsi="Times" w:cs="Calibri"/>
        </w:rPr>
        <w:t xml:space="preserve"> </w:t>
      </w:r>
      <w:r w:rsidR="00F2776C">
        <w:rPr>
          <w:rFonts w:ascii="Times" w:hAnsi="Times" w:cs="Calibri"/>
        </w:rPr>
        <w:t xml:space="preserve">its newly-elected but unpopular leader, </w:t>
      </w:r>
      <w:r w:rsidR="00CD0644">
        <w:rPr>
          <w:rFonts w:ascii="Times" w:hAnsi="Times" w:cs="Calibri"/>
        </w:rPr>
        <w:t>faced</w:t>
      </w:r>
      <w:r w:rsidR="00010925" w:rsidRPr="009C0B2C">
        <w:rPr>
          <w:rFonts w:ascii="Times" w:hAnsi="Times" w:cs="Calibri"/>
        </w:rPr>
        <w:t xml:space="preserve"> immediate pressure to </w:t>
      </w:r>
      <w:r w:rsidR="00CD0644">
        <w:rPr>
          <w:rFonts w:ascii="Times" w:hAnsi="Times" w:cs="Calibri"/>
        </w:rPr>
        <w:t xml:space="preserve">also </w:t>
      </w:r>
      <w:r w:rsidR="00010925" w:rsidRPr="009C0B2C">
        <w:rPr>
          <w:rFonts w:ascii="Times" w:hAnsi="Times" w:cs="Calibri"/>
        </w:rPr>
        <w:t>resign</w:t>
      </w:r>
      <w:r w:rsidR="00F2776C">
        <w:rPr>
          <w:rFonts w:ascii="Times" w:hAnsi="Times" w:cs="Calibri"/>
        </w:rPr>
        <w:t xml:space="preserve">. Labour MPs argued </w:t>
      </w:r>
      <w:r w:rsidR="00010925" w:rsidRPr="009C0B2C">
        <w:rPr>
          <w:rFonts w:ascii="Times" w:hAnsi="Times" w:cs="Calibri"/>
        </w:rPr>
        <w:t>that</w:t>
      </w:r>
      <w:r w:rsidR="00CD0644">
        <w:rPr>
          <w:rFonts w:ascii="Times" w:hAnsi="Times" w:cs="Calibri"/>
        </w:rPr>
        <w:t xml:space="preserve"> </w:t>
      </w:r>
      <w:r w:rsidR="00F2776C">
        <w:rPr>
          <w:rFonts w:ascii="Times" w:hAnsi="Times" w:cs="Calibri"/>
        </w:rPr>
        <w:t xml:space="preserve">Corbyn </w:t>
      </w:r>
      <w:r w:rsidR="00D36E7F" w:rsidRPr="009C0B2C">
        <w:rPr>
          <w:rFonts w:ascii="Times" w:hAnsi="Times" w:cs="Calibri"/>
        </w:rPr>
        <w:t xml:space="preserve">had failed to demonstrate leadership and communicate a </w:t>
      </w:r>
      <w:r w:rsidR="00D36E7F" w:rsidRPr="009C0B2C">
        <w:rPr>
          <w:rFonts w:ascii="Times" w:hAnsi="Times" w:cs="Calibri"/>
        </w:rPr>
        <w:lastRenderedPageBreak/>
        <w:t>compellin</w:t>
      </w:r>
      <w:r w:rsidR="00F2776C">
        <w:rPr>
          <w:rFonts w:ascii="Times" w:hAnsi="Times" w:cs="Calibri"/>
        </w:rPr>
        <w:t xml:space="preserve">g case for why Britain should remain in the EU, claims </w:t>
      </w:r>
      <w:r w:rsidR="00CD0644">
        <w:rPr>
          <w:rFonts w:ascii="Times" w:hAnsi="Times" w:cs="Calibri"/>
        </w:rPr>
        <w:t xml:space="preserve">that were </w:t>
      </w:r>
      <w:r w:rsidR="00F2776C">
        <w:rPr>
          <w:rFonts w:ascii="Times" w:hAnsi="Times" w:cs="Calibri"/>
        </w:rPr>
        <w:t>supported by polling data released only weeks before the referendum</w:t>
      </w:r>
      <w:r w:rsidR="00CD0644">
        <w:rPr>
          <w:rFonts w:ascii="Times" w:hAnsi="Times" w:cs="Calibri"/>
        </w:rPr>
        <w:t xml:space="preserve"> and which</w:t>
      </w:r>
      <w:r w:rsidR="00F2776C">
        <w:rPr>
          <w:rFonts w:ascii="Times" w:hAnsi="Times" w:cs="Calibri"/>
        </w:rPr>
        <w:t xml:space="preserve"> suggested that nearly one in two Labour voters were unaware that Labour was advocating a Remain position</w:t>
      </w:r>
      <w:r w:rsidR="00D36E7F" w:rsidRPr="009C0B2C">
        <w:rPr>
          <w:rFonts w:ascii="Times" w:hAnsi="Times" w:cs="Calibri"/>
        </w:rPr>
        <w:t>.</w:t>
      </w:r>
      <w:r w:rsidR="009527F0" w:rsidRPr="009C0B2C">
        <w:rPr>
          <w:rStyle w:val="EndnoteReference"/>
          <w:rFonts w:ascii="Times" w:hAnsi="Times" w:cs="Calibri"/>
        </w:rPr>
        <w:endnoteReference w:id="2"/>
      </w:r>
      <w:r w:rsidR="006F2F69">
        <w:rPr>
          <w:rFonts w:ascii="Times" w:hAnsi="Times" w:cs="Calibri"/>
        </w:rPr>
        <w:t xml:space="preserve"> Amid the new landscape the only </w:t>
      </w:r>
      <w:r w:rsidR="009E0AD6" w:rsidRPr="009C0B2C">
        <w:rPr>
          <w:rFonts w:ascii="Times" w:hAnsi="Times" w:cs="Calibri"/>
        </w:rPr>
        <w:t xml:space="preserve">unified parties appeared to be the </w:t>
      </w:r>
      <w:r w:rsidR="006F2F69">
        <w:rPr>
          <w:rFonts w:ascii="Times" w:hAnsi="Times" w:cs="Calibri"/>
        </w:rPr>
        <w:t xml:space="preserve">pro-EU </w:t>
      </w:r>
      <w:r w:rsidR="00B142A8">
        <w:rPr>
          <w:rFonts w:ascii="Times" w:hAnsi="Times" w:cs="Calibri"/>
        </w:rPr>
        <w:t>Liberal Democrats, who quickly pledged</w:t>
      </w:r>
      <w:r w:rsidR="00FA4F5C">
        <w:rPr>
          <w:rFonts w:ascii="Times" w:hAnsi="Times" w:cs="Calibri"/>
        </w:rPr>
        <w:t xml:space="preserve"> to campaign at the next general election </w:t>
      </w:r>
      <w:r w:rsidR="006F2F69">
        <w:rPr>
          <w:rFonts w:ascii="Times" w:hAnsi="Times" w:cs="Calibri"/>
        </w:rPr>
        <w:t xml:space="preserve">for Britain to re-join the </w:t>
      </w:r>
      <w:r w:rsidR="00FA4F5C">
        <w:rPr>
          <w:rFonts w:ascii="Times" w:hAnsi="Times" w:cs="Calibri"/>
        </w:rPr>
        <w:t xml:space="preserve">EU, the insurgent </w:t>
      </w:r>
      <w:r w:rsidR="00B142A8">
        <w:rPr>
          <w:rFonts w:ascii="Times" w:hAnsi="Times" w:cs="Calibri"/>
        </w:rPr>
        <w:t xml:space="preserve">Ukip that </w:t>
      </w:r>
      <w:r w:rsidR="009E0AD6" w:rsidRPr="009C0B2C">
        <w:rPr>
          <w:rFonts w:ascii="Times" w:hAnsi="Times" w:cs="Calibri"/>
        </w:rPr>
        <w:t>twenty-three years after its formation had achieved its defining goal</w:t>
      </w:r>
      <w:r w:rsidR="00FA4F5C">
        <w:rPr>
          <w:rFonts w:ascii="Times" w:hAnsi="Times" w:cs="Calibri"/>
        </w:rPr>
        <w:t xml:space="preserve"> of withdrawal</w:t>
      </w:r>
      <w:r w:rsidR="00F2776C">
        <w:rPr>
          <w:rFonts w:ascii="Times" w:hAnsi="Times" w:cs="Calibri"/>
        </w:rPr>
        <w:t xml:space="preserve"> from the EU, and </w:t>
      </w:r>
      <w:r w:rsidR="009E0AD6" w:rsidRPr="009C0B2C">
        <w:rPr>
          <w:rFonts w:ascii="Times" w:hAnsi="Times" w:cs="Calibri"/>
        </w:rPr>
        <w:t xml:space="preserve">the Scottish National Party (SNP), which argued that the result </w:t>
      </w:r>
      <w:r w:rsidR="00F2776C">
        <w:rPr>
          <w:rFonts w:ascii="Times" w:hAnsi="Times" w:cs="Calibri"/>
        </w:rPr>
        <w:t xml:space="preserve">revealed the </w:t>
      </w:r>
      <w:r w:rsidR="009E0AD6" w:rsidRPr="009C0B2C">
        <w:rPr>
          <w:rFonts w:ascii="Times" w:hAnsi="Times" w:cs="Calibri"/>
        </w:rPr>
        <w:t xml:space="preserve">need for a second independence referendum in Scotland. </w:t>
      </w:r>
    </w:p>
    <w:p w14:paraId="0899D85D" w14:textId="6379AEF3" w:rsidR="00FE1A63" w:rsidRDefault="006F2F69" w:rsidP="00FE1A63">
      <w:pPr>
        <w:widowControl w:val="0"/>
        <w:autoSpaceDE w:val="0"/>
        <w:autoSpaceDN w:val="0"/>
        <w:adjustRightInd w:val="0"/>
        <w:spacing w:line="720" w:lineRule="auto"/>
        <w:ind w:firstLine="720"/>
        <w:jc w:val="both"/>
        <w:rPr>
          <w:rFonts w:ascii="Times" w:hAnsi="Times"/>
        </w:rPr>
      </w:pPr>
      <w:r>
        <w:rPr>
          <w:rFonts w:ascii="Times" w:hAnsi="Times" w:cs="Calibri"/>
        </w:rPr>
        <w:t xml:space="preserve">Lastly, and as reflected in the positioning of the SNP, </w:t>
      </w:r>
      <w:r w:rsidR="00F2776C">
        <w:rPr>
          <w:rFonts w:ascii="Times" w:hAnsi="Times" w:cs="Calibri"/>
        </w:rPr>
        <w:t xml:space="preserve">while the 1975 vote </w:t>
      </w:r>
      <w:r w:rsidR="0066496F">
        <w:rPr>
          <w:rFonts w:ascii="Times" w:hAnsi="Times" w:cs="Calibri"/>
        </w:rPr>
        <w:t xml:space="preserve">attracted interest because of its </w:t>
      </w:r>
      <w:r w:rsidR="00F2776C">
        <w:rPr>
          <w:rFonts w:ascii="Times" w:hAnsi="Times" w:cs="Calibri"/>
        </w:rPr>
        <w:t>constitutional innovation</w:t>
      </w:r>
      <w:r w:rsidR="0066496F">
        <w:rPr>
          <w:rFonts w:ascii="Times" w:hAnsi="Times" w:cs="Calibri"/>
        </w:rPr>
        <w:t xml:space="preserve"> the </w:t>
      </w:r>
      <w:r w:rsidR="00F2776C">
        <w:rPr>
          <w:rFonts w:ascii="Times" w:hAnsi="Times" w:cs="Calibri"/>
        </w:rPr>
        <w:t xml:space="preserve">referendum result in 2016 </w:t>
      </w:r>
      <w:r w:rsidR="0066496F">
        <w:rPr>
          <w:rFonts w:ascii="Times" w:hAnsi="Times" w:cs="Calibri"/>
        </w:rPr>
        <w:t>posed a direct and far more profound challenge to the British constitutional settlement.</w:t>
      </w:r>
      <w:r w:rsidR="00D346B1">
        <w:rPr>
          <w:rFonts w:ascii="Times" w:hAnsi="Times" w:cs="Calibri"/>
        </w:rPr>
        <w:t xml:space="preserve"> In </w:t>
      </w:r>
      <w:r>
        <w:rPr>
          <w:rFonts w:ascii="Times" w:hAnsi="Times" w:cs="Calibri"/>
        </w:rPr>
        <w:t>the first instance the</w:t>
      </w:r>
      <w:r w:rsidR="00D346B1">
        <w:rPr>
          <w:rFonts w:ascii="Times" w:hAnsi="Times" w:cs="Calibri"/>
        </w:rPr>
        <w:t xml:space="preserve"> result </w:t>
      </w:r>
      <w:r>
        <w:rPr>
          <w:rFonts w:ascii="Times" w:hAnsi="Times" w:cs="Calibri"/>
        </w:rPr>
        <w:t>required</w:t>
      </w:r>
      <w:r w:rsidR="00D346B1">
        <w:rPr>
          <w:rFonts w:ascii="Times" w:hAnsi="Times" w:cs="Calibri"/>
        </w:rPr>
        <w:t xml:space="preserve"> parliament to sustain a </w:t>
      </w:r>
      <w:r>
        <w:rPr>
          <w:rFonts w:ascii="Times" w:hAnsi="Times" w:cs="Calibri"/>
        </w:rPr>
        <w:t xml:space="preserve">pro-Brexit </w:t>
      </w:r>
      <w:r w:rsidR="00D346B1">
        <w:rPr>
          <w:rFonts w:ascii="Times" w:hAnsi="Times" w:cs="Calibri"/>
        </w:rPr>
        <w:t xml:space="preserve">policy </w:t>
      </w:r>
      <w:r>
        <w:rPr>
          <w:rFonts w:ascii="Times" w:hAnsi="Times" w:cs="Calibri"/>
        </w:rPr>
        <w:t>that was</w:t>
      </w:r>
      <w:r w:rsidR="00D346B1">
        <w:rPr>
          <w:rFonts w:ascii="Times" w:hAnsi="Times" w:cs="Calibri"/>
        </w:rPr>
        <w:t xml:space="preserve"> opposed by most MPs,</w:t>
      </w:r>
      <w:r>
        <w:rPr>
          <w:rFonts w:ascii="Times" w:hAnsi="Times" w:cs="Calibri"/>
        </w:rPr>
        <w:t xml:space="preserve"> which as Vernon Bogdanor has</w:t>
      </w:r>
      <w:r w:rsidR="00D346B1">
        <w:rPr>
          <w:rFonts w:ascii="Times" w:hAnsi="Times" w:cs="Calibri"/>
        </w:rPr>
        <w:t xml:space="preserve"> observed is an event without precedent in British history.</w:t>
      </w:r>
      <w:r w:rsidR="00D346B1">
        <w:rPr>
          <w:rStyle w:val="EndnoteReference"/>
          <w:rFonts w:ascii="Times" w:hAnsi="Times" w:cs="Calibri"/>
        </w:rPr>
        <w:endnoteReference w:id="3"/>
      </w:r>
      <w:r>
        <w:rPr>
          <w:rFonts w:ascii="Times" w:hAnsi="Times" w:cs="Calibri"/>
        </w:rPr>
        <w:t xml:space="preserve"> While it has been estimated that 421 of the 574 constituencies in England and Wales voted to leave the European Union, we calculate that only 148 MPs in England and Wales voted the same way.</w:t>
      </w:r>
      <w:r>
        <w:rPr>
          <w:rStyle w:val="EndnoteReference"/>
          <w:rFonts w:ascii="Times" w:hAnsi="Times" w:cs="Calibri"/>
        </w:rPr>
        <w:endnoteReference w:id="4"/>
      </w:r>
      <w:r>
        <w:rPr>
          <w:rFonts w:ascii="Times" w:hAnsi="Times" w:cs="Calibri"/>
        </w:rPr>
        <w:t xml:space="preserve"> Meanwhile, </w:t>
      </w:r>
      <w:r w:rsidR="00FE1A63">
        <w:rPr>
          <w:rFonts w:ascii="Times" w:hAnsi="Times" w:cs="Calibri"/>
        </w:rPr>
        <w:t xml:space="preserve">that Northern Ireland and Scotland voted to remain in the EU as England and Wales voted to Leave has not only revived calls for Scottish independence but </w:t>
      </w:r>
      <w:r w:rsidR="00FE1A63">
        <w:rPr>
          <w:rFonts w:ascii="Times" w:hAnsi="Times" w:cs="Calibri"/>
        </w:rPr>
        <w:lastRenderedPageBreak/>
        <w:t xml:space="preserve">sparked </w:t>
      </w:r>
      <w:r w:rsidR="00D346B1">
        <w:rPr>
          <w:rFonts w:ascii="Times" w:hAnsi="Times"/>
        </w:rPr>
        <w:t xml:space="preserve">new concerns about </w:t>
      </w:r>
      <w:r w:rsidR="0066496F" w:rsidRPr="009C0B2C">
        <w:rPr>
          <w:rFonts w:ascii="Times" w:hAnsi="Times"/>
        </w:rPr>
        <w:t xml:space="preserve">how the border between Northern Ireland and the Irish Republic </w:t>
      </w:r>
      <w:r w:rsidR="00FE1A63">
        <w:rPr>
          <w:rFonts w:ascii="Times" w:hAnsi="Times"/>
        </w:rPr>
        <w:t xml:space="preserve">will be </w:t>
      </w:r>
      <w:r w:rsidR="0066496F" w:rsidRPr="009C0B2C">
        <w:rPr>
          <w:rFonts w:ascii="Times" w:hAnsi="Times"/>
        </w:rPr>
        <w:t>managed</w:t>
      </w:r>
      <w:r w:rsidR="0066496F">
        <w:rPr>
          <w:rFonts w:ascii="Times" w:hAnsi="Times"/>
        </w:rPr>
        <w:t>.</w:t>
      </w:r>
      <w:r w:rsidR="00FE1A63">
        <w:rPr>
          <w:rFonts w:ascii="Times" w:hAnsi="Times"/>
        </w:rPr>
        <w:t xml:space="preserve"> </w:t>
      </w:r>
    </w:p>
    <w:p w14:paraId="1ADEAA57" w14:textId="13F3CC82" w:rsidR="000108C8" w:rsidRPr="0066496F" w:rsidRDefault="00FE1A63" w:rsidP="00FE1A63">
      <w:pPr>
        <w:widowControl w:val="0"/>
        <w:autoSpaceDE w:val="0"/>
        <w:autoSpaceDN w:val="0"/>
        <w:adjustRightInd w:val="0"/>
        <w:spacing w:line="720" w:lineRule="auto"/>
        <w:ind w:firstLine="720"/>
        <w:jc w:val="both"/>
        <w:rPr>
          <w:rFonts w:ascii="Times" w:hAnsi="Times" w:cs="Calibri"/>
        </w:rPr>
      </w:pPr>
      <w:r>
        <w:rPr>
          <w:rFonts w:ascii="Times" w:hAnsi="Times"/>
        </w:rPr>
        <w:t>These introductory observations underscore the need to make sense of Brexit and explain the 2016 referendum result.</w:t>
      </w:r>
      <w:r>
        <w:rPr>
          <w:rFonts w:ascii="Times" w:hAnsi="Times" w:cs="Calibri"/>
        </w:rPr>
        <w:t xml:space="preserve"> </w:t>
      </w:r>
      <w:r w:rsidR="00480730" w:rsidRPr="009C0B2C">
        <w:rPr>
          <w:rFonts w:ascii="Times" w:hAnsi="Times" w:cs="Calibri"/>
        </w:rPr>
        <w:t xml:space="preserve">In this article we </w:t>
      </w:r>
      <w:r>
        <w:rPr>
          <w:rFonts w:ascii="Times" w:hAnsi="Times" w:cs="Calibri"/>
        </w:rPr>
        <w:t>draw on</w:t>
      </w:r>
      <w:r w:rsidR="00480730">
        <w:rPr>
          <w:rFonts w:ascii="Times" w:hAnsi="Times" w:cs="Calibri"/>
        </w:rPr>
        <w:t xml:space="preserve"> </w:t>
      </w:r>
      <w:r w:rsidR="00480730" w:rsidRPr="009C0B2C">
        <w:rPr>
          <w:rFonts w:ascii="Times" w:hAnsi="Times" w:cs="Calibri"/>
        </w:rPr>
        <w:t xml:space="preserve">aggregate-level data to conduct an initial </w:t>
      </w:r>
      <w:r w:rsidR="00480730">
        <w:rPr>
          <w:rFonts w:ascii="Times" w:hAnsi="Times" w:cs="Calibri"/>
        </w:rPr>
        <w:t>exploration of</w:t>
      </w:r>
      <w:r w:rsidR="00480730" w:rsidRPr="009C0B2C">
        <w:rPr>
          <w:rFonts w:ascii="Times" w:hAnsi="Times" w:cs="Calibri"/>
        </w:rPr>
        <w:t xml:space="preserve"> </w:t>
      </w:r>
      <w:r w:rsidR="00480730">
        <w:rPr>
          <w:rFonts w:ascii="Times" w:hAnsi="Times" w:cs="Calibri"/>
        </w:rPr>
        <w:t>the vote</w:t>
      </w:r>
      <w:r>
        <w:rPr>
          <w:rFonts w:ascii="Times" w:hAnsi="Times" w:cs="Calibri"/>
        </w:rPr>
        <w:t xml:space="preserve"> and identify areas that future individual-level research will want to explore in greater depth. </w:t>
      </w:r>
      <w:r w:rsidR="00480730">
        <w:rPr>
          <w:rFonts w:ascii="Times" w:hAnsi="Times"/>
        </w:rPr>
        <w:t>W</w:t>
      </w:r>
      <w:r w:rsidR="0066496F">
        <w:rPr>
          <w:rFonts w:ascii="Times" w:hAnsi="Times"/>
        </w:rPr>
        <w:t xml:space="preserve">hy did the country vote for Brexit? </w:t>
      </w:r>
      <w:r w:rsidR="000108C8" w:rsidRPr="009C0B2C">
        <w:rPr>
          <w:rFonts w:ascii="Times" w:hAnsi="Times" w:cs="Calibri"/>
        </w:rPr>
        <w:t>What was th</w:t>
      </w:r>
      <w:r w:rsidR="0066496F">
        <w:rPr>
          <w:rFonts w:ascii="Times" w:hAnsi="Times" w:cs="Calibri"/>
        </w:rPr>
        <w:t xml:space="preserve">e relative importance of factors such as social class, age, immigration, </w:t>
      </w:r>
      <w:r w:rsidR="00480730">
        <w:rPr>
          <w:rFonts w:ascii="Times" w:hAnsi="Times" w:cs="Calibri"/>
        </w:rPr>
        <w:t xml:space="preserve">and </w:t>
      </w:r>
      <w:r w:rsidR="0066496F">
        <w:rPr>
          <w:rFonts w:ascii="Times" w:hAnsi="Times" w:cs="Calibri"/>
        </w:rPr>
        <w:t>ethnic diversity</w:t>
      </w:r>
      <w:r w:rsidR="00480730">
        <w:rPr>
          <w:rFonts w:ascii="Times" w:hAnsi="Times" w:cs="Calibri"/>
        </w:rPr>
        <w:t xml:space="preserve">? And to what extent did the pattern of support for Brexit across the country map on to </w:t>
      </w:r>
      <w:r w:rsidR="0066496F">
        <w:rPr>
          <w:rFonts w:ascii="Times" w:hAnsi="Times" w:cs="Calibri"/>
        </w:rPr>
        <w:t xml:space="preserve">past campaigns by Eurosceptic parties, such as Ukip? </w:t>
      </w:r>
      <w:r>
        <w:rPr>
          <w:rFonts w:ascii="Times" w:hAnsi="Times" w:cs="Calibri"/>
        </w:rPr>
        <w:t>While attempting to shed light on the possible answers to these</w:t>
      </w:r>
      <w:r w:rsidR="00480730">
        <w:rPr>
          <w:rFonts w:ascii="Times" w:hAnsi="Times" w:cs="Calibri"/>
        </w:rPr>
        <w:t xml:space="preserve"> questions we</w:t>
      </w:r>
      <w:r>
        <w:rPr>
          <w:rFonts w:ascii="Times" w:hAnsi="Times" w:cs="Calibri"/>
        </w:rPr>
        <w:t xml:space="preserve"> will also</w:t>
      </w:r>
      <w:r w:rsidR="00480730">
        <w:rPr>
          <w:rFonts w:ascii="Times" w:hAnsi="Times" w:cs="Calibri"/>
        </w:rPr>
        <w:t xml:space="preserve"> reflect on what the </w:t>
      </w:r>
      <w:r w:rsidR="0066496F">
        <w:rPr>
          <w:rFonts w:ascii="Times" w:hAnsi="Times" w:cs="Calibri"/>
        </w:rPr>
        <w:t>result reveal</w:t>
      </w:r>
      <w:r w:rsidR="00480730">
        <w:rPr>
          <w:rFonts w:ascii="Times" w:hAnsi="Times" w:cs="Calibri"/>
        </w:rPr>
        <w:t>s</w:t>
      </w:r>
      <w:r w:rsidR="0066496F">
        <w:rPr>
          <w:rFonts w:ascii="Times" w:hAnsi="Times" w:cs="Calibri"/>
        </w:rPr>
        <w:t xml:space="preserve"> about </w:t>
      </w:r>
      <w:r>
        <w:rPr>
          <w:rFonts w:ascii="Times" w:hAnsi="Times" w:cs="Calibri"/>
        </w:rPr>
        <w:t xml:space="preserve">broader </w:t>
      </w:r>
      <w:r w:rsidR="00480730">
        <w:rPr>
          <w:rFonts w:ascii="Times" w:hAnsi="Times" w:cs="Calibri"/>
        </w:rPr>
        <w:t xml:space="preserve">fault lines that run through </w:t>
      </w:r>
      <w:r w:rsidR="0066496F">
        <w:rPr>
          <w:rFonts w:ascii="Times" w:hAnsi="Times" w:cs="Calibri"/>
        </w:rPr>
        <w:t>contemporary British politics and soc</w:t>
      </w:r>
      <w:r w:rsidR="00480730">
        <w:rPr>
          <w:rFonts w:ascii="Times" w:hAnsi="Times" w:cs="Calibri"/>
        </w:rPr>
        <w:t>iety.</w:t>
      </w:r>
      <w:r w:rsidR="0066496F">
        <w:rPr>
          <w:rFonts w:ascii="Times" w:hAnsi="Times" w:cs="Calibri"/>
        </w:rPr>
        <w:t xml:space="preserve"> </w:t>
      </w:r>
    </w:p>
    <w:p w14:paraId="1AE9567B" w14:textId="77777777" w:rsidR="000108C8" w:rsidRPr="009C0B2C" w:rsidRDefault="000108C8" w:rsidP="002B355E">
      <w:pPr>
        <w:widowControl w:val="0"/>
        <w:autoSpaceDE w:val="0"/>
        <w:autoSpaceDN w:val="0"/>
        <w:adjustRightInd w:val="0"/>
        <w:spacing w:line="600" w:lineRule="auto"/>
        <w:jc w:val="both"/>
        <w:rPr>
          <w:rFonts w:ascii="Times" w:hAnsi="Times" w:cs="Calibri"/>
        </w:rPr>
      </w:pPr>
    </w:p>
    <w:p w14:paraId="2D21230A" w14:textId="44D076E3" w:rsidR="00576D70" w:rsidRDefault="00672890" w:rsidP="009C0B2C">
      <w:pPr>
        <w:widowControl w:val="0"/>
        <w:autoSpaceDE w:val="0"/>
        <w:autoSpaceDN w:val="0"/>
        <w:adjustRightInd w:val="0"/>
        <w:spacing w:line="600" w:lineRule="auto"/>
        <w:jc w:val="both"/>
        <w:rPr>
          <w:rFonts w:ascii="Times" w:hAnsi="Times" w:cs="Calibri"/>
          <w:b/>
        </w:rPr>
      </w:pPr>
      <w:r w:rsidRPr="009C0B2C">
        <w:rPr>
          <w:rFonts w:ascii="Times" w:hAnsi="Times" w:cs="Calibri"/>
          <w:b/>
        </w:rPr>
        <w:t>Brexit Britain</w:t>
      </w:r>
      <w:r w:rsidR="00841279" w:rsidRPr="009C0B2C">
        <w:rPr>
          <w:rFonts w:ascii="Times" w:hAnsi="Times" w:cs="Calibri"/>
          <w:b/>
        </w:rPr>
        <w:t>: A</w:t>
      </w:r>
      <w:r w:rsidR="00183436" w:rsidRPr="009C0B2C">
        <w:rPr>
          <w:rFonts w:ascii="Times" w:hAnsi="Times" w:cs="Calibri"/>
          <w:b/>
        </w:rPr>
        <w:t>n overview of the results</w:t>
      </w:r>
    </w:p>
    <w:p w14:paraId="0AF94A42" w14:textId="77777777" w:rsidR="00FE1A63" w:rsidRPr="009C0B2C" w:rsidRDefault="00FE1A63" w:rsidP="009C0B2C">
      <w:pPr>
        <w:widowControl w:val="0"/>
        <w:autoSpaceDE w:val="0"/>
        <w:autoSpaceDN w:val="0"/>
        <w:adjustRightInd w:val="0"/>
        <w:spacing w:line="600" w:lineRule="auto"/>
        <w:jc w:val="both"/>
        <w:rPr>
          <w:rFonts w:ascii="Times" w:hAnsi="Times" w:cs="Calibri"/>
          <w:b/>
        </w:rPr>
      </w:pPr>
    </w:p>
    <w:p w14:paraId="50F393A9" w14:textId="5E19903D" w:rsidR="00D547B7" w:rsidRDefault="004F6CDC" w:rsidP="00D547B7">
      <w:pPr>
        <w:widowControl w:val="0"/>
        <w:autoSpaceDE w:val="0"/>
        <w:autoSpaceDN w:val="0"/>
        <w:adjustRightInd w:val="0"/>
        <w:spacing w:line="720" w:lineRule="auto"/>
        <w:jc w:val="both"/>
        <w:rPr>
          <w:rFonts w:ascii="Times" w:hAnsi="Times" w:cs="Calibri"/>
        </w:rPr>
      </w:pPr>
      <w:r w:rsidRPr="009C0B2C">
        <w:rPr>
          <w:rFonts w:ascii="Times" w:hAnsi="Times" w:cs="Calibri"/>
        </w:rPr>
        <w:t xml:space="preserve">The result </w:t>
      </w:r>
      <w:r w:rsidR="00FE1A63">
        <w:rPr>
          <w:rFonts w:ascii="Times" w:hAnsi="Times" w:cs="Calibri"/>
        </w:rPr>
        <w:t xml:space="preserve">of the 2016 referendum </w:t>
      </w:r>
      <w:r w:rsidR="00D33461">
        <w:rPr>
          <w:rFonts w:ascii="Times" w:hAnsi="Times" w:cs="Calibri"/>
        </w:rPr>
        <w:t xml:space="preserve">revealed </w:t>
      </w:r>
      <w:r w:rsidRPr="009C0B2C">
        <w:rPr>
          <w:rFonts w:ascii="Times" w:hAnsi="Times" w:cs="Calibri"/>
        </w:rPr>
        <w:t xml:space="preserve">a </w:t>
      </w:r>
      <w:r w:rsidR="00FE1A63">
        <w:rPr>
          <w:rFonts w:ascii="Times" w:hAnsi="Times" w:cs="Calibri"/>
        </w:rPr>
        <w:t xml:space="preserve">society </w:t>
      </w:r>
      <w:r w:rsidR="00B473E2">
        <w:rPr>
          <w:rFonts w:ascii="Times" w:hAnsi="Times" w:cs="Calibri"/>
        </w:rPr>
        <w:t xml:space="preserve">which </w:t>
      </w:r>
      <w:r w:rsidRPr="009C0B2C">
        <w:rPr>
          <w:rFonts w:ascii="Times" w:hAnsi="Times" w:cs="Calibri"/>
        </w:rPr>
        <w:t xml:space="preserve">had </w:t>
      </w:r>
      <w:r w:rsidR="00FE1A63">
        <w:rPr>
          <w:rFonts w:ascii="Times" w:hAnsi="Times" w:cs="Calibri"/>
        </w:rPr>
        <w:t>on the issues of</w:t>
      </w:r>
      <w:r w:rsidRPr="009C0B2C">
        <w:rPr>
          <w:rFonts w:ascii="Times" w:hAnsi="Times" w:cs="Calibri"/>
        </w:rPr>
        <w:t xml:space="preserve"> EU membership </w:t>
      </w:r>
      <w:r w:rsidR="00FE1A63">
        <w:rPr>
          <w:rFonts w:ascii="Times" w:hAnsi="Times" w:cs="Calibri"/>
        </w:rPr>
        <w:t xml:space="preserve">and immigration become divided </w:t>
      </w:r>
      <w:r w:rsidRPr="009C0B2C">
        <w:rPr>
          <w:rFonts w:ascii="Times" w:hAnsi="Times" w:cs="Calibri"/>
        </w:rPr>
        <w:t xml:space="preserve">by social class, generation and geography. </w:t>
      </w:r>
      <w:r w:rsidR="00A8294F" w:rsidRPr="009C0B2C">
        <w:rPr>
          <w:rFonts w:ascii="Times" w:hAnsi="Times" w:cs="Calibri"/>
        </w:rPr>
        <w:t xml:space="preserve">The Leave campaign, which in the final weeks </w:t>
      </w:r>
      <w:r w:rsidR="00FE1A63">
        <w:rPr>
          <w:rFonts w:ascii="Times" w:hAnsi="Times" w:cs="Calibri"/>
        </w:rPr>
        <w:t>focused heavily on</w:t>
      </w:r>
      <w:r w:rsidR="00A8294F" w:rsidRPr="009C0B2C">
        <w:rPr>
          <w:rFonts w:ascii="Times" w:hAnsi="Times" w:cs="Calibri"/>
        </w:rPr>
        <w:t xml:space="preserve"> immigration, </w:t>
      </w:r>
      <w:r w:rsidRPr="009C0B2C">
        <w:rPr>
          <w:rFonts w:ascii="Times" w:hAnsi="Times" w:cs="Calibri"/>
        </w:rPr>
        <w:t>received its</w:t>
      </w:r>
      <w:r w:rsidR="00A8294F" w:rsidRPr="009C0B2C">
        <w:rPr>
          <w:rFonts w:ascii="Times" w:hAnsi="Times" w:cs="Calibri"/>
        </w:rPr>
        <w:t xml:space="preserve"> strongest support in the West Midlands (59.3 per cent), a historic bastion of Eurosceptic and </w:t>
      </w:r>
      <w:r w:rsidR="00A8294F" w:rsidRPr="009C0B2C">
        <w:rPr>
          <w:rFonts w:ascii="Times" w:hAnsi="Times" w:cs="Calibri"/>
        </w:rPr>
        <w:lastRenderedPageBreak/>
        <w:t xml:space="preserve">anti-immigration </w:t>
      </w:r>
      <w:r w:rsidR="00DC7D01" w:rsidRPr="009C0B2C">
        <w:rPr>
          <w:rFonts w:ascii="Times" w:hAnsi="Times" w:cs="Calibri"/>
        </w:rPr>
        <w:t>sentiment</w:t>
      </w:r>
      <w:r w:rsidR="00A8294F" w:rsidRPr="009C0B2C">
        <w:rPr>
          <w:rFonts w:ascii="Times" w:hAnsi="Times" w:cs="Calibri"/>
        </w:rPr>
        <w:t>, followed by the East Midlands (58.8 per cent), the North East (58 per cent), Yorkshire and the Humber (57.7 per cent) and Eastern England (56.5 per cent).</w:t>
      </w:r>
      <w:r w:rsidR="00DC7D01" w:rsidRPr="009C0B2C">
        <w:rPr>
          <w:rFonts w:ascii="Times" w:hAnsi="Times" w:cs="Calibri"/>
        </w:rPr>
        <w:t xml:space="preserve"> The Leave campaign </w:t>
      </w:r>
      <w:r w:rsidR="009161D6" w:rsidRPr="009C0B2C">
        <w:rPr>
          <w:rFonts w:ascii="Times" w:hAnsi="Times" w:cs="Calibri"/>
        </w:rPr>
        <w:t>attracted its weakest support in Scotland (38 per cent), London (40.1 per cent) and Northern Ireland (44.2 per cent).</w:t>
      </w:r>
      <w:r w:rsidRPr="009C0B2C">
        <w:rPr>
          <w:rFonts w:ascii="Times" w:hAnsi="Times" w:cs="Calibri"/>
        </w:rPr>
        <w:t xml:space="preserve"> </w:t>
      </w:r>
      <w:r w:rsidR="00D9111B" w:rsidRPr="009C0B2C">
        <w:rPr>
          <w:rFonts w:ascii="Times" w:hAnsi="Times" w:cs="Calibri"/>
        </w:rPr>
        <w:t>Leave surpassed 70 per cent of the vote in 14 local authorities, many of which had</w:t>
      </w:r>
      <w:r w:rsidRPr="009C0B2C">
        <w:rPr>
          <w:rFonts w:ascii="Times" w:hAnsi="Times" w:cs="Calibri"/>
        </w:rPr>
        <w:t xml:space="preserve"> at previous elections been targeted </w:t>
      </w:r>
      <w:r w:rsidR="00D9111B" w:rsidRPr="009C0B2C">
        <w:rPr>
          <w:rFonts w:ascii="Times" w:hAnsi="Times" w:cs="Calibri"/>
        </w:rPr>
        <w:t>by Ukip at local, European and general elections.</w:t>
      </w:r>
      <w:r w:rsidR="00FE1A63">
        <w:rPr>
          <w:rFonts w:ascii="Times" w:hAnsi="Times" w:cs="Calibri"/>
        </w:rPr>
        <w:t xml:space="preserve"> In descending rank order authorities </w:t>
      </w:r>
      <w:r w:rsidRPr="009C0B2C">
        <w:rPr>
          <w:rFonts w:ascii="Times" w:hAnsi="Times" w:cs="Calibri"/>
        </w:rPr>
        <w:t xml:space="preserve">that delivered the strongest </w:t>
      </w:r>
      <w:r w:rsidR="00FE1A63">
        <w:rPr>
          <w:rFonts w:ascii="Times" w:hAnsi="Times" w:cs="Calibri"/>
        </w:rPr>
        <w:t>Leave vote</w:t>
      </w:r>
      <w:r w:rsidRPr="009C0B2C">
        <w:rPr>
          <w:rFonts w:ascii="Times" w:hAnsi="Times" w:cs="Calibri"/>
        </w:rPr>
        <w:t xml:space="preserve"> were </w:t>
      </w:r>
      <w:r w:rsidR="00D9111B" w:rsidRPr="009C0B2C">
        <w:rPr>
          <w:rFonts w:ascii="Times" w:hAnsi="Times" w:cs="Calibri"/>
        </w:rPr>
        <w:t>Boston, South Holland, Castle Point, Thurrock, Great Yarmouth, Fenland, Mansfield, Bolsover, East Lindsey and North East Lincolnshire.</w:t>
      </w:r>
      <w:r w:rsidRPr="009C0B2C">
        <w:rPr>
          <w:rFonts w:ascii="Times" w:hAnsi="Times" w:cs="Calibri"/>
        </w:rPr>
        <w:t xml:space="preserve"> </w:t>
      </w:r>
      <w:r w:rsidR="005C2552" w:rsidRPr="009C0B2C">
        <w:rPr>
          <w:rFonts w:ascii="Times" w:hAnsi="Times" w:cs="Calibri"/>
        </w:rPr>
        <w:t xml:space="preserve">Leave </w:t>
      </w:r>
      <w:r w:rsidRPr="009C0B2C">
        <w:rPr>
          <w:rFonts w:ascii="Times" w:hAnsi="Times" w:cs="Calibri"/>
        </w:rPr>
        <w:t xml:space="preserve">also polled strongly in a large number of northern and often Labour-held authorities, </w:t>
      </w:r>
      <w:r w:rsidR="005C2552" w:rsidRPr="009C0B2C">
        <w:rPr>
          <w:rFonts w:ascii="Times" w:hAnsi="Times" w:cs="Calibri"/>
        </w:rPr>
        <w:t>recruiting at least 65 per cent of the vote in Hartlepool, Redcar and Cleveland, Middlesbrough, Blackpool, Burnley, Stoke-on-Trent, Walsall, Doncaster, Barnsley and Rotherham</w:t>
      </w:r>
      <w:r w:rsidR="00FE1A63">
        <w:rPr>
          <w:rFonts w:ascii="Times" w:hAnsi="Times" w:cs="Calibri"/>
        </w:rPr>
        <w:t xml:space="preserve">, and </w:t>
      </w:r>
      <w:r w:rsidR="00D547B7">
        <w:rPr>
          <w:rFonts w:ascii="Times" w:hAnsi="Times" w:cs="Calibri"/>
        </w:rPr>
        <w:t xml:space="preserve">also </w:t>
      </w:r>
      <w:r w:rsidR="00FE1A63">
        <w:rPr>
          <w:rFonts w:ascii="Times" w:hAnsi="Times" w:cs="Calibri"/>
        </w:rPr>
        <w:t>traditionally Labour</w:t>
      </w:r>
      <w:r w:rsidR="00D547B7">
        <w:rPr>
          <w:rFonts w:ascii="Times" w:hAnsi="Times" w:cs="Calibri"/>
        </w:rPr>
        <w:t>-held</w:t>
      </w:r>
      <w:r w:rsidR="00FE1A63">
        <w:rPr>
          <w:rFonts w:ascii="Times" w:hAnsi="Times" w:cs="Calibri"/>
        </w:rPr>
        <w:t xml:space="preserve"> areas in parts of Wales</w:t>
      </w:r>
      <w:r w:rsidR="00D547B7">
        <w:rPr>
          <w:rFonts w:ascii="Times" w:hAnsi="Times" w:cs="Calibri"/>
        </w:rPr>
        <w:t>,</w:t>
      </w:r>
      <w:r w:rsidR="00FE1A63">
        <w:rPr>
          <w:rFonts w:ascii="Times" w:hAnsi="Times" w:cs="Calibri"/>
        </w:rPr>
        <w:t xml:space="preserve"> </w:t>
      </w:r>
      <w:r w:rsidR="00D547B7">
        <w:rPr>
          <w:rFonts w:ascii="Times" w:hAnsi="Times" w:cs="Calibri"/>
        </w:rPr>
        <w:t xml:space="preserve">such as </w:t>
      </w:r>
      <w:r w:rsidR="00FE1A63">
        <w:rPr>
          <w:rFonts w:ascii="Times" w:hAnsi="Times" w:cs="Calibri"/>
        </w:rPr>
        <w:t>Blaenau Gwent and Merthyr Tydfil. At the constituency level it has been estimated that while three-quarters of Conservative-held constituencies voted to Leave the EU seven in ten Labour-held seats voted the same way.</w:t>
      </w:r>
      <w:r w:rsidR="00FE1A63">
        <w:rPr>
          <w:rStyle w:val="EndnoteReference"/>
          <w:rFonts w:ascii="Times" w:hAnsi="Times" w:cs="Calibri"/>
        </w:rPr>
        <w:endnoteReference w:id="5"/>
      </w:r>
      <w:r w:rsidR="00D547B7">
        <w:rPr>
          <w:rFonts w:ascii="Times" w:hAnsi="Times" w:cs="Calibri"/>
        </w:rPr>
        <w:t xml:space="preserve"> </w:t>
      </w:r>
    </w:p>
    <w:p w14:paraId="33A0F475" w14:textId="77777777" w:rsidR="00D547B7" w:rsidRDefault="00273B3A" w:rsidP="00D547B7">
      <w:pPr>
        <w:widowControl w:val="0"/>
        <w:autoSpaceDE w:val="0"/>
        <w:autoSpaceDN w:val="0"/>
        <w:adjustRightInd w:val="0"/>
        <w:spacing w:line="720" w:lineRule="auto"/>
        <w:ind w:firstLine="720"/>
        <w:jc w:val="both"/>
        <w:rPr>
          <w:rFonts w:ascii="Times" w:hAnsi="Times" w:cs="Calibri"/>
        </w:rPr>
      </w:pPr>
      <w:r w:rsidRPr="009C0B2C">
        <w:rPr>
          <w:rFonts w:ascii="Times" w:hAnsi="Times" w:cs="Calibri"/>
        </w:rPr>
        <w:t>Such</w:t>
      </w:r>
      <w:r w:rsidR="00D547B7">
        <w:rPr>
          <w:rFonts w:ascii="Times" w:hAnsi="Times" w:cs="Calibri"/>
        </w:rPr>
        <w:t xml:space="preserve"> areas reveal how Leave won</w:t>
      </w:r>
      <w:r w:rsidRPr="009C0B2C">
        <w:rPr>
          <w:rFonts w:ascii="Times" w:hAnsi="Times" w:cs="Calibri"/>
        </w:rPr>
        <w:t xml:space="preserve"> its strongest suppo</w:t>
      </w:r>
      <w:r w:rsidR="0028050A" w:rsidRPr="009C0B2C">
        <w:rPr>
          <w:rFonts w:ascii="Times" w:hAnsi="Times" w:cs="Calibri"/>
        </w:rPr>
        <w:t xml:space="preserve">rt in specific types of areas; </w:t>
      </w:r>
      <w:r w:rsidR="00C51BD4" w:rsidRPr="009C0B2C">
        <w:rPr>
          <w:rFonts w:ascii="Times" w:hAnsi="Times" w:cs="Calibri"/>
        </w:rPr>
        <w:t xml:space="preserve">communities that </w:t>
      </w:r>
      <w:r w:rsidRPr="009C0B2C">
        <w:rPr>
          <w:rFonts w:ascii="Times" w:hAnsi="Times" w:cs="Calibri"/>
        </w:rPr>
        <w:t xml:space="preserve">tend to </w:t>
      </w:r>
      <w:r w:rsidR="0028050A" w:rsidRPr="009C0B2C">
        <w:rPr>
          <w:rFonts w:ascii="Times" w:hAnsi="Times" w:cs="Calibri"/>
        </w:rPr>
        <w:t xml:space="preserve">be more economically disadvantaged than average, where average levels of education are low and the local population is heavily white. Such areas contrast very </w:t>
      </w:r>
      <w:r w:rsidR="0028050A" w:rsidRPr="009C0B2C">
        <w:rPr>
          <w:rFonts w:ascii="Times" w:hAnsi="Times" w:cs="Calibri"/>
        </w:rPr>
        <w:lastRenderedPageBreak/>
        <w:t xml:space="preserve">sharply with those that gave Remain its strongest support. Aside from Gibralter, where </w:t>
      </w:r>
      <w:r w:rsidR="00D2233D" w:rsidRPr="009C0B2C">
        <w:rPr>
          <w:rFonts w:ascii="Times" w:hAnsi="Times" w:cs="Calibri"/>
        </w:rPr>
        <w:t>95.9 per cent voted Remain, the</w:t>
      </w:r>
      <w:r w:rsidR="0028050A" w:rsidRPr="009C0B2C">
        <w:rPr>
          <w:rFonts w:ascii="Times" w:hAnsi="Times" w:cs="Calibri"/>
        </w:rPr>
        <w:t xml:space="preserve"> </w:t>
      </w:r>
      <w:r w:rsidR="00D547B7">
        <w:rPr>
          <w:rFonts w:ascii="Times" w:hAnsi="Times" w:cs="Calibri"/>
        </w:rPr>
        <w:t xml:space="preserve">vote to remain in the EU was </w:t>
      </w:r>
      <w:r w:rsidR="00667D95" w:rsidRPr="009C0B2C">
        <w:rPr>
          <w:rFonts w:ascii="Times" w:hAnsi="Times" w:cs="Calibri"/>
        </w:rPr>
        <w:t xml:space="preserve">strongest in the London </w:t>
      </w:r>
      <w:r w:rsidR="00576D70" w:rsidRPr="009C0B2C">
        <w:rPr>
          <w:rFonts w:ascii="Times" w:hAnsi="Times" w:cs="Calibri"/>
        </w:rPr>
        <w:t>authority</w:t>
      </w:r>
      <w:r w:rsidR="00667D95" w:rsidRPr="009C0B2C">
        <w:rPr>
          <w:rFonts w:ascii="Times" w:hAnsi="Times" w:cs="Calibri"/>
        </w:rPr>
        <w:t xml:space="preserve"> of Lambeth, followed by Hackney, </w:t>
      </w:r>
      <w:r w:rsidR="006805CA" w:rsidRPr="009C0B2C">
        <w:rPr>
          <w:rFonts w:ascii="Times" w:hAnsi="Times" w:cs="Calibri"/>
        </w:rPr>
        <w:t>Foyle</w:t>
      </w:r>
      <w:r w:rsidR="009B5620" w:rsidRPr="009C0B2C">
        <w:rPr>
          <w:rFonts w:ascii="Times" w:hAnsi="Times" w:cs="Calibri"/>
        </w:rPr>
        <w:t xml:space="preserve"> in Northern Ireland</w:t>
      </w:r>
      <w:r w:rsidR="006805CA" w:rsidRPr="009C0B2C">
        <w:rPr>
          <w:rFonts w:ascii="Times" w:hAnsi="Times" w:cs="Calibri"/>
        </w:rPr>
        <w:t xml:space="preserve">, </w:t>
      </w:r>
      <w:r w:rsidR="00667D95" w:rsidRPr="009C0B2C">
        <w:rPr>
          <w:rFonts w:ascii="Times" w:hAnsi="Times" w:cs="Calibri"/>
        </w:rPr>
        <w:t xml:space="preserve">Haringey, </w:t>
      </w:r>
      <w:r w:rsidR="00E65041">
        <w:rPr>
          <w:rFonts w:ascii="Times" w:hAnsi="Times" w:cs="Calibri"/>
        </w:rPr>
        <w:t xml:space="preserve">the </w:t>
      </w:r>
      <w:r w:rsidR="00667D95" w:rsidRPr="009C0B2C">
        <w:rPr>
          <w:rFonts w:ascii="Times" w:hAnsi="Times" w:cs="Calibri"/>
        </w:rPr>
        <w:t xml:space="preserve">City of London, Islington, Wandsworth, Camden, </w:t>
      </w:r>
      <w:r w:rsidR="009B5620" w:rsidRPr="009C0B2C">
        <w:rPr>
          <w:rFonts w:ascii="Times" w:hAnsi="Times" w:cs="Calibri"/>
        </w:rPr>
        <w:t>Edinburgh and then</w:t>
      </w:r>
      <w:r w:rsidR="006805CA" w:rsidRPr="009C0B2C">
        <w:rPr>
          <w:rFonts w:ascii="Times" w:hAnsi="Times" w:cs="Calibri"/>
        </w:rPr>
        <w:t xml:space="preserve"> </w:t>
      </w:r>
      <w:r w:rsidR="00576D70" w:rsidRPr="009C0B2C">
        <w:rPr>
          <w:rFonts w:ascii="Times" w:hAnsi="Times" w:cs="Calibri"/>
        </w:rPr>
        <w:t xml:space="preserve">East </w:t>
      </w:r>
      <w:r w:rsidR="00667D95" w:rsidRPr="009C0B2C">
        <w:rPr>
          <w:rFonts w:ascii="Times" w:hAnsi="Times" w:cs="Calibri"/>
        </w:rPr>
        <w:t>Renfrewshire</w:t>
      </w:r>
      <w:r w:rsidR="009B5620" w:rsidRPr="009C0B2C">
        <w:rPr>
          <w:rFonts w:ascii="Times" w:hAnsi="Times" w:cs="Calibri"/>
        </w:rPr>
        <w:t xml:space="preserve"> in Scotland</w:t>
      </w:r>
      <w:r w:rsidR="00667D95" w:rsidRPr="009C0B2C">
        <w:rPr>
          <w:rFonts w:ascii="Times" w:hAnsi="Times" w:cs="Calibri"/>
        </w:rPr>
        <w:t xml:space="preserve">, </w:t>
      </w:r>
      <w:r w:rsidR="006805CA" w:rsidRPr="009C0B2C">
        <w:rPr>
          <w:rFonts w:ascii="Times" w:hAnsi="Times" w:cs="Calibri"/>
        </w:rPr>
        <w:t xml:space="preserve">and </w:t>
      </w:r>
      <w:r w:rsidR="00E65041">
        <w:rPr>
          <w:rFonts w:ascii="Times" w:hAnsi="Times" w:cs="Calibri"/>
        </w:rPr>
        <w:t xml:space="preserve">the young and affluent city of </w:t>
      </w:r>
      <w:r w:rsidR="00667D95" w:rsidRPr="009C0B2C">
        <w:rPr>
          <w:rFonts w:ascii="Times" w:hAnsi="Times" w:cs="Calibri"/>
        </w:rPr>
        <w:t xml:space="preserve">Cambridge. Of the 50 </w:t>
      </w:r>
      <w:r w:rsidR="0028050A" w:rsidRPr="009C0B2C">
        <w:rPr>
          <w:rFonts w:ascii="Times" w:hAnsi="Times" w:cs="Calibri"/>
        </w:rPr>
        <w:t xml:space="preserve">local </w:t>
      </w:r>
      <w:r w:rsidR="00667D95" w:rsidRPr="009C0B2C">
        <w:rPr>
          <w:rFonts w:ascii="Times" w:hAnsi="Times" w:cs="Calibri"/>
        </w:rPr>
        <w:t xml:space="preserve">authorities where the Remain vote was strongest 39 </w:t>
      </w:r>
      <w:r w:rsidR="00576D70" w:rsidRPr="009C0B2C">
        <w:rPr>
          <w:rFonts w:ascii="Times" w:hAnsi="Times" w:cs="Calibri"/>
        </w:rPr>
        <w:t>were</w:t>
      </w:r>
      <w:r w:rsidR="00183436" w:rsidRPr="009C0B2C">
        <w:rPr>
          <w:rFonts w:ascii="Times" w:hAnsi="Times" w:cs="Calibri"/>
        </w:rPr>
        <w:t xml:space="preserve"> in London or Scotland.</w:t>
      </w:r>
    </w:p>
    <w:p w14:paraId="763F7AF4" w14:textId="77777777" w:rsidR="00D547B7" w:rsidRDefault="00480730" w:rsidP="00D547B7">
      <w:pPr>
        <w:widowControl w:val="0"/>
        <w:autoSpaceDE w:val="0"/>
        <w:autoSpaceDN w:val="0"/>
        <w:adjustRightInd w:val="0"/>
        <w:spacing w:line="720" w:lineRule="auto"/>
        <w:ind w:firstLine="720"/>
        <w:jc w:val="both"/>
        <w:rPr>
          <w:rFonts w:ascii="Times" w:hAnsi="Times" w:cs="Calibri"/>
        </w:rPr>
      </w:pPr>
      <w:r>
        <w:rPr>
          <w:rFonts w:ascii="Times" w:hAnsi="Times" w:cs="Calibri"/>
        </w:rPr>
        <w:t xml:space="preserve">These </w:t>
      </w:r>
      <w:r w:rsidR="00DC47EC" w:rsidRPr="009C0B2C">
        <w:rPr>
          <w:rFonts w:ascii="Times" w:hAnsi="Times" w:cs="Calibri"/>
        </w:rPr>
        <w:t>results point clearly toward the importanc</w:t>
      </w:r>
      <w:r w:rsidR="00183436" w:rsidRPr="009C0B2C">
        <w:rPr>
          <w:rFonts w:ascii="Times" w:hAnsi="Times" w:cs="Calibri"/>
        </w:rPr>
        <w:t>e of deeper divides in British society</w:t>
      </w:r>
      <w:r w:rsidR="00DC47EC" w:rsidRPr="009C0B2C">
        <w:rPr>
          <w:rFonts w:ascii="Times" w:hAnsi="Times" w:cs="Calibri"/>
        </w:rPr>
        <w:t xml:space="preserve">. In this respect one useful starting point </w:t>
      </w:r>
      <w:r>
        <w:rPr>
          <w:rFonts w:ascii="Times" w:hAnsi="Times" w:cs="Calibri"/>
        </w:rPr>
        <w:t xml:space="preserve">for interpreting the result </w:t>
      </w:r>
      <w:r w:rsidR="00DC47EC" w:rsidRPr="009C0B2C">
        <w:rPr>
          <w:rFonts w:ascii="Times" w:hAnsi="Times" w:cs="Calibri"/>
        </w:rPr>
        <w:t xml:space="preserve">is </w:t>
      </w:r>
      <w:r w:rsidR="00183436" w:rsidRPr="009C0B2C">
        <w:rPr>
          <w:rFonts w:ascii="Times" w:hAnsi="Times" w:cs="Calibri"/>
        </w:rPr>
        <w:t xml:space="preserve">earlier </w:t>
      </w:r>
      <w:r w:rsidR="00DC47EC" w:rsidRPr="009C0B2C">
        <w:rPr>
          <w:rFonts w:ascii="Times" w:hAnsi="Times" w:cs="Calibri"/>
        </w:rPr>
        <w:t>research on</w:t>
      </w:r>
      <w:r w:rsidR="00183436" w:rsidRPr="009C0B2C">
        <w:rPr>
          <w:rFonts w:ascii="Times" w:hAnsi="Times" w:cs="Calibri"/>
        </w:rPr>
        <w:t xml:space="preserve"> the bases of support for Ukip and Euroscepticism in Britain</w:t>
      </w:r>
      <w:r w:rsidR="00DC47EC" w:rsidRPr="009C0B2C">
        <w:rPr>
          <w:rFonts w:ascii="Times" w:hAnsi="Times" w:cs="Calibri"/>
        </w:rPr>
        <w:t>.</w:t>
      </w:r>
      <w:r w:rsidR="004F7694" w:rsidRPr="009C0B2C">
        <w:rPr>
          <w:rFonts w:ascii="Times" w:hAnsi="Times" w:cs="Calibri"/>
        </w:rPr>
        <w:t xml:space="preserve"> </w:t>
      </w:r>
      <w:r w:rsidR="00151A81" w:rsidRPr="009C0B2C">
        <w:rPr>
          <w:rFonts w:ascii="Times" w:hAnsi="Times" w:cs="Calibri"/>
        </w:rPr>
        <w:t xml:space="preserve">In </w:t>
      </w:r>
      <w:r w:rsidR="00151A81" w:rsidRPr="009C0B2C">
        <w:rPr>
          <w:rFonts w:ascii="Times" w:hAnsi="Times" w:cs="Calibri"/>
          <w:i/>
        </w:rPr>
        <w:t>Revolt on the Right</w:t>
      </w:r>
      <w:r w:rsidR="00151A81" w:rsidRPr="009C0B2C">
        <w:rPr>
          <w:rFonts w:ascii="Times" w:hAnsi="Times" w:cs="Calibri"/>
        </w:rPr>
        <w:t xml:space="preserve">, Robert Ford and Matthew Goodwin </w:t>
      </w:r>
      <w:r w:rsidR="00D547B7">
        <w:rPr>
          <w:rFonts w:ascii="Times" w:hAnsi="Times" w:cs="Calibri"/>
        </w:rPr>
        <w:t xml:space="preserve">demonstrated </w:t>
      </w:r>
      <w:r w:rsidR="004F7694" w:rsidRPr="009C0B2C">
        <w:rPr>
          <w:rFonts w:ascii="Times" w:hAnsi="Times" w:cs="Calibri"/>
        </w:rPr>
        <w:t xml:space="preserve">how changes to Britain’s economic and social structure </w:t>
      </w:r>
      <w:r w:rsidR="00D547B7">
        <w:rPr>
          <w:rFonts w:ascii="Times" w:hAnsi="Times" w:cs="Calibri"/>
        </w:rPr>
        <w:t xml:space="preserve">had </w:t>
      </w:r>
      <w:r w:rsidR="004F7694" w:rsidRPr="009C0B2C">
        <w:rPr>
          <w:rFonts w:ascii="Times" w:hAnsi="Times" w:cs="Calibri"/>
        </w:rPr>
        <w:t>pushed t</w:t>
      </w:r>
      <w:r w:rsidR="0040760A" w:rsidRPr="009C0B2C">
        <w:rPr>
          <w:rFonts w:ascii="Times" w:hAnsi="Times" w:cs="Calibri"/>
        </w:rPr>
        <w:t xml:space="preserve">o the margins a class of ‘left behind’ voters – older, </w:t>
      </w:r>
      <w:r w:rsidR="004F7694" w:rsidRPr="009C0B2C">
        <w:rPr>
          <w:rFonts w:ascii="Times" w:hAnsi="Times" w:cs="Calibri"/>
        </w:rPr>
        <w:t>worki</w:t>
      </w:r>
      <w:r w:rsidR="0040760A" w:rsidRPr="009C0B2C">
        <w:rPr>
          <w:rFonts w:ascii="Times" w:hAnsi="Times" w:cs="Calibri"/>
        </w:rPr>
        <w:t>ng-class, white voters, citizens with few qualifications, who live on low incomes and lack the skills that are required to adapt and prosper amid the modern, post-industrial economy</w:t>
      </w:r>
      <w:r w:rsidR="00151A81" w:rsidRPr="009C0B2C">
        <w:rPr>
          <w:rFonts w:ascii="Times" w:hAnsi="Times" w:cs="Calibri"/>
        </w:rPr>
        <w:t>.</w:t>
      </w:r>
      <w:r w:rsidR="006348F0" w:rsidRPr="009C0B2C">
        <w:rPr>
          <w:rStyle w:val="EndnoteReference"/>
          <w:rFonts w:ascii="Times" w:hAnsi="Times" w:cs="Calibri"/>
        </w:rPr>
        <w:endnoteReference w:id="6"/>
      </w:r>
      <w:r w:rsidR="0040760A" w:rsidRPr="009C0B2C">
        <w:rPr>
          <w:rFonts w:ascii="Times" w:hAnsi="Times" w:cs="Calibri"/>
        </w:rPr>
        <w:t xml:space="preserve"> </w:t>
      </w:r>
      <w:r w:rsidR="007C3C43">
        <w:rPr>
          <w:rFonts w:ascii="Times" w:hAnsi="Times" w:cs="Calibri"/>
        </w:rPr>
        <w:t xml:space="preserve">But this </w:t>
      </w:r>
      <w:r w:rsidR="0040760A" w:rsidRPr="009C0B2C">
        <w:rPr>
          <w:rFonts w:ascii="Times" w:hAnsi="Times" w:cs="Calibri"/>
        </w:rPr>
        <w:t xml:space="preserve">research also </w:t>
      </w:r>
      <w:r w:rsidR="007C3C43">
        <w:rPr>
          <w:rFonts w:ascii="Times" w:hAnsi="Times" w:cs="Calibri"/>
        </w:rPr>
        <w:t>emphasized the</w:t>
      </w:r>
      <w:r w:rsidR="0040760A" w:rsidRPr="009C0B2C">
        <w:rPr>
          <w:rFonts w:ascii="Times" w:hAnsi="Times" w:cs="Calibri"/>
        </w:rPr>
        <w:t xml:space="preserve"> importance of </w:t>
      </w:r>
      <w:r w:rsidR="00F6788C" w:rsidRPr="009C0B2C">
        <w:rPr>
          <w:rFonts w:ascii="Times" w:hAnsi="Times" w:cs="Calibri"/>
        </w:rPr>
        <w:t xml:space="preserve">long-term generational change in the values that </w:t>
      </w:r>
      <w:r w:rsidR="003751A7" w:rsidRPr="009C0B2C">
        <w:rPr>
          <w:rFonts w:ascii="Times" w:hAnsi="Times" w:cs="Calibri"/>
        </w:rPr>
        <w:t xml:space="preserve">shape the outlook of voters </w:t>
      </w:r>
      <w:r w:rsidR="00D547B7">
        <w:rPr>
          <w:rFonts w:ascii="Times" w:hAnsi="Times" w:cs="Calibri"/>
        </w:rPr>
        <w:t>toward a</w:t>
      </w:r>
      <w:r w:rsidR="0040760A" w:rsidRPr="009C0B2C">
        <w:rPr>
          <w:rFonts w:ascii="Times" w:hAnsi="Times" w:cs="Calibri"/>
        </w:rPr>
        <w:t xml:space="preserve"> range of</w:t>
      </w:r>
      <w:r w:rsidR="003751A7" w:rsidRPr="009C0B2C">
        <w:rPr>
          <w:rFonts w:ascii="Times" w:hAnsi="Times" w:cs="Calibri"/>
        </w:rPr>
        <w:t xml:space="preserve"> social and cultural issues, including </w:t>
      </w:r>
      <w:r w:rsidR="00F6788C" w:rsidRPr="009C0B2C">
        <w:rPr>
          <w:rFonts w:ascii="Times" w:hAnsi="Times" w:cs="Calibri"/>
        </w:rPr>
        <w:t xml:space="preserve">but not limited to </w:t>
      </w:r>
      <w:r w:rsidR="003751A7" w:rsidRPr="009C0B2C">
        <w:rPr>
          <w:rFonts w:ascii="Times" w:hAnsi="Times" w:cs="Calibri"/>
        </w:rPr>
        <w:t>immigration,</w:t>
      </w:r>
      <w:r w:rsidR="00433013" w:rsidRPr="009C0B2C">
        <w:rPr>
          <w:rFonts w:ascii="Times" w:hAnsi="Times" w:cs="Calibri"/>
        </w:rPr>
        <w:t xml:space="preserve"> </w:t>
      </w:r>
      <w:r w:rsidR="003751A7" w:rsidRPr="009C0B2C">
        <w:rPr>
          <w:rFonts w:ascii="Times" w:hAnsi="Times" w:cs="Calibri"/>
        </w:rPr>
        <w:t>national identity and EU membership</w:t>
      </w:r>
      <w:r w:rsidR="00F6788C" w:rsidRPr="009C0B2C">
        <w:rPr>
          <w:rFonts w:ascii="Times" w:hAnsi="Times" w:cs="Calibri"/>
        </w:rPr>
        <w:t xml:space="preserve">. </w:t>
      </w:r>
      <w:r w:rsidR="00E00B84" w:rsidRPr="009C0B2C">
        <w:rPr>
          <w:rFonts w:ascii="Times" w:hAnsi="Times" w:cs="Calibri"/>
        </w:rPr>
        <w:t xml:space="preserve">These generational differences in </w:t>
      </w:r>
      <w:r w:rsidR="00F6788C" w:rsidRPr="009C0B2C">
        <w:rPr>
          <w:rFonts w:ascii="Times" w:hAnsi="Times" w:cs="Calibri"/>
        </w:rPr>
        <w:t xml:space="preserve">values were also </w:t>
      </w:r>
      <w:r w:rsidR="00E00B84" w:rsidRPr="009C0B2C">
        <w:rPr>
          <w:rFonts w:ascii="Times" w:hAnsi="Times" w:cs="Calibri"/>
        </w:rPr>
        <w:t>exace</w:t>
      </w:r>
      <w:r w:rsidR="00F6788C" w:rsidRPr="009C0B2C">
        <w:rPr>
          <w:rFonts w:ascii="Times" w:hAnsi="Times" w:cs="Calibri"/>
        </w:rPr>
        <w:t>rbated by</w:t>
      </w:r>
      <w:r w:rsidR="00D547B7">
        <w:rPr>
          <w:rFonts w:ascii="Times" w:hAnsi="Times" w:cs="Calibri"/>
        </w:rPr>
        <w:t xml:space="preserve"> changes in party competition, including how the established parties </w:t>
      </w:r>
      <w:r w:rsidR="00D547B7">
        <w:rPr>
          <w:rFonts w:ascii="Times" w:hAnsi="Times" w:cs="Calibri"/>
        </w:rPr>
        <w:lastRenderedPageBreak/>
        <w:t xml:space="preserve">had shifted toward a </w:t>
      </w:r>
      <w:r w:rsidR="00E00B84" w:rsidRPr="009C0B2C">
        <w:rPr>
          <w:rFonts w:ascii="Times" w:hAnsi="Times" w:cs="Calibri"/>
        </w:rPr>
        <w:t>‘liberal consensus’</w:t>
      </w:r>
      <w:r w:rsidR="00F6788C" w:rsidRPr="009C0B2C">
        <w:rPr>
          <w:rFonts w:ascii="Times" w:hAnsi="Times" w:cs="Calibri"/>
        </w:rPr>
        <w:t xml:space="preserve"> on </w:t>
      </w:r>
      <w:r w:rsidR="00151F0B" w:rsidRPr="009C0B2C">
        <w:rPr>
          <w:rFonts w:ascii="Times" w:hAnsi="Times" w:cs="Calibri"/>
        </w:rPr>
        <w:t>EU mem</w:t>
      </w:r>
      <w:r w:rsidR="00D547B7">
        <w:rPr>
          <w:rFonts w:ascii="Times" w:hAnsi="Times" w:cs="Calibri"/>
        </w:rPr>
        <w:t xml:space="preserve">bership and </w:t>
      </w:r>
      <w:r w:rsidR="0040760A" w:rsidRPr="009C0B2C">
        <w:rPr>
          <w:rFonts w:ascii="Times" w:hAnsi="Times" w:cs="Calibri"/>
        </w:rPr>
        <w:t>immigration, which</w:t>
      </w:r>
      <w:r w:rsidR="00151F0B" w:rsidRPr="009C0B2C">
        <w:rPr>
          <w:rFonts w:ascii="Times" w:hAnsi="Times" w:cs="Calibri"/>
        </w:rPr>
        <w:t xml:space="preserve"> </w:t>
      </w:r>
      <w:r w:rsidR="00D547B7">
        <w:rPr>
          <w:rFonts w:ascii="Times" w:hAnsi="Times" w:cs="Calibri"/>
        </w:rPr>
        <w:t>fueled this underlying value conflict</w:t>
      </w:r>
      <w:r w:rsidR="00151F0B" w:rsidRPr="009C0B2C">
        <w:rPr>
          <w:rFonts w:ascii="Times" w:hAnsi="Times" w:cs="Calibri"/>
        </w:rPr>
        <w:t>.</w:t>
      </w:r>
      <w:r w:rsidR="00151F0B" w:rsidRPr="009C0B2C">
        <w:rPr>
          <w:rStyle w:val="EndnoteReference"/>
          <w:rFonts w:ascii="Times" w:hAnsi="Times" w:cs="Calibri"/>
        </w:rPr>
        <w:endnoteReference w:id="7"/>
      </w:r>
      <w:r w:rsidR="007C3C43">
        <w:rPr>
          <w:rFonts w:ascii="Times" w:hAnsi="Times" w:cs="Calibri"/>
        </w:rPr>
        <w:t xml:space="preserve"> Whereas political and media elites broadly shared values that translated into support for social liberalism, multiculturalism and EU membership, left behind working-class voters and older social conservatives were </w:t>
      </w:r>
      <w:r w:rsidR="00F6788C" w:rsidRPr="009C0B2C">
        <w:rPr>
          <w:rFonts w:ascii="Times" w:hAnsi="Times" w:cs="Calibri"/>
        </w:rPr>
        <w:t xml:space="preserve">united by an altogether different set of values </w:t>
      </w:r>
      <w:r w:rsidR="007C3C43">
        <w:rPr>
          <w:rFonts w:ascii="Times" w:hAnsi="Times" w:cs="Calibri"/>
        </w:rPr>
        <w:t xml:space="preserve">that translated into support for </w:t>
      </w:r>
      <w:r w:rsidR="00D547B7">
        <w:rPr>
          <w:rFonts w:ascii="Times" w:hAnsi="Times" w:cs="Calibri"/>
        </w:rPr>
        <w:t>a more authoritarian and nativist response.</w:t>
      </w:r>
    </w:p>
    <w:p w14:paraId="699ACD7B" w14:textId="141131D7" w:rsidR="00C733F3" w:rsidRDefault="00F51840" w:rsidP="00D547B7">
      <w:pPr>
        <w:widowControl w:val="0"/>
        <w:autoSpaceDE w:val="0"/>
        <w:autoSpaceDN w:val="0"/>
        <w:adjustRightInd w:val="0"/>
        <w:spacing w:line="720" w:lineRule="auto"/>
        <w:ind w:firstLine="720"/>
        <w:jc w:val="both"/>
        <w:rPr>
          <w:rFonts w:ascii="Times" w:hAnsi="Times" w:cs="AdvPTimes"/>
        </w:rPr>
      </w:pPr>
      <w:r w:rsidRPr="009C0B2C">
        <w:rPr>
          <w:rFonts w:ascii="Times" w:hAnsi="Times"/>
        </w:rPr>
        <w:t xml:space="preserve">Building on this </w:t>
      </w:r>
      <w:r w:rsidR="00D547B7">
        <w:rPr>
          <w:rFonts w:ascii="Times" w:hAnsi="Times"/>
        </w:rPr>
        <w:t xml:space="preserve">research </w:t>
      </w:r>
      <w:r w:rsidRPr="009C0B2C">
        <w:rPr>
          <w:rFonts w:ascii="Times" w:hAnsi="Times"/>
        </w:rPr>
        <w:t xml:space="preserve">we will now examine the results of the 2016 referendum in more-depth, exploring whether authorities with high concentrations of ‘left behind’ groups were also more likely to vote to leave the EU. </w:t>
      </w:r>
      <w:r w:rsidR="00E10081" w:rsidRPr="009C0B2C">
        <w:rPr>
          <w:rFonts w:ascii="Times" w:hAnsi="Times"/>
        </w:rPr>
        <w:t>In doing so we seek to answer two questions.</w:t>
      </w:r>
      <w:r w:rsidR="00A17A8F" w:rsidRPr="009C0B2C">
        <w:rPr>
          <w:rFonts w:ascii="Times" w:hAnsi="Times"/>
        </w:rPr>
        <w:t xml:space="preserve"> D</w:t>
      </w:r>
      <w:r w:rsidR="00E10081" w:rsidRPr="009C0B2C">
        <w:rPr>
          <w:rFonts w:ascii="Times" w:hAnsi="Times"/>
        </w:rPr>
        <w:t>o the results</w:t>
      </w:r>
      <w:r w:rsidRPr="009C0B2C">
        <w:rPr>
          <w:rFonts w:ascii="Times" w:hAnsi="Times"/>
        </w:rPr>
        <w:t xml:space="preserve"> of </w:t>
      </w:r>
      <w:r w:rsidR="00D547B7">
        <w:rPr>
          <w:rFonts w:ascii="Times" w:hAnsi="Times"/>
        </w:rPr>
        <w:t xml:space="preserve">Britain’s 2016 </w:t>
      </w:r>
      <w:r w:rsidR="00A17A8F" w:rsidRPr="009C0B2C">
        <w:rPr>
          <w:rFonts w:ascii="Times" w:hAnsi="Times"/>
        </w:rPr>
        <w:t>referendum</w:t>
      </w:r>
      <w:r w:rsidR="00E10081" w:rsidRPr="009C0B2C">
        <w:rPr>
          <w:rFonts w:ascii="Times" w:hAnsi="Times"/>
        </w:rPr>
        <w:t xml:space="preserve"> suggest a hardening of the lines between the </w:t>
      </w:r>
      <w:r w:rsidR="00D547B7">
        <w:rPr>
          <w:rFonts w:ascii="Times" w:hAnsi="Times"/>
        </w:rPr>
        <w:t>‘</w:t>
      </w:r>
      <w:r w:rsidR="00E10081" w:rsidRPr="009C0B2C">
        <w:rPr>
          <w:rFonts w:ascii="Times" w:hAnsi="Times"/>
        </w:rPr>
        <w:t>haves and the have</w:t>
      </w:r>
      <w:r w:rsidR="00A17A8F" w:rsidRPr="009C0B2C">
        <w:rPr>
          <w:rFonts w:ascii="Times" w:hAnsi="Times"/>
        </w:rPr>
        <w:t>-</w:t>
      </w:r>
      <w:r w:rsidRPr="009C0B2C">
        <w:rPr>
          <w:rFonts w:ascii="Times" w:hAnsi="Times"/>
        </w:rPr>
        <w:t>nots</w:t>
      </w:r>
      <w:r w:rsidR="00D547B7">
        <w:rPr>
          <w:rFonts w:ascii="Times" w:hAnsi="Times"/>
        </w:rPr>
        <w:t>’</w:t>
      </w:r>
      <w:r w:rsidRPr="009C0B2C">
        <w:rPr>
          <w:rFonts w:ascii="Times" w:hAnsi="Times"/>
        </w:rPr>
        <w:t xml:space="preserve"> th</w:t>
      </w:r>
      <w:r w:rsidR="00396E87">
        <w:rPr>
          <w:rFonts w:ascii="Times" w:hAnsi="Times"/>
        </w:rPr>
        <w:t xml:space="preserve">at in earlier years </w:t>
      </w:r>
      <w:r w:rsidR="00D547B7">
        <w:rPr>
          <w:rFonts w:ascii="Times" w:hAnsi="Times"/>
        </w:rPr>
        <w:t xml:space="preserve">had </w:t>
      </w:r>
      <w:r w:rsidR="00396E87">
        <w:rPr>
          <w:rFonts w:ascii="Times" w:hAnsi="Times"/>
        </w:rPr>
        <w:t>underpinned</w:t>
      </w:r>
      <w:r w:rsidRPr="009C0B2C">
        <w:rPr>
          <w:rFonts w:ascii="Times" w:hAnsi="Times"/>
        </w:rPr>
        <w:t xml:space="preserve"> the rise of Ukip? Or has Britain’s</w:t>
      </w:r>
      <w:r w:rsidR="00A17A8F" w:rsidRPr="009C0B2C">
        <w:rPr>
          <w:rFonts w:ascii="Times" w:hAnsi="Times"/>
        </w:rPr>
        <w:t xml:space="preserve"> Eurosceptic movement broadened its social appeal, making these lines of conflict </w:t>
      </w:r>
      <w:r w:rsidRPr="009C0B2C">
        <w:rPr>
          <w:rFonts w:ascii="Times" w:hAnsi="Times"/>
        </w:rPr>
        <w:t xml:space="preserve">between different social groups </w:t>
      </w:r>
      <w:r w:rsidR="00A17A8F" w:rsidRPr="009C0B2C">
        <w:rPr>
          <w:rFonts w:ascii="Times" w:hAnsi="Times"/>
        </w:rPr>
        <w:t>less distinctive?</w:t>
      </w:r>
      <w:r w:rsidR="00D547B7">
        <w:rPr>
          <w:rFonts w:ascii="Times" w:hAnsi="Times" w:cs="Calibri"/>
        </w:rPr>
        <w:t xml:space="preserve"> </w:t>
      </w:r>
      <w:r w:rsidR="00D547B7">
        <w:rPr>
          <w:rFonts w:ascii="Times" w:hAnsi="Times"/>
        </w:rPr>
        <w:t>T</w:t>
      </w:r>
      <w:r w:rsidR="000642FC" w:rsidRPr="009C0B2C">
        <w:rPr>
          <w:rFonts w:ascii="Times" w:hAnsi="Times"/>
        </w:rPr>
        <w:t xml:space="preserve">o examine the extent to which </w:t>
      </w:r>
      <w:r w:rsidR="00C733F3" w:rsidRPr="009C0B2C">
        <w:rPr>
          <w:rFonts w:ascii="Times" w:hAnsi="Times"/>
        </w:rPr>
        <w:t>these factors are</w:t>
      </w:r>
      <w:r w:rsidR="000642FC" w:rsidRPr="009C0B2C">
        <w:rPr>
          <w:rFonts w:ascii="Times" w:hAnsi="Times"/>
        </w:rPr>
        <w:t xml:space="preserve"> associated with the Leave vote </w:t>
      </w:r>
      <w:r w:rsidR="00186192" w:rsidRPr="009C0B2C">
        <w:rPr>
          <w:rFonts w:ascii="Times" w:hAnsi="Times"/>
        </w:rPr>
        <w:t>we draw on</w:t>
      </w:r>
      <w:r w:rsidR="00151A81" w:rsidRPr="009C0B2C">
        <w:rPr>
          <w:rFonts w:ascii="Times" w:hAnsi="Times"/>
        </w:rPr>
        <w:t xml:space="preserve"> local a</w:t>
      </w:r>
      <w:r w:rsidR="000642FC" w:rsidRPr="009C0B2C">
        <w:rPr>
          <w:rFonts w:ascii="Times" w:hAnsi="Times"/>
        </w:rPr>
        <w:t xml:space="preserve">uthority data from </w:t>
      </w:r>
      <w:r w:rsidR="00A17A8F" w:rsidRPr="009C0B2C">
        <w:rPr>
          <w:rFonts w:ascii="Times" w:hAnsi="Times"/>
        </w:rPr>
        <w:t xml:space="preserve">380 out of the </w:t>
      </w:r>
      <w:r w:rsidR="000642FC" w:rsidRPr="009C0B2C">
        <w:rPr>
          <w:rFonts w:ascii="Times" w:hAnsi="Times"/>
        </w:rPr>
        <w:t>382 counting regions in the United Kingdom</w:t>
      </w:r>
      <w:r w:rsidR="00D547B7">
        <w:rPr>
          <w:rFonts w:ascii="Times" w:hAnsi="Times"/>
        </w:rPr>
        <w:t xml:space="preserve"> and link this to census data from 2011 (we exclude the </w:t>
      </w:r>
      <w:r w:rsidR="00A17A8F" w:rsidRPr="009C0B2C">
        <w:rPr>
          <w:rFonts w:ascii="Times" w:hAnsi="Times"/>
        </w:rPr>
        <w:t>counting regions of Gibraltar and Northern Ireland for which we lack comparable data on some variables)</w:t>
      </w:r>
      <w:r w:rsidR="000642FC" w:rsidRPr="009C0B2C">
        <w:rPr>
          <w:rFonts w:ascii="Times" w:hAnsi="Times"/>
        </w:rPr>
        <w:t xml:space="preserve">. </w:t>
      </w:r>
      <w:r w:rsidR="00151A81" w:rsidRPr="009C0B2C">
        <w:rPr>
          <w:rFonts w:ascii="Times" w:hAnsi="Times" w:cs="AdvPTimes"/>
        </w:rPr>
        <w:t xml:space="preserve">Clearly, </w:t>
      </w:r>
      <w:r w:rsidR="000642FC" w:rsidRPr="009C0B2C">
        <w:rPr>
          <w:rFonts w:ascii="Times" w:hAnsi="Times" w:cs="AdvPTimes"/>
        </w:rPr>
        <w:t xml:space="preserve">as our analysis is based on aggregate data we </w:t>
      </w:r>
      <w:r w:rsidR="00151A81" w:rsidRPr="009C0B2C">
        <w:rPr>
          <w:rFonts w:ascii="Times" w:hAnsi="Times" w:cs="AdvPTimes"/>
        </w:rPr>
        <w:t>need to</w:t>
      </w:r>
      <w:r w:rsidR="000642FC" w:rsidRPr="009C0B2C">
        <w:rPr>
          <w:rFonts w:ascii="Times" w:hAnsi="Times" w:cs="AdvPTimes"/>
        </w:rPr>
        <w:t xml:space="preserve"> be cautious about drawing inferences about</w:t>
      </w:r>
      <w:r w:rsidR="000E4317">
        <w:rPr>
          <w:rFonts w:ascii="Times" w:hAnsi="Times" w:cs="AdvPTimes"/>
        </w:rPr>
        <w:t xml:space="preserve"> the attitudes and voting behaviour of individuals. </w:t>
      </w:r>
      <w:r w:rsidR="00151A81" w:rsidRPr="009C0B2C">
        <w:rPr>
          <w:rFonts w:ascii="Times" w:hAnsi="Times" w:cs="AdvPTimes"/>
        </w:rPr>
        <w:t xml:space="preserve">Nonetheless, </w:t>
      </w:r>
      <w:r w:rsidR="00151A81" w:rsidRPr="009C0B2C">
        <w:rPr>
          <w:rFonts w:ascii="Times" w:hAnsi="Times" w:cs="AdvPTimes"/>
        </w:rPr>
        <w:lastRenderedPageBreak/>
        <w:t>these data still</w:t>
      </w:r>
      <w:r w:rsidR="00463462" w:rsidRPr="009C0B2C">
        <w:rPr>
          <w:rFonts w:ascii="Times" w:hAnsi="Times" w:cs="AdvPTimes"/>
        </w:rPr>
        <w:t xml:space="preserve"> provide a useful snapshot about the kinds of factors that</w:t>
      </w:r>
      <w:r w:rsidR="00151A81" w:rsidRPr="009C0B2C">
        <w:rPr>
          <w:rFonts w:ascii="Times" w:hAnsi="Times" w:cs="AdvPTimes"/>
        </w:rPr>
        <w:t xml:space="preserve"> might have influenced the overall outcome and, ultimately, led </w:t>
      </w:r>
      <w:r w:rsidR="00D547B7">
        <w:rPr>
          <w:rFonts w:ascii="Times" w:hAnsi="Times" w:cs="AdvPTimes"/>
        </w:rPr>
        <w:t>to Brexit.</w:t>
      </w:r>
    </w:p>
    <w:p w14:paraId="301BFB9E" w14:textId="77777777" w:rsidR="00D547B7" w:rsidRPr="00D547B7" w:rsidRDefault="00D547B7" w:rsidP="00D547B7">
      <w:pPr>
        <w:widowControl w:val="0"/>
        <w:autoSpaceDE w:val="0"/>
        <w:autoSpaceDN w:val="0"/>
        <w:adjustRightInd w:val="0"/>
        <w:spacing w:line="720" w:lineRule="auto"/>
        <w:ind w:firstLine="720"/>
        <w:jc w:val="both"/>
        <w:rPr>
          <w:rFonts w:ascii="Times" w:hAnsi="Times"/>
        </w:rPr>
      </w:pPr>
    </w:p>
    <w:p w14:paraId="2FD278A6" w14:textId="386B5524" w:rsidR="00A73036" w:rsidRPr="00D547B7" w:rsidRDefault="00A73036" w:rsidP="00A73036">
      <w:pPr>
        <w:widowControl w:val="0"/>
        <w:autoSpaceDE w:val="0"/>
        <w:autoSpaceDN w:val="0"/>
        <w:adjustRightInd w:val="0"/>
        <w:spacing w:line="600" w:lineRule="auto"/>
        <w:jc w:val="both"/>
        <w:rPr>
          <w:rFonts w:ascii="Times" w:hAnsi="Times" w:cs="AdvPTimes"/>
          <w:b/>
        </w:rPr>
      </w:pPr>
      <w:r w:rsidRPr="00D547B7">
        <w:rPr>
          <w:rFonts w:ascii="Times" w:hAnsi="Times" w:cs="AdvPTimes"/>
          <w:b/>
        </w:rPr>
        <w:t>Turnout</w:t>
      </w:r>
    </w:p>
    <w:p w14:paraId="08E9F7E9" w14:textId="4BF87826" w:rsidR="00D547B7" w:rsidRDefault="00A73036" w:rsidP="00D547B7">
      <w:pPr>
        <w:widowControl w:val="0"/>
        <w:autoSpaceDE w:val="0"/>
        <w:autoSpaceDN w:val="0"/>
        <w:adjustRightInd w:val="0"/>
        <w:spacing w:line="720" w:lineRule="auto"/>
        <w:jc w:val="both"/>
        <w:rPr>
          <w:rFonts w:ascii="Times" w:hAnsi="Times"/>
        </w:rPr>
      </w:pPr>
      <w:r>
        <w:rPr>
          <w:rFonts w:ascii="Times" w:hAnsi="Times" w:cs="AdvPTimes"/>
        </w:rPr>
        <w:t xml:space="preserve">We </w:t>
      </w:r>
      <w:r w:rsidR="00D547B7">
        <w:rPr>
          <w:rFonts w:ascii="Times" w:hAnsi="Times" w:cs="AdvPTimes"/>
        </w:rPr>
        <w:t xml:space="preserve">can </w:t>
      </w:r>
      <w:r>
        <w:rPr>
          <w:rFonts w:ascii="Times" w:hAnsi="Times" w:cs="AdvPTimes"/>
        </w:rPr>
        <w:t xml:space="preserve">start by considering turnout. </w:t>
      </w:r>
      <w:r w:rsidR="00D547B7">
        <w:rPr>
          <w:rFonts w:ascii="Times" w:hAnsi="Times"/>
        </w:rPr>
        <w:t xml:space="preserve">At 72 percent </w:t>
      </w:r>
      <w:r w:rsidRPr="009C0B2C">
        <w:rPr>
          <w:rFonts w:ascii="Times" w:hAnsi="Times"/>
        </w:rPr>
        <w:t xml:space="preserve">the overall level of turnout was the highest recorded in a nationwide vote for many years – and was the highest since the general election of 1992. Over 33 million votes were cast across the country, making the 2016 referendum </w:t>
      </w:r>
      <w:r w:rsidR="00344299">
        <w:rPr>
          <w:rFonts w:ascii="Times" w:hAnsi="Times"/>
        </w:rPr>
        <w:t xml:space="preserve">one of </w:t>
      </w:r>
      <w:r w:rsidRPr="009C0B2C">
        <w:rPr>
          <w:rFonts w:ascii="Times" w:hAnsi="Times"/>
        </w:rPr>
        <w:t>the largest exercise</w:t>
      </w:r>
      <w:r w:rsidR="00344299">
        <w:rPr>
          <w:rFonts w:ascii="Times" w:hAnsi="Times"/>
        </w:rPr>
        <w:t>s</w:t>
      </w:r>
      <w:r w:rsidRPr="009C0B2C">
        <w:rPr>
          <w:rFonts w:ascii="Times" w:hAnsi="Times"/>
        </w:rPr>
        <w:t xml:space="preserve"> in democratic decision making that Britain has ever seen. Yet turnout w</w:t>
      </w:r>
      <w:r w:rsidR="00D547B7">
        <w:rPr>
          <w:rFonts w:ascii="Times" w:hAnsi="Times"/>
        </w:rPr>
        <w:t xml:space="preserve">as not even across the country. </w:t>
      </w:r>
      <w:r w:rsidRPr="009C0B2C">
        <w:rPr>
          <w:rFonts w:ascii="Times" w:hAnsi="Times"/>
        </w:rPr>
        <w:t xml:space="preserve">Throughout the campaign Remain </w:t>
      </w:r>
      <w:r w:rsidR="00D547B7">
        <w:rPr>
          <w:rFonts w:ascii="Times" w:hAnsi="Times"/>
        </w:rPr>
        <w:t xml:space="preserve">organizers had </w:t>
      </w:r>
      <w:r w:rsidRPr="009C0B2C">
        <w:rPr>
          <w:rFonts w:ascii="Times" w:hAnsi="Times"/>
        </w:rPr>
        <w:t>devoted significant attention to targeting urban, more densely-populated, younger, more diverse and typically more affluent cities, including London and the university towns. However, in the shadow of the results it became clear that turnout in cities such as Glasgow, Manchester, Nottingham, Birmingham, Liverpool, Leicester and authorities in London such as Newham, Hackney, Lewisham, Bark</w:t>
      </w:r>
      <w:r w:rsidR="00D547B7">
        <w:rPr>
          <w:rFonts w:ascii="Times" w:hAnsi="Times"/>
        </w:rPr>
        <w:t>ing and Dagenham and Camden was</w:t>
      </w:r>
      <w:r w:rsidRPr="009C0B2C">
        <w:rPr>
          <w:rFonts w:ascii="Times" w:hAnsi="Times"/>
        </w:rPr>
        <w:t xml:space="preserve"> at least six points below the national average. </w:t>
      </w:r>
      <w:r w:rsidRPr="009C0B2C">
        <w:rPr>
          <w:rFonts w:ascii="Times" w:hAnsi="Times" w:cs="Calibri"/>
        </w:rPr>
        <w:t>Of the 50 areas that recorded the lowest turnout exactly half were in London or Scotland. The level of turnout across all authorities in London was 70 per cent, 2 points below the average.</w:t>
      </w:r>
      <w:r w:rsidRPr="009C0B2C">
        <w:rPr>
          <w:rFonts w:ascii="Times" w:hAnsi="Times"/>
        </w:rPr>
        <w:t xml:space="preserve"> Turnout tended to be high in authorities that had also given above average </w:t>
      </w:r>
      <w:r w:rsidRPr="009C0B2C">
        <w:rPr>
          <w:rFonts w:ascii="Times" w:hAnsi="Times"/>
        </w:rPr>
        <w:lastRenderedPageBreak/>
        <w:t xml:space="preserve">support to Ukip at the </w:t>
      </w:r>
      <w:r w:rsidR="00D547B7">
        <w:rPr>
          <w:rFonts w:ascii="Times" w:hAnsi="Times"/>
        </w:rPr>
        <w:t xml:space="preserve">2014 </w:t>
      </w:r>
      <w:r w:rsidRPr="009C0B2C">
        <w:rPr>
          <w:rFonts w:ascii="Times" w:hAnsi="Times"/>
        </w:rPr>
        <w:t>European Parliament</w:t>
      </w:r>
      <w:r w:rsidR="00D547B7">
        <w:rPr>
          <w:rFonts w:ascii="Times" w:hAnsi="Times"/>
        </w:rPr>
        <w:t xml:space="preserve"> elections</w:t>
      </w:r>
      <w:r w:rsidRPr="009C0B2C">
        <w:rPr>
          <w:rFonts w:ascii="Times" w:hAnsi="Times"/>
        </w:rPr>
        <w:t xml:space="preserve">, such as the south eastern areas of Chiltern, East Hampshire, Horsham, Sevenoaks and Wealdon. Turnout was also noticeably high in authorities that have a large population of pensioners, such as East Dorset, the Derbyshire Dales, South Lakeland and South Hams, and where there is a large proportion of people with qualifications, such as Richmond upon Thames, St Albans, Winchester and South Cambridgeshire. </w:t>
      </w:r>
    </w:p>
    <w:p w14:paraId="3F281B39" w14:textId="652715A8" w:rsidR="00D547B7" w:rsidRDefault="00D547B7" w:rsidP="00D547B7">
      <w:pPr>
        <w:widowControl w:val="0"/>
        <w:autoSpaceDE w:val="0"/>
        <w:autoSpaceDN w:val="0"/>
        <w:adjustRightInd w:val="0"/>
        <w:spacing w:line="720" w:lineRule="auto"/>
        <w:ind w:firstLine="720"/>
        <w:jc w:val="both"/>
        <w:rPr>
          <w:rFonts w:ascii="Times" w:hAnsi="Times"/>
        </w:rPr>
      </w:pPr>
      <w:r>
        <w:rPr>
          <w:rFonts w:ascii="Times" w:hAnsi="Times"/>
        </w:rPr>
        <w:t>Table 1</w:t>
      </w:r>
      <w:r w:rsidRPr="009C0B2C">
        <w:rPr>
          <w:rFonts w:ascii="Times" w:hAnsi="Times"/>
        </w:rPr>
        <w:t xml:space="preserve"> presents the results of a multivariate analysis of turnout. Across the </w:t>
      </w:r>
      <w:r>
        <w:rPr>
          <w:rFonts w:ascii="Times" w:hAnsi="Times"/>
        </w:rPr>
        <w:t xml:space="preserve">country </w:t>
      </w:r>
      <w:r w:rsidRPr="009C0B2C">
        <w:rPr>
          <w:rFonts w:ascii="Times" w:hAnsi="Times"/>
        </w:rPr>
        <w:t xml:space="preserve">turnout was higher in predominantly white areas where Ukip had polled strongly in the past and where there were large numbers of pensioners. Turnout was also higher in areas where </w:t>
      </w:r>
      <w:r>
        <w:rPr>
          <w:rFonts w:ascii="Times" w:hAnsi="Times"/>
        </w:rPr>
        <w:t xml:space="preserve">it </w:t>
      </w:r>
      <w:r w:rsidRPr="009C0B2C">
        <w:rPr>
          <w:rFonts w:ascii="Times" w:hAnsi="Times"/>
        </w:rPr>
        <w:t xml:space="preserve">had also been high in the European Parliament elections (which itself may have signaled a protest vote against Europe). Overall then, high turnout might have helped the Leave vote, as turnout was generally higher in more pro-leave areas. </w:t>
      </w:r>
      <w:r>
        <w:rPr>
          <w:rFonts w:ascii="Times" w:hAnsi="Times"/>
        </w:rPr>
        <w:t xml:space="preserve">However, we should treat these results with caution as it does </w:t>
      </w:r>
      <w:r w:rsidRPr="009C0B2C">
        <w:rPr>
          <w:rFonts w:ascii="Times" w:hAnsi="Times"/>
        </w:rPr>
        <w:t xml:space="preserve">not necessarily </w:t>
      </w:r>
      <w:r>
        <w:rPr>
          <w:rFonts w:ascii="Times" w:hAnsi="Times"/>
        </w:rPr>
        <w:t xml:space="preserve">follow </w:t>
      </w:r>
      <w:r w:rsidRPr="009C0B2C">
        <w:rPr>
          <w:rFonts w:ascii="Times" w:hAnsi="Times"/>
        </w:rPr>
        <w:t xml:space="preserve">that it was Leave </w:t>
      </w:r>
      <w:r>
        <w:rPr>
          <w:rFonts w:ascii="Times" w:hAnsi="Times"/>
        </w:rPr>
        <w:t xml:space="preserve">voters </w:t>
      </w:r>
      <w:r w:rsidRPr="009C0B2C">
        <w:rPr>
          <w:rFonts w:ascii="Times" w:hAnsi="Times"/>
        </w:rPr>
        <w:t>who were disproportionately more likely to turnout and vote.</w:t>
      </w:r>
      <w:r>
        <w:rPr>
          <w:rFonts w:ascii="Times" w:hAnsi="Times"/>
        </w:rPr>
        <w:t xml:space="preserve"> There could also have been a ‘counter-mobilization effect’ whereby Remain supporters were more likely to vote when they were motivated by the awareness that Leave was popular in their local area</w:t>
      </w:r>
    </w:p>
    <w:p w14:paraId="10DA9AC8" w14:textId="77777777" w:rsidR="00112CFB" w:rsidRPr="00D547B7" w:rsidRDefault="00112CFB" w:rsidP="00D547B7">
      <w:pPr>
        <w:widowControl w:val="0"/>
        <w:autoSpaceDE w:val="0"/>
        <w:autoSpaceDN w:val="0"/>
        <w:adjustRightInd w:val="0"/>
        <w:spacing w:line="360" w:lineRule="auto"/>
        <w:jc w:val="center"/>
        <w:rPr>
          <w:rFonts w:ascii="Times" w:hAnsi="Times" w:cs="Times"/>
          <w:sz w:val="22"/>
          <w:szCs w:val="22"/>
        </w:rPr>
      </w:pPr>
    </w:p>
    <w:p w14:paraId="4AD52B92" w14:textId="77777777" w:rsidR="00112CFB" w:rsidRPr="00D547B7" w:rsidRDefault="00112CFB" w:rsidP="00D547B7">
      <w:pPr>
        <w:widowControl w:val="0"/>
        <w:autoSpaceDE w:val="0"/>
        <w:autoSpaceDN w:val="0"/>
        <w:adjustRightInd w:val="0"/>
        <w:spacing w:line="360" w:lineRule="auto"/>
        <w:jc w:val="center"/>
        <w:rPr>
          <w:rFonts w:ascii="Times" w:hAnsi="Times" w:cs="Times"/>
          <w:sz w:val="22"/>
          <w:szCs w:val="22"/>
        </w:rPr>
      </w:pPr>
      <w:r w:rsidRPr="00D547B7">
        <w:rPr>
          <w:rFonts w:ascii="Times" w:hAnsi="Times" w:cs="Times"/>
          <w:sz w:val="22"/>
          <w:szCs w:val="22"/>
        </w:rPr>
        <w:t>Table 1</w:t>
      </w:r>
      <w:r w:rsidRPr="00D547B7">
        <w:rPr>
          <w:rFonts w:ascii="Times" w:hAnsi="Times" w:cs="Times"/>
          <w:sz w:val="22"/>
          <w:szCs w:val="22"/>
        </w:rPr>
        <w:tab/>
      </w:r>
      <w:r w:rsidRPr="00D547B7">
        <w:rPr>
          <w:rFonts w:ascii="Times" w:hAnsi="Times" w:cs="Times"/>
          <w:sz w:val="22"/>
          <w:szCs w:val="22"/>
        </w:rPr>
        <w:tab/>
        <w:t>Multivariate Analysis of Turnout, linear regression</w:t>
      </w:r>
    </w:p>
    <w:tbl>
      <w:tblPr>
        <w:tblStyle w:val="TableGrid"/>
        <w:tblW w:w="5000" w:type="pct"/>
        <w:tblLook w:val="04A0" w:firstRow="1" w:lastRow="0" w:firstColumn="1" w:lastColumn="0" w:noHBand="0" w:noVBand="1"/>
      </w:tblPr>
      <w:tblGrid>
        <w:gridCol w:w="3699"/>
        <w:gridCol w:w="3116"/>
        <w:gridCol w:w="2195"/>
      </w:tblGrid>
      <w:tr w:rsidR="00112CFB" w:rsidRPr="00D547B7" w14:paraId="228B994F" w14:textId="77777777" w:rsidTr="00EF7E3A">
        <w:tc>
          <w:tcPr>
            <w:tcW w:w="2053" w:type="pct"/>
          </w:tcPr>
          <w:p w14:paraId="6EF56D35" w14:textId="77777777" w:rsidR="00112CFB" w:rsidRPr="00D547B7" w:rsidRDefault="00112CFB" w:rsidP="00D547B7">
            <w:pPr>
              <w:spacing w:line="360" w:lineRule="auto"/>
              <w:jc w:val="center"/>
              <w:rPr>
                <w:rFonts w:ascii="Times" w:hAnsi="Times" w:cs="Times"/>
                <w:sz w:val="22"/>
                <w:szCs w:val="22"/>
              </w:rPr>
            </w:pPr>
          </w:p>
        </w:tc>
        <w:tc>
          <w:tcPr>
            <w:tcW w:w="1729" w:type="pct"/>
          </w:tcPr>
          <w:p w14:paraId="586B7D0B"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Coefficient</w:t>
            </w:r>
          </w:p>
        </w:tc>
        <w:tc>
          <w:tcPr>
            <w:tcW w:w="1218" w:type="pct"/>
          </w:tcPr>
          <w:p w14:paraId="2EA8F354"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Std. Err.</w:t>
            </w:r>
          </w:p>
        </w:tc>
      </w:tr>
      <w:tr w:rsidR="00112CFB" w:rsidRPr="00D547B7" w14:paraId="4A194219" w14:textId="77777777" w:rsidTr="00EF7E3A">
        <w:tc>
          <w:tcPr>
            <w:tcW w:w="2053" w:type="pct"/>
          </w:tcPr>
          <w:p w14:paraId="60854397"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 Age 65 and over</w:t>
            </w:r>
          </w:p>
        </w:tc>
        <w:tc>
          <w:tcPr>
            <w:tcW w:w="1729" w:type="pct"/>
          </w:tcPr>
          <w:p w14:paraId="737ED42A"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0.23***</w:t>
            </w:r>
          </w:p>
        </w:tc>
        <w:tc>
          <w:tcPr>
            <w:tcW w:w="1218" w:type="pct"/>
          </w:tcPr>
          <w:p w14:paraId="639E4711"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0.05</w:t>
            </w:r>
          </w:p>
        </w:tc>
      </w:tr>
      <w:tr w:rsidR="00112CFB" w:rsidRPr="00D547B7" w14:paraId="2B5DBF19" w14:textId="77777777" w:rsidTr="00EF7E3A">
        <w:tc>
          <w:tcPr>
            <w:tcW w:w="2053" w:type="pct"/>
          </w:tcPr>
          <w:p w14:paraId="46099AA3"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 with no qualifications</w:t>
            </w:r>
          </w:p>
        </w:tc>
        <w:tc>
          <w:tcPr>
            <w:tcW w:w="1729" w:type="pct"/>
          </w:tcPr>
          <w:p w14:paraId="797E4C15"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-0.51***</w:t>
            </w:r>
          </w:p>
        </w:tc>
        <w:tc>
          <w:tcPr>
            <w:tcW w:w="1218" w:type="pct"/>
          </w:tcPr>
          <w:p w14:paraId="7D39BEE8"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0.03</w:t>
            </w:r>
          </w:p>
        </w:tc>
      </w:tr>
      <w:tr w:rsidR="00112CFB" w:rsidRPr="00D547B7" w14:paraId="05AAF20D" w14:textId="77777777" w:rsidTr="00EF7E3A">
        <w:tc>
          <w:tcPr>
            <w:tcW w:w="2053" w:type="pct"/>
          </w:tcPr>
          <w:p w14:paraId="4678DC73"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 non-white</w:t>
            </w:r>
          </w:p>
        </w:tc>
        <w:tc>
          <w:tcPr>
            <w:tcW w:w="1729" w:type="pct"/>
          </w:tcPr>
          <w:p w14:paraId="25AE14BA"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-0.16***</w:t>
            </w:r>
          </w:p>
        </w:tc>
        <w:tc>
          <w:tcPr>
            <w:tcW w:w="1218" w:type="pct"/>
          </w:tcPr>
          <w:p w14:paraId="225DDB18"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0.02</w:t>
            </w:r>
          </w:p>
        </w:tc>
      </w:tr>
      <w:tr w:rsidR="00112CFB" w:rsidRPr="00D547B7" w14:paraId="13E2F811" w14:textId="77777777" w:rsidTr="00EF7E3A">
        <w:tc>
          <w:tcPr>
            <w:tcW w:w="2053" w:type="pct"/>
          </w:tcPr>
          <w:p w14:paraId="0A149765"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Ukip vote in 2014 EU elections</w:t>
            </w:r>
          </w:p>
        </w:tc>
        <w:tc>
          <w:tcPr>
            <w:tcW w:w="1729" w:type="pct"/>
          </w:tcPr>
          <w:p w14:paraId="5300B9C8"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0.17***</w:t>
            </w:r>
          </w:p>
        </w:tc>
        <w:tc>
          <w:tcPr>
            <w:tcW w:w="1218" w:type="pct"/>
          </w:tcPr>
          <w:p w14:paraId="5DE4216B"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0.02</w:t>
            </w:r>
          </w:p>
        </w:tc>
      </w:tr>
      <w:tr w:rsidR="00112CFB" w:rsidRPr="00D547B7" w14:paraId="70809734" w14:textId="77777777" w:rsidTr="00EF7E3A">
        <w:tc>
          <w:tcPr>
            <w:tcW w:w="2053" w:type="pct"/>
          </w:tcPr>
          <w:p w14:paraId="055350C3"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Turnout in 2014 EU elections</w:t>
            </w:r>
          </w:p>
        </w:tc>
        <w:tc>
          <w:tcPr>
            <w:tcW w:w="1729" w:type="pct"/>
          </w:tcPr>
          <w:p w14:paraId="684DFF3C"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0.41***</w:t>
            </w:r>
          </w:p>
        </w:tc>
        <w:tc>
          <w:tcPr>
            <w:tcW w:w="1218" w:type="pct"/>
          </w:tcPr>
          <w:p w14:paraId="13459C0F"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0.04</w:t>
            </w:r>
          </w:p>
        </w:tc>
      </w:tr>
      <w:tr w:rsidR="00112CFB" w:rsidRPr="00D547B7" w14:paraId="08F72C39" w14:textId="77777777" w:rsidTr="00EF7E3A">
        <w:tc>
          <w:tcPr>
            <w:tcW w:w="2053" w:type="pct"/>
          </w:tcPr>
          <w:p w14:paraId="1035A918"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London</w:t>
            </w:r>
          </w:p>
        </w:tc>
        <w:tc>
          <w:tcPr>
            <w:tcW w:w="1729" w:type="pct"/>
          </w:tcPr>
          <w:p w14:paraId="75A4B34A"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-0.45</w:t>
            </w:r>
          </w:p>
        </w:tc>
        <w:tc>
          <w:tcPr>
            <w:tcW w:w="1218" w:type="pct"/>
          </w:tcPr>
          <w:p w14:paraId="4A7F1937"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0.64</w:t>
            </w:r>
          </w:p>
        </w:tc>
      </w:tr>
      <w:tr w:rsidR="00112CFB" w:rsidRPr="00D547B7" w14:paraId="6361A930" w14:textId="77777777" w:rsidTr="00EF7E3A">
        <w:tc>
          <w:tcPr>
            <w:tcW w:w="2053" w:type="pct"/>
          </w:tcPr>
          <w:p w14:paraId="0D684700"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Scotland</w:t>
            </w:r>
          </w:p>
        </w:tc>
        <w:tc>
          <w:tcPr>
            <w:tcW w:w="1729" w:type="pct"/>
          </w:tcPr>
          <w:p w14:paraId="747878A1"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-0.49</w:t>
            </w:r>
          </w:p>
        </w:tc>
        <w:tc>
          <w:tcPr>
            <w:tcW w:w="1218" w:type="pct"/>
          </w:tcPr>
          <w:p w14:paraId="4CB8AA14"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0.72</w:t>
            </w:r>
          </w:p>
        </w:tc>
      </w:tr>
      <w:tr w:rsidR="00112CFB" w:rsidRPr="00D547B7" w14:paraId="5F69F61C" w14:textId="77777777" w:rsidTr="00EF7E3A">
        <w:tc>
          <w:tcPr>
            <w:tcW w:w="2053" w:type="pct"/>
          </w:tcPr>
          <w:p w14:paraId="34A4942B"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Constant</w:t>
            </w:r>
          </w:p>
        </w:tc>
        <w:tc>
          <w:tcPr>
            <w:tcW w:w="1729" w:type="pct"/>
          </w:tcPr>
          <w:p w14:paraId="28D50785"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62.91***</w:t>
            </w:r>
          </w:p>
        </w:tc>
        <w:tc>
          <w:tcPr>
            <w:tcW w:w="1218" w:type="pct"/>
          </w:tcPr>
          <w:p w14:paraId="0F8E4140"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1.83</w:t>
            </w:r>
          </w:p>
        </w:tc>
      </w:tr>
      <w:tr w:rsidR="00112CFB" w:rsidRPr="00D547B7" w14:paraId="5EEABA44" w14:textId="77777777" w:rsidTr="00EF7E3A">
        <w:tc>
          <w:tcPr>
            <w:tcW w:w="2053" w:type="pct"/>
          </w:tcPr>
          <w:p w14:paraId="7F138368"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N</w:t>
            </w:r>
          </w:p>
        </w:tc>
        <w:tc>
          <w:tcPr>
            <w:tcW w:w="1729" w:type="pct"/>
          </w:tcPr>
          <w:p w14:paraId="2AA53AEC"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380</w:t>
            </w:r>
          </w:p>
        </w:tc>
        <w:tc>
          <w:tcPr>
            <w:tcW w:w="1218" w:type="pct"/>
          </w:tcPr>
          <w:p w14:paraId="1FD2393E" w14:textId="77777777" w:rsidR="00112CFB" w:rsidRPr="00D547B7" w:rsidRDefault="00112CFB" w:rsidP="00D547B7">
            <w:pPr>
              <w:spacing w:line="360" w:lineRule="auto"/>
              <w:jc w:val="center"/>
              <w:rPr>
                <w:rFonts w:ascii="Times" w:hAnsi="Times" w:cs="Times"/>
                <w:sz w:val="22"/>
                <w:szCs w:val="22"/>
              </w:rPr>
            </w:pPr>
          </w:p>
        </w:tc>
      </w:tr>
      <w:tr w:rsidR="00112CFB" w:rsidRPr="00D547B7" w14:paraId="6EECCC4E" w14:textId="77777777" w:rsidTr="00EF7E3A">
        <w:tc>
          <w:tcPr>
            <w:tcW w:w="2053" w:type="pct"/>
          </w:tcPr>
          <w:p w14:paraId="6DF8AC20"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Adjusted R-square</w:t>
            </w:r>
          </w:p>
        </w:tc>
        <w:tc>
          <w:tcPr>
            <w:tcW w:w="1729" w:type="pct"/>
          </w:tcPr>
          <w:p w14:paraId="77F03744" w14:textId="77777777" w:rsidR="00112CFB" w:rsidRPr="00D547B7" w:rsidRDefault="00112CFB" w:rsidP="00D547B7">
            <w:pPr>
              <w:spacing w:line="360" w:lineRule="auto"/>
              <w:jc w:val="center"/>
              <w:rPr>
                <w:rFonts w:ascii="Times" w:hAnsi="Times" w:cs="Times"/>
                <w:sz w:val="22"/>
                <w:szCs w:val="22"/>
              </w:rPr>
            </w:pPr>
            <w:r w:rsidRPr="00D547B7">
              <w:rPr>
                <w:rFonts w:ascii="Times" w:hAnsi="Times" w:cs="Times"/>
                <w:sz w:val="22"/>
                <w:szCs w:val="22"/>
              </w:rPr>
              <w:t>0.79</w:t>
            </w:r>
          </w:p>
        </w:tc>
        <w:tc>
          <w:tcPr>
            <w:tcW w:w="1218" w:type="pct"/>
          </w:tcPr>
          <w:p w14:paraId="55851E6B" w14:textId="77777777" w:rsidR="00112CFB" w:rsidRPr="00D547B7" w:rsidRDefault="00112CFB" w:rsidP="00D547B7">
            <w:pPr>
              <w:spacing w:line="360" w:lineRule="auto"/>
              <w:jc w:val="center"/>
              <w:rPr>
                <w:rFonts w:ascii="Times" w:hAnsi="Times" w:cs="Times"/>
                <w:sz w:val="22"/>
                <w:szCs w:val="22"/>
              </w:rPr>
            </w:pPr>
          </w:p>
        </w:tc>
      </w:tr>
    </w:tbl>
    <w:p w14:paraId="0D66B996" w14:textId="77777777" w:rsidR="00112CFB" w:rsidRPr="00D547B7" w:rsidRDefault="00112CFB" w:rsidP="00D547B7">
      <w:pPr>
        <w:widowControl w:val="0"/>
        <w:autoSpaceDE w:val="0"/>
        <w:autoSpaceDN w:val="0"/>
        <w:adjustRightInd w:val="0"/>
        <w:spacing w:line="360" w:lineRule="auto"/>
        <w:jc w:val="center"/>
        <w:rPr>
          <w:rFonts w:ascii="Times" w:hAnsi="Times" w:cs="Times"/>
          <w:sz w:val="22"/>
          <w:szCs w:val="22"/>
        </w:rPr>
      </w:pPr>
      <w:r w:rsidRPr="00D547B7">
        <w:rPr>
          <w:rFonts w:ascii="Times" w:hAnsi="Times" w:cs="Times"/>
          <w:sz w:val="22"/>
          <w:szCs w:val="22"/>
        </w:rPr>
        <w:t>Notes: *** denotes p&lt;0.005; ** denotes p&lt;0.05; * denotes p&lt;0.10</w:t>
      </w:r>
    </w:p>
    <w:p w14:paraId="38EA5CAD" w14:textId="77777777" w:rsidR="00112CFB" w:rsidRPr="009C0B2C" w:rsidRDefault="00112CFB" w:rsidP="00112CFB">
      <w:pPr>
        <w:rPr>
          <w:rFonts w:asciiTheme="majorHAnsi" w:hAnsiTheme="majorHAnsi"/>
          <w:b/>
          <w:sz w:val="20"/>
          <w:szCs w:val="20"/>
        </w:rPr>
      </w:pPr>
    </w:p>
    <w:p w14:paraId="11F220A2" w14:textId="77777777" w:rsidR="00112CFB" w:rsidRDefault="00112CFB" w:rsidP="00112CFB">
      <w:pPr>
        <w:widowControl w:val="0"/>
        <w:autoSpaceDE w:val="0"/>
        <w:autoSpaceDN w:val="0"/>
        <w:adjustRightInd w:val="0"/>
        <w:spacing w:line="600" w:lineRule="auto"/>
        <w:jc w:val="both"/>
        <w:rPr>
          <w:rFonts w:ascii="Times" w:hAnsi="Times"/>
        </w:rPr>
      </w:pPr>
    </w:p>
    <w:p w14:paraId="44305C3F" w14:textId="4583240A" w:rsidR="00A73036" w:rsidRDefault="00A73036" w:rsidP="00A73036">
      <w:pPr>
        <w:widowControl w:val="0"/>
        <w:autoSpaceDE w:val="0"/>
        <w:autoSpaceDN w:val="0"/>
        <w:adjustRightInd w:val="0"/>
        <w:spacing w:line="600" w:lineRule="auto"/>
        <w:jc w:val="both"/>
        <w:rPr>
          <w:rFonts w:ascii="Times" w:hAnsi="Times" w:cs="AdvPTimes"/>
        </w:rPr>
      </w:pPr>
    </w:p>
    <w:p w14:paraId="0E4FB9A7" w14:textId="2776CD7C" w:rsidR="00A73036" w:rsidRPr="00D547B7" w:rsidRDefault="00D547B7" w:rsidP="00A73036">
      <w:pPr>
        <w:widowControl w:val="0"/>
        <w:autoSpaceDE w:val="0"/>
        <w:autoSpaceDN w:val="0"/>
        <w:adjustRightInd w:val="0"/>
        <w:spacing w:line="600" w:lineRule="auto"/>
        <w:jc w:val="both"/>
        <w:rPr>
          <w:rFonts w:ascii="Times" w:hAnsi="Times" w:cs="AdvPTimes"/>
          <w:b/>
        </w:rPr>
      </w:pPr>
      <w:r>
        <w:rPr>
          <w:rFonts w:ascii="Times" w:hAnsi="Times" w:cs="AdvPTimes"/>
          <w:b/>
        </w:rPr>
        <w:t xml:space="preserve">Public </w:t>
      </w:r>
      <w:r w:rsidR="00A73036" w:rsidRPr="00D547B7">
        <w:rPr>
          <w:rFonts w:ascii="Times" w:hAnsi="Times" w:cs="AdvPTimes"/>
          <w:b/>
        </w:rPr>
        <w:t>Support for Brexit</w:t>
      </w:r>
    </w:p>
    <w:p w14:paraId="6AEFB205" w14:textId="57478F50" w:rsidR="00C9356D" w:rsidRPr="009C0B2C" w:rsidRDefault="00186192" w:rsidP="00EF7E3A">
      <w:pPr>
        <w:widowControl w:val="0"/>
        <w:autoSpaceDE w:val="0"/>
        <w:autoSpaceDN w:val="0"/>
        <w:adjustRightInd w:val="0"/>
        <w:spacing w:line="720" w:lineRule="auto"/>
        <w:jc w:val="both"/>
        <w:rPr>
          <w:rFonts w:ascii="Times" w:hAnsi="Times"/>
        </w:rPr>
      </w:pPr>
      <w:r w:rsidRPr="009C0B2C">
        <w:rPr>
          <w:rFonts w:ascii="Times" w:hAnsi="Times" w:cs="AdvPTimes"/>
        </w:rPr>
        <w:t xml:space="preserve">We </w:t>
      </w:r>
      <w:r w:rsidR="00A73036">
        <w:rPr>
          <w:rFonts w:ascii="Times" w:hAnsi="Times" w:cs="AdvPTimes"/>
        </w:rPr>
        <w:t xml:space="preserve">now turn our attention to analyzing the result. We </w:t>
      </w:r>
      <w:r w:rsidRPr="009C0B2C">
        <w:rPr>
          <w:rFonts w:ascii="Times" w:hAnsi="Times" w:cs="AdvPTimes"/>
        </w:rPr>
        <w:t xml:space="preserve">start by considering the </w:t>
      </w:r>
      <w:r w:rsidR="00276F64" w:rsidRPr="009C0B2C">
        <w:rPr>
          <w:rFonts w:ascii="Times" w:hAnsi="Times" w:cs="AdvPTimes"/>
        </w:rPr>
        <w:t xml:space="preserve">relationship between </w:t>
      </w:r>
      <w:r w:rsidRPr="009C0B2C">
        <w:rPr>
          <w:rFonts w:ascii="Times" w:hAnsi="Times" w:cs="AdvPTimes"/>
        </w:rPr>
        <w:t xml:space="preserve">education </w:t>
      </w:r>
      <w:r w:rsidR="00276F64" w:rsidRPr="009C0B2C">
        <w:rPr>
          <w:rFonts w:ascii="Times" w:hAnsi="Times" w:cs="AdvPTimes"/>
        </w:rPr>
        <w:t xml:space="preserve">and Euroscepticism. While </w:t>
      </w:r>
      <w:r w:rsidR="00396E87">
        <w:rPr>
          <w:rFonts w:ascii="Times" w:hAnsi="Times" w:cs="AdvPTimes"/>
        </w:rPr>
        <w:t xml:space="preserve">numerous studies have shown that </w:t>
      </w:r>
      <w:r w:rsidR="00276F64" w:rsidRPr="009C0B2C">
        <w:rPr>
          <w:rFonts w:ascii="Times" w:hAnsi="Times" w:cs="AdvPTimes"/>
        </w:rPr>
        <w:t xml:space="preserve">the less well educated are consistently more </w:t>
      </w:r>
      <w:r w:rsidR="00396E87" w:rsidRPr="009C0B2C">
        <w:rPr>
          <w:rFonts w:ascii="Times" w:hAnsi="Times" w:cs="AdvPTimes"/>
        </w:rPr>
        <w:t>skeptical</w:t>
      </w:r>
      <w:r w:rsidR="00276F64" w:rsidRPr="009C0B2C">
        <w:rPr>
          <w:rFonts w:ascii="Times" w:hAnsi="Times" w:cs="AdvPTimes"/>
        </w:rPr>
        <w:t xml:space="preserve"> </w:t>
      </w:r>
      <w:r w:rsidR="00396E87">
        <w:rPr>
          <w:rFonts w:ascii="Times" w:hAnsi="Times" w:cs="AdvPTimes"/>
        </w:rPr>
        <w:t xml:space="preserve">about </w:t>
      </w:r>
      <w:r w:rsidR="00D547B7">
        <w:rPr>
          <w:rFonts w:ascii="Times" w:hAnsi="Times" w:cs="AdvPTimes"/>
        </w:rPr>
        <w:t>European integration</w:t>
      </w:r>
      <w:r w:rsidR="00276F64" w:rsidRPr="009C0B2C">
        <w:rPr>
          <w:rFonts w:ascii="Times" w:hAnsi="Times" w:cs="AdvPTimes"/>
        </w:rPr>
        <w:t xml:space="preserve"> it has also been argued that </w:t>
      </w:r>
      <w:r w:rsidR="003F6B9C" w:rsidRPr="009C0B2C">
        <w:rPr>
          <w:rFonts w:ascii="Times" w:hAnsi="Times" w:cs="AdvPTimes"/>
        </w:rPr>
        <w:t>the gap in attitudes toward</w:t>
      </w:r>
      <w:r w:rsidR="00396E87">
        <w:rPr>
          <w:rFonts w:ascii="Times" w:hAnsi="Times" w:cs="AdvPTimes"/>
        </w:rPr>
        <w:t>s</w:t>
      </w:r>
      <w:r w:rsidR="003F6B9C" w:rsidRPr="009C0B2C">
        <w:rPr>
          <w:rFonts w:ascii="Times" w:hAnsi="Times" w:cs="AdvPTimes"/>
        </w:rPr>
        <w:t xml:space="preserve"> the EU between the low</w:t>
      </w:r>
      <w:r w:rsidR="00EA00F3" w:rsidRPr="009C0B2C">
        <w:rPr>
          <w:rFonts w:ascii="Times" w:hAnsi="Times" w:cs="AdvPTimes"/>
        </w:rPr>
        <w:t xml:space="preserve">er and higher </w:t>
      </w:r>
      <w:r w:rsidR="003F6B9C" w:rsidRPr="009C0B2C">
        <w:rPr>
          <w:rFonts w:ascii="Times" w:hAnsi="Times" w:cs="AdvPTimes"/>
        </w:rPr>
        <w:t xml:space="preserve">educated has </w:t>
      </w:r>
      <w:r w:rsidR="00EA00F3" w:rsidRPr="009C0B2C">
        <w:rPr>
          <w:rFonts w:ascii="Times" w:hAnsi="Times" w:cs="AdvPTimes"/>
        </w:rPr>
        <w:t>widened</w:t>
      </w:r>
      <w:r w:rsidR="003F6B9C" w:rsidRPr="009C0B2C">
        <w:rPr>
          <w:rFonts w:ascii="Times" w:hAnsi="Times" w:cs="AdvPTimes"/>
        </w:rPr>
        <w:t xml:space="preserve"> over time.</w:t>
      </w:r>
      <w:r w:rsidR="003F6B9C" w:rsidRPr="009C0B2C">
        <w:rPr>
          <w:rStyle w:val="EndnoteReference"/>
          <w:rFonts w:ascii="Times" w:hAnsi="Times" w:cs="AdvPTimes"/>
        </w:rPr>
        <w:endnoteReference w:id="8"/>
      </w:r>
      <w:r w:rsidR="00EA00F3" w:rsidRPr="009C0B2C">
        <w:rPr>
          <w:rFonts w:ascii="Times" w:hAnsi="Times" w:cs="AdvPTimes"/>
        </w:rPr>
        <w:t xml:space="preserve"> </w:t>
      </w:r>
      <w:r w:rsidR="000F1D02" w:rsidRPr="009C0B2C">
        <w:rPr>
          <w:rFonts w:ascii="Times" w:hAnsi="Times"/>
        </w:rPr>
        <w:t>Figure 1 shows the association between th</w:t>
      </w:r>
      <w:r w:rsidR="00D547B7">
        <w:rPr>
          <w:rFonts w:ascii="Times" w:hAnsi="Times"/>
        </w:rPr>
        <w:t xml:space="preserve">e percentage of people within an </w:t>
      </w:r>
      <w:r w:rsidR="00EA00F3" w:rsidRPr="009C0B2C">
        <w:rPr>
          <w:rFonts w:ascii="Times" w:hAnsi="Times"/>
        </w:rPr>
        <w:t>authority</w:t>
      </w:r>
      <w:r w:rsidR="000F1D02" w:rsidRPr="009C0B2C">
        <w:rPr>
          <w:rFonts w:ascii="Times" w:hAnsi="Times"/>
        </w:rPr>
        <w:t xml:space="preserve"> </w:t>
      </w:r>
      <w:r w:rsidR="00D547B7">
        <w:rPr>
          <w:rFonts w:ascii="Times" w:hAnsi="Times"/>
        </w:rPr>
        <w:t>who have no</w:t>
      </w:r>
      <w:r w:rsidR="000F1D02" w:rsidRPr="009C0B2C">
        <w:rPr>
          <w:rFonts w:ascii="Times" w:hAnsi="Times"/>
        </w:rPr>
        <w:t xml:space="preserve"> educational qualifications and the </w:t>
      </w:r>
      <w:r w:rsidR="00D77040" w:rsidRPr="009C0B2C">
        <w:rPr>
          <w:rFonts w:ascii="Times" w:hAnsi="Times"/>
        </w:rPr>
        <w:t xml:space="preserve">percentage who voted </w:t>
      </w:r>
      <w:r w:rsidR="00EA00F3" w:rsidRPr="009C0B2C">
        <w:rPr>
          <w:rFonts w:ascii="Times" w:hAnsi="Times"/>
        </w:rPr>
        <w:t xml:space="preserve">to leave the EU, and </w:t>
      </w:r>
      <w:r w:rsidR="00A17A8F" w:rsidRPr="009C0B2C">
        <w:rPr>
          <w:rFonts w:ascii="Times" w:hAnsi="Times"/>
        </w:rPr>
        <w:t xml:space="preserve">the association between the </w:t>
      </w:r>
      <w:r w:rsidR="00D77040" w:rsidRPr="009C0B2C">
        <w:rPr>
          <w:rFonts w:ascii="Times" w:hAnsi="Times"/>
        </w:rPr>
        <w:t xml:space="preserve">percentage </w:t>
      </w:r>
      <w:r w:rsidR="00A17A8F" w:rsidRPr="009C0B2C">
        <w:rPr>
          <w:rFonts w:ascii="Times" w:hAnsi="Times"/>
        </w:rPr>
        <w:t xml:space="preserve">of people </w:t>
      </w:r>
      <w:r w:rsidR="00D77040" w:rsidRPr="009C0B2C">
        <w:rPr>
          <w:rFonts w:ascii="Times" w:hAnsi="Times"/>
        </w:rPr>
        <w:t>with high educational qualifications</w:t>
      </w:r>
      <w:r w:rsidR="00A17A8F" w:rsidRPr="009C0B2C">
        <w:rPr>
          <w:rFonts w:ascii="Times" w:hAnsi="Times"/>
        </w:rPr>
        <w:t xml:space="preserve"> </w:t>
      </w:r>
      <w:r w:rsidR="00396E87">
        <w:rPr>
          <w:rFonts w:ascii="Times" w:hAnsi="Times"/>
        </w:rPr>
        <w:t xml:space="preserve">(of degree level or above) </w:t>
      </w:r>
      <w:r w:rsidR="00A17A8F" w:rsidRPr="009C0B2C">
        <w:rPr>
          <w:rFonts w:ascii="Times" w:hAnsi="Times"/>
        </w:rPr>
        <w:t>and</w:t>
      </w:r>
      <w:r w:rsidR="00EA00F3" w:rsidRPr="009C0B2C">
        <w:rPr>
          <w:rFonts w:ascii="Times" w:hAnsi="Times"/>
        </w:rPr>
        <w:t xml:space="preserve"> who voted to leave. </w:t>
      </w:r>
      <w:r w:rsidR="00D77040" w:rsidRPr="009C0B2C">
        <w:rPr>
          <w:rFonts w:ascii="Times" w:hAnsi="Times"/>
        </w:rPr>
        <w:t xml:space="preserve">To a certain extent the two graphs mirror each other. </w:t>
      </w:r>
      <w:r w:rsidR="00EA00F3" w:rsidRPr="009C0B2C">
        <w:rPr>
          <w:rFonts w:ascii="Times" w:hAnsi="Times"/>
        </w:rPr>
        <w:t xml:space="preserve">The </w:t>
      </w:r>
      <w:r w:rsidR="00D547B7">
        <w:rPr>
          <w:rFonts w:ascii="Times" w:hAnsi="Times"/>
        </w:rPr>
        <w:t xml:space="preserve">Leave vote </w:t>
      </w:r>
      <w:r w:rsidR="00EA00F3" w:rsidRPr="009C0B2C">
        <w:rPr>
          <w:rFonts w:ascii="Times" w:hAnsi="Times"/>
        </w:rPr>
        <w:t xml:space="preserve">was much </w:t>
      </w:r>
      <w:r w:rsidR="00D77040" w:rsidRPr="009C0B2C">
        <w:rPr>
          <w:rFonts w:ascii="Times" w:hAnsi="Times"/>
        </w:rPr>
        <w:t>higher in</w:t>
      </w:r>
      <w:r w:rsidR="00E3038B" w:rsidRPr="009C0B2C">
        <w:rPr>
          <w:rFonts w:ascii="Times" w:hAnsi="Times"/>
        </w:rPr>
        <w:t xml:space="preserve"> authorities</w:t>
      </w:r>
      <w:r w:rsidR="00D77040" w:rsidRPr="009C0B2C">
        <w:rPr>
          <w:rFonts w:ascii="Times" w:hAnsi="Times"/>
        </w:rPr>
        <w:t xml:space="preserve"> where there are substantial numbers </w:t>
      </w:r>
      <w:r w:rsidR="00D77040" w:rsidRPr="009C0B2C">
        <w:rPr>
          <w:rFonts w:ascii="Times" w:hAnsi="Times"/>
        </w:rPr>
        <w:lastRenderedPageBreak/>
        <w:t xml:space="preserve">of people who do not </w:t>
      </w:r>
      <w:r w:rsidR="00E3038B" w:rsidRPr="009C0B2C">
        <w:rPr>
          <w:rFonts w:ascii="Times" w:hAnsi="Times"/>
        </w:rPr>
        <w:t xml:space="preserve">hold any qualifications while the Leave vote was much lower in areas that have a larger number of </w:t>
      </w:r>
      <w:r w:rsidR="00D77040" w:rsidRPr="009C0B2C">
        <w:rPr>
          <w:rFonts w:ascii="Times" w:hAnsi="Times"/>
        </w:rPr>
        <w:t>highly educated</w:t>
      </w:r>
      <w:r w:rsidR="00E3038B" w:rsidRPr="009C0B2C">
        <w:rPr>
          <w:rFonts w:ascii="Times" w:hAnsi="Times"/>
        </w:rPr>
        <w:t xml:space="preserve"> people</w:t>
      </w:r>
      <w:r w:rsidR="00D77040" w:rsidRPr="009C0B2C">
        <w:rPr>
          <w:rFonts w:ascii="Times" w:hAnsi="Times"/>
        </w:rPr>
        <w:t>.</w:t>
      </w:r>
      <w:r w:rsidR="00253DDE" w:rsidRPr="009C0B2C">
        <w:rPr>
          <w:rFonts w:ascii="Times" w:hAnsi="Times"/>
        </w:rPr>
        <w:t xml:space="preserve"> </w:t>
      </w:r>
      <w:r w:rsidR="00EA00F3" w:rsidRPr="009C0B2C">
        <w:rPr>
          <w:rFonts w:ascii="Times" w:hAnsi="Times"/>
        </w:rPr>
        <w:t xml:space="preserve">In fact, 15 of the 20 ‘least educated’ areas voted to leave the EU while every single one of the 20 ‘most educated’ areas voted to remain. </w:t>
      </w:r>
      <w:r w:rsidR="00EB64F0" w:rsidRPr="009C0B2C">
        <w:rPr>
          <w:rFonts w:ascii="Times" w:hAnsi="Times"/>
        </w:rPr>
        <w:t xml:space="preserve">In authorities </w:t>
      </w:r>
      <w:r w:rsidR="000902C2" w:rsidRPr="009C0B2C">
        <w:rPr>
          <w:rFonts w:ascii="Times" w:hAnsi="Times"/>
        </w:rPr>
        <w:t>with</w:t>
      </w:r>
      <w:r w:rsidR="00EB64F0" w:rsidRPr="009C0B2C">
        <w:rPr>
          <w:rFonts w:ascii="Times" w:hAnsi="Times"/>
        </w:rPr>
        <w:t xml:space="preserve"> belo</w:t>
      </w:r>
      <w:r w:rsidR="000902C2" w:rsidRPr="009C0B2C">
        <w:rPr>
          <w:rFonts w:ascii="Times" w:hAnsi="Times"/>
        </w:rPr>
        <w:t xml:space="preserve">w average levels of education the Leave campaign </w:t>
      </w:r>
      <w:r w:rsidR="00EB64F0" w:rsidRPr="009C0B2C">
        <w:rPr>
          <w:rFonts w:ascii="Times" w:hAnsi="Times"/>
        </w:rPr>
        <w:t xml:space="preserve">received 58 </w:t>
      </w:r>
      <w:r w:rsidR="000902C2" w:rsidRPr="009C0B2C">
        <w:rPr>
          <w:rFonts w:ascii="Times" w:hAnsi="Times"/>
        </w:rPr>
        <w:t>percent of the vote but in authorities with above average levels of education it received 49 percent of the vote.</w:t>
      </w:r>
    </w:p>
    <w:p w14:paraId="5D3FEB9E" w14:textId="088D4C80" w:rsidR="00E3038B" w:rsidRPr="009C0B2C" w:rsidRDefault="000F1D02" w:rsidP="003A7811">
      <w:pPr>
        <w:widowControl w:val="0"/>
        <w:autoSpaceDE w:val="0"/>
        <w:autoSpaceDN w:val="0"/>
        <w:adjustRightInd w:val="0"/>
        <w:spacing w:line="600" w:lineRule="auto"/>
        <w:jc w:val="center"/>
        <w:rPr>
          <w:rFonts w:ascii="Times" w:hAnsi="Times"/>
        </w:rPr>
      </w:pPr>
      <w:r w:rsidRPr="009C0B2C">
        <w:rPr>
          <w:rFonts w:ascii="Times" w:hAnsi="Times"/>
        </w:rPr>
        <w:t>Figure 1</w:t>
      </w:r>
      <w:r w:rsidRPr="009C0B2C">
        <w:rPr>
          <w:rFonts w:ascii="Times" w:hAnsi="Times"/>
        </w:rPr>
        <w:tab/>
      </w:r>
      <w:r w:rsidR="00D77040" w:rsidRPr="009C0B2C">
        <w:rPr>
          <w:rFonts w:ascii="Times" w:hAnsi="Times"/>
        </w:rPr>
        <w:t>E</w:t>
      </w:r>
      <w:r w:rsidRPr="009C0B2C">
        <w:rPr>
          <w:rFonts w:ascii="Times" w:hAnsi="Times"/>
        </w:rPr>
        <w:t>ducational qualification and support for Leave</w:t>
      </w:r>
    </w:p>
    <w:p w14:paraId="3E396A2E" w14:textId="0F8AB4D2" w:rsidR="00D547B7" w:rsidRDefault="000F1D02" w:rsidP="00EF7E3A">
      <w:pPr>
        <w:widowControl w:val="0"/>
        <w:autoSpaceDE w:val="0"/>
        <w:autoSpaceDN w:val="0"/>
        <w:adjustRightInd w:val="0"/>
        <w:spacing w:line="600" w:lineRule="auto"/>
        <w:jc w:val="both"/>
        <w:rPr>
          <w:rFonts w:ascii="Times" w:hAnsi="Times"/>
        </w:rPr>
      </w:pPr>
      <w:r w:rsidRPr="009C0B2C">
        <w:rPr>
          <w:rFonts w:ascii="Times" w:hAnsi="Times"/>
          <w:noProof/>
          <w:lang w:val="en-GB" w:eastAsia="en-GB"/>
        </w:rPr>
        <w:drawing>
          <wp:inline distT="0" distB="0" distL="0" distR="0" wp14:anchorId="0E2F3D0B" wp14:editId="3FFAB7EE">
            <wp:extent cx="2667000" cy="19518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5068" cy="1965049"/>
                    </a:xfrm>
                    <a:prstGeom prst="rect">
                      <a:avLst/>
                    </a:prstGeom>
                    <a:noFill/>
                    <a:ln>
                      <a:noFill/>
                    </a:ln>
                  </pic:spPr>
                </pic:pic>
              </a:graphicData>
            </a:graphic>
          </wp:inline>
        </w:drawing>
      </w:r>
      <w:r w:rsidRPr="009C0B2C">
        <w:rPr>
          <w:rFonts w:ascii="Times" w:hAnsi="Times"/>
        </w:rPr>
        <w:t xml:space="preserve"> </w:t>
      </w:r>
      <w:r w:rsidRPr="009C0B2C">
        <w:rPr>
          <w:rFonts w:ascii="Times" w:hAnsi="Times"/>
          <w:noProof/>
          <w:lang w:val="en-GB" w:eastAsia="en-GB"/>
        </w:rPr>
        <w:drawing>
          <wp:inline distT="0" distB="0" distL="0" distR="0" wp14:anchorId="3735DAF7" wp14:editId="00F0F589">
            <wp:extent cx="2654896" cy="19429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499" cy="1986589"/>
                    </a:xfrm>
                    <a:prstGeom prst="rect">
                      <a:avLst/>
                    </a:prstGeom>
                    <a:noFill/>
                    <a:ln>
                      <a:noFill/>
                    </a:ln>
                  </pic:spPr>
                </pic:pic>
              </a:graphicData>
            </a:graphic>
          </wp:inline>
        </w:drawing>
      </w:r>
    </w:p>
    <w:p w14:paraId="7FCE700E" w14:textId="77777777" w:rsidR="00EF7E3A" w:rsidRDefault="00D77040" w:rsidP="00EF7E3A">
      <w:pPr>
        <w:widowControl w:val="0"/>
        <w:autoSpaceDE w:val="0"/>
        <w:autoSpaceDN w:val="0"/>
        <w:adjustRightInd w:val="0"/>
        <w:spacing w:line="720" w:lineRule="auto"/>
        <w:jc w:val="both"/>
        <w:rPr>
          <w:rFonts w:ascii="Times" w:hAnsi="Times"/>
        </w:rPr>
      </w:pPr>
      <w:r w:rsidRPr="009C0B2C">
        <w:rPr>
          <w:rFonts w:ascii="Times" w:hAnsi="Times"/>
        </w:rPr>
        <w:t xml:space="preserve">However, we should also note that there is </w:t>
      </w:r>
      <w:r w:rsidR="00C9356D" w:rsidRPr="009C0B2C">
        <w:rPr>
          <w:rFonts w:ascii="Times" w:hAnsi="Times"/>
        </w:rPr>
        <w:t xml:space="preserve">substantial </w:t>
      </w:r>
      <w:r w:rsidRPr="009C0B2C">
        <w:rPr>
          <w:rFonts w:ascii="Times" w:hAnsi="Times"/>
        </w:rPr>
        <w:t xml:space="preserve">variation around the </w:t>
      </w:r>
      <w:r w:rsidR="00E3038B" w:rsidRPr="009C0B2C">
        <w:rPr>
          <w:rFonts w:ascii="Times" w:hAnsi="Times"/>
        </w:rPr>
        <w:t>‘</w:t>
      </w:r>
      <w:r w:rsidRPr="009C0B2C">
        <w:rPr>
          <w:rFonts w:ascii="Times" w:hAnsi="Times"/>
        </w:rPr>
        <w:t>line of best fit</w:t>
      </w:r>
      <w:r w:rsidR="00E3038B" w:rsidRPr="009C0B2C">
        <w:rPr>
          <w:rFonts w:ascii="Times" w:hAnsi="Times"/>
        </w:rPr>
        <w:t xml:space="preserve">’. </w:t>
      </w:r>
      <w:r w:rsidR="000902C2" w:rsidRPr="009C0B2C">
        <w:rPr>
          <w:rFonts w:ascii="Times" w:hAnsi="Times"/>
        </w:rPr>
        <w:t>As shown in Figure 1</w:t>
      </w:r>
      <w:r w:rsidR="00D547B7">
        <w:rPr>
          <w:rFonts w:ascii="Times" w:hAnsi="Times"/>
        </w:rPr>
        <w:t>,</w:t>
      </w:r>
      <w:r w:rsidR="009D731C">
        <w:rPr>
          <w:rFonts w:ascii="Times" w:hAnsi="Times"/>
        </w:rPr>
        <w:t xml:space="preserve"> </w:t>
      </w:r>
      <w:r w:rsidR="000902C2" w:rsidRPr="009C0B2C">
        <w:rPr>
          <w:rFonts w:ascii="Times" w:hAnsi="Times"/>
        </w:rPr>
        <w:t>t</w:t>
      </w:r>
      <w:r w:rsidR="00253DDE" w:rsidRPr="009C0B2C">
        <w:rPr>
          <w:rFonts w:ascii="Times" w:hAnsi="Times"/>
        </w:rPr>
        <w:t xml:space="preserve">here are </w:t>
      </w:r>
      <w:r w:rsidRPr="009C0B2C">
        <w:rPr>
          <w:rFonts w:ascii="Times" w:hAnsi="Times"/>
        </w:rPr>
        <w:t xml:space="preserve">a number of places </w:t>
      </w:r>
      <w:r w:rsidR="000902C2" w:rsidRPr="009C0B2C">
        <w:rPr>
          <w:rFonts w:ascii="Times" w:hAnsi="Times"/>
        </w:rPr>
        <w:t xml:space="preserve">where the Leave vote </w:t>
      </w:r>
      <w:r w:rsidRPr="009C0B2C">
        <w:rPr>
          <w:rFonts w:ascii="Times" w:hAnsi="Times"/>
        </w:rPr>
        <w:t xml:space="preserve">was lower than </w:t>
      </w:r>
      <w:r w:rsidR="000902C2" w:rsidRPr="009C0B2C">
        <w:rPr>
          <w:rFonts w:ascii="Times" w:hAnsi="Times"/>
        </w:rPr>
        <w:t>expected</w:t>
      </w:r>
      <w:r w:rsidRPr="009C0B2C">
        <w:rPr>
          <w:rFonts w:ascii="Times" w:hAnsi="Times"/>
        </w:rPr>
        <w:t xml:space="preserve"> based on the</w:t>
      </w:r>
      <w:r w:rsidR="000902C2" w:rsidRPr="009C0B2C">
        <w:rPr>
          <w:rFonts w:ascii="Times" w:hAnsi="Times"/>
        </w:rPr>
        <w:t xml:space="preserve"> average levels of education at the local authority level. </w:t>
      </w:r>
      <w:r w:rsidRPr="009C0B2C">
        <w:rPr>
          <w:rFonts w:ascii="Times" w:hAnsi="Times"/>
        </w:rPr>
        <w:t>These places tended to be in Scotland and London</w:t>
      </w:r>
      <w:r w:rsidR="00D23DE0" w:rsidRPr="009C0B2C">
        <w:rPr>
          <w:rFonts w:ascii="Times" w:hAnsi="Times"/>
        </w:rPr>
        <w:t>. If we excl</w:t>
      </w:r>
      <w:r w:rsidR="000902C2" w:rsidRPr="009C0B2C">
        <w:rPr>
          <w:rFonts w:ascii="Times" w:hAnsi="Times"/>
        </w:rPr>
        <w:t>ude London and Scotland from our</w:t>
      </w:r>
      <w:r w:rsidR="00D23DE0" w:rsidRPr="009C0B2C">
        <w:rPr>
          <w:rFonts w:ascii="Times" w:hAnsi="Times"/>
        </w:rPr>
        <w:t xml:space="preserve"> </w:t>
      </w:r>
      <w:r w:rsidR="000902C2" w:rsidRPr="009C0B2C">
        <w:rPr>
          <w:rFonts w:ascii="Times" w:hAnsi="Times"/>
        </w:rPr>
        <w:t xml:space="preserve">analysis </w:t>
      </w:r>
      <w:r w:rsidR="00E3038B" w:rsidRPr="009C0B2C">
        <w:rPr>
          <w:rFonts w:ascii="Times" w:hAnsi="Times"/>
        </w:rPr>
        <w:t>the</w:t>
      </w:r>
      <w:r w:rsidR="00D23DE0" w:rsidRPr="009C0B2C">
        <w:rPr>
          <w:rFonts w:ascii="Times" w:hAnsi="Times"/>
        </w:rPr>
        <w:t xml:space="preserve"> association bet</w:t>
      </w:r>
      <w:r w:rsidR="00E3038B" w:rsidRPr="009C0B2C">
        <w:rPr>
          <w:rFonts w:ascii="Times" w:hAnsi="Times"/>
        </w:rPr>
        <w:t>ween education and the Leave vote</w:t>
      </w:r>
      <w:r w:rsidR="00D23DE0" w:rsidRPr="009C0B2C">
        <w:rPr>
          <w:rFonts w:ascii="Times" w:hAnsi="Times"/>
        </w:rPr>
        <w:t xml:space="preserve"> becomes </w:t>
      </w:r>
      <w:r w:rsidR="000902C2" w:rsidRPr="009C0B2C">
        <w:rPr>
          <w:rFonts w:ascii="Times" w:hAnsi="Times"/>
        </w:rPr>
        <w:t xml:space="preserve">far </w:t>
      </w:r>
      <w:r w:rsidR="00D23DE0" w:rsidRPr="009C0B2C">
        <w:rPr>
          <w:rFonts w:ascii="Times" w:hAnsi="Times"/>
        </w:rPr>
        <w:t xml:space="preserve">stronger. The R-square </w:t>
      </w:r>
      <w:r w:rsidR="00C9356D" w:rsidRPr="009C0B2C">
        <w:rPr>
          <w:rFonts w:ascii="Times" w:hAnsi="Times"/>
        </w:rPr>
        <w:t xml:space="preserve">for no educational qualifications </w:t>
      </w:r>
      <w:r w:rsidR="00D23DE0" w:rsidRPr="009C0B2C">
        <w:rPr>
          <w:rFonts w:ascii="Times" w:hAnsi="Times"/>
        </w:rPr>
        <w:t xml:space="preserve">increases from 0.29 for </w:t>
      </w:r>
      <w:r w:rsidR="000902C2" w:rsidRPr="009C0B2C">
        <w:rPr>
          <w:rFonts w:ascii="Times" w:hAnsi="Times"/>
        </w:rPr>
        <w:t>the United Kingdom</w:t>
      </w:r>
      <w:r w:rsidR="00D23DE0" w:rsidRPr="009C0B2C">
        <w:rPr>
          <w:rFonts w:ascii="Times" w:hAnsi="Times"/>
        </w:rPr>
        <w:t xml:space="preserve"> to 0.52</w:t>
      </w:r>
      <w:r w:rsidR="000902C2" w:rsidRPr="009C0B2C">
        <w:rPr>
          <w:rFonts w:ascii="Times" w:hAnsi="Times"/>
        </w:rPr>
        <w:t xml:space="preserve"> for England and Wales but </w:t>
      </w:r>
      <w:r w:rsidR="009F4D81" w:rsidRPr="009C0B2C">
        <w:rPr>
          <w:rFonts w:ascii="Times" w:hAnsi="Times"/>
        </w:rPr>
        <w:lastRenderedPageBreak/>
        <w:t>excludin</w:t>
      </w:r>
      <w:r w:rsidR="00E3038B" w:rsidRPr="009C0B2C">
        <w:rPr>
          <w:rFonts w:ascii="Times" w:hAnsi="Times"/>
        </w:rPr>
        <w:t>g London.</w:t>
      </w:r>
      <w:r w:rsidR="00C9356D" w:rsidRPr="009C0B2C">
        <w:rPr>
          <w:rFonts w:ascii="Times" w:hAnsi="Times"/>
        </w:rPr>
        <w:t xml:space="preserve"> This indicates that outside </w:t>
      </w:r>
      <w:r w:rsidR="000902C2" w:rsidRPr="009C0B2C">
        <w:rPr>
          <w:rFonts w:ascii="Times" w:hAnsi="Times"/>
        </w:rPr>
        <w:t>of London and Scotland</w:t>
      </w:r>
      <w:r w:rsidR="00C9356D" w:rsidRPr="009C0B2C">
        <w:rPr>
          <w:rFonts w:ascii="Times" w:hAnsi="Times"/>
        </w:rPr>
        <w:t xml:space="preserve"> the country was </w:t>
      </w:r>
      <w:r w:rsidR="00EB64F0" w:rsidRPr="009C0B2C">
        <w:rPr>
          <w:rFonts w:ascii="Times" w:hAnsi="Times"/>
        </w:rPr>
        <w:t xml:space="preserve">highly </w:t>
      </w:r>
      <w:r w:rsidR="00C9356D" w:rsidRPr="009C0B2C">
        <w:rPr>
          <w:rFonts w:ascii="Times" w:hAnsi="Times"/>
        </w:rPr>
        <w:t xml:space="preserve">polarized along educational lines on whether to support Brexit or not. </w:t>
      </w:r>
    </w:p>
    <w:p w14:paraId="42997DDC" w14:textId="4C165369" w:rsidR="00E3038B" w:rsidRPr="009C0B2C" w:rsidRDefault="000E3BF3" w:rsidP="00EF7E3A">
      <w:pPr>
        <w:widowControl w:val="0"/>
        <w:autoSpaceDE w:val="0"/>
        <w:autoSpaceDN w:val="0"/>
        <w:adjustRightInd w:val="0"/>
        <w:spacing w:line="720" w:lineRule="auto"/>
        <w:ind w:firstLine="720"/>
        <w:jc w:val="both"/>
        <w:rPr>
          <w:rFonts w:ascii="Times" w:hAnsi="Times"/>
        </w:rPr>
      </w:pPr>
      <w:r w:rsidRPr="009C0B2C">
        <w:rPr>
          <w:rFonts w:ascii="Times" w:hAnsi="Times"/>
        </w:rPr>
        <w:t>Nex</w:t>
      </w:r>
      <w:r w:rsidR="009D5ECF" w:rsidRPr="009C0B2C">
        <w:rPr>
          <w:rFonts w:ascii="Times" w:hAnsi="Times"/>
        </w:rPr>
        <w:t xml:space="preserve">t we turn to age, which past studies have shown is positively related to supporting Brexit, with the late middle-aged and pensioners notably more likely to </w:t>
      </w:r>
      <w:r w:rsidR="00EF7E3A">
        <w:rPr>
          <w:rFonts w:ascii="Times" w:hAnsi="Times"/>
        </w:rPr>
        <w:t xml:space="preserve">vote for </w:t>
      </w:r>
      <w:r w:rsidR="009D5ECF" w:rsidRPr="009C0B2C">
        <w:rPr>
          <w:rFonts w:ascii="Times" w:hAnsi="Times"/>
        </w:rPr>
        <w:t>Ukip and</w:t>
      </w:r>
      <w:r w:rsidR="00EF7E3A">
        <w:rPr>
          <w:rFonts w:ascii="Times" w:hAnsi="Times"/>
        </w:rPr>
        <w:t>, prior to the actual referendum, voice support for leaving</w:t>
      </w:r>
      <w:r w:rsidR="009D5ECF" w:rsidRPr="009C0B2C">
        <w:rPr>
          <w:rFonts w:ascii="Times" w:hAnsi="Times"/>
        </w:rPr>
        <w:t xml:space="preserve"> the EU. As above we find a clearly identifiable association between </w:t>
      </w:r>
      <w:r w:rsidR="009D731C">
        <w:rPr>
          <w:rFonts w:ascii="Times" w:hAnsi="Times"/>
        </w:rPr>
        <w:t xml:space="preserve">the </w:t>
      </w:r>
      <w:r w:rsidR="009D5ECF" w:rsidRPr="009C0B2C">
        <w:rPr>
          <w:rFonts w:ascii="Times" w:hAnsi="Times"/>
        </w:rPr>
        <w:t xml:space="preserve">age </w:t>
      </w:r>
      <w:r w:rsidR="00EF7E3A">
        <w:rPr>
          <w:rFonts w:ascii="Times" w:hAnsi="Times"/>
        </w:rPr>
        <w:t>profile of an authority</w:t>
      </w:r>
      <w:r w:rsidR="009D731C">
        <w:rPr>
          <w:rFonts w:ascii="Times" w:hAnsi="Times"/>
        </w:rPr>
        <w:t xml:space="preserve"> </w:t>
      </w:r>
      <w:r w:rsidR="009D5ECF" w:rsidRPr="009C0B2C">
        <w:rPr>
          <w:rFonts w:ascii="Times" w:hAnsi="Times"/>
        </w:rPr>
        <w:t xml:space="preserve">and the Leave vote, albeit somewhat weaker. </w:t>
      </w:r>
      <w:r w:rsidR="00EB64F0" w:rsidRPr="009C0B2C">
        <w:rPr>
          <w:rFonts w:ascii="Times" w:hAnsi="Times"/>
        </w:rPr>
        <w:t>Figure 2</w:t>
      </w:r>
      <w:r w:rsidR="000D6E03" w:rsidRPr="009C0B2C">
        <w:rPr>
          <w:rFonts w:ascii="Times" w:hAnsi="Times"/>
        </w:rPr>
        <w:t xml:space="preserve"> shows the association between the percentage of people within </w:t>
      </w:r>
      <w:r w:rsidR="00E3038B" w:rsidRPr="009C0B2C">
        <w:rPr>
          <w:rFonts w:ascii="Times" w:hAnsi="Times"/>
        </w:rPr>
        <w:t>a local authority</w:t>
      </w:r>
      <w:r w:rsidR="000D6E03" w:rsidRPr="009C0B2C">
        <w:rPr>
          <w:rFonts w:ascii="Times" w:hAnsi="Times"/>
        </w:rPr>
        <w:t xml:space="preserve"> aged </w:t>
      </w:r>
      <w:r w:rsidR="00E3038B" w:rsidRPr="009C0B2C">
        <w:rPr>
          <w:rFonts w:ascii="Times" w:hAnsi="Times"/>
        </w:rPr>
        <w:t>18-30 years old and the percentage who voted to leave</w:t>
      </w:r>
      <w:r w:rsidR="00EB64F0" w:rsidRPr="009C0B2C">
        <w:rPr>
          <w:rFonts w:ascii="Times" w:hAnsi="Times"/>
        </w:rPr>
        <w:t xml:space="preserve">, and the association between </w:t>
      </w:r>
      <w:r w:rsidR="00253DDE" w:rsidRPr="009C0B2C">
        <w:rPr>
          <w:rFonts w:ascii="Times" w:hAnsi="Times"/>
        </w:rPr>
        <w:t xml:space="preserve">the </w:t>
      </w:r>
      <w:r w:rsidR="000D6E03" w:rsidRPr="009C0B2C">
        <w:rPr>
          <w:rFonts w:ascii="Times" w:hAnsi="Times"/>
        </w:rPr>
        <w:t xml:space="preserve">percentage aged 65 </w:t>
      </w:r>
      <w:r w:rsidR="009D5ECF" w:rsidRPr="009C0B2C">
        <w:rPr>
          <w:rFonts w:ascii="Times" w:hAnsi="Times"/>
        </w:rPr>
        <w:t xml:space="preserve">years old </w:t>
      </w:r>
      <w:r w:rsidR="000D6E03" w:rsidRPr="009C0B2C">
        <w:rPr>
          <w:rFonts w:ascii="Times" w:hAnsi="Times"/>
        </w:rPr>
        <w:t xml:space="preserve">and </w:t>
      </w:r>
      <w:r w:rsidR="009D5ECF" w:rsidRPr="009C0B2C">
        <w:rPr>
          <w:rFonts w:ascii="Times" w:hAnsi="Times"/>
        </w:rPr>
        <w:t xml:space="preserve">above, and the Leave vote. </w:t>
      </w:r>
      <w:r w:rsidR="00EF7E3A">
        <w:rPr>
          <w:rFonts w:ascii="Times" w:hAnsi="Times"/>
        </w:rPr>
        <w:t xml:space="preserve">The vote to leave the EU tends to be </w:t>
      </w:r>
      <w:r w:rsidR="000D6E03" w:rsidRPr="009C0B2C">
        <w:rPr>
          <w:rFonts w:ascii="Times" w:hAnsi="Times"/>
        </w:rPr>
        <w:t xml:space="preserve">lower in areas </w:t>
      </w:r>
      <w:r w:rsidR="00E3038B" w:rsidRPr="009C0B2C">
        <w:rPr>
          <w:rFonts w:ascii="Times" w:hAnsi="Times"/>
        </w:rPr>
        <w:t>that have a</w:t>
      </w:r>
      <w:r w:rsidR="000D6E03" w:rsidRPr="009C0B2C">
        <w:rPr>
          <w:rFonts w:ascii="Times" w:hAnsi="Times"/>
        </w:rPr>
        <w:t xml:space="preserve"> </w:t>
      </w:r>
      <w:r w:rsidR="009D5ECF" w:rsidRPr="009C0B2C">
        <w:rPr>
          <w:rFonts w:ascii="Times" w:hAnsi="Times"/>
        </w:rPr>
        <w:t xml:space="preserve">large </w:t>
      </w:r>
      <w:r w:rsidR="00E3038B" w:rsidRPr="009C0B2C">
        <w:rPr>
          <w:rFonts w:ascii="Times" w:hAnsi="Times"/>
        </w:rPr>
        <w:t xml:space="preserve">population of young people, many of which are university towns. </w:t>
      </w:r>
      <w:r w:rsidR="00253DDE" w:rsidRPr="009C0B2C">
        <w:rPr>
          <w:rFonts w:ascii="Times" w:hAnsi="Times"/>
        </w:rPr>
        <w:t xml:space="preserve">Oxford and Cambridge are the two authorities </w:t>
      </w:r>
      <w:r w:rsidR="00E3038B" w:rsidRPr="009C0B2C">
        <w:rPr>
          <w:rFonts w:ascii="Times" w:hAnsi="Times"/>
        </w:rPr>
        <w:t>that have the</w:t>
      </w:r>
      <w:r w:rsidR="00253DDE" w:rsidRPr="009C0B2C">
        <w:rPr>
          <w:rFonts w:ascii="Times" w:hAnsi="Times"/>
        </w:rPr>
        <w:t xml:space="preserve"> </w:t>
      </w:r>
      <w:r w:rsidR="00E3038B" w:rsidRPr="009C0B2C">
        <w:rPr>
          <w:rFonts w:ascii="Times" w:hAnsi="Times"/>
        </w:rPr>
        <w:t xml:space="preserve">largest </w:t>
      </w:r>
      <w:r w:rsidR="00253DDE" w:rsidRPr="009C0B2C">
        <w:rPr>
          <w:rFonts w:ascii="Times" w:hAnsi="Times"/>
        </w:rPr>
        <w:t>proportion of people aged 1</w:t>
      </w:r>
      <w:r w:rsidR="00E3038B" w:rsidRPr="009C0B2C">
        <w:rPr>
          <w:rFonts w:ascii="Times" w:hAnsi="Times"/>
        </w:rPr>
        <w:t>8 to 30 years old</w:t>
      </w:r>
      <w:r w:rsidR="00253DDE" w:rsidRPr="009C0B2C">
        <w:rPr>
          <w:rFonts w:ascii="Times" w:hAnsi="Times"/>
        </w:rPr>
        <w:t xml:space="preserve"> and both </w:t>
      </w:r>
      <w:r w:rsidR="009D5ECF" w:rsidRPr="009C0B2C">
        <w:rPr>
          <w:rFonts w:ascii="Times" w:hAnsi="Times"/>
        </w:rPr>
        <w:t xml:space="preserve">recorded a Remain vote in </w:t>
      </w:r>
      <w:r w:rsidR="00E3038B" w:rsidRPr="009C0B2C">
        <w:rPr>
          <w:rFonts w:ascii="Times" w:hAnsi="Times"/>
        </w:rPr>
        <w:t>excess of 70 per cent</w:t>
      </w:r>
      <w:r w:rsidR="00253DDE" w:rsidRPr="009C0B2C">
        <w:rPr>
          <w:rFonts w:ascii="Times" w:hAnsi="Times"/>
        </w:rPr>
        <w:t>.</w:t>
      </w:r>
      <w:r w:rsidR="009D5ECF" w:rsidRPr="009C0B2C">
        <w:rPr>
          <w:rFonts w:ascii="Times" w:hAnsi="Times"/>
        </w:rPr>
        <w:t xml:space="preserve"> Of the 20 ‘youngest’ authority areas </w:t>
      </w:r>
      <w:r w:rsidR="007F3B15" w:rsidRPr="009C0B2C">
        <w:rPr>
          <w:rFonts w:ascii="Times" w:hAnsi="Times"/>
        </w:rPr>
        <w:t xml:space="preserve">16 voted to Remain. </w:t>
      </w:r>
      <w:r w:rsidR="00E3038B" w:rsidRPr="009C0B2C">
        <w:rPr>
          <w:rFonts w:ascii="Times" w:hAnsi="Times"/>
        </w:rPr>
        <w:t>By contrast the Leave vote was much stronger in authorities with a larger number of pensioners. Of the</w:t>
      </w:r>
      <w:r w:rsidR="007F3B15" w:rsidRPr="009C0B2C">
        <w:rPr>
          <w:rFonts w:ascii="Times" w:hAnsi="Times"/>
        </w:rPr>
        <w:t xml:space="preserve"> 20 </w:t>
      </w:r>
      <w:r w:rsidR="00EF7E3A">
        <w:rPr>
          <w:rFonts w:ascii="Times" w:hAnsi="Times"/>
        </w:rPr>
        <w:t>‘</w:t>
      </w:r>
      <w:r w:rsidR="007F3B15" w:rsidRPr="009C0B2C">
        <w:rPr>
          <w:rFonts w:ascii="Times" w:hAnsi="Times"/>
        </w:rPr>
        <w:t>oldest</w:t>
      </w:r>
      <w:r w:rsidR="00EF7E3A">
        <w:rPr>
          <w:rFonts w:ascii="Times" w:hAnsi="Times"/>
        </w:rPr>
        <w:t>’</w:t>
      </w:r>
      <w:r w:rsidR="007F3B15" w:rsidRPr="009C0B2C">
        <w:rPr>
          <w:rFonts w:ascii="Times" w:hAnsi="Times"/>
        </w:rPr>
        <w:t xml:space="preserve"> </w:t>
      </w:r>
      <w:r w:rsidR="00E3038B" w:rsidRPr="009C0B2C">
        <w:rPr>
          <w:rFonts w:ascii="Times" w:hAnsi="Times"/>
        </w:rPr>
        <w:t xml:space="preserve">local </w:t>
      </w:r>
      <w:r w:rsidR="007F3B15" w:rsidRPr="009C0B2C">
        <w:rPr>
          <w:rFonts w:ascii="Times" w:hAnsi="Times"/>
        </w:rPr>
        <w:t>authorities, 19 voted to Leave.</w:t>
      </w:r>
    </w:p>
    <w:p w14:paraId="0CF0BC69" w14:textId="6402A86A" w:rsidR="00C0355B" w:rsidRPr="009C0B2C" w:rsidRDefault="00C0355B" w:rsidP="00EF7E3A">
      <w:pPr>
        <w:widowControl w:val="0"/>
        <w:autoSpaceDE w:val="0"/>
        <w:autoSpaceDN w:val="0"/>
        <w:adjustRightInd w:val="0"/>
        <w:spacing w:line="600" w:lineRule="auto"/>
        <w:jc w:val="center"/>
        <w:rPr>
          <w:rFonts w:ascii="Times" w:hAnsi="Times"/>
        </w:rPr>
      </w:pPr>
      <w:r w:rsidRPr="009C0B2C">
        <w:rPr>
          <w:rFonts w:ascii="Times" w:hAnsi="Times"/>
        </w:rPr>
        <w:t>Figure 2</w:t>
      </w:r>
      <w:r w:rsidRPr="009C0B2C">
        <w:rPr>
          <w:rFonts w:ascii="Times" w:hAnsi="Times"/>
        </w:rPr>
        <w:tab/>
        <w:t>Age and support for Leave</w:t>
      </w:r>
    </w:p>
    <w:p w14:paraId="18983DC1" w14:textId="77777777" w:rsidR="00BD08AD" w:rsidRDefault="00BD08AD" w:rsidP="00BD08AD">
      <w:pPr>
        <w:widowControl w:val="0"/>
        <w:autoSpaceDE w:val="0"/>
        <w:autoSpaceDN w:val="0"/>
        <w:adjustRightInd w:val="0"/>
        <w:spacing w:line="600" w:lineRule="auto"/>
        <w:jc w:val="both"/>
        <w:rPr>
          <w:rFonts w:ascii="Times" w:hAnsi="Times"/>
        </w:rPr>
      </w:pPr>
      <w:r w:rsidRPr="00EF0217">
        <w:rPr>
          <w:rFonts w:ascii="Times" w:hAnsi="Times"/>
          <w:noProof/>
          <w:lang w:val="en-GB" w:eastAsia="en-GB"/>
        </w:rPr>
        <w:lastRenderedPageBreak/>
        <w:drawing>
          <wp:inline distT="0" distB="0" distL="0" distR="0" wp14:anchorId="62B44941" wp14:editId="396B1EC7">
            <wp:extent cx="2733675" cy="20006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9717" cy="2005044"/>
                    </a:xfrm>
                    <a:prstGeom prst="rect">
                      <a:avLst/>
                    </a:prstGeom>
                    <a:noFill/>
                    <a:ln>
                      <a:noFill/>
                    </a:ln>
                  </pic:spPr>
                </pic:pic>
              </a:graphicData>
            </a:graphic>
          </wp:inline>
        </w:drawing>
      </w:r>
      <w:r w:rsidRPr="00BD08AD">
        <w:rPr>
          <w:rFonts w:ascii="Times" w:hAnsi="Times"/>
        </w:rPr>
        <w:t xml:space="preserve"> </w:t>
      </w:r>
      <w:r w:rsidRPr="00BD08AD">
        <w:rPr>
          <w:rFonts w:ascii="Times" w:hAnsi="Times"/>
          <w:noProof/>
          <w:lang w:val="en-GB" w:eastAsia="en-GB"/>
        </w:rPr>
        <w:drawing>
          <wp:inline distT="0" distB="0" distL="0" distR="0" wp14:anchorId="5D887BCD" wp14:editId="58025A90">
            <wp:extent cx="2746181" cy="2009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192" cy="2017833"/>
                    </a:xfrm>
                    <a:prstGeom prst="rect">
                      <a:avLst/>
                    </a:prstGeom>
                    <a:noFill/>
                    <a:ln>
                      <a:noFill/>
                    </a:ln>
                  </pic:spPr>
                </pic:pic>
              </a:graphicData>
            </a:graphic>
          </wp:inline>
        </w:drawing>
      </w:r>
    </w:p>
    <w:p w14:paraId="20B66ED0" w14:textId="3B5E3BAC" w:rsidR="00EF7E3A" w:rsidRDefault="004A661E" w:rsidP="00EF7E3A">
      <w:pPr>
        <w:widowControl w:val="0"/>
        <w:autoSpaceDE w:val="0"/>
        <w:autoSpaceDN w:val="0"/>
        <w:adjustRightInd w:val="0"/>
        <w:spacing w:line="720" w:lineRule="auto"/>
        <w:jc w:val="both"/>
        <w:rPr>
          <w:rFonts w:ascii="Times" w:hAnsi="Times"/>
        </w:rPr>
      </w:pPr>
      <w:r w:rsidRPr="009C0B2C">
        <w:rPr>
          <w:rFonts w:ascii="Times" w:hAnsi="Times"/>
        </w:rPr>
        <w:t>There is thus evidence that both the educational and age composition of different</w:t>
      </w:r>
      <w:r w:rsidR="007F3B15" w:rsidRPr="009C0B2C">
        <w:rPr>
          <w:rFonts w:ascii="Times" w:hAnsi="Times"/>
        </w:rPr>
        <w:t xml:space="preserve"> areas had an influence on the</w:t>
      </w:r>
      <w:r w:rsidRPr="009C0B2C">
        <w:rPr>
          <w:rFonts w:ascii="Times" w:hAnsi="Times"/>
        </w:rPr>
        <w:t xml:space="preserve"> propensity </w:t>
      </w:r>
      <w:r w:rsidR="007F3B15" w:rsidRPr="009C0B2C">
        <w:rPr>
          <w:rFonts w:ascii="Times" w:hAnsi="Times"/>
        </w:rPr>
        <w:t xml:space="preserve">of residents </w:t>
      </w:r>
      <w:r w:rsidRPr="009C0B2C">
        <w:rPr>
          <w:rFonts w:ascii="Times" w:hAnsi="Times"/>
        </w:rPr>
        <w:t>to vote leave, though the pattern in London and Scotland may have been somewhat different. We can get a clearer idea of the joint impact of these different factors by carrying out a multivariate regression analysis. Places where th</w:t>
      </w:r>
      <w:r w:rsidR="00E3038B" w:rsidRPr="009C0B2C">
        <w:rPr>
          <w:rFonts w:ascii="Times" w:hAnsi="Times"/>
        </w:rPr>
        <w:t xml:space="preserve">ere are lots of young people might also be places where inhabitants have qualifications and are thus more highly educated. To what extent do </w:t>
      </w:r>
      <w:r w:rsidRPr="009C0B2C">
        <w:rPr>
          <w:rFonts w:ascii="Times" w:hAnsi="Times"/>
        </w:rPr>
        <w:t xml:space="preserve">both the age and educational composition of an area matter when we consider their impact </w:t>
      </w:r>
      <w:r w:rsidR="007F3B15" w:rsidRPr="009C0B2C">
        <w:rPr>
          <w:rFonts w:ascii="Times" w:hAnsi="Times"/>
        </w:rPr>
        <w:t xml:space="preserve">on </w:t>
      </w:r>
      <w:r w:rsidR="00E3038B" w:rsidRPr="009C0B2C">
        <w:rPr>
          <w:rFonts w:ascii="Times" w:hAnsi="Times"/>
        </w:rPr>
        <w:t>the Leave vote together?</w:t>
      </w:r>
    </w:p>
    <w:p w14:paraId="57ECBE7F" w14:textId="42DD359A" w:rsidR="008C3F52" w:rsidRDefault="00BD08AD" w:rsidP="00EF7E3A">
      <w:pPr>
        <w:widowControl w:val="0"/>
        <w:autoSpaceDE w:val="0"/>
        <w:autoSpaceDN w:val="0"/>
        <w:adjustRightInd w:val="0"/>
        <w:spacing w:line="720" w:lineRule="auto"/>
        <w:ind w:firstLine="720"/>
        <w:jc w:val="both"/>
        <w:rPr>
          <w:rFonts w:ascii="Times" w:hAnsi="Times"/>
        </w:rPr>
      </w:pPr>
      <w:r>
        <w:rPr>
          <w:rFonts w:ascii="Times" w:hAnsi="Times"/>
        </w:rPr>
        <w:t>Table 2</w:t>
      </w:r>
      <w:r w:rsidR="003A7811">
        <w:rPr>
          <w:rFonts w:ascii="Times" w:hAnsi="Times"/>
        </w:rPr>
        <w:t xml:space="preserve"> </w:t>
      </w:r>
      <w:r w:rsidR="004A661E" w:rsidRPr="009C0B2C">
        <w:rPr>
          <w:rFonts w:ascii="Times" w:hAnsi="Times"/>
        </w:rPr>
        <w:t>present</w:t>
      </w:r>
      <w:r w:rsidR="003A7811">
        <w:rPr>
          <w:rFonts w:ascii="Times" w:hAnsi="Times"/>
        </w:rPr>
        <w:t>s</w:t>
      </w:r>
      <w:r w:rsidR="004A661E" w:rsidRPr="009C0B2C">
        <w:rPr>
          <w:rFonts w:ascii="Times" w:hAnsi="Times"/>
        </w:rPr>
        <w:t xml:space="preserve"> results from a </w:t>
      </w:r>
      <w:r w:rsidR="00C048EE" w:rsidRPr="009C0B2C">
        <w:rPr>
          <w:rFonts w:ascii="Times" w:hAnsi="Times"/>
        </w:rPr>
        <w:t xml:space="preserve">series of </w:t>
      </w:r>
      <w:r w:rsidR="004A661E" w:rsidRPr="009C0B2C">
        <w:rPr>
          <w:rFonts w:ascii="Times" w:hAnsi="Times"/>
        </w:rPr>
        <w:t>linear regression model</w:t>
      </w:r>
      <w:r w:rsidR="00C048EE" w:rsidRPr="009C0B2C">
        <w:rPr>
          <w:rFonts w:ascii="Times" w:hAnsi="Times"/>
        </w:rPr>
        <w:t>s</w:t>
      </w:r>
      <w:r w:rsidR="004A661E" w:rsidRPr="009C0B2C">
        <w:rPr>
          <w:rFonts w:ascii="Times" w:hAnsi="Times"/>
        </w:rPr>
        <w:t xml:space="preserve">. </w:t>
      </w:r>
      <w:r w:rsidR="007F3B15" w:rsidRPr="009C0B2C">
        <w:rPr>
          <w:rFonts w:ascii="Times" w:hAnsi="Times"/>
        </w:rPr>
        <w:t>The dependent variable i</w:t>
      </w:r>
      <w:r w:rsidR="003A7811">
        <w:rPr>
          <w:rFonts w:ascii="Times" w:hAnsi="Times"/>
        </w:rPr>
        <w:t>s the level of support for leaving the EU</w:t>
      </w:r>
      <w:r w:rsidR="007F3B15" w:rsidRPr="009C0B2C">
        <w:rPr>
          <w:rFonts w:ascii="Times" w:hAnsi="Times"/>
        </w:rPr>
        <w:t xml:space="preserve">. </w:t>
      </w:r>
      <w:r w:rsidR="00EF7E3A">
        <w:rPr>
          <w:rFonts w:ascii="Times" w:hAnsi="Times"/>
        </w:rPr>
        <w:t>From Model 1 we</w:t>
      </w:r>
      <w:r w:rsidR="00C048EE" w:rsidRPr="009C0B2C">
        <w:rPr>
          <w:rFonts w:ascii="Times" w:hAnsi="Times"/>
        </w:rPr>
        <w:t xml:space="preserve"> see that b</w:t>
      </w:r>
      <w:r w:rsidR="004A661E" w:rsidRPr="009C0B2C">
        <w:rPr>
          <w:rFonts w:ascii="Times" w:hAnsi="Times"/>
        </w:rPr>
        <w:t>oth education and age have a significant effect on the</w:t>
      </w:r>
      <w:r w:rsidR="00EF7E3A">
        <w:rPr>
          <w:rFonts w:ascii="Times" w:hAnsi="Times"/>
        </w:rPr>
        <w:t xml:space="preserve"> Leave vote</w:t>
      </w:r>
      <w:r w:rsidR="004A661E" w:rsidRPr="009C0B2C">
        <w:rPr>
          <w:rFonts w:ascii="Times" w:hAnsi="Times"/>
        </w:rPr>
        <w:t xml:space="preserve">. </w:t>
      </w:r>
      <w:r w:rsidR="006B35CF" w:rsidRPr="009C0B2C">
        <w:rPr>
          <w:rFonts w:ascii="Times" w:hAnsi="Times"/>
        </w:rPr>
        <w:t>I</w:t>
      </w:r>
      <w:r w:rsidR="007F3B15" w:rsidRPr="009C0B2C">
        <w:rPr>
          <w:rFonts w:ascii="Times" w:hAnsi="Times"/>
        </w:rPr>
        <w:t>f anything</w:t>
      </w:r>
      <w:r w:rsidR="003A7811">
        <w:rPr>
          <w:rFonts w:ascii="Times" w:hAnsi="Times"/>
        </w:rPr>
        <w:t>,</w:t>
      </w:r>
      <w:r w:rsidR="007F3B15" w:rsidRPr="009C0B2C">
        <w:rPr>
          <w:rFonts w:ascii="Times" w:hAnsi="Times"/>
        </w:rPr>
        <w:t xml:space="preserve"> the effect of education on </w:t>
      </w:r>
      <w:r w:rsidR="003A7811">
        <w:rPr>
          <w:rFonts w:ascii="Times" w:hAnsi="Times"/>
        </w:rPr>
        <w:t xml:space="preserve">the Leave vote might have been </w:t>
      </w:r>
      <w:r w:rsidR="007F3B15" w:rsidRPr="009C0B2C">
        <w:rPr>
          <w:rFonts w:ascii="Times" w:hAnsi="Times"/>
        </w:rPr>
        <w:t>slightly stronger than the effect of age (at least at the aggregate level). But</w:t>
      </w:r>
      <w:r w:rsidR="00876BF9" w:rsidRPr="009C0B2C">
        <w:rPr>
          <w:rFonts w:ascii="Times" w:hAnsi="Times"/>
        </w:rPr>
        <w:t xml:space="preserve"> even in places where there were similar levels</w:t>
      </w:r>
      <w:r w:rsidR="003A7811">
        <w:rPr>
          <w:rFonts w:ascii="Times" w:hAnsi="Times"/>
        </w:rPr>
        <w:t xml:space="preserve"> of education, support for leaving the </w:t>
      </w:r>
      <w:r w:rsidR="00EF7E3A">
        <w:rPr>
          <w:rFonts w:ascii="Times" w:hAnsi="Times"/>
        </w:rPr>
        <w:t xml:space="preserve">EU </w:t>
      </w:r>
      <w:r w:rsidR="00876BF9" w:rsidRPr="009C0B2C">
        <w:rPr>
          <w:rFonts w:ascii="Times" w:hAnsi="Times"/>
        </w:rPr>
        <w:t>was noticeably higher in older communities than younger</w:t>
      </w:r>
      <w:r w:rsidR="00EF7E3A">
        <w:rPr>
          <w:rFonts w:ascii="Times" w:hAnsi="Times"/>
        </w:rPr>
        <w:t xml:space="preserve"> ones</w:t>
      </w:r>
      <w:r w:rsidR="00876BF9" w:rsidRPr="009C0B2C">
        <w:rPr>
          <w:rFonts w:ascii="Times" w:hAnsi="Times"/>
        </w:rPr>
        <w:t>.</w:t>
      </w:r>
      <w:r w:rsidR="007F3B15" w:rsidRPr="009C0B2C">
        <w:rPr>
          <w:rFonts w:ascii="Times" w:hAnsi="Times"/>
        </w:rPr>
        <w:t xml:space="preserve"> Lastly, taking into account </w:t>
      </w:r>
      <w:r w:rsidR="007F3B15" w:rsidRPr="009C0B2C">
        <w:rPr>
          <w:rFonts w:ascii="Times" w:hAnsi="Times"/>
        </w:rPr>
        <w:lastRenderedPageBreak/>
        <w:t xml:space="preserve">the education and </w:t>
      </w:r>
      <w:r w:rsidR="009E0EDC" w:rsidRPr="009C0B2C">
        <w:rPr>
          <w:rFonts w:ascii="Times" w:hAnsi="Times"/>
        </w:rPr>
        <w:t xml:space="preserve">age profiles of different areas </w:t>
      </w:r>
      <w:r w:rsidR="003A7811">
        <w:rPr>
          <w:rFonts w:ascii="Times" w:hAnsi="Times"/>
        </w:rPr>
        <w:t xml:space="preserve">the </w:t>
      </w:r>
      <w:r w:rsidR="007F3B15" w:rsidRPr="009C0B2C">
        <w:rPr>
          <w:rFonts w:ascii="Times" w:hAnsi="Times"/>
        </w:rPr>
        <w:t xml:space="preserve">Leave </w:t>
      </w:r>
      <w:r w:rsidR="003A7811">
        <w:rPr>
          <w:rFonts w:ascii="Times" w:hAnsi="Times"/>
        </w:rPr>
        <w:t xml:space="preserve">vote </w:t>
      </w:r>
      <w:r w:rsidR="007F3B15" w:rsidRPr="009C0B2C">
        <w:rPr>
          <w:rFonts w:ascii="Times" w:hAnsi="Times"/>
        </w:rPr>
        <w:t>was noticeably lowe</w:t>
      </w:r>
      <w:r w:rsidR="009E0EDC" w:rsidRPr="009C0B2C">
        <w:rPr>
          <w:rFonts w:ascii="Times" w:hAnsi="Times"/>
        </w:rPr>
        <w:t>r in London and Scotland than</w:t>
      </w:r>
      <w:r w:rsidR="007F3B15" w:rsidRPr="009C0B2C">
        <w:rPr>
          <w:rFonts w:ascii="Times" w:hAnsi="Times"/>
        </w:rPr>
        <w:t xml:space="preserve"> elsewhere. The results for Scotland are </w:t>
      </w:r>
      <w:r w:rsidR="003A7811">
        <w:rPr>
          <w:rFonts w:ascii="Times" w:hAnsi="Times"/>
        </w:rPr>
        <w:t xml:space="preserve">especially striking - </w:t>
      </w:r>
      <w:r w:rsidR="007F3B15" w:rsidRPr="009C0B2C">
        <w:rPr>
          <w:rFonts w:ascii="Times" w:hAnsi="Times"/>
        </w:rPr>
        <w:t>the Leave vote was some 22 percentage points lower than might have been expected given the educational and age profile of the country.</w:t>
      </w:r>
    </w:p>
    <w:p w14:paraId="4ADD0A28" w14:textId="3771D967" w:rsidR="00554241" w:rsidRPr="00EF7E3A" w:rsidRDefault="00554241" w:rsidP="00554241">
      <w:pPr>
        <w:rPr>
          <w:rFonts w:ascii="Times" w:hAnsi="Times" w:cs="Times"/>
        </w:rPr>
      </w:pPr>
      <w:r w:rsidRPr="00EF7E3A">
        <w:rPr>
          <w:rFonts w:ascii="Times" w:hAnsi="Times" w:cs="Times"/>
        </w:rPr>
        <w:t>Table 2 Multivariate Analysis of Support for Leave - Linear Regression</w:t>
      </w:r>
    </w:p>
    <w:p w14:paraId="1CDB8CE1" w14:textId="77777777" w:rsidR="00554241" w:rsidRPr="00EF7E3A" w:rsidRDefault="00554241" w:rsidP="00554241">
      <w:pPr>
        <w:spacing w:before="240" w:line="360" w:lineRule="auto"/>
        <w:jc w:val="center"/>
        <w:rPr>
          <w:rFonts w:ascii="Times" w:hAnsi="Times" w:cs="Times"/>
          <w:sz w:val="20"/>
          <w:szCs w:val="20"/>
        </w:rPr>
      </w:pPr>
    </w:p>
    <w:tbl>
      <w:tblPr>
        <w:tblStyle w:val="TableGrid"/>
        <w:tblW w:w="5000" w:type="pct"/>
        <w:tblLook w:val="04A0" w:firstRow="1" w:lastRow="0" w:firstColumn="1" w:lastColumn="0" w:noHBand="0" w:noVBand="1"/>
      </w:tblPr>
      <w:tblGrid>
        <w:gridCol w:w="1305"/>
        <w:gridCol w:w="966"/>
        <w:gridCol w:w="682"/>
        <w:gridCol w:w="966"/>
        <w:gridCol w:w="595"/>
        <w:gridCol w:w="866"/>
        <w:gridCol w:w="566"/>
        <w:gridCol w:w="966"/>
        <w:gridCol w:w="566"/>
        <w:gridCol w:w="966"/>
        <w:gridCol w:w="566"/>
      </w:tblGrid>
      <w:tr w:rsidR="00554241" w:rsidRPr="00EF7E3A" w14:paraId="5B445B57" w14:textId="77777777" w:rsidTr="00554241">
        <w:tc>
          <w:tcPr>
            <w:tcW w:w="716" w:type="pct"/>
          </w:tcPr>
          <w:p w14:paraId="2DB8603E" w14:textId="77777777" w:rsidR="00554241" w:rsidRPr="00EF7E3A" w:rsidRDefault="00554241" w:rsidP="0055226E">
            <w:pPr>
              <w:spacing w:line="360" w:lineRule="auto"/>
              <w:jc w:val="center"/>
              <w:rPr>
                <w:rFonts w:ascii="Times" w:hAnsi="Times" w:cs="Times"/>
                <w:sz w:val="20"/>
                <w:szCs w:val="20"/>
              </w:rPr>
            </w:pPr>
          </w:p>
        </w:tc>
        <w:tc>
          <w:tcPr>
            <w:tcW w:w="1025" w:type="pct"/>
            <w:gridSpan w:val="2"/>
          </w:tcPr>
          <w:p w14:paraId="1550EF76" w14:textId="77777777" w:rsidR="00554241" w:rsidRPr="00EF7E3A" w:rsidRDefault="00554241" w:rsidP="0055226E">
            <w:pPr>
              <w:spacing w:line="360" w:lineRule="auto"/>
              <w:jc w:val="center"/>
              <w:rPr>
                <w:rFonts w:ascii="Times" w:hAnsi="Times" w:cs="Times"/>
                <w:b/>
                <w:sz w:val="20"/>
                <w:szCs w:val="20"/>
              </w:rPr>
            </w:pPr>
            <w:r w:rsidRPr="00EF7E3A">
              <w:rPr>
                <w:rFonts w:ascii="Times" w:hAnsi="Times" w:cs="Times"/>
                <w:b/>
                <w:sz w:val="20"/>
                <w:szCs w:val="20"/>
              </w:rPr>
              <w:t xml:space="preserve">Model 1: </w:t>
            </w:r>
          </w:p>
          <w:p w14:paraId="5CFF398A" w14:textId="77777777" w:rsidR="00554241" w:rsidRPr="00EF7E3A" w:rsidRDefault="00554241" w:rsidP="0055226E">
            <w:pPr>
              <w:spacing w:line="360" w:lineRule="auto"/>
              <w:jc w:val="center"/>
              <w:rPr>
                <w:rFonts w:ascii="Times" w:hAnsi="Times" w:cs="Times"/>
                <w:b/>
                <w:sz w:val="20"/>
                <w:szCs w:val="20"/>
              </w:rPr>
            </w:pPr>
            <w:r w:rsidRPr="00EF7E3A">
              <w:rPr>
                <w:rFonts w:ascii="Times" w:hAnsi="Times" w:cs="Times"/>
                <w:b/>
                <w:sz w:val="20"/>
                <w:szCs w:val="20"/>
              </w:rPr>
              <w:t>Demographics</w:t>
            </w:r>
          </w:p>
        </w:tc>
        <w:tc>
          <w:tcPr>
            <w:tcW w:w="1032" w:type="pct"/>
            <w:gridSpan w:val="2"/>
          </w:tcPr>
          <w:p w14:paraId="464F3B66" w14:textId="77777777" w:rsidR="00554241" w:rsidRPr="00EF7E3A" w:rsidRDefault="00554241" w:rsidP="0055226E">
            <w:pPr>
              <w:spacing w:line="360" w:lineRule="auto"/>
              <w:jc w:val="center"/>
              <w:rPr>
                <w:rFonts w:ascii="Times" w:hAnsi="Times" w:cs="Times"/>
                <w:b/>
                <w:sz w:val="20"/>
                <w:szCs w:val="20"/>
              </w:rPr>
            </w:pPr>
            <w:r w:rsidRPr="00EF7E3A">
              <w:rPr>
                <w:rFonts w:ascii="Times" w:hAnsi="Times" w:cs="Times"/>
                <w:b/>
                <w:sz w:val="20"/>
                <w:szCs w:val="20"/>
              </w:rPr>
              <w:t>Model 2</w:t>
            </w:r>
            <w:r>
              <w:rPr>
                <w:rFonts w:ascii="Times" w:hAnsi="Times" w:cs="Times"/>
                <w:b/>
                <w:sz w:val="20"/>
                <w:szCs w:val="20"/>
              </w:rPr>
              <w:t>a</w:t>
            </w:r>
            <w:r w:rsidRPr="00EF7E3A">
              <w:rPr>
                <w:rFonts w:ascii="Times" w:hAnsi="Times" w:cs="Times"/>
                <w:b/>
                <w:sz w:val="20"/>
                <w:szCs w:val="20"/>
              </w:rPr>
              <w:t xml:space="preserve">: </w:t>
            </w:r>
          </w:p>
          <w:p w14:paraId="68A690D8" w14:textId="77777777" w:rsidR="00554241" w:rsidRPr="00EF7E3A" w:rsidRDefault="00554241" w:rsidP="0055226E">
            <w:pPr>
              <w:spacing w:line="360" w:lineRule="auto"/>
              <w:jc w:val="center"/>
              <w:rPr>
                <w:rFonts w:ascii="Times" w:hAnsi="Times" w:cs="Times"/>
                <w:b/>
                <w:sz w:val="20"/>
                <w:szCs w:val="20"/>
              </w:rPr>
            </w:pPr>
            <w:r w:rsidRPr="00EF7E3A">
              <w:rPr>
                <w:rFonts w:ascii="Times" w:hAnsi="Times" w:cs="Times"/>
                <w:b/>
                <w:sz w:val="20"/>
                <w:szCs w:val="20"/>
              </w:rPr>
              <w:t>EU Immig</w:t>
            </w:r>
            <w:bookmarkStart w:id="0" w:name="_GoBack"/>
            <w:bookmarkEnd w:id="0"/>
            <w:r w:rsidRPr="00EF7E3A">
              <w:rPr>
                <w:rFonts w:ascii="Times" w:hAnsi="Times" w:cs="Times"/>
                <w:b/>
                <w:sz w:val="20"/>
                <w:szCs w:val="20"/>
              </w:rPr>
              <w:t>ration</w:t>
            </w:r>
          </w:p>
        </w:tc>
        <w:tc>
          <w:tcPr>
            <w:tcW w:w="879" w:type="pct"/>
            <w:gridSpan w:val="2"/>
          </w:tcPr>
          <w:p w14:paraId="590F91AC" w14:textId="77777777" w:rsidR="00554241" w:rsidRPr="00EF7E3A" w:rsidRDefault="00554241" w:rsidP="0055226E">
            <w:pPr>
              <w:spacing w:line="360" w:lineRule="auto"/>
              <w:jc w:val="center"/>
              <w:rPr>
                <w:rFonts w:ascii="Times" w:hAnsi="Times" w:cs="Times"/>
                <w:b/>
                <w:sz w:val="20"/>
                <w:szCs w:val="20"/>
              </w:rPr>
            </w:pPr>
            <w:r w:rsidRPr="00EF7E3A">
              <w:rPr>
                <w:rFonts w:ascii="Times" w:hAnsi="Times" w:cs="Times"/>
                <w:b/>
                <w:sz w:val="20"/>
                <w:szCs w:val="20"/>
              </w:rPr>
              <w:t>Model 2</w:t>
            </w:r>
            <w:r>
              <w:rPr>
                <w:rFonts w:ascii="Times" w:hAnsi="Times" w:cs="Times"/>
                <w:b/>
                <w:sz w:val="20"/>
                <w:szCs w:val="20"/>
              </w:rPr>
              <w:t>b</w:t>
            </w:r>
            <w:r w:rsidRPr="00EF7E3A">
              <w:rPr>
                <w:rFonts w:ascii="Times" w:hAnsi="Times" w:cs="Times"/>
                <w:b/>
                <w:sz w:val="20"/>
                <w:szCs w:val="20"/>
              </w:rPr>
              <w:t xml:space="preserve">: </w:t>
            </w:r>
            <w:r>
              <w:rPr>
                <w:rFonts w:ascii="Times" w:hAnsi="Times" w:cs="Times"/>
                <w:b/>
                <w:sz w:val="20"/>
                <w:szCs w:val="20"/>
              </w:rPr>
              <w:t>E&amp;W</w:t>
            </w:r>
          </w:p>
          <w:p w14:paraId="45546035" w14:textId="77777777" w:rsidR="00554241" w:rsidRPr="00EF7E3A" w:rsidRDefault="00554241" w:rsidP="0055226E">
            <w:pPr>
              <w:spacing w:line="360" w:lineRule="auto"/>
              <w:jc w:val="center"/>
              <w:rPr>
                <w:rFonts w:ascii="Times" w:hAnsi="Times" w:cs="Times"/>
                <w:b/>
                <w:sz w:val="20"/>
                <w:szCs w:val="20"/>
              </w:rPr>
            </w:pPr>
            <w:r w:rsidRPr="00EF7E3A">
              <w:rPr>
                <w:rFonts w:ascii="Times" w:hAnsi="Times" w:cs="Times"/>
                <w:b/>
                <w:sz w:val="20"/>
                <w:szCs w:val="20"/>
              </w:rPr>
              <w:t>EU Immigration</w:t>
            </w:r>
            <w:r>
              <w:rPr>
                <w:rFonts w:ascii="Times" w:hAnsi="Times" w:cs="Times"/>
                <w:b/>
                <w:sz w:val="20"/>
                <w:szCs w:val="20"/>
              </w:rPr>
              <w:t xml:space="preserve"> change</w:t>
            </w:r>
          </w:p>
        </w:tc>
        <w:tc>
          <w:tcPr>
            <w:tcW w:w="683" w:type="pct"/>
            <w:gridSpan w:val="2"/>
          </w:tcPr>
          <w:p w14:paraId="50FB9A3C" w14:textId="77777777" w:rsidR="00554241" w:rsidRPr="00EF7E3A" w:rsidRDefault="00554241" w:rsidP="0055226E">
            <w:pPr>
              <w:spacing w:line="360" w:lineRule="auto"/>
              <w:jc w:val="center"/>
              <w:rPr>
                <w:rFonts w:ascii="Times" w:hAnsi="Times" w:cs="Times"/>
                <w:b/>
                <w:sz w:val="20"/>
                <w:szCs w:val="20"/>
              </w:rPr>
            </w:pPr>
            <w:r w:rsidRPr="00EF7E3A">
              <w:rPr>
                <w:rFonts w:ascii="Times" w:hAnsi="Times" w:cs="Times"/>
                <w:b/>
                <w:sz w:val="20"/>
                <w:szCs w:val="20"/>
              </w:rPr>
              <w:t xml:space="preserve">Model 3: </w:t>
            </w:r>
          </w:p>
          <w:p w14:paraId="5F58C67D" w14:textId="77777777" w:rsidR="00554241" w:rsidRPr="00EF7E3A" w:rsidRDefault="00554241" w:rsidP="0055226E">
            <w:pPr>
              <w:spacing w:line="360" w:lineRule="auto"/>
              <w:jc w:val="center"/>
              <w:rPr>
                <w:rFonts w:ascii="Times" w:hAnsi="Times" w:cs="Times"/>
                <w:b/>
                <w:sz w:val="20"/>
                <w:szCs w:val="20"/>
              </w:rPr>
            </w:pPr>
            <w:r w:rsidRPr="00EF7E3A">
              <w:rPr>
                <w:rFonts w:ascii="Times" w:hAnsi="Times" w:cs="Times"/>
                <w:b/>
                <w:sz w:val="20"/>
                <w:szCs w:val="20"/>
              </w:rPr>
              <w:t>Ethnic diversity</w:t>
            </w:r>
          </w:p>
        </w:tc>
        <w:tc>
          <w:tcPr>
            <w:tcW w:w="665" w:type="pct"/>
            <w:gridSpan w:val="2"/>
          </w:tcPr>
          <w:p w14:paraId="6BC38951" w14:textId="77777777" w:rsidR="00554241" w:rsidRPr="00EF7E3A" w:rsidRDefault="00554241" w:rsidP="0055226E">
            <w:pPr>
              <w:spacing w:line="360" w:lineRule="auto"/>
              <w:jc w:val="center"/>
              <w:rPr>
                <w:rFonts w:ascii="Times" w:hAnsi="Times" w:cs="Times"/>
                <w:b/>
                <w:sz w:val="20"/>
                <w:szCs w:val="20"/>
              </w:rPr>
            </w:pPr>
            <w:r w:rsidRPr="00EF7E3A">
              <w:rPr>
                <w:rFonts w:ascii="Times" w:hAnsi="Times" w:cs="Times"/>
                <w:b/>
                <w:sz w:val="20"/>
                <w:szCs w:val="20"/>
              </w:rPr>
              <w:t xml:space="preserve">Model 4: </w:t>
            </w:r>
          </w:p>
          <w:p w14:paraId="4777D572" w14:textId="77777777" w:rsidR="00554241" w:rsidRPr="00EF7E3A" w:rsidRDefault="00554241" w:rsidP="0055226E">
            <w:pPr>
              <w:spacing w:line="360" w:lineRule="auto"/>
              <w:jc w:val="center"/>
              <w:rPr>
                <w:rFonts w:ascii="Times" w:hAnsi="Times" w:cs="Times"/>
                <w:b/>
                <w:sz w:val="20"/>
                <w:szCs w:val="20"/>
              </w:rPr>
            </w:pPr>
            <w:r w:rsidRPr="00EF7E3A">
              <w:rPr>
                <w:rFonts w:ascii="Times" w:hAnsi="Times" w:cs="Times"/>
                <w:b/>
                <w:sz w:val="20"/>
                <w:szCs w:val="20"/>
              </w:rPr>
              <w:t>Ukip</w:t>
            </w:r>
          </w:p>
        </w:tc>
      </w:tr>
      <w:tr w:rsidR="00554241" w:rsidRPr="00EF7E3A" w14:paraId="1F2D2AA2" w14:textId="77777777" w:rsidTr="00554241">
        <w:tc>
          <w:tcPr>
            <w:tcW w:w="716" w:type="pct"/>
          </w:tcPr>
          <w:p w14:paraId="68710C25" w14:textId="77777777" w:rsidR="00554241" w:rsidRPr="00EF7E3A" w:rsidRDefault="00554241" w:rsidP="0055226E">
            <w:pPr>
              <w:spacing w:line="360" w:lineRule="auto"/>
              <w:jc w:val="center"/>
              <w:rPr>
                <w:rFonts w:ascii="Times" w:hAnsi="Times" w:cs="Times"/>
                <w:sz w:val="20"/>
                <w:szCs w:val="20"/>
              </w:rPr>
            </w:pPr>
          </w:p>
        </w:tc>
        <w:tc>
          <w:tcPr>
            <w:tcW w:w="419" w:type="pct"/>
          </w:tcPr>
          <w:p w14:paraId="53EBC4BA"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Coef.</w:t>
            </w:r>
          </w:p>
        </w:tc>
        <w:tc>
          <w:tcPr>
            <w:tcW w:w="606" w:type="pct"/>
          </w:tcPr>
          <w:p w14:paraId="16E6F2E2"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Std. Err.</w:t>
            </w:r>
          </w:p>
        </w:tc>
        <w:tc>
          <w:tcPr>
            <w:tcW w:w="475" w:type="pct"/>
          </w:tcPr>
          <w:p w14:paraId="35007D60"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Coef.</w:t>
            </w:r>
          </w:p>
        </w:tc>
        <w:tc>
          <w:tcPr>
            <w:tcW w:w="557" w:type="pct"/>
          </w:tcPr>
          <w:p w14:paraId="6ED6AB55"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Std. Err.</w:t>
            </w:r>
          </w:p>
        </w:tc>
        <w:tc>
          <w:tcPr>
            <w:tcW w:w="451" w:type="pct"/>
          </w:tcPr>
          <w:p w14:paraId="3C77C574"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Coef.</w:t>
            </w:r>
          </w:p>
        </w:tc>
        <w:tc>
          <w:tcPr>
            <w:tcW w:w="428" w:type="pct"/>
          </w:tcPr>
          <w:p w14:paraId="59DECA6E"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Std. Err.</w:t>
            </w:r>
          </w:p>
        </w:tc>
        <w:tc>
          <w:tcPr>
            <w:tcW w:w="364" w:type="pct"/>
          </w:tcPr>
          <w:p w14:paraId="5308CF40"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Coef.</w:t>
            </w:r>
          </w:p>
        </w:tc>
        <w:tc>
          <w:tcPr>
            <w:tcW w:w="319" w:type="pct"/>
          </w:tcPr>
          <w:p w14:paraId="1403BCAB"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Std. Err.</w:t>
            </w:r>
          </w:p>
        </w:tc>
        <w:tc>
          <w:tcPr>
            <w:tcW w:w="355" w:type="pct"/>
          </w:tcPr>
          <w:p w14:paraId="6E69AD9B"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Coef.</w:t>
            </w:r>
          </w:p>
        </w:tc>
        <w:tc>
          <w:tcPr>
            <w:tcW w:w="310" w:type="pct"/>
          </w:tcPr>
          <w:p w14:paraId="67360A11"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Std. Err.</w:t>
            </w:r>
          </w:p>
        </w:tc>
      </w:tr>
      <w:tr w:rsidR="00554241" w:rsidRPr="00EF7E3A" w14:paraId="0985B5EF" w14:textId="77777777" w:rsidTr="00554241">
        <w:tc>
          <w:tcPr>
            <w:tcW w:w="716" w:type="pct"/>
          </w:tcPr>
          <w:p w14:paraId="22C95761" w14:textId="77777777" w:rsidR="00554241" w:rsidRPr="00EF7E3A" w:rsidRDefault="00554241" w:rsidP="0055226E">
            <w:pPr>
              <w:spacing w:line="360" w:lineRule="auto"/>
              <w:rPr>
                <w:rFonts w:ascii="Times" w:hAnsi="Times" w:cs="Times"/>
                <w:sz w:val="20"/>
                <w:szCs w:val="20"/>
              </w:rPr>
            </w:pPr>
            <w:r w:rsidRPr="00EF7E3A">
              <w:rPr>
                <w:rFonts w:ascii="Times" w:hAnsi="Times" w:cs="Times"/>
                <w:sz w:val="20"/>
                <w:szCs w:val="20"/>
              </w:rPr>
              <w:t>% Age 65 and over</w:t>
            </w:r>
          </w:p>
        </w:tc>
        <w:tc>
          <w:tcPr>
            <w:tcW w:w="419" w:type="pct"/>
          </w:tcPr>
          <w:p w14:paraId="2129E581"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0.30***</w:t>
            </w:r>
          </w:p>
        </w:tc>
        <w:tc>
          <w:tcPr>
            <w:tcW w:w="606" w:type="pct"/>
          </w:tcPr>
          <w:p w14:paraId="5F56415B"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0.09</w:t>
            </w:r>
          </w:p>
        </w:tc>
        <w:tc>
          <w:tcPr>
            <w:tcW w:w="475" w:type="pct"/>
          </w:tcPr>
          <w:p w14:paraId="0B162271"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0.23**</w:t>
            </w:r>
          </w:p>
        </w:tc>
        <w:tc>
          <w:tcPr>
            <w:tcW w:w="557" w:type="pct"/>
          </w:tcPr>
          <w:p w14:paraId="6B340F7B"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0.10</w:t>
            </w:r>
          </w:p>
        </w:tc>
        <w:tc>
          <w:tcPr>
            <w:tcW w:w="451" w:type="pct"/>
          </w:tcPr>
          <w:p w14:paraId="4742D7FF"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0.30**</w:t>
            </w:r>
          </w:p>
        </w:tc>
        <w:tc>
          <w:tcPr>
            <w:tcW w:w="428" w:type="pct"/>
          </w:tcPr>
          <w:p w14:paraId="6A652448"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0.11</w:t>
            </w:r>
          </w:p>
        </w:tc>
        <w:tc>
          <w:tcPr>
            <w:tcW w:w="364" w:type="pct"/>
          </w:tcPr>
          <w:p w14:paraId="452DC568"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0.19*</w:t>
            </w:r>
          </w:p>
        </w:tc>
        <w:tc>
          <w:tcPr>
            <w:tcW w:w="319" w:type="pct"/>
          </w:tcPr>
          <w:p w14:paraId="07FB0C2A"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0.11</w:t>
            </w:r>
          </w:p>
        </w:tc>
        <w:tc>
          <w:tcPr>
            <w:tcW w:w="355" w:type="pct"/>
          </w:tcPr>
          <w:p w14:paraId="450E5184"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-0.33***</w:t>
            </w:r>
          </w:p>
        </w:tc>
        <w:tc>
          <w:tcPr>
            <w:tcW w:w="310" w:type="pct"/>
          </w:tcPr>
          <w:p w14:paraId="515A1FE0"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0.68</w:t>
            </w:r>
          </w:p>
        </w:tc>
      </w:tr>
      <w:tr w:rsidR="00554241" w:rsidRPr="00EF7E3A" w14:paraId="084EBF17" w14:textId="77777777" w:rsidTr="00554241">
        <w:tc>
          <w:tcPr>
            <w:tcW w:w="716" w:type="pct"/>
          </w:tcPr>
          <w:p w14:paraId="69A15854" w14:textId="77777777" w:rsidR="00554241" w:rsidRPr="00EF7E3A" w:rsidRDefault="00554241" w:rsidP="0055226E">
            <w:pPr>
              <w:spacing w:line="360" w:lineRule="auto"/>
              <w:rPr>
                <w:rFonts w:ascii="Times" w:hAnsi="Times" w:cs="Times"/>
                <w:sz w:val="20"/>
                <w:szCs w:val="20"/>
              </w:rPr>
            </w:pPr>
            <w:r w:rsidRPr="00EF7E3A">
              <w:rPr>
                <w:rFonts w:ascii="Times" w:hAnsi="Times" w:cs="Times"/>
                <w:sz w:val="20"/>
                <w:szCs w:val="20"/>
              </w:rPr>
              <w:t>% no qualifications</w:t>
            </w:r>
          </w:p>
        </w:tc>
        <w:tc>
          <w:tcPr>
            <w:tcW w:w="419" w:type="pct"/>
          </w:tcPr>
          <w:p w14:paraId="6DC68BCB"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1.16***</w:t>
            </w:r>
          </w:p>
        </w:tc>
        <w:tc>
          <w:tcPr>
            <w:tcW w:w="606" w:type="pct"/>
          </w:tcPr>
          <w:p w14:paraId="74EDDF8E"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0.06</w:t>
            </w:r>
          </w:p>
        </w:tc>
        <w:tc>
          <w:tcPr>
            <w:tcW w:w="475" w:type="pct"/>
          </w:tcPr>
          <w:p w14:paraId="64A651AE"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1.12***</w:t>
            </w:r>
          </w:p>
        </w:tc>
        <w:tc>
          <w:tcPr>
            <w:tcW w:w="557" w:type="pct"/>
          </w:tcPr>
          <w:p w14:paraId="5B986D3B"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0.07</w:t>
            </w:r>
          </w:p>
        </w:tc>
        <w:tc>
          <w:tcPr>
            <w:tcW w:w="451" w:type="pct"/>
          </w:tcPr>
          <w:p w14:paraId="01A3554B"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1.07***</w:t>
            </w:r>
          </w:p>
        </w:tc>
        <w:tc>
          <w:tcPr>
            <w:tcW w:w="428" w:type="pct"/>
          </w:tcPr>
          <w:p w14:paraId="720BBE17"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0.08</w:t>
            </w:r>
          </w:p>
        </w:tc>
        <w:tc>
          <w:tcPr>
            <w:tcW w:w="364" w:type="pct"/>
          </w:tcPr>
          <w:p w14:paraId="478859C3"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1.16***</w:t>
            </w:r>
          </w:p>
        </w:tc>
        <w:tc>
          <w:tcPr>
            <w:tcW w:w="319" w:type="pct"/>
          </w:tcPr>
          <w:p w14:paraId="54E87850"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0.06</w:t>
            </w:r>
          </w:p>
        </w:tc>
        <w:tc>
          <w:tcPr>
            <w:tcW w:w="355" w:type="pct"/>
          </w:tcPr>
          <w:p w14:paraId="755C732B"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0.76***</w:t>
            </w:r>
          </w:p>
        </w:tc>
        <w:tc>
          <w:tcPr>
            <w:tcW w:w="310" w:type="pct"/>
          </w:tcPr>
          <w:p w14:paraId="76BB3E37"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0.05</w:t>
            </w:r>
          </w:p>
        </w:tc>
      </w:tr>
      <w:tr w:rsidR="00554241" w:rsidRPr="00EF7E3A" w14:paraId="4B278992" w14:textId="77777777" w:rsidTr="00554241">
        <w:tc>
          <w:tcPr>
            <w:tcW w:w="716" w:type="pct"/>
          </w:tcPr>
          <w:p w14:paraId="5005999D" w14:textId="77777777" w:rsidR="00554241" w:rsidRPr="00EF7E3A" w:rsidRDefault="00554241" w:rsidP="0055226E">
            <w:pPr>
              <w:spacing w:line="360" w:lineRule="auto"/>
              <w:rPr>
                <w:rFonts w:ascii="Times" w:hAnsi="Times" w:cs="Times"/>
                <w:sz w:val="20"/>
                <w:szCs w:val="20"/>
              </w:rPr>
            </w:pPr>
            <w:r w:rsidRPr="00EF7E3A">
              <w:rPr>
                <w:rFonts w:ascii="Times" w:hAnsi="Times" w:cs="Times"/>
                <w:sz w:val="20"/>
                <w:szCs w:val="20"/>
              </w:rPr>
              <w:t>% EU migrants</w:t>
            </w:r>
          </w:p>
        </w:tc>
        <w:tc>
          <w:tcPr>
            <w:tcW w:w="419" w:type="pct"/>
          </w:tcPr>
          <w:p w14:paraId="01E30816" w14:textId="77777777" w:rsidR="00554241" w:rsidRPr="00EF7E3A" w:rsidRDefault="00554241" w:rsidP="0055226E">
            <w:pPr>
              <w:spacing w:line="360" w:lineRule="auto"/>
              <w:jc w:val="center"/>
              <w:rPr>
                <w:rFonts w:ascii="Times" w:hAnsi="Times" w:cs="Times"/>
                <w:sz w:val="20"/>
                <w:szCs w:val="20"/>
              </w:rPr>
            </w:pPr>
          </w:p>
        </w:tc>
        <w:tc>
          <w:tcPr>
            <w:tcW w:w="606" w:type="pct"/>
          </w:tcPr>
          <w:p w14:paraId="7DB9E49E" w14:textId="77777777" w:rsidR="00554241" w:rsidRPr="00EF7E3A" w:rsidRDefault="00554241" w:rsidP="0055226E">
            <w:pPr>
              <w:spacing w:line="360" w:lineRule="auto"/>
              <w:jc w:val="center"/>
              <w:rPr>
                <w:rFonts w:ascii="Times" w:hAnsi="Times" w:cs="Times"/>
                <w:sz w:val="20"/>
                <w:szCs w:val="20"/>
              </w:rPr>
            </w:pPr>
          </w:p>
        </w:tc>
        <w:tc>
          <w:tcPr>
            <w:tcW w:w="475" w:type="pct"/>
          </w:tcPr>
          <w:p w14:paraId="5F847D2E"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-0.36*</w:t>
            </w:r>
          </w:p>
        </w:tc>
        <w:tc>
          <w:tcPr>
            <w:tcW w:w="557" w:type="pct"/>
          </w:tcPr>
          <w:p w14:paraId="78C34152"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0.19</w:t>
            </w:r>
          </w:p>
        </w:tc>
        <w:tc>
          <w:tcPr>
            <w:tcW w:w="451" w:type="pct"/>
          </w:tcPr>
          <w:p w14:paraId="75ADF167"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-0.61**</w:t>
            </w:r>
          </w:p>
        </w:tc>
        <w:tc>
          <w:tcPr>
            <w:tcW w:w="428" w:type="pct"/>
          </w:tcPr>
          <w:p w14:paraId="2D12FE1F"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0.23</w:t>
            </w:r>
          </w:p>
        </w:tc>
        <w:tc>
          <w:tcPr>
            <w:tcW w:w="364" w:type="pct"/>
          </w:tcPr>
          <w:p w14:paraId="4CABAEEC" w14:textId="77777777" w:rsidR="00554241" w:rsidRPr="00EF7E3A" w:rsidRDefault="00554241" w:rsidP="0055226E">
            <w:pPr>
              <w:spacing w:line="360" w:lineRule="auto"/>
              <w:jc w:val="center"/>
              <w:rPr>
                <w:rFonts w:ascii="Times" w:hAnsi="Times" w:cs="Times"/>
                <w:sz w:val="20"/>
                <w:szCs w:val="20"/>
              </w:rPr>
            </w:pPr>
          </w:p>
        </w:tc>
        <w:tc>
          <w:tcPr>
            <w:tcW w:w="319" w:type="pct"/>
          </w:tcPr>
          <w:p w14:paraId="71626E65" w14:textId="77777777" w:rsidR="00554241" w:rsidRPr="00EF7E3A" w:rsidRDefault="00554241" w:rsidP="0055226E">
            <w:pPr>
              <w:spacing w:line="360" w:lineRule="auto"/>
              <w:jc w:val="center"/>
              <w:rPr>
                <w:rFonts w:ascii="Times" w:hAnsi="Times" w:cs="Times"/>
                <w:sz w:val="20"/>
                <w:szCs w:val="20"/>
              </w:rPr>
            </w:pPr>
          </w:p>
        </w:tc>
        <w:tc>
          <w:tcPr>
            <w:tcW w:w="355" w:type="pct"/>
          </w:tcPr>
          <w:p w14:paraId="683210A6"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-0.34***</w:t>
            </w:r>
          </w:p>
        </w:tc>
        <w:tc>
          <w:tcPr>
            <w:tcW w:w="310" w:type="pct"/>
          </w:tcPr>
          <w:p w14:paraId="63B5A92A"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0.12</w:t>
            </w:r>
          </w:p>
        </w:tc>
      </w:tr>
      <w:tr w:rsidR="00554241" w:rsidRPr="00EF7E3A" w14:paraId="186984F2" w14:textId="77777777" w:rsidTr="00554241">
        <w:tc>
          <w:tcPr>
            <w:tcW w:w="716" w:type="pct"/>
          </w:tcPr>
          <w:p w14:paraId="46D593A9" w14:textId="77777777" w:rsidR="00554241" w:rsidRPr="00EF7E3A" w:rsidRDefault="00554241" w:rsidP="0055226E">
            <w:pPr>
              <w:spacing w:line="360" w:lineRule="auto"/>
              <w:rPr>
                <w:rFonts w:ascii="Times" w:hAnsi="Times" w:cs="Times"/>
                <w:sz w:val="20"/>
                <w:szCs w:val="20"/>
              </w:rPr>
            </w:pPr>
            <w:r>
              <w:rPr>
                <w:rFonts w:ascii="Times" w:hAnsi="Times" w:cs="Times"/>
                <w:sz w:val="20"/>
                <w:szCs w:val="20"/>
              </w:rPr>
              <w:t>Change in EU migrants</w:t>
            </w:r>
          </w:p>
        </w:tc>
        <w:tc>
          <w:tcPr>
            <w:tcW w:w="419" w:type="pct"/>
          </w:tcPr>
          <w:p w14:paraId="0A8E8A46" w14:textId="77777777" w:rsidR="00554241" w:rsidRPr="00EF7E3A" w:rsidRDefault="00554241" w:rsidP="0055226E">
            <w:pPr>
              <w:spacing w:line="360" w:lineRule="auto"/>
              <w:jc w:val="center"/>
              <w:rPr>
                <w:rFonts w:ascii="Times" w:hAnsi="Times" w:cs="Times"/>
                <w:sz w:val="20"/>
                <w:szCs w:val="20"/>
              </w:rPr>
            </w:pPr>
          </w:p>
        </w:tc>
        <w:tc>
          <w:tcPr>
            <w:tcW w:w="606" w:type="pct"/>
          </w:tcPr>
          <w:p w14:paraId="195B44AC" w14:textId="77777777" w:rsidR="00554241" w:rsidRPr="00EF7E3A" w:rsidRDefault="00554241" w:rsidP="0055226E">
            <w:pPr>
              <w:spacing w:line="360" w:lineRule="auto"/>
              <w:jc w:val="center"/>
              <w:rPr>
                <w:rFonts w:ascii="Times" w:hAnsi="Times" w:cs="Times"/>
                <w:sz w:val="20"/>
                <w:szCs w:val="20"/>
              </w:rPr>
            </w:pPr>
          </w:p>
        </w:tc>
        <w:tc>
          <w:tcPr>
            <w:tcW w:w="475" w:type="pct"/>
          </w:tcPr>
          <w:p w14:paraId="5D663886" w14:textId="77777777" w:rsidR="00554241" w:rsidRPr="00EF7E3A" w:rsidRDefault="00554241" w:rsidP="0055226E">
            <w:pPr>
              <w:spacing w:line="360" w:lineRule="auto"/>
              <w:jc w:val="center"/>
              <w:rPr>
                <w:rFonts w:ascii="Times" w:hAnsi="Times" w:cs="Times"/>
                <w:sz w:val="20"/>
                <w:szCs w:val="20"/>
              </w:rPr>
            </w:pPr>
          </w:p>
        </w:tc>
        <w:tc>
          <w:tcPr>
            <w:tcW w:w="557" w:type="pct"/>
          </w:tcPr>
          <w:p w14:paraId="359355CE" w14:textId="77777777" w:rsidR="00554241" w:rsidRPr="00EF7E3A" w:rsidRDefault="00554241" w:rsidP="0055226E">
            <w:pPr>
              <w:spacing w:line="360" w:lineRule="auto"/>
              <w:jc w:val="center"/>
              <w:rPr>
                <w:rFonts w:ascii="Times" w:hAnsi="Times" w:cs="Times"/>
                <w:sz w:val="20"/>
                <w:szCs w:val="20"/>
              </w:rPr>
            </w:pPr>
          </w:p>
        </w:tc>
        <w:tc>
          <w:tcPr>
            <w:tcW w:w="451" w:type="pct"/>
          </w:tcPr>
          <w:p w14:paraId="704F939A"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0.51**</w:t>
            </w:r>
          </w:p>
        </w:tc>
        <w:tc>
          <w:tcPr>
            <w:tcW w:w="428" w:type="pct"/>
          </w:tcPr>
          <w:p w14:paraId="37DE7DFF"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0.19</w:t>
            </w:r>
          </w:p>
        </w:tc>
        <w:tc>
          <w:tcPr>
            <w:tcW w:w="364" w:type="pct"/>
          </w:tcPr>
          <w:p w14:paraId="6D946DA2" w14:textId="77777777" w:rsidR="00554241" w:rsidRPr="00EF7E3A" w:rsidRDefault="00554241" w:rsidP="0055226E">
            <w:pPr>
              <w:spacing w:line="360" w:lineRule="auto"/>
              <w:jc w:val="center"/>
              <w:rPr>
                <w:rFonts w:ascii="Times" w:hAnsi="Times" w:cs="Times"/>
                <w:sz w:val="20"/>
                <w:szCs w:val="20"/>
              </w:rPr>
            </w:pPr>
          </w:p>
        </w:tc>
        <w:tc>
          <w:tcPr>
            <w:tcW w:w="319" w:type="pct"/>
          </w:tcPr>
          <w:p w14:paraId="723EE36C" w14:textId="77777777" w:rsidR="00554241" w:rsidRPr="00EF7E3A" w:rsidRDefault="00554241" w:rsidP="0055226E">
            <w:pPr>
              <w:spacing w:line="360" w:lineRule="auto"/>
              <w:jc w:val="center"/>
              <w:rPr>
                <w:rFonts w:ascii="Times" w:hAnsi="Times" w:cs="Times"/>
                <w:sz w:val="20"/>
                <w:szCs w:val="20"/>
              </w:rPr>
            </w:pPr>
          </w:p>
        </w:tc>
        <w:tc>
          <w:tcPr>
            <w:tcW w:w="355" w:type="pct"/>
          </w:tcPr>
          <w:p w14:paraId="71A7A4EF" w14:textId="77777777" w:rsidR="00554241" w:rsidRPr="00EF7E3A" w:rsidRDefault="00554241" w:rsidP="0055226E">
            <w:pPr>
              <w:spacing w:line="360" w:lineRule="auto"/>
              <w:jc w:val="center"/>
              <w:rPr>
                <w:rFonts w:ascii="Times" w:hAnsi="Times" w:cs="Times"/>
                <w:sz w:val="20"/>
                <w:szCs w:val="20"/>
              </w:rPr>
            </w:pPr>
          </w:p>
        </w:tc>
        <w:tc>
          <w:tcPr>
            <w:tcW w:w="310" w:type="pct"/>
          </w:tcPr>
          <w:p w14:paraId="476F6B05" w14:textId="77777777" w:rsidR="00554241" w:rsidRPr="00EF7E3A" w:rsidRDefault="00554241" w:rsidP="0055226E">
            <w:pPr>
              <w:spacing w:line="360" w:lineRule="auto"/>
              <w:jc w:val="center"/>
              <w:rPr>
                <w:rFonts w:ascii="Times" w:hAnsi="Times" w:cs="Times"/>
                <w:sz w:val="20"/>
                <w:szCs w:val="20"/>
              </w:rPr>
            </w:pPr>
          </w:p>
        </w:tc>
      </w:tr>
      <w:tr w:rsidR="00554241" w:rsidRPr="00EF7E3A" w14:paraId="3BD0BC4E" w14:textId="77777777" w:rsidTr="00554241">
        <w:tc>
          <w:tcPr>
            <w:tcW w:w="716" w:type="pct"/>
          </w:tcPr>
          <w:p w14:paraId="231E017F" w14:textId="77777777" w:rsidR="00554241" w:rsidRPr="00EF7E3A" w:rsidRDefault="00554241" w:rsidP="0055226E">
            <w:pPr>
              <w:spacing w:line="360" w:lineRule="auto"/>
              <w:rPr>
                <w:rFonts w:ascii="Times" w:hAnsi="Times" w:cs="Times"/>
                <w:sz w:val="20"/>
                <w:szCs w:val="20"/>
              </w:rPr>
            </w:pPr>
            <w:r w:rsidRPr="00EF7E3A">
              <w:rPr>
                <w:rFonts w:ascii="Times" w:hAnsi="Times" w:cs="Times"/>
                <w:sz w:val="20"/>
                <w:szCs w:val="20"/>
              </w:rPr>
              <w:t>% non-white</w:t>
            </w:r>
          </w:p>
        </w:tc>
        <w:tc>
          <w:tcPr>
            <w:tcW w:w="419" w:type="pct"/>
          </w:tcPr>
          <w:p w14:paraId="512C26D9" w14:textId="77777777" w:rsidR="00554241" w:rsidRPr="00EF7E3A" w:rsidRDefault="00554241" w:rsidP="0055226E">
            <w:pPr>
              <w:spacing w:line="360" w:lineRule="auto"/>
              <w:jc w:val="center"/>
              <w:rPr>
                <w:rFonts w:ascii="Times" w:hAnsi="Times" w:cs="Times"/>
                <w:sz w:val="20"/>
                <w:szCs w:val="20"/>
              </w:rPr>
            </w:pPr>
          </w:p>
        </w:tc>
        <w:tc>
          <w:tcPr>
            <w:tcW w:w="606" w:type="pct"/>
          </w:tcPr>
          <w:p w14:paraId="25DB3823" w14:textId="77777777" w:rsidR="00554241" w:rsidRPr="00EF7E3A" w:rsidRDefault="00554241" w:rsidP="0055226E">
            <w:pPr>
              <w:spacing w:line="360" w:lineRule="auto"/>
              <w:jc w:val="center"/>
              <w:rPr>
                <w:rFonts w:ascii="Times" w:hAnsi="Times" w:cs="Times"/>
                <w:sz w:val="20"/>
                <w:szCs w:val="20"/>
              </w:rPr>
            </w:pPr>
          </w:p>
        </w:tc>
        <w:tc>
          <w:tcPr>
            <w:tcW w:w="475" w:type="pct"/>
          </w:tcPr>
          <w:p w14:paraId="6605605E" w14:textId="77777777" w:rsidR="00554241" w:rsidRPr="00EF7E3A" w:rsidRDefault="00554241" w:rsidP="0055226E">
            <w:pPr>
              <w:spacing w:line="360" w:lineRule="auto"/>
              <w:jc w:val="center"/>
              <w:rPr>
                <w:rFonts w:ascii="Times" w:hAnsi="Times" w:cs="Times"/>
                <w:sz w:val="20"/>
                <w:szCs w:val="20"/>
              </w:rPr>
            </w:pPr>
          </w:p>
        </w:tc>
        <w:tc>
          <w:tcPr>
            <w:tcW w:w="557" w:type="pct"/>
          </w:tcPr>
          <w:p w14:paraId="774EE530" w14:textId="77777777" w:rsidR="00554241" w:rsidRPr="00EF7E3A" w:rsidRDefault="00554241" w:rsidP="0055226E">
            <w:pPr>
              <w:spacing w:line="360" w:lineRule="auto"/>
              <w:jc w:val="center"/>
              <w:rPr>
                <w:rFonts w:ascii="Times" w:hAnsi="Times" w:cs="Times"/>
                <w:sz w:val="20"/>
                <w:szCs w:val="20"/>
              </w:rPr>
            </w:pPr>
          </w:p>
        </w:tc>
        <w:tc>
          <w:tcPr>
            <w:tcW w:w="451" w:type="pct"/>
          </w:tcPr>
          <w:p w14:paraId="28BB69FC" w14:textId="77777777" w:rsidR="00554241" w:rsidRPr="00EF7E3A" w:rsidRDefault="00554241" w:rsidP="0055226E">
            <w:pPr>
              <w:spacing w:line="360" w:lineRule="auto"/>
              <w:jc w:val="center"/>
              <w:rPr>
                <w:rFonts w:ascii="Times" w:hAnsi="Times" w:cs="Times"/>
                <w:sz w:val="20"/>
                <w:szCs w:val="20"/>
              </w:rPr>
            </w:pPr>
          </w:p>
        </w:tc>
        <w:tc>
          <w:tcPr>
            <w:tcW w:w="428" w:type="pct"/>
          </w:tcPr>
          <w:p w14:paraId="38DDB2A7" w14:textId="77777777" w:rsidR="00554241" w:rsidRPr="00EF7E3A" w:rsidRDefault="00554241" w:rsidP="0055226E">
            <w:pPr>
              <w:spacing w:line="360" w:lineRule="auto"/>
              <w:jc w:val="center"/>
              <w:rPr>
                <w:rFonts w:ascii="Times" w:hAnsi="Times" w:cs="Times"/>
                <w:sz w:val="20"/>
                <w:szCs w:val="20"/>
              </w:rPr>
            </w:pPr>
          </w:p>
        </w:tc>
        <w:tc>
          <w:tcPr>
            <w:tcW w:w="364" w:type="pct"/>
          </w:tcPr>
          <w:p w14:paraId="2C1B7CCC"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-0.07</w:t>
            </w:r>
          </w:p>
        </w:tc>
        <w:tc>
          <w:tcPr>
            <w:tcW w:w="319" w:type="pct"/>
          </w:tcPr>
          <w:p w14:paraId="358F6691"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0.04</w:t>
            </w:r>
          </w:p>
        </w:tc>
        <w:tc>
          <w:tcPr>
            <w:tcW w:w="355" w:type="pct"/>
          </w:tcPr>
          <w:p w14:paraId="595E94F4" w14:textId="77777777" w:rsidR="00554241" w:rsidRPr="00EF7E3A" w:rsidRDefault="00554241" w:rsidP="0055226E">
            <w:pPr>
              <w:spacing w:line="360" w:lineRule="auto"/>
              <w:jc w:val="center"/>
              <w:rPr>
                <w:rFonts w:ascii="Times" w:hAnsi="Times" w:cs="Times"/>
                <w:sz w:val="20"/>
                <w:szCs w:val="20"/>
              </w:rPr>
            </w:pPr>
          </w:p>
        </w:tc>
        <w:tc>
          <w:tcPr>
            <w:tcW w:w="310" w:type="pct"/>
          </w:tcPr>
          <w:p w14:paraId="1C852B09" w14:textId="77777777" w:rsidR="00554241" w:rsidRPr="00EF7E3A" w:rsidRDefault="00554241" w:rsidP="0055226E">
            <w:pPr>
              <w:spacing w:line="360" w:lineRule="auto"/>
              <w:jc w:val="center"/>
              <w:rPr>
                <w:rFonts w:ascii="Times" w:hAnsi="Times" w:cs="Times"/>
                <w:sz w:val="20"/>
                <w:szCs w:val="20"/>
              </w:rPr>
            </w:pPr>
          </w:p>
        </w:tc>
      </w:tr>
      <w:tr w:rsidR="00554241" w:rsidRPr="00EF7E3A" w14:paraId="3AFD8DBB" w14:textId="77777777" w:rsidTr="00554241">
        <w:trPr>
          <w:trHeight w:val="409"/>
        </w:trPr>
        <w:tc>
          <w:tcPr>
            <w:tcW w:w="716" w:type="pct"/>
          </w:tcPr>
          <w:p w14:paraId="51D4D37A" w14:textId="77777777" w:rsidR="00554241" w:rsidRPr="00EF7E3A" w:rsidRDefault="00554241" w:rsidP="0055226E">
            <w:pPr>
              <w:spacing w:line="360" w:lineRule="auto"/>
              <w:rPr>
                <w:rFonts w:ascii="Times" w:hAnsi="Times" w:cs="Times"/>
                <w:sz w:val="20"/>
                <w:szCs w:val="20"/>
              </w:rPr>
            </w:pPr>
            <w:r w:rsidRPr="00EF7E3A">
              <w:rPr>
                <w:rFonts w:ascii="Times" w:hAnsi="Times" w:cs="Times"/>
                <w:sz w:val="20"/>
                <w:szCs w:val="20"/>
              </w:rPr>
              <w:t>London</w:t>
            </w:r>
          </w:p>
        </w:tc>
        <w:tc>
          <w:tcPr>
            <w:tcW w:w="419" w:type="pct"/>
          </w:tcPr>
          <w:p w14:paraId="6CC1D2AC"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-8.82***</w:t>
            </w:r>
          </w:p>
        </w:tc>
        <w:tc>
          <w:tcPr>
            <w:tcW w:w="606" w:type="pct"/>
          </w:tcPr>
          <w:p w14:paraId="62BC0B24"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1.26</w:t>
            </w:r>
          </w:p>
        </w:tc>
        <w:tc>
          <w:tcPr>
            <w:tcW w:w="475" w:type="pct"/>
          </w:tcPr>
          <w:p w14:paraId="63044B41"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-7.34***</w:t>
            </w:r>
          </w:p>
        </w:tc>
        <w:tc>
          <w:tcPr>
            <w:tcW w:w="557" w:type="pct"/>
          </w:tcPr>
          <w:p w14:paraId="36C7DB06"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1.48</w:t>
            </w:r>
          </w:p>
        </w:tc>
        <w:tc>
          <w:tcPr>
            <w:tcW w:w="451" w:type="pct"/>
          </w:tcPr>
          <w:p w14:paraId="2C2A49ED"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-6.28***</w:t>
            </w:r>
          </w:p>
        </w:tc>
        <w:tc>
          <w:tcPr>
            <w:tcW w:w="428" w:type="pct"/>
          </w:tcPr>
          <w:p w14:paraId="6D62CD48"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1.58</w:t>
            </w:r>
          </w:p>
        </w:tc>
        <w:tc>
          <w:tcPr>
            <w:tcW w:w="364" w:type="pct"/>
          </w:tcPr>
          <w:p w14:paraId="026A283D"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-7.37***</w:t>
            </w:r>
          </w:p>
        </w:tc>
        <w:tc>
          <w:tcPr>
            <w:tcW w:w="319" w:type="pct"/>
          </w:tcPr>
          <w:p w14:paraId="3D9660FC"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1.55</w:t>
            </w:r>
          </w:p>
        </w:tc>
        <w:tc>
          <w:tcPr>
            <w:tcW w:w="355" w:type="pct"/>
          </w:tcPr>
          <w:p w14:paraId="4D137F90"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0.12</w:t>
            </w:r>
          </w:p>
        </w:tc>
        <w:tc>
          <w:tcPr>
            <w:tcW w:w="310" w:type="pct"/>
          </w:tcPr>
          <w:p w14:paraId="001183E5"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1.01</w:t>
            </w:r>
          </w:p>
        </w:tc>
      </w:tr>
      <w:tr w:rsidR="00554241" w:rsidRPr="00EF7E3A" w14:paraId="55329267" w14:textId="77777777" w:rsidTr="00554241">
        <w:tc>
          <w:tcPr>
            <w:tcW w:w="716" w:type="pct"/>
          </w:tcPr>
          <w:p w14:paraId="2C3318DA" w14:textId="77777777" w:rsidR="00554241" w:rsidRPr="00EF7E3A" w:rsidRDefault="00554241" w:rsidP="0055226E">
            <w:pPr>
              <w:spacing w:line="360" w:lineRule="auto"/>
              <w:rPr>
                <w:rFonts w:ascii="Times" w:hAnsi="Times" w:cs="Times"/>
                <w:sz w:val="20"/>
                <w:szCs w:val="20"/>
              </w:rPr>
            </w:pPr>
            <w:r w:rsidRPr="00EF7E3A">
              <w:rPr>
                <w:rFonts w:ascii="Times" w:hAnsi="Times" w:cs="Times"/>
                <w:sz w:val="20"/>
                <w:szCs w:val="20"/>
              </w:rPr>
              <w:t>Scotland</w:t>
            </w:r>
          </w:p>
        </w:tc>
        <w:tc>
          <w:tcPr>
            <w:tcW w:w="419" w:type="pct"/>
          </w:tcPr>
          <w:p w14:paraId="3F4D231C"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-21.38***</w:t>
            </w:r>
          </w:p>
        </w:tc>
        <w:tc>
          <w:tcPr>
            <w:tcW w:w="606" w:type="pct"/>
          </w:tcPr>
          <w:p w14:paraId="0D48C0B1"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1.22</w:t>
            </w:r>
          </w:p>
        </w:tc>
        <w:tc>
          <w:tcPr>
            <w:tcW w:w="475" w:type="pct"/>
          </w:tcPr>
          <w:p w14:paraId="3B14FFC5"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-21.47***</w:t>
            </w:r>
          </w:p>
        </w:tc>
        <w:tc>
          <w:tcPr>
            <w:tcW w:w="557" w:type="pct"/>
          </w:tcPr>
          <w:p w14:paraId="2FA50E9F"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1.12</w:t>
            </w:r>
          </w:p>
        </w:tc>
        <w:tc>
          <w:tcPr>
            <w:tcW w:w="451" w:type="pct"/>
          </w:tcPr>
          <w:p w14:paraId="6A2EAC5F" w14:textId="77777777" w:rsidR="00554241" w:rsidRPr="00EF7E3A" w:rsidRDefault="00554241" w:rsidP="0055226E">
            <w:pPr>
              <w:spacing w:line="360" w:lineRule="auto"/>
              <w:jc w:val="center"/>
              <w:rPr>
                <w:rFonts w:ascii="Times" w:hAnsi="Times" w:cs="Times"/>
                <w:sz w:val="20"/>
                <w:szCs w:val="20"/>
              </w:rPr>
            </w:pPr>
          </w:p>
        </w:tc>
        <w:tc>
          <w:tcPr>
            <w:tcW w:w="428" w:type="pct"/>
          </w:tcPr>
          <w:p w14:paraId="1B97A4B6" w14:textId="77777777" w:rsidR="00554241" w:rsidRPr="00EF7E3A" w:rsidRDefault="00554241" w:rsidP="0055226E">
            <w:pPr>
              <w:spacing w:line="360" w:lineRule="auto"/>
              <w:jc w:val="center"/>
              <w:rPr>
                <w:rFonts w:ascii="Times" w:hAnsi="Times" w:cs="Times"/>
                <w:sz w:val="20"/>
                <w:szCs w:val="20"/>
              </w:rPr>
            </w:pPr>
          </w:p>
        </w:tc>
        <w:tc>
          <w:tcPr>
            <w:tcW w:w="364" w:type="pct"/>
          </w:tcPr>
          <w:p w14:paraId="239698AF"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-21.77***</w:t>
            </w:r>
          </w:p>
        </w:tc>
        <w:tc>
          <w:tcPr>
            <w:tcW w:w="319" w:type="pct"/>
          </w:tcPr>
          <w:p w14:paraId="636C3EC0"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1.15</w:t>
            </w:r>
          </w:p>
        </w:tc>
        <w:tc>
          <w:tcPr>
            <w:tcW w:w="355" w:type="pct"/>
          </w:tcPr>
          <w:p w14:paraId="4AB02909"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-2.15*</w:t>
            </w:r>
          </w:p>
        </w:tc>
        <w:tc>
          <w:tcPr>
            <w:tcW w:w="310" w:type="pct"/>
          </w:tcPr>
          <w:p w14:paraId="63231D94"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1.11</w:t>
            </w:r>
          </w:p>
        </w:tc>
      </w:tr>
      <w:tr w:rsidR="00554241" w:rsidRPr="00EF7E3A" w14:paraId="31A900E6" w14:textId="77777777" w:rsidTr="00554241">
        <w:tc>
          <w:tcPr>
            <w:tcW w:w="716" w:type="pct"/>
          </w:tcPr>
          <w:p w14:paraId="102758E1" w14:textId="77777777" w:rsidR="00554241" w:rsidRPr="00EF7E3A" w:rsidRDefault="00554241" w:rsidP="0055226E">
            <w:pPr>
              <w:spacing w:line="360" w:lineRule="auto"/>
              <w:rPr>
                <w:rFonts w:ascii="Times" w:hAnsi="Times" w:cs="Times"/>
                <w:b/>
                <w:sz w:val="20"/>
                <w:szCs w:val="20"/>
              </w:rPr>
            </w:pPr>
            <w:r w:rsidRPr="00EF7E3A">
              <w:rPr>
                <w:rFonts w:ascii="Times" w:hAnsi="Times" w:cs="Times"/>
                <w:b/>
                <w:sz w:val="20"/>
                <w:szCs w:val="20"/>
              </w:rPr>
              <w:t>Ukip 2014 EP vote</w:t>
            </w:r>
          </w:p>
        </w:tc>
        <w:tc>
          <w:tcPr>
            <w:tcW w:w="419" w:type="pct"/>
          </w:tcPr>
          <w:p w14:paraId="508972F3" w14:textId="77777777" w:rsidR="00554241" w:rsidRPr="00EF7E3A" w:rsidRDefault="00554241" w:rsidP="0055226E">
            <w:pPr>
              <w:spacing w:line="360" w:lineRule="auto"/>
              <w:jc w:val="center"/>
              <w:rPr>
                <w:rFonts w:ascii="Times" w:hAnsi="Times" w:cs="Times"/>
                <w:sz w:val="20"/>
                <w:szCs w:val="20"/>
              </w:rPr>
            </w:pPr>
          </w:p>
        </w:tc>
        <w:tc>
          <w:tcPr>
            <w:tcW w:w="606" w:type="pct"/>
          </w:tcPr>
          <w:p w14:paraId="440BAB7E" w14:textId="77777777" w:rsidR="00554241" w:rsidRPr="00EF7E3A" w:rsidRDefault="00554241" w:rsidP="0055226E">
            <w:pPr>
              <w:spacing w:line="360" w:lineRule="auto"/>
              <w:jc w:val="center"/>
              <w:rPr>
                <w:rFonts w:ascii="Times" w:hAnsi="Times" w:cs="Times"/>
                <w:sz w:val="20"/>
                <w:szCs w:val="20"/>
              </w:rPr>
            </w:pPr>
          </w:p>
        </w:tc>
        <w:tc>
          <w:tcPr>
            <w:tcW w:w="475" w:type="pct"/>
          </w:tcPr>
          <w:p w14:paraId="0EBEEB1A" w14:textId="77777777" w:rsidR="00554241" w:rsidRPr="00EF7E3A" w:rsidRDefault="00554241" w:rsidP="0055226E">
            <w:pPr>
              <w:spacing w:line="360" w:lineRule="auto"/>
              <w:jc w:val="center"/>
              <w:rPr>
                <w:rFonts w:ascii="Times" w:hAnsi="Times" w:cs="Times"/>
                <w:sz w:val="20"/>
                <w:szCs w:val="20"/>
              </w:rPr>
            </w:pPr>
          </w:p>
        </w:tc>
        <w:tc>
          <w:tcPr>
            <w:tcW w:w="557" w:type="pct"/>
          </w:tcPr>
          <w:p w14:paraId="4D4DEE41" w14:textId="77777777" w:rsidR="00554241" w:rsidRPr="00EF7E3A" w:rsidRDefault="00554241" w:rsidP="0055226E">
            <w:pPr>
              <w:spacing w:line="360" w:lineRule="auto"/>
              <w:jc w:val="center"/>
              <w:rPr>
                <w:rFonts w:ascii="Times" w:hAnsi="Times" w:cs="Times"/>
                <w:sz w:val="20"/>
                <w:szCs w:val="20"/>
              </w:rPr>
            </w:pPr>
          </w:p>
        </w:tc>
        <w:tc>
          <w:tcPr>
            <w:tcW w:w="451" w:type="pct"/>
          </w:tcPr>
          <w:p w14:paraId="41BA1B17" w14:textId="77777777" w:rsidR="00554241" w:rsidRPr="00EF7E3A" w:rsidRDefault="00554241" w:rsidP="0055226E">
            <w:pPr>
              <w:spacing w:line="360" w:lineRule="auto"/>
              <w:jc w:val="center"/>
              <w:rPr>
                <w:rFonts w:ascii="Times" w:hAnsi="Times" w:cs="Times"/>
                <w:sz w:val="20"/>
                <w:szCs w:val="20"/>
              </w:rPr>
            </w:pPr>
          </w:p>
        </w:tc>
        <w:tc>
          <w:tcPr>
            <w:tcW w:w="428" w:type="pct"/>
          </w:tcPr>
          <w:p w14:paraId="1BAE1547" w14:textId="77777777" w:rsidR="00554241" w:rsidRPr="00EF7E3A" w:rsidRDefault="00554241" w:rsidP="0055226E">
            <w:pPr>
              <w:spacing w:line="360" w:lineRule="auto"/>
              <w:jc w:val="center"/>
              <w:rPr>
                <w:rFonts w:ascii="Times" w:hAnsi="Times" w:cs="Times"/>
                <w:sz w:val="20"/>
                <w:szCs w:val="20"/>
              </w:rPr>
            </w:pPr>
          </w:p>
        </w:tc>
        <w:tc>
          <w:tcPr>
            <w:tcW w:w="364" w:type="pct"/>
          </w:tcPr>
          <w:p w14:paraId="0073090F" w14:textId="77777777" w:rsidR="00554241" w:rsidRPr="00EF7E3A" w:rsidRDefault="00554241" w:rsidP="0055226E">
            <w:pPr>
              <w:spacing w:line="360" w:lineRule="auto"/>
              <w:jc w:val="center"/>
              <w:rPr>
                <w:rFonts w:ascii="Times" w:hAnsi="Times" w:cs="Times"/>
                <w:sz w:val="20"/>
                <w:szCs w:val="20"/>
              </w:rPr>
            </w:pPr>
          </w:p>
        </w:tc>
        <w:tc>
          <w:tcPr>
            <w:tcW w:w="319" w:type="pct"/>
          </w:tcPr>
          <w:p w14:paraId="582F23C5" w14:textId="77777777" w:rsidR="00554241" w:rsidRPr="00EF7E3A" w:rsidRDefault="00554241" w:rsidP="0055226E">
            <w:pPr>
              <w:spacing w:line="360" w:lineRule="auto"/>
              <w:jc w:val="center"/>
              <w:rPr>
                <w:rFonts w:ascii="Times" w:hAnsi="Times" w:cs="Times"/>
                <w:sz w:val="20"/>
                <w:szCs w:val="20"/>
              </w:rPr>
            </w:pPr>
          </w:p>
        </w:tc>
        <w:tc>
          <w:tcPr>
            <w:tcW w:w="355" w:type="pct"/>
          </w:tcPr>
          <w:p w14:paraId="237C1390"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0.84***</w:t>
            </w:r>
          </w:p>
        </w:tc>
        <w:tc>
          <w:tcPr>
            <w:tcW w:w="310" w:type="pct"/>
          </w:tcPr>
          <w:p w14:paraId="6A0735D4"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0.04</w:t>
            </w:r>
          </w:p>
        </w:tc>
      </w:tr>
      <w:tr w:rsidR="00554241" w:rsidRPr="00EF7E3A" w14:paraId="59B5BC56" w14:textId="77777777" w:rsidTr="00554241">
        <w:tc>
          <w:tcPr>
            <w:tcW w:w="716" w:type="pct"/>
          </w:tcPr>
          <w:p w14:paraId="3B944D33" w14:textId="77777777" w:rsidR="00554241" w:rsidRPr="00EF7E3A" w:rsidRDefault="00554241" w:rsidP="0055226E">
            <w:pPr>
              <w:spacing w:line="360" w:lineRule="auto"/>
              <w:rPr>
                <w:rFonts w:ascii="Times" w:hAnsi="Times" w:cs="Times"/>
                <w:sz w:val="20"/>
                <w:szCs w:val="20"/>
              </w:rPr>
            </w:pPr>
            <w:r w:rsidRPr="00EF7E3A">
              <w:rPr>
                <w:rFonts w:ascii="Times" w:hAnsi="Times" w:cs="Times"/>
                <w:sz w:val="20"/>
                <w:szCs w:val="20"/>
              </w:rPr>
              <w:t>Constant</w:t>
            </w:r>
          </w:p>
        </w:tc>
        <w:tc>
          <w:tcPr>
            <w:tcW w:w="419" w:type="pct"/>
          </w:tcPr>
          <w:p w14:paraId="4362689B"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23.94***</w:t>
            </w:r>
          </w:p>
        </w:tc>
        <w:tc>
          <w:tcPr>
            <w:tcW w:w="606" w:type="pct"/>
          </w:tcPr>
          <w:p w14:paraId="3153DC4C"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2.09</w:t>
            </w:r>
          </w:p>
        </w:tc>
        <w:tc>
          <w:tcPr>
            <w:tcW w:w="475" w:type="pct"/>
          </w:tcPr>
          <w:p w14:paraId="79372F37"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27.11***</w:t>
            </w:r>
          </w:p>
        </w:tc>
        <w:tc>
          <w:tcPr>
            <w:tcW w:w="557" w:type="pct"/>
          </w:tcPr>
          <w:p w14:paraId="551B487D"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2.68</w:t>
            </w:r>
          </w:p>
        </w:tc>
        <w:tc>
          <w:tcPr>
            <w:tcW w:w="451" w:type="pct"/>
          </w:tcPr>
          <w:p w14:paraId="12B8D8D3"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26.33</w:t>
            </w:r>
          </w:p>
        </w:tc>
        <w:tc>
          <w:tcPr>
            <w:tcW w:w="428" w:type="pct"/>
          </w:tcPr>
          <w:p w14:paraId="5862E254"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2.99</w:t>
            </w:r>
          </w:p>
        </w:tc>
        <w:tc>
          <w:tcPr>
            <w:tcW w:w="364" w:type="pct"/>
          </w:tcPr>
          <w:p w14:paraId="64919BE3"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26.41***</w:t>
            </w:r>
          </w:p>
        </w:tc>
        <w:tc>
          <w:tcPr>
            <w:tcW w:w="319" w:type="pct"/>
          </w:tcPr>
          <w:p w14:paraId="41163878"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2.61</w:t>
            </w:r>
          </w:p>
        </w:tc>
        <w:tc>
          <w:tcPr>
            <w:tcW w:w="355" w:type="pct"/>
          </w:tcPr>
          <w:p w14:paraId="0C8127BE"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18.34***</w:t>
            </w:r>
          </w:p>
        </w:tc>
        <w:tc>
          <w:tcPr>
            <w:tcW w:w="310" w:type="pct"/>
          </w:tcPr>
          <w:p w14:paraId="51DE56D3"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1.78</w:t>
            </w:r>
          </w:p>
        </w:tc>
      </w:tr>
      <w:tr w:rsidR="00554241" w:rsidRPr="00EF7E3A" w14:paraId="10B29700" w14:textId="77777777" w:rsidTr="00554241">
        <w:tc>
          <w:tcPr>
            <w:tcW w:w="716" w:type="pct"/>
          </w:tcPr>
          <w:p w14:paraId="2C07075C" w14:textId="77777777" w:rsidR="00554241" w:rsidRPr="00EF7E3A" w:rsidRDefault="00554241" w:rsidP="0055226E">
            <w:pPr>
              <w:spacing w:line="360" w:lineRule="auto"/>
              <w:rPr>
                <w:rFonts w:ascii="Times" w:hAnsi="Times" w:cs="Times"/>
                <w:sz w:val="20"/>
                <w:szCs w:val="20"/>
              </w:rPr>
            </w:pPr>
            <w:r w:rsidRPr="00EF7E3A">
              <w:rPr>
                <w:rFonts w:ascii="Times" w:hAnsi="Times" w:cs="Times"/>
                <w:sz w:val="20"/>
                <w:szCs w:val="20"/>
              </w:rPr>
              <w:t>N</w:t>
            </w:r>
          </w:p>
        </w:tc>
        <w:tc>
          <w:tcPr>
            <w:tcW w:w="419" w:type="pct"/>
          </w:tcPr>
          <w:p w14:paraId="24B21F47"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380</w:t>
            </w:r>
          </w:p>
        </w:tc>
        <w:tc>
          <w:tcPr>
            <w:tcW w:w="606" w:type="pct"/>
          </w:tcPr>
          <w:p w14:paraId="6066ABE0" w14:textId="77777777" w:rsidR="00554241" w:rsidRPr="00EF7E3A" w:rsidRDefault="00554241" w:rsidP="0055226E">
            <w:pPr>
              <w:spacing w:line="360" w:lineRule="auto"/>
              <w:jc w:val="center"/>
              <w:rPr>
                <w:rFonts w:ascii="Times" w:hAnsi="Times" w:cs="Times"/>
                <w:sz w:val="20"/>
                <w:szCs w:val="20"/>
              </w:rPr>
            </w:pPr>
          </w:p>
        </w:tc>
        <w:tc>
          <w:tcPr>
            <w:tcW w:w="475" w:type="pct"/>
          </w:tcPr>
          <w:p w14:paraId="5DDC9C58"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380</w:t>
            </w:r>
          </w:p>
        </w:tc>
        <w:tc>
          <w:tcPr>
            <w:tcW w:w="557" w:type="pct"/>
          </w:tcPr>
          <w:p w14:paraId="7366D25A" w14:textId="77777777" w:rsidR="00554241" w:rsidRPr="00EF7E3A" w:rsidRDefault="00554241" w:rsidP="0055226E">
            <w:pPr>
              <w:spacing w:line="360" w:lineRule="auto"/>
              <w:jc w:val="center"/>
              <w:rPr>
                <w:rFonts w:ascii="Times" w:hAnsi="Times" w:cs="Times"/>
                <w:sz w:val="20"/>
                <w:szCs w:val="20"/>
              </w:rPr>
            </w:pPr>
          </w:p>
        </w:tc>
        <w:tc>
          <w:tcPr>
            <w:tcW w:w="451" w:type="pct"/>
          </w:tcPr>
          <w:p w14:paraId="4AA0C699"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295</w:t>
            </w:r>
          </w:p>
        </w:tc>
        <w:tc>
          <w:tcPr>
            <w:tcW w:w="428" w:type="pct"/>
          </w:tcPr>
          <w:p w14:paraId="14EFB7D2" w14:textId="77777777" w:rsidR="00554241" w:rsidRPr="00EF7E3A" w:rsidRDefault="00554241" w:rsidP="0055226E">
            <w:pPr>
              <w:spacing w:line="360" w:lineRule="auto"/>
              <w:jc w:val="center"/>
              <w:rPr>
                <w:rFonts w:ascii="Times" w:hAnsi="Times" w:cs="Times"/>
                <w:sz w:val="20"/>
                <w:szCs w:val="20"/>
              </w:rPr>
            </w:pPr>
          </w:p>
        </w:tc>
        <w:tc>
          <w:tcPr>
            <w:tcW w:w="364" w:type="pct"/>
          </w:tcPr>
          <w:p w14:paraId="4B6BBDC4"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380</w:t>
            </w:r>
          </w:p>
        </w:tc>
        <w:tc>
          <w:tcPr>
            <w:tcW w:w="319" w:type="pct"/>
          </w:tcPr>
          <w:p w14:paraId="7F5BF72B" w14:textId="77777777" w:rsidR="00554241" w:rsidRPr="00EF7E3A" w:rsidRDefault="00554241" w:rsidP="0055226E">
            <w:pPr>
              <w:spacing w:line="360" w:lineRule="auto"/>
              <w:jc w:val="center"/>
              <w:rPr>
                <w:rFonts w:ascii="Times" w:hAnsi="Times" w:cs="Times"/>
                <w:sz w:val="20"/>
                <w:szCs w:val="20"/>
              </w:rPr>
            </w:pPr>
          </w:p>
        </w:tc>
        <w:tc>
          <w:tcPr>
            <w:tcW w:w="355" w:type="pct"/>
          </w:tcPr>
          <w:p w14:paraId="06262D34"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380</w:t>
            </w:r>
          </w:p>
        </w:tc>
        <w:tc>
          <w:tcPr>
            <w:tcW w:w="310" w:type="pct"/>
          </w:tcPr>
          <w:p w14:paraId="01A0CBAF" w14:textId="77777777" w:rsidR="00554241" w:rsidRPr="00EF7E3A" w:rsidRDefault="00554241" w:rsidP="0055226E">
            <w:pPr>
              <w:spacing w:line="360" w:lineRule="auto"/>
              <w:jc w:val="center"/>
              <w:rPr>
                <w:rFonts w:ascii="Times" w:hAnsi="Times" w:cs="Times"/>
                <w:sz w:val="20"/>
                <w:szCs w:val="20"/>
              </w:rPr>
            </w:pPr>
          </w:p>
        </w:tc>
      </w:tr>
      <w:tr w:rsidR="00554241" w:rsidRPr="00EF7E3A" w14:paraId="62F344E0" w14:textId="77777777" w:rsidTr="00554241">
        <w:tc>
          <w:tcPr>
            <w:tcW w:w="716" w:type="pct"/>
          </w:tcPr>
          <w:p w14:paraId="2E5784BD" w14:textId="77777777" w:rsidR="00554241" w:rsidRPr="00EF7E3A" w:rsidRDefault="00554241" w:rsidP="0055226E">
            <w:pPr>
              <w:spacing w:line="360" w:lineRule="auto"/>
              <w:rPr>
                <w:rFonts w:ascii="Times" w:hAnsi="Times" w:cs="Times"/>
                <w:sz w:val="20"/>
                <w:szCs w:val="20"/>
              </w:rPr>
            </w:pPr>
            <w:r w:rsidRPr="00EF7E3A">
              <w:rPr>
                <w:rFonts w:ascii="Times" w:hAnsi="Times" w:cs="Times"/>
                <w:sz w:val="20"/>
                <w:szCs w:val="20"/>
              </w:rPr>
              <w:t>Adjusted R-square</w:t>
            </w:r>
          </w:p>
        </w:tc>
        <w:tc>
          <w:tcPr>
            <w:tcW w:w="419" w:type="pct"/>
          </w:tcPr>
          <w:p w14:paraId="6E8C0C4E"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0.68</w:t>
            </w:r>
          </w:p>
        </w:tc>
        <w:tc>
          <w:tcPr>
            <w:tcW w:w="606" w:type="pct"/>
          </w:tcPr>
          <w:p w14:paraId="0DC0F307" w14:textId="77777777" w:rsidR="00554241" w:rsidRPr="00EF7E3A" w:rsidRDefault="00554241" w:rsidP="0055226E">
            <w:pPr>
              <w:spacing w:line="360" w:lineRule="auto"/>
              <w:jc w:val="center"/>
              <w:rPr>
                <w:rFonts w:ascii="Times" w:hAnsi="Times" w:cs="Times"/>
                <w:sz w:val="20"/>
                <w:szCs w:val="20"/>
              </w:rPr>
            </w:pPr>
          </w:p>
        </w:tc>
        <w:tc>
          <w:tcPr>
            <w:tcW w:w="475" w:type="pct"/>
          </w:tcPr>
          <w:p w14:paraId="3E3817F4"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0.68</w:t>
            </w:r>
          </w:p>
        </w:tc>
        <w:tc>
          <w:tcPr>
            <w:tcW w:w="557" w:type="pct"/>
          </w:tcPr>
          <w:p w14:paraId="08FBBF44" w14:textId="77777777" w:rsidR="00554241" w:rsidRPr="00EF7E3A" w:rsidRDefault="00554241" w:rsidP="0055226E">
            <w:pPr>
              <w:spacing w:line="360" w:lineRule="auto"/>
              <w:jc w:val="center"/>
              <w:rPr>
                <w:rFonts w:ascii="Times" w:hAnsi="Times" w:cs="Times"/>
                <w:sz w:val="20"/>
                <w:szCs w:val="20"/>
              </w:rPr>
            </w:pPr>
          </w:p>
        </w:tc>
        <w:tc>
          <w:tcPr>
            <w:tcW w:w="451" w:type="pct"/>
          </w:tcPr>
          <w:p w14:paraId="3CE53C17" w14:textId="77777777" w:rsidR="00554241" w:rsidRPr="00EF7E3A" w:rsidRDefault="00554241" w:rsidP="0055226E">
            <w:pPr>
              <w:spacing w:line="360" w:lineRule="auto"/>
              <w:jc w:val="center"/>
              <w:rPr>
                <w:rFonts w:ascii="Times" w:hAnsi="Times" w:cs="Times"/>
                <w:sz w:val="20"/>
                <w:szCs w:val="20"/>
              </w:rPr>
            </w:pPr>
            <w:r>
              <w:rPr>
                <w:rFonts w:ascii="Times" w:hAnsi="Times" w:cs="Times"/>
                <w:sz w:val="20"/>
                <w:szCs w:val="20"/>
              </w:rPr>
              <w:t>0.62</w:t>
            </w:r>
          </w:p>
        </w:tc>
        <w:tc>
          <w:tcPr>
            <w:tcW w:w="428" w:type="pct"/>
          </w:tcPr>
          <w:p w14:paraId="413F1486" w14:textId="77777777" w:rsidR="00554241" w:rsidRPr="00EF7E3A" w:rsidRDefault="00554241" w:rsidP="0055226E">
            <w:pPr>
              <w:spacing w:line="360" w:lineRule="auto"/>
              <w:jc w:val="center"/>
              <w:rPr>
                <w:rFonts w:ascii="Times" w:hAnsi="Times" w:cs="Times"/>
                <w:sz w:val="20"/>
                <w:szCs w:val="20"/>
              </w:rPr>
            </w:pPr>
          </w:p>
        </w:tc>
        <w:tc>
          <w:tcPr>
            <w:tcW w:w="364" w:type="pct"/>
          </w:tcPr>
          <w:p w14:paraId="2C032E2D"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0.68</w:t>
            </w:r>
          </w:p>
        </w:tc>
        <w:tc>
          <w:tcPr>
            <w:tcW w:w="319" w:type="pct"/>
          </w:tcPr>
          <w:p w14:paraId="110F317E" w14:textId="77777777" w:rsidR="00554241" w:rsidRPr="00EF7E3A" w:rsidRDefault="00554241" w:rsidP="0055226E">
            <w:pPr>
              <w:spacing w:line="360" w:lineRule="auto"/>
              <w:jc w:val="center"/>
              <w:rPr>
                <w:rFonts w:ascii="Times" w:hAnsi="Times" w:cs="Times"/>
                <w:sz w:val="20"/>
                <w:szCs w:val="20"/>
              </w:rPr>
            </w:pPr>
          </w:p>
        </w:tc>
        <w:tc>
          <w:tcPr>
            <w:tcW w:w="355" w:type="pct"/>
          </w:tcPr>
          <w:p w14:paraId="0EEA6AA5" w14:textId="77777777" w:rsidR="00554241" w:rsidRPr="00EF7E3A" w:rsidRDefault="00554241" w:rsidP="0055226E">
            <w:pPr>
              <w:spacing w:line="360" w:lineRule="auto"/>
              <w:jc w:val="center"/>
              <w:rPr>
                <w:rFonts w:ascii="Times" w:hAnsi="Times" w:cs="Times"/>
                <w:sz w:val="20"/>
                <w:szCs w:val="20"/>
              </w:rPr>
            </w:pPr>
            <w:r w:rsidRPr="00EF7E3A">
              <w:rPr>
                <w:rFonts w:ascii="Times" w:hAnsi="Times" w:cs="Times"/>
                <w:sz w:val="20"/>
                <w:szCs w:val="20"/>
              </w:rPr>
              <w:t>0.87</w:t>
            </w:r>
          </w:p>
        </w:tc>
        <w:tc>
          <w:tcPr>
            <w:tcW w:w="310" w:type="pct"/>
          </w:tcPr>
          <w:p w14:paraId="5209F470" w14:textId="77777777" w:rsidR="00554241" w:rsidRPr="00EF7E3A" w:rsidRDefault="00554241" w:rsidP="0055226E">
            <w:pPr>
              <w:spacing w:line="360" w:lineRule="auto"/>
              <w:jc w:val="center"/>
              <w:rPr>
                <w:rFonts w:ascii="Times" w:hAnsi="Times" w:cs="Times"/>
                <w:sz w:val="20"/>
                <w:szCs w:val="20"/>
              </w:rPr>
            </w:pPr>
          </w:p>
        </w:tc>
      </w:tr>
    </w:tbl>
    <w:p w14:paraId="29A63D90" w14:textId="77777777" w:rsidR="00554241" w:rsidRPr="00EF7E3A" w:rsidRDefault="00554241" w:rsidP="00554241">
      <w:pPr>
        <w:spacing w:before="240" w:line="360" w:lineRule="auto"/>
        <w:jc w:val="center"/>
        <w:rPr>
          <w:rFonts w:ascii="Times" w:hAnsi="Times" w:cs="Times"/>
          <w:sz w:val="20"/>
          <w:szCs w:val="20"/>
        </w:rPr>
      </w:pPr>
      <w:r w:rsidRPr="00EF7E3A">
        <w:rPr>
          <w:rFonts w:ascii="Times" w:hAnsi="Times" w:cs="Times"/>
          <w:sz w:val="20"/>
          <w:szCs w:val="20"/>
        </w:rPr>
        <w:t>Notes: *** denotes p&lt;0.005; ** denotes p&lt;0.05; * denotes p&lt;0.10</w:t>
      </w:r>
    </w:p>
    <w:p w14:paraId="56B997EF" w14:textId="328EB2E5" w:rsidR="00C666FB" w:rsidRPr="00EF7E3A" w:rsidRDefault="00C666FB" w:rsidP="00C666FB">
      <w:pPr>
        <w:spacing w:before="240" w:line="360" w:lineRule="auto"/>
        <w:jc w:val="center"/>
        <w:rPr>
          <w:rFonts w:ascii="Times" w:hAnsi="Times" w:cs="Times"/>
          <w:sz w:val="20"/>
          <w:szCs w:val="20"/>
        </w:rPr>
      </w:pPr>
    </w:p>
    <w:p w14:paraId="489A53C4" w14:textId="43A2F835" w:rsidR="00254960" w:rsidRDefault="00A156D2" w:rsidP="00EF7E3A">
      <w:pPr>
        <w:widowControl w:val="0"/>
        <w:autoSpaceDE w:val="0"/>
        <w:autoSpaceDN w:val="0"/>
        <w:adjustRightInd w:val="0"/>
        <w:spacing w:line="720" w:lineRule="auto"/>
        <w:ind w:firstLine="720"/>
        <w:jc w:val="both"/>
        <w:rPr>
          <w:rFonts w:ascii="Times" w:hAnsi="Times"/>
        </w:rPr>
      </w:pPr>
      <w:r w:rsidRPr="00C666FB">
        <w:rPr>
          <w:rFonts w:ascii="Times" w:hAnsi="Times"/>
        </w:rPr>
        <w:t>The next factors that we consider relate to e</w:t>
      </w:r>
      <w:r w:rsidR="00C666FB">
        <w:rPr>
          <w:rFonts w:ascii="Times" w:hAnsi="Times"/>
        </w:rPr>
        <w:t>thnic diversity and immigration, issues that dominated the referendum and are central to explaining support for Ukip.</w:t>
      </w:r>
      <w:r w:rsidR="00352E24">
        <w:rPr>
          <w:rStyle w:val="EndnoteReference"/>
          <w:rFonts w:ascii="Times" w:hAnsi="Times"/>
        </w:rPr>
        <w:endnoteReference w:id="9"/>
      </w:r>
      <w:r w:rsidR="00254960">
        <w:rPr>
          <w:rFonts w:ascii="Times" w:hAnsi="Times"/>
        </w:rPr>
        <w:t xml:space="preserve"> </w:t>
      </w:r>
      <w:r w:rsidRPr="009C0B2C">
        <w:rPr>
          <w:rFonts w:ascii="Times" w:hAnsi="Times"/>
        </w:rPr>
        <w:t>One of the central messages of the Leave campaign was to ‘ta</w:t>
      </w:r>
      <w:r w:rsidR="00254960">
        <w:rPr>
          <w:rFonts w:ascii="Times" w:hAnsi="Times"/>
        </w:rPr>
        <w:t xml:space="preserve">ke back control of our borders’, </w:t>
      </w:r>
      <w:r w:rsidRPr="009C0B2C">
        <w:rPr>
          <w:rFonts w:ascii="Times" w:hAnsi="Times"/>
        </w:rPr>
        <w:t>with the implicit ass</w:t>
      </w:r>
      <w:r w:rsidR="00254960">
        <w:rPr>
          <w:rFonts w:ascii="Times" w:hAnsi="Times"/>
        </w:rPr>
        <w:t xml:space="preserve">umption that this would help </w:t>
      </w:r>
      <w:r w:rsidRPr="009C0B2C">
        <w:rPr>
          <w:rFonts w:ascii="Times" w:hAnsi="Times"/>
        </w:rPr>
        <w:t>reduce</w:t>
      </w:r>
      <w:r w:rsidR="00254960">
        <w:rPr>
          <w:rFonts w:ascii="Times" w:hAnsi="Times"/>
        </w:rPr>
        <w:t xml:space="preserve"> migration into Britain. </w:t>
      </w:r>
      <w:r w:rsidR="009D731C">
        <w:rPr>
          <w:rFonts w:ascii="Times" w:hAnsi="Times"/>
        </w:rPr>
        <w:t>This message</w:t>
      </w:r>
      <w:r w:rsidR="00254960">
        <w:rPr>
          <w:rFonts w:ascii="Times" w:hAnsi="Times"/>
        </w:rPr>
        <w:t xml:space="preserve"> </w:t>
      </w:r>
      <w:r w:rsidR="006F61E5">
        <w:rPr>
          <w:rFonts w:ascii="Times" w:hAnsi="Times"/>
        </w:rPr>
        <w:t>played on public concerns about immigration within the country</w:t>
      </w:r>
      <w:r w:rsidR="009D731C">
        <w:rPr>
          <w:rFonts w:ascii="Times" w:hAnsi="Times"/>
        </w:rPr>
        <w:t xml:space="preserve">, </w:t>
      </w:r>
      <w:r w:rsidR="006F61E5">
        <w:rPr>
          <w:rFonts w:ascii="Times" w:hAnsi="Times"/>
        </w:rPr>
        <w:t xml:space="preserve">which surveys frequently reveal is the topic that the public think is the </w:t>
      </w:r>
      <w:r w:rsidR="00254960">
        <w:rPr>
          <w:rFonts w:ascii="Times" w:hAnsi="Times"/>
        </w:rPr>
        <w:t xml:space="preserve">most important issue </w:t>
      </w:r>
      <w:r w:rsidR="00EF7E3A">
        <w:rPr>
          <w:rFonts w:ascii="Times" w:hAnsi="Times"/>
        </w:rPr>
        <w:t>facing the country. But did the</w:t>
      </w:r>
      <w:r w:rsidR="00254960">
        <w:rPr>
          <w:rFonts w:ascii="Times" w:hAnsi="Times"/>
        </w:rPr>
        <w:t xml:space="preserve"> message have particular resonance in local communities where there were large numbers of migrants from other EU member states?</w:t>
      </w:r>
    </w:p>
    <w:p w14:paraId="41490970" w14:textId="25AA3291" w:rsidR="00BE706D" w:rsidRPr="00254960" w:rsidRDefault="00BE706D" w:rsidP="00254960">
      <w:pPr>
        <w:spacing w:before="240" w:line="600" w:lineRule="auto"/>
        <w:jc w:val="center"/>
        <w:rPr>
          <w:rFonts w:ascii="Times" w:hAnsi="Times"/>
        </w:rPr>
      </w:pPr>
      <w:r w:rsidRPr="00254960">
        <w:rPr>
          <w:rFonts w:ascii="Times" w:hAnsi="Times"/>
        </w:rPr>
        <w:t>Figure 3</w:t>
      </w:r>
      <w:r w:rsidRPr="00254960">
        <w:rPr>
          <w:rFonts w:ascii="Times" w:hAnsi="Times"/>
        </w:rPr>
        <w:tab/>
        <w:t xml:space="preserve">Immigration and </w:t>
      </w:r>
      <w:r w:rsidR="00254960">
        <w:rPr>
          <w:rFonts w:ascii="Times" w:hAnsi="Times"/>
        </w:rPr>
        <w:t>Public S</w:t>
      </w:r>
      <w:r w:rsidRPr="00254960">
        <w:rPr>
          <w:rFonts w:ascii="Times" w:hAnsi="Times"/>
        </w:rPr>
        <w:t>upport for Leave</w:t>
      </w:r>
    </w:p>
    <w:p w14:paraId="09411845" w14:textId="32506365" w:rsidR="00BE706D" w:rsidRPr="009C0B2C" w:rsidRDefault="00BE706D" w:rsidP="00EF7E3A">
      <w:pPr>
        <w:spacing w:before="240" w:line="600" w:lineRule="auto"/>
        <w:ind w:left="1440"/>
        <w:jc w:val="both"/>
        <w:rPr>
          <w:rFonts w:ascii="Times" w:hAnsi="Times"/>
        </w:rPr>
      </w:pPr>
      <w:r w:rsidRPr="009C0B2C">
        <w:rPr>
          <w:rFonts w:ascii="Times" w:hAnsi="Times"/>
          <w:noProof/>
          <w:lang w:val="en-GB" w:eastAsia="en-GB"/>
        </w:rPr>
        <w:drawing>
          <wp:inline distT="0" distB="0" distL="0" distR="0" wp14:anchorId="6659F77D" wp14:editId="0212545A">
            <wp:extent cx="2337251" cy="1710813"/>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1297" cy="1721094"/>
                    </a:xfrm>
                    <a:prstGeom prst="rect">
                      <a:avLst/>
                    </a:prstGeom>
                    <a:noFill/>
                    <a:ln>
                      <a:noFill/>
                    </a:ln>
                  </pic:spPr>
                </pic:pic>
              </a:graphicData>
            </a:graphic>
          </wp:inline>
        </w:drawing>
      </w:r>
      <w:r w:rsidRPr="009C0B2C">
        <w:rPr>
          <w:rFonts w:ascii="Times" w:hAnsi="Times"/>
          <w:noProof/>
          <w:lang w:val="en-GB" w:eastAsia="en-GB"/>
        </w:rPr>
        <w:drawing>
          <wp:inline distT="0" distB="0" distL="0" distR="0" wp14:anchorId="358550B4" wp14:editId="19D574F6">
            <wp:extent cx="2367474" cy="173293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6015" cy="1753828"/>
                    </a:xfrm>
                    <a:prstGeom prst="rect">
                      <a:avLst/>
                    </a:prstGeom>
                    <a:noFill/>
                    <a:ln>
                      <a:noFill/>
                    </a:ln>
                  </pic:spPr>
                </pic:pic>
              </a:graphicData>
            </a:graphic>
          </wp:inline>
        </w:drawing>
      </w:r>
    </w:p>
    <w:p w14:paraId="0DD6D327" w14:textId="3A002DF2" w:rsidR="00EF7E3A" w:rsidRDefault="008E7798" w:rsidP="00EF7E3A">
      <w:pPr>
        <w:spacing w:before="240" w:line="720" w:lineRule="auto"/>
        <w:jc w:val="both"/>
        <w:rPr>
          <w:rFonts w:ascii="Times" w:hAnsi="Times"/>
        </w:rPr>
      </w:pPr>
      <w:r>
        <w:rPr>
          <w:rFonts w:ascii="Times" w:hAnsi="Times"/>
        </w:rPr>
        <w:t>On the face of it, t</w:t>
      </w:r>
      <w:r w:rsidR="00CA6225" w:rsidRPr="009C0B2C">
        <w:rPr>
          <w:rFonts w:ascii="Times" w:hAnsi="Times"/>
        </w:rPr>
        <w:t xml:space="preserve">he answer to this question appears to be no. </w:t>
      </w:r>
      <w:r w:rsidR="00D23938">
        <w:rPr>
          <w:rFonts w:ascii="Times" w:hAnsi="Times"/>
        </w:rPr>
        <w:t>From Figure 3 we can see that t</w:t>
      </w:r>
      <w:r w:rsidR="00716938" w:rsidRPr="009C0B2C">
        <w:rPr>
          <w:rFonts w:ascii="Times" w:hAnsi="Times"/>
        </w:rPr>
        <w:t xml:space="preserve">here </w:t>
      </w:r>
      <w:r w:rsidR="00CA6225" w:rsidRPr="009C0B2C">
        <w:rPr>
          <w:rFonts w:ascii="Times" w:hAnsi="Times"/>
        </w:rPr>
        <w:t xml:space="preserve">is in fact </w:t>
      </w:r>
      <w:r w:rsidR="00716938" w:rsidRPr="009C0B2C">
        <w:rPr>
          <w:rFonts w:ascii="Times" w:hAnsi="Times"/>
        </w:rPr>
        <w:t xml:space="preserve">a negative relationship between the level of EU migration in an area and the level of support for </w:t>
      </w:r>
      <w:r w:rsidR="00254960">
        <w:rPr>
          <w:rFonts w:ascii="Times" w:hAnsi="Times"/>
        </w:rPr>
        <w:t xml:space="preserve">leaving the EU </w:t>
      </w:r>
      <w:r w:rsidR="002B20BF" w:rsidRPr="009C0B2C">
        <w:rPr>
          <w:rFonts w:ascii="Times" w:hAnsi="Times"/>
        </w:rPr>
        <w:t>(r= -0.44)</w:t>
      </w:r>
      <w:r w:rsidR="00716938" w:rsidRPr="009C0B2C">
        <w:rPr>
          <w:rFonts w:ascii="Times" w:hAnsi="Times"/>
        </w:rPr>
        <w:t>.</w:t>
      </w:r>
      <w:r w:rsidR="00D23938">
        <w:rPr>
          <w:rStyle w:val="EndnoteReference"/>
          <w:rFonts w:ascii="Times" w:hAnsi="Times"/>
        </w:rPr>
        <w:endnoteReference w:id="10"/>
      </w:r>
      <w:r w:rsidR="00716938" w:rsidRPr="009C0B2C">
        <w:rPr>
          <w:rFonts w:ascii="Times" w:hAnsi="Times"/>
        </w:rPr>
        <w:t xml:space="preserve"> </w:t>
      </w:r>
      <w:r w:rsidR="00254960">
        <w:rPr>
          <w:rFonts w:ascii="Times" w:hAnsi="Times"/>
        </w:rPr>
        <w:t xml:space="preserve">Broadly speaking, it was in fact communities </w:t>
      </w:r>
      <w:r w:rsidR="00254960">
        <w:rPr>
          <w:rFonts w:ascii="Times" w:hAnsi="Times"/>
        </w:rPr>
        <w:lastRenderedPageBreak/>
        <w:t xml:space="preserve">that had the </w:t>
      </w:r>
      <w:r w:rsidR="00716938" w:rsidRPr="00EF7E3A">
        <w:rPr>
          <w:rFonts w:ascii="Times" w:hAnsi="Times"/>
          <w:i/>
        </w:rPr>
        <w:t>fewest</w:t>
      </w:r>
      <w:r w:rsidR="00716938" w:rsidRPr="009C0B2C">
        <w:rPr>
          <w:rFonts w:ascii="Times" w:hAnsi="Times"/>
        </w:rPr>
        <w:t xml:space="preserve"> recent immigrants from the EU </w:t>
      </w:r>
      <w:r w:rsidR="00254960">
        <w:rPr>
          <w:rFonts w:ascii="Times" w:hAnsi="Times"/>
        </w:rPr>
        <w:t xml:space="preserve">that </w:t>
      </w:r>
      <w:r w:rsidR="00716938" w:rsidRPr="009C0B2C">
        <w:rPr>
          <w:rFonts w:ascii="Times" w:hAnsi="Times"/>
        </w:rPr>
        <w:t>were the most likely to want to leave the EU. For example, South Staffordshire in the West midlands has one of the lowest levels of EU migration i</w:t>
      </w:r>
      <w:r w:rsidR="00254960">
        <w:rPr>
          <w:rFonts w:ascii="Times" w:hAnsi="Times"/>
        </w:rPr>
        <w:t xml:space="preserve">n the country, with less than 1 percent </w:t>
      </w:r>
      <w:r w:rsidR="00716938" w:rsidRPr="009C0B2C">
        <w:rPr>
          <w:rFonts w:ascii="Times" w:hAnsi="Times"/>
        </w:rPr>
        <w:t>of the popul</w:t>
      </w:r>
      <w:r w:rsidR="00254960">
        <w:rPr>
          <w:rFonts w:ascii="Times" w:hAnsi="Times"/>
        </w:rPr>
        <w:t xml:space="preserve">ation born in mainland Europe. Yet in this authority area </w:t>
      </w:r>
      <w:r w:rsidR="00EF7E3A">
        <w:rPr>
          <w:rFonts w:ascii="Times" w:hAnsi="Times"/>
        </w:rPr>
        <w:t xml:space="preserve">the </w:t>
      </w:r>
      <w:r w:rsidR="00254960">
        <w:rPr>
          <w:rFonts w:ascii="Times" w:hAnsi="Times"/>
        </w:rPr>
        <w:t>Leave</w:t>
      </w:r>
      <w:r w:rsidR="00EF7E3A">
        <w:rPr>
          <w:rFonts w:ascii="Times" w:hAnsi="Times"/>
        </w:rPr>
        <w:t xml:space="preserve"> vote</w:t>
      </w:r>
      <w:r w:rsidR="00254960">
        <w:rPr>
          <w:rFonts w:ascii="Times" w:hAnsi="Times"/>
        </w:rPr>
        <w:t xml:space="preserve"> reached 78 percent. </w:t>
      </w:r>
      <w:r w:rsidR="001A00C2" w:rsidRPr="009C0B2C">
        <w:rPr>
          <w:rFonts w:ascii="Times" w:hAnsi="Times"/>
        </w:rPr>
        <w:t>Of the 20 places with the fewest EU migrants 15 voted to leave</w:t>
      </w:r>
      <w:r w:rsidR="00254960">
        <w:rPr>
          <w:rFonts w:ascii="Times" w:hAnsi="Times"/>
        </w:rPr>
        <w:t xml:space="preserve"> the EU</w:t>
      </w:r>
      <w:r w:rsidR="001A00C2" w:rsidRPr="009C0B2C">
        <w:rPr>
          <w:rFonts w:ascii="Times" w:hAnsi="Times"/>
        </w:rPr>
        <w:t xml:space="preserve">. </w:t>
      </w:r>
      <w:r w:rsidR="00CA6225" w:rsidRPr="009C0B2C">
        <w:rPr>
          <w:rFonts w:ascii="Times" w:hAnsi="Times"/>
        </w:rPr>
        <w:t>By contrast, o</w:t>
      </w:r>
      <w:r w:rsidR="001A00C2" w:rsidRPr="009C0B2C">
        <w:rPr>
          <w:rFonts w:ascii="Times" w:hAnsi="Times"/>
        </w:rPr>
        <w:t xml:space="preserve">f the 20 places with the most EU migrants 18 voted to remain. </w:t>
      </w:r>
      <w:r w:rsidR="003A540E">
        <w:rPr>
          <w:rFonts w:ascii="Times" w:hAnsi="Times"/>
        </w:rPr>
        <w:t>In many of the areas that were among the</w:t>
      </w:r>
      <w:r w:rsidR="00EF7E3A">
        <w:rPr>
          <w:rFonts w:ascii="Times" w:hAnsi="Times"/>
        </w:rPr>
        <w:t xml:space="preserve"> most receptive to the Leave campaign there were hardly any EU migrants at all.</w:t>
      </w:r>
    </w:p>
    <w:p w14:paraId="00D30722" w14:textId="79282646" w:rsidR="00EF7E3A" w:rsidRDefault="008E7798" w:rsidP="00554241">
      <w:pPr>
        <w:spacing w:before="240" w:line="720" w:lineRule="auto"/>
        <w:jc w:val="both"/>
        <w:rPr>
          <w:rFonts w:ascii="Times" w:hAnsi="Times"/>
        </w:rPr>
      </w:pPr>
      <w:r>
        <w:rPr>
          <w:rFonts w:ascii="Times" w:hAnsi="Times"/>
        </w:rPr>
        <w:tab/>
      </w:r>
      <w:r w:rsidR="002B20BF" w:rsidRPr="009C0B2C">
        <w:rPr>
          <w:rFonts w:ascii="Times" w:hAnsi="Times"/>
        </w:rPr>
        <w:t xml:space="preserve">There is also a negative, albeit slightly weaker, relationship between the size of the nonwhite population in an area and support for leave (r = -0.33). Places with large non-white populations tended to be somewhat less likely to vote Leave. Many of these places were in London. </w:t>
      </w:r>
      <w:r w:rsidR="00EF7E3A">
        <w:rPr>
          <w:rFonts w:ascii="Times" w:hAnsi="Times"/>
        </w:rPr>
        <w:t xml:space="preserve">Of the 20 places with the largest </w:t>
      </w:r>
      <w:r w:rsidR="001A00C2" w:rsidRPr="009C0B2C">
        <w:rPr>
          <w:rFonts w:ascii="Times" w:hAnsi="Times"/>
        </w:rPr>
        <w:t>non-white population 17 were in London and 15 voted to remain. It is tempting to draw the inference from this that ethnic minorities were more likely to vote remain. But this is not</w:t>
      </w:r>
      <w:r w:rsidR="00183D52">
        <w:rPr>
          <w:rFonts w:ascii="Times" w:hAnsi="Times"/>
        </w:rPr>
        <w:t xml:space="preserve"> necessarily the case and we will not be able to answer this question until individual-level analyses are undertaken. </w:t>
      </w:r>
      <w:r w:rsidR="001A00C2" w:rsidRPr="009C0B2C">
        <w:rPr>
          <w:rFonts w:ascii="Times" w:hAnsi="Times"/>
        </w:rPr>
        <w:t xml:space="preserve">It is also possible that white people living in ethnically mixed areas </w:t>
      </w:r>
      <w:r w:rsidR="00F847E3" w:rsidRPr="009C0B2C">
        <w:rPr>
          <w:rFonts w:ascii="Times" w:hAnsi="Times"/>
        </w:rPr>
        <w:t xml:space="preserve">were more likely to vote remain </w:t>
      </w:r>
      <w:r w:rsidR="001A00C2" w:rsidRPr="009C0B2C">
        <w:rPr>
          <w:rFonts w:ascii="Times" w:hAnsi="Times"/>
        </w:rPr>
        <w:t>than people living in predominantly white areas</w:t>
      </w:r>
      <w:r w:rsidR="00F847E3" w:rsidRPr="009C0B2C">
        <w:rPr>
          <w:rFonts w:ascii="Times" w:hAnsi="Times"/>
        </w:rPr>
        <w:t>, perhaps because they had a more cosmopolitan outlook.</w:t>
      </w:r>
      <w:r w:rsidR="001A00C2" w:rsidRPr="009C0B2C">
        <w:rPr>
          <w:rFonts w:ascii="Times" w:hAnsi="Times"/>
        </w:rPr>
        <w:t xml:space="preserve">  </w:t>
      </w:r>
    </w:p>
    <w:p w14:paraId="6CE35D0B" w14:textId="1451456A" w:rsidR="00333601" w:rsidRDefault="00BD08AD" w:rsidP="00EF7E3A">
      <w:pPr>
        <w:spacing w:before="240" w:line="720" w:lineRule="auto"/>
        <w:ind w:firstLine="720"/>
        <w:jc w:val="both"/>
        <w:rPr>
          <w:rFonts w:ascii="Times" w:hAnsi="Times"/>
        </w:rPr>
      </w:pPr>
      <w:r>
        <w:rPr>
          <w:rFonts w:ascii="Times" w:hAnsi="Times"/>
        </w:rPr>
        <w:lastRenderedPageBreak/>
        <w:t>Returning to Table 2</w:t>
      </w:r>
      <w:r w:rsidR="00CA6225" w:rsidRPr="009C0B2C">
        <w:rPr>
          <w:rFonts w:ascii="Times" w:hAnsi="Times"/>
        </w:rPr>
        <w:t>, in Model</w:t>
      </w:r>
      <w:r>
        <w:rPr>
          <w:rFonts w:ascii="Times" w:hAnsi="Times"/>
        </w:rPr>
        <w:t>s</w:t>
      </w:r>
      <w:r w:rsidR="00CA6225" w:rsidRPr="009C0B2C">
        <w:rPr>
          <w:rFonts w:ascii="Times" w:hAnsi="Times"/>
        </w:rPr>
        <w:t xml:space="preserve"> 2 </w:t>
      </w:r>
      <w:r>
        <w:rPr>
          <w:rFonts w:ascii="Times" w:hAnsi="Times"/>
        </w:rPr>
        <w:t xml:space="preserve">and 3 </w:t>
      </w:r>
      <w:r w:rsidR="00183D52">
        <w:rPr>
          <w:rFonts w:ascii="Times" w:hAnsi="Times"/>
        </w:rPr>
        <w:t xml:space="preserve">we </w:t>
      </w:r>
      <w:r w:rsidR="002B435A">
        <w:rPr>
          <w:rFonts w:ascii="Times" w:hAnsi="Times"/>
        </w:rPr>
        <w:t>examine</w:t>
      </w:r>
      <w:r w:rsidR="00F847E3" w:rsidRPr="009C0B2C">
        <w:rPr>
          <w:rFonts w:ascii="Times" w:hAnsi="Times"/>
        </w:rPr>
        <w:t xml:space="preserve"> the impact of </w:t>
      </w:r>
      <w:r w:rsidR="004522AB">
        <w:rPr>
          <w:rFonts w:ascii="Times" w:hAnsi="Times"/>
        </w:rPr>
        <w:t xml:space="preserve">EU </w:t>
      </w:r>
      <w:r w:rsidR="00F847E3" w:rsidRPr="009C0B2C">
        <w:rPr>
          <w:rFonts w:ascii="Times" w:hAnsi="Times"/>
        </w:rPr>
        <w:t>immigration and ethnic diversity on support for leave in conjunction with the other factors that we have already discussed</w:t>
      </w:r>
      <w:r w:rsidR="00037B29" w:rsidRPr="009C0B2C">
        <w:rPr>
          <w:rFonts w:ascii="Times" w:hAnsi="Times"/>
        </w:rPr>
        <w:t xml:space="preserve">. </w:t>
      </w:r>
      <w:r w:rsidR="00781377">
        <w:rPr>
          <w:rFonts w:ascii="Times" w:hAnsi="Times"/>
        </w:rPr>
        <w:t xml:space="preserve">Because the level of EU migration and size of the nonwhite population in an area are highly correlated (r=0.71) we model the two variables separately. </w:t>
      </w:r>
      <w:r w:rsidR="00037B29" w:rsidRPr="009C0B2C">
        <w:rPr>
          <w:rFonts w:ascii="Times" w:hAnsi="Times"/>
        </w:rPr>
        <w:t>Controlling for the age and education profiles of different areas</w:t>
      </w:r>
      <w:r w:rsidR="00F847E3" w:rsidRPr="009C0B2C">
        <w:rPr>
          <w:rFonts w:ascii="Times" w:hAnsi="Times"/>
        </w:rPr>
        <w:t xml:space="preserve">, </w:t>
      </w:r>
      <w:r w:rsidR="00037B29" w:rsidRPr="009C0B2C">
        <w:rPr>
          <w:rFonts w:ascii="Times" w:hAnsi="Times"/>
        </w:rPr>
        <w:t>and whether or not they are in L</w:t>
      </w:r>
      <w:r w:rsidR="00183D52">
        <w:rPr>
          <w:rFonts w:ascii="Times" w:hAnsi="Times"/>
        </w:rPr>
        <w:t xml:space="preserve">ondon or Scotland, </w:t>
      </w:r>
      <w:r w:rsidR="00781377">
        <w:rPr>
          <w:rFonts w:ascii="Times" w:hAnsi="Times"/>
        </w:rPr>
        <w:t>from Model 2</w:t>
      </w:r>
      <w:r w:rsidR="00554241">
        <w:rPr>
          <w:rFonts w:ascii="Times" w:hAnsi="Times"/>
        </w:rPr>
        <w:t>a</w:t>
      </w:r>
      <w:r w:rsidR="00781377">
        <w:rPr>
          <w:rFonts w:ascii="Times" w:hAnsi="Times"/>
        </w:rPr>
        <w:t xml:space="preserve"> </w:t>
      </w:r>
      <w:r w:rsidR="00183D52">
        <w:rPr>
          <w:rFonts w:ascii="Times" w:hAnsi="Times"/>
        </w:rPr>
        <w:t xml:space="preserve">we can see </w:t>
      </w:r>
      <w:r w:rsidR="00333601">
        <w:rPr>
          <w:rFonts w:ascii="Times" w:hAnsi="Times"/>
        </w:rPr>
        <w:t xml:space="preserve">that </w:t>
      </w:r>
      <w:r w:rsidR="00037B29" w:rsidRPr="009C0B2C">
        <w:rPr>
          <w:rFonts w:ascii="Times" w:hAnsi="Times"/>
        </w:rPr>
        <w:t xml:space="preserve">support for Leave was somewhat lower in places where there were many EU migrants than where there were relatively few. </w:t>
      </w:r>
    </w:p>
    <w:p w14:paraId="6A35E122" w14:textId="4B544304" w:rsidR="00333601" w:rsidRDefault="00333601" w:rsidP="00EF7E3A">
      <w:pPr>
        <w:spacing w:before="240" w:line="720" w:lineRule="auto"/>
        <w:ind w:firstLine="720"/>
        <w:jc w:val="both"/>
        <w:rPr>
          <w:rFonts w:ascii="Times" w:hAnsi="Times"/>
        </w:rPr>
      </w:pPr>
      <w:r>
        <w:rPr>
          <w:rFonts w:ascii="Times" w:hAnsi="Times"/>
        </w:rPr>
        <w:t xml:space="preserve">From this it might be tempting to assume that immigration played no part in delivering Brexit. However, a slightly different picture emerges if we also consider </w:t>
      </w:r>
      <w:r>
        <w:rPr>
          <w:rFonts w:ascii="Times" w:hAnsi="Times"/>
          <w:i/>
        </w:rPr>
        <w:t>changes</w:t>
      </w:r>
      <w:r>
        <w:rPr>
          <w:rFonts w:ascii="Times" w:hAnsi="Times"/>
        </w:rPr>
        <w:t xml:space="preserve"> in the level of EU migration.</w:t>
      </w:r>
      <w:r>
        <w:rPr>
          <w:rStyle w:val="EndnoteReference"/>
          <w:rFonts w:ascii="Times" w:hAnsi="Times"/>
        </w:rPr>
        <w:endnoteReference w:id="11"/>
      </w:r>
      <w:r>
        <w:rPr>
          <w:rFonts w:ascii="Times" w:hAnsi="Times"/>
        </w:rPr>
        <w:t xml:space="preserve"> Data on recent change is only available for England and Wales so we don’t include it in our main analysis, but the results from this subset of cases reveal some interesting patterns. Controlling for the effect of overall migration and the other variables in Model 2</w:t>
      </w:r>
      <w:r w:rsidR="00554241">
        <w:rPr>
          <w:rFonts w:ascii="Times" w:hAnsi="Times"/>
        </w:rPr>
        <w:t>a</w:t>
      </w:r>
      <w:r>
        <w:rPr>
          <w:rFonts w:ascii="Times" w:hAnsi="Times"/>
        </w:rPr>
        <w:t xml:space="preserve"> (excluding Scotland), those places which experienced an increase in EU migration over the last 10 years tended to be somewhat more likely to vote Leave (b=0.51; p=0.007). </w:t>
      </w:r>
      <w:r w:rsidR="00DA57B0">
        <w:rPr>
          <w:rFonts w:ascii="Times" w:hAnsi="Times"/>
        </w:rPr>
        <w:t>Thus, e</w:t>
      </w:r>
      <w:r>
        <w:rPr>
          <w:rFonts w:ascii="Times" w:hAnsi="Times"/>
        </w:rPr>
        <w:t>ven though areas with relatively high levels of EU migration tended to be</w:t>
      </w:r>
      <w:r w:rsidR="005B0AFD">
        <w:rPr>
          <w:rFonts w:ascii="Times" w:hAnsi="Times"/>
        </w:rPr>
        <w:t xml:space="preserve"> more</w:t>
      </w:r>
      <w:r>
        <w:rPr>
          <w:rFonts w:ascii="Times" w:hAnsi="Times"/>
        </w:rPr>
        <w:t xml:space="preserve"> pro-remain; those places which </w:t>
      </w:r>
      <w:r w:rsidR="005B0AFD">
        <w:rPr>
          <w:rFonts w:ascii="Times" w:hAnsi="Times"/>
        </w:rPr>
        <w:t xml:space="preserve">had </w:t>
      </w:r>
      <w:r>
        <w:rPr>
          <w:rFonts w:ascii="Times" w:hAnsi="Times"/>
        </w:rPr>
        <w:t xml:space="preserve">experienced a sudden influx of EU migrants over the last 10 years tended to </w:t>
      </w:r>
      <w:r>
        <w:rPr>
          <w:rFonts w:ascii="Times" w:hAnsi="Times"/>
        </w:rPr>
        <w:lastRenderedPageBreak/>
        <w:t>be more pro-Leave.</w:t>
      </w:r>
      <w:r w:rsidR="005B0AFD">
        <w:rPr>
          <w:rFonts w:ascii="Times" w:hAnsi="Times"/>
        </w:rPr>
        <w:t xml:space="preserve"> This finding is consistent with the view that it is sudden changes in population that are most likely to fuel concern about immigration. </w:t>
      </w:r>
    </w:p>
    <w:p w14:paraId="6729C304" w14:textId="1BA244F0" w:rsidR="00EF7E3A" w:rsidRDefault="00333601" w:rsidP="00EF7E3A">
      <w:pPr>
        <w:spacing w:before="240" w:line="720" w:lineRule="auto"/>
        <w:ind w:firstLine="720"/>
        <w:jc w:val="both"/>
        <w:rPr>
          <w:rFonts w:ascii="Times" w:hAnsi="Times"/>
        </w:rPr>
      </w:pPr>
      <w:r>
        <w:rPr>
          <w:rFonts w:ascii="Times" w:hAnsi="Times"/>
        </w:rPr>
        <w:t>F</w:t>
      </w:r>
      <w:r w:rsidR="00CA6225" w:rsidRPr="009C0B2C">
        <w:rPr>
          <w:rFonts w:ascii="Times" w:hAnsi="Times"/>
        </w:rPr>
        <w:t xml:space="preserve">rom Model 3 we can see that </w:t>
      </w:r>
      <w:r w:rsidR="00037B29" w:rsidRPr="009C0B2C">
        <w:rPr>
          <w:rFonts w:ascii="Times" w:hAnsi="Times"/>
        </w:rPr>
        <w:t xml:space="preserve">there is not </w:t>
      </w:r>
      <w:r w:rsidR="00DA57B0">
        <w:rPr>
          <w:rFonts w:ascii="Times" w:hAnsi="Times"/>
        </w:rPr>
        <w:t xml:space="preserve">much </w:t>
      </w:r>
      <w:r w:rsidR="00037B29" w:rsidRPr="009C0B2C">
        <w:rPr>
          <w:rFonts w:ascii="Times" w:hAnsi="Times"/>
        </w:rPr>
        <w:t xml:space="preserve">evidence that the size of the non-white population matters. </w:t>
      </w:r>
      <w:r w:rsidR="005C55B4" w:rsidRPr="009C0B2C">
        <w:rPr>
          <w:rFonts w:ascii="Times" w:hAnsi="Times"/>
        </w:rPr>
        <w:t xml:space="preserve">Once we have factored into the equation whether or not the area is in London, it does not appear to </w:t>
      </w:r>
      <w:r w:rsidR="00EF38DE" w:rsidRPr="009C0B2C">
        <w:rPr>
          <w:rFonts w:ascii="Times" w:hAnsi="Times"/>
        </w:rPr>
        <w:t xml:space="preserve">make much difference </w:t>
      </w:r>
      <w:r w:rsidR="005C55B4" w:rsidRPr="009C0B2C">
        <w:rPr>
          <w:rFonts w:ascii="Times" w:hAnsi="Times"/>
        </w:rPr>
        <w:t>how ethnically diverse it is.</w:t>
      </w:r>
    </w:p>
    <w:p w14:paraId="19278931" w14:textId="07DD4F3B" w:rsidR="00CB0025" w:rsidRPr="009C0B2C" w:rsidRDefault="00DA57B0" w:rsidP="00EF7E3A">
      <w:pPr>
        <w:spacing w:before="240" w:line="720" w:lineRule="auto"/>
        <w:ind w:firstLine="720"/>
        <w:jc w:val="both"/>
        <w:rPr>
          <w:rFonts w:ascii="Times" w:hAnsi="Times"/>
        </w:rPr>
      </w:pPr>
      <w:r>
        <w:rPr>
          <w:rFonts w:ascii="Times" w:hAnsi="Times"/>
        </w:rPr>
        <w:t>T</w:t>
      </w:r>
      <w:r w:rsidR="00CA6225" w:rsidRPr="009C0B2C">
        <w:rPr>
          <w:rFonts w:ascii="Times" w:hAnsi="Times"/>
        </w:rPr>
        <w:t>he results presented so far are consistent with p</w:t>
      </w:r>
      <w:r w:rsidR="00EF7E3A">
        <w:rPr>
          <w:rFonts w:ascii="Times" w:hAnsi="Times"/>
        </w:rPr>
        <w:t>ast</w:t>
      </w:r>
      <w:r w:rsidR="00CA6225" w:rsidRPr="009C0B2C">
        <w:rPr>
          <w:rFonts w:ascii="Times" w:hAnsi="Times"/>
        </w:rPr>
        <w:t xml:space="preserve"> research</w:t>
      </w:r>
      <w:r w:rsidR="00183D52">
        <w:rPr>
          <w:rFonts w:ascii="Times" w:hAnsi="Times"/>
        </w:rPr>
        <w:t xml:space="preserve"> on Ukip, which emphasizes the party’s appeal </w:t>
      </w:r>
      <w:r w:rsidR="00CA6225" w:rsidRPr="009C0B2C">
        <w:rPr>
          <w:rFonts w:ascii="Times" w:hAnsi="Times"/>
        </w:rPr>
        <w:t xml:space="preserve">among </w:t>
      </w:r>
      <w:r w:rsidR="00CA6225" w:rsidRPr="009C0B2C">
        <w:rPr>
          <w:rFonts w:ascii="Times" w:hAnsi="Times" w:cs="Calibri"/>
        </w:rPr>
        <w:t xml:space="preserve">older, working-class, white voters who lack qualifications and skills. </w:t>
      </w:r>
      <w:r w:rsidR="000642FC" w:rsidRPr="009C0B2C">
        <w:rPr>
          <w:rFonts w:ascii="Times" w:hAnsi="Times"/>
        </w:rPr>
        <w:t xml:space="preserve">Thus, </w:t>
      </w:r>
      <w:r w:rsidR="007F3B15" w:rsidRPr="009C0B2C">
        <w:rPr>
          <w:rFonts w:ascii="Times" w:hAnsi="Times"/>
        </w:rPr>
        <w:t xml:space="preserve">to a certain extent </w:t>
      </w:r>
      <w:r w:rsidR="000642FC" w:rsidRPr="009C0B2C">
        <w:rPr>
          <w:rFonts w:ascii="Times" w:hAnsi="Times"/>
        </w:rPr>
        <w:t>the factors that help</w:t>
      </w:r>
      <w:r w:rsidR="009E0EDC" w:rsidRPr="009C0B2C">
        <w:rPr>
          <w:rFonts w:ascii="Times" w:hAnsi="Times"/>
        </w:rPr>
        <w:t>ed</w:t>
      </w:r>
      <w:r w:rsidR="000642FC" w:rsidRPr="009C0B2C">
        <w:rPr>
          <w:rFonts w:ascii="Times" w:hAnsi="Times"/>
        </w:rPr>
        <w:t xml:space="preserve"> to explain </w:t>
      </w:r>
      <w:r w:rsidR="009E0EDC" w:rsidRPr="009C0B2C">
        <w:rPr>
          <w:rFonts w:ascii="Times" w:hAnsi="Times"/>
        </w:rPr>
        <w:t xml:space="preserve">rise of Nigel Farage and Ukip </w:t>
      </w:r>
      <w:r w:rsidR="000642FC" w:rsidRPr="009C0B2C">
        <w:rPr>
          <w:rFonts w:ascii="Times" w:hAnsi="Times"/>
        </w:rPr>
        <w:t xml:space="preserve">also help to explain </w:t>
      </w:r>
      <w:r w:rsidR="00183D52">
        <w:rPr>
          <w:rFonts w:ascii="Times" w:hAnsi="Times"/>
        </w:rPr>
        <w:t xml:space="preserve">why, at the 2016 referendum, the British voted for Brexit. </w:t>
      </w:r>
      <w:r w:rsidR="00876BF9" w:rsidRPr="009C0B2C">
        <w:rPr>
          <w:rFonts w:ascii="Times" w:hAnsi="Times"/>
        </w:rPr>
        <w:t>This point comes out</w:t>
      </w:r>
      <w:r w:rsidR="009E0EDC" w:rsidRPr="009C0B2C">
        <w:rPr>
          <w:rFonts w:ascii="Times" w:hAnsi="Times"/>
        </w:rPr>
        <w:t xml:space="preserve"> incredibly clearly in Figure 3, </w:t>
      </w:r>
      <w:r w:rsidR="00876BF9" w:rsidRPr="009C0B2C">
        <w:rPr>
          <w:rFonts w:ascii="Times" w:hAnsi="Times"/>
        </w:rPr>
        <w:t>which considers the associa</w:t>
      </w:r>
      <w:r w:rsidR="009E0EDC" w:rsidRPr="009C0B2C">
        <w:rPr>
          <w:rFonts w:ascii="Times" w:hAnsi="Times"/>
        </w:rPr>
        <w:t>tion between support for Ukip at</w:t>
      </w:r>
      <w:r w:rsidR="00876BF9" w:rsidRPr="009C0B2C">
        <w:rPr>
          <w:rFonts w:ascii="Times" w:hAnsi="Times"/>
        </w:rPr>
        <w:t xml:space="preserve"> the 2014 European </w:t>
      </w:r>
      <w:r w:rsidR="009E0EDC" w:rsidRPr="009C0B2C">
        <w:rPr>
          <w:rFonts w:ascii="Times" w:hAnsi="Times"/>
        </w:rPr>
        <w:t xml:space="preserve">Parliament </w:t>
      </w:r>
      <w:r w:rsidR="00876BF9" w:rsidRPr="009C0B2C">
        <w:rPr>
          <w:rFonts w:ascii="Times" w:hAnsi="Times"/>
        </w:rPr>
        <w:t xml:space="preserve">elections </w:t>
      </w:r>
      <w:r w:rsidR="009E0EDC" w:rsidRPr="009C0B2C">
        <w:rPr>
          <w:rFonts w:ascii="Times" w:hAnsi="Times"/>
        </w:rPr>
        <w:t xml:space="preserve">and support for Brexit at </w:t>
      </w:r>
      <w:r w:rsidR="00876BF9" w:rsidRPr="009C0B2C">
        <w:rPr>
          <w:rFonts w:ascii="Times" w:hAnsi="Times"/>
        </w:rPr>
        <w:t xml:space="preserve">the </w:t>
      </w:r>
      <w:r w:rsidR="009E0EDC" w:rsidRPr="009C0B2C">
        <w:rPr>
          <w:rFonts w:ascii="Times" w:hAnsi="Times"/>
        </w:rPr>
        <w:t xml:space="preserve">2016 </w:t>
      </w:r>
      <w:r w:rsidR="00876BF9" w:rsidRPr="009C0B2C">
        <w:rPr>
          <w:rFonts w:ascii="Times" w:hAnsi="Times"/>
        </w:rPr>
        <w:t>re</w:t>
      </w:r>
      <w:r w:rsidR="009E0EDC" w:rsidRPr="009C0B2C">
        <w:rPr>
          <w:rFonts w:ascii="Times" w:hAnsi="Times"/>
        </w:rPr>
        <w:t xml:space="preserve">ferendum. The R-square is 0.73, </w:t>
      </w:r>
      <w:r w:rsidR="002B435A">
        <w:rPr>
          <w:rFonts w:ascii="Times" w:hAnsi="Times"/>
        </w:rPr>
        <w:t xml:space="preserve">indicating </w:t>
      </w:r>
      <w:r w:rsidR="009E0EDC" w:rsidRPr="009C0B2C">
        <w:rPr>
          <w:rFonts w:ascii="Times" w:hAnsi="Times"/>
        </w:rPr>
        <w:t xml:space="preserve">a </w:t>
      </w:r>
      <w:r w:rsidR="002B435A">
        <w:rPr>
          <w:rFonts w:ascii="Times" w:hAnsi="Times"/>
        </w:rPr>
        <w:t xml:space="preserve">very </w:t>
      </w:r>
      <w:r w:rsidR="009E0EDC" w:rsidRPr="009C0B2C">
        <w:rPr>
          <w:rFonts w:ascii="Times" w:hAnsi="Times"/>
        </w:rPr>
        <w:t xml:space="preserve">strong relationship. By and large, then, authorities that were the most likely to vote for Brexit were the same </w:t>
      </w:r>
      <w:r w:rsidR="00EF7E3A">
        <w:rPr>
          <w:rFonts w:ascii="Times" w:hAnsi="Times"/>
        </w:rPr>
        <w:t xml:space="preserve">ones that had given </w:t>
      </w:r>
      <w:r w:rsidR="009E0EDC" w:rsidRPr="009C0B2C">
        <w:rPr>
          <w:rFonts w:ascii="Times" w:hAnsi="Times"/>
        </w:rPr>
        <w:t>Ukip its stron</w:t>
      </w:r>
      <w:r w:rsidR="00EF7E3A">
        <w:rPr>
          <w:rFonts w:ascii="Times" w:hAnsi="Times"/>
        </w:rPr>
        <w:t xml:space="preserve">gest support two years earlier. </w:t>
      </w:r>
    </w:p>
    <w:p w14:paraId="68552887" w14:textId="4C8A38FD" w:rsidR="00876BF9" w:rsidRPr="00183D52" w:rsidRDefault="00876BF9" w:rsidP="00183D52">
      <w:pPr>
        <w:widowControl w:val="0"/>
        <w:autoSpaceDE w:val="0"/>
        <w:autoSpaceDN w:val="0"/>
        <w:adjustRightInd w:val="0"/>
        <w:spacing w:line="600" w:lineRule="auto"/>
        <w:jc w:val="center"/>
        <w:rPr>
          <w:rFonts w:ascii="Times" w:hAnsi="Times" w:cs="AdvPTimes"/>
        </w:rPr>
      </w:pPr>
      <w:r w:rsidRPr="00183D52">
        <w:rPr>
          <w:rFonts w:ascii="Times" w:hAnsi="Times"/>
        </w:rPr>
        <w:t>Figure 3</w:t>
      </w:r>
      <w:r w:rsidRPr="00183D52">
        <w:rPr>
          <w:rFonts w:ascii="Times" w:hAnsi="Times"/>
        </w:rPr>
        <w:tab/>
        <w:t xml:space="preserve">Support for Ukip in 2014 and </w:t>
      </w:r>
      <w:r w:rsidR="009E0EDC" w:rsidRPr="00183D52">
        <w:rPr>
          <w:rFonts w:ascii="Times" w:hAnsi="Times"/>
        </w:rPr>
        <w:t>Support for Leave in 2016</w:t>
      </w:r>
    </w:p>
    <w:p w14:paraId="6496E29C" w14:textId="60E03D2A" w:rsidR="003D5D0F" w:rsidRPr="009C0B2C" w:rsidRDefault="00876BF9" w:rsidP="00183D52">
      <w:pPr>
        <w:widowControl w:val="0"/>
        <w:autoSpaceDE w:val="0"/>
        <w:autoSpaceDN w:val="0"/>
        <w:adjustRightInd w:val="0"/>
        <w:spacing w:line="600" w:lineRule="auto"/>
        <w:jc w:val="center"/>
        <w:rPr>
          <w:rFonts w:ascii="Times" w:hAnsi="Times" w:cs="Calibri"/>
        </w:rPr>
      </w:pPr>
      <w:r w:rsidRPr="009C0B2C">
        <w:rPr>
          <w:rFonts w:ascii="Times" w:hAnsi="Times" w:cs="Calibri"/>
          <w:noProof/>
          <w:lang w:val="en-GB" w:eastAsia="en-GB"/>
        </w:rPr>
        <w:lastRenderedPageBreak/>
        <w:drawing>
          <wp:inline distT="0" distB="0" distL="0" distR="0" wp14:anchorId="69549A18" wp14:editId="6E5FC7E5">
            <wp:extent cx="3592161" cy="26289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7279" cy="2639964"/>
                    </a:xfrm>
                    <a:prstGeom prst="rect">
                      <a:avLst/>
                    </a:prstGeom>
                    <a:noFill/>
                    <a:ln>
                      <a:noFill/>
                    </a:ln>
                  </pic:spPr>
                </pic:pic>
              </a:graphicData>
            </a:graphic>
          </wp:inline>
        </w:drawing>
      </w:r>
    </w:p>
    <w:p w14:paraId="735377CB" w14:textId="77777777" w:rsidR="00EF7E3A" w:rsidRDefault="00183D52" w:rsidP="00EF7E3A">
      <w:pPr>
        <w:spacing w:before="240" w:line="600" w:lineRule="auto"/>
        <w:jc w:val="both"/>
        <w:rPr>
          <w:rFonts w:ascii="Times" w:hAnsi="Times"/>
        </w:rPr>
      </w:pPr>
      <w:r>
        <w:rPr>
          <w:rFonts w:ascii="Times" w:hAnsi="Times"/>
        </w:rPr>
        <w:t xml:space="preserve">However, this clearly is not the whole story. Whereas the </w:t>
      </w:r>
      <w:r w:rsidRPr="009C0B2C">
        <w:rPr>
          <w:rFonts w:ascii="Times" w:hAnsi="Times"/>
        </w:rPr>
        <w:t xml:space="preserve">average level of support for Ukip across </w:t>
      </w:r>
      <w:r>
        <w:rPr>
          <w:rFonts w:ascii="Times" w:hAnsi="Times"/>
        </w:rPr>
        <w:t>all</w:t>
      </w:r>
      <w:r w:rsidRPr="009C0B2C">
        <w:rPr>
          <w:rFonts w:ascii="Times" w:hAnsi="Times"/>
        </w:rPr>
        <w:t xml:space="preserve"> authorities in 2014 was 29 per cent, the average level of support for</w:t>
      </w:r>
      <w:r>
        <w:rPr>
          <w:rFonts w:ascii="Times" w:hAnsi="Times"/>
        </w:rPr>
        <w:t xml:space="preserve"> Leave at the </w:t>
      </w:r>
      <w:r w:rsidRPr="009C0B2C">
        <w:rPr>
          <w:rFonts w:ascii="Times" w:hAnsi="Times"/>
        </w:rPr>
        <w:t>2016</w:t>
      </w:r>
      <w:r>
        <w:rPr>
          <w:rFonts w:ascii="Times" w:hAnsi="Times"/>
        </w:rPr>
        <w:t xml:space="preserve"> referendum</w:t>
      </w:r>
      <w:r w:rsidRPr="009C0B2C">
        <w:rPr>
          <w:rFonts w:ascii="Times" w:hAnsi="Times"/>
        </w:rPr>
        <w:t xml:space="preserve"> was 53 per cent. Thus, even if the relative difference between</w:t>
      </w:r>
      <w:r w:rsidR="00EF7E3A">
        <w:rPr>
          <w:rFonts w:ascii="Times" w:hAnsi="Times"/>
        </w:rPr>
        <w:t xml:space="preserve"> authorities was much the same they were all </w:t>
      </w:r>
      <w:r w:rsidRPr="009C0B2C">
        <w:rPr>
          <w:rFonts w:ascii="Times" w:hAnsi="Times"/>
        </w:rPr>
        <w:t>substantially more likely to vote Leave than they had been to vote Ukip</w:t>
      </w:r>
      <w:r w:rsidR="00EF7E3A">
        <w:rPr>
          <w:rFonts w:ascii="Times" w:hAnsi="Times"/>
        </w:rPr>
        <w:t xml:space="preserve"> in the past</w:t>
      </w:r>
      <w:r w:rsidRPr="009C0B2C">
        <w:rPr>
          <w:rFonts w:ascii="Times" w:hAnsi="Times"/>
        </w:rPr>
        <w:t>, to the tune of around 25 percentage points.</w:t>
      </w:r>
      <w:r>
        <w:rPr>
          <w:rFonts w:ascii="Times" w:hAnsi="Times"/>
        </w:rPr>
        <w:t xml:space="preserve"> </w:t>
      </w:r>
      <w:r w:rsidR="00CB0025" w:rsidRPr="009C0B2C">
        <w:rPr>
          <w:rFonts w:ascii="Times" w:hAnsi="Times"/>
        </w:rPr>
        <w:t>This</w:t>
      </w:r>
      <w:r>
        <w:rPr>
          <w:rFonts w:ascii="Times" w:hAnsi="Times"/>
        </w:rPr>
        <w:t xml:space="preserve"> raises an intriguing question – how might we explain where the</w:t>
      </w:r>
      <w:r w:rsidR="00CB0025" w:rsidRPr="009C0B2C">
        <w:rPr>
          <w:rFonts w:ascii="Times" w:hAnsi="Times"/>
        </w:rPr>
        <w:t xml:space="preserve"> additional votes for</w:t>
      </w:r>
      <w:r w:rsidR="00EF7E3A">
        <w:rPr>
          <w:rFonts w:ascii="Times" w:hAnsi="Times"/>
        </w:rPr>
        <w:t xml:space="preserve"> Leave came from?</w:t>
      </w:r>
    </w:p>
    <w:p w14:paraId="1732E112" w14:textId="77777777" w:rsidR="00DF29BF" w:rsidRDefault="00183D52" w:rsidP="00DF29BF">
      <w:pPr>
        <w:spacing w:before="240" w:line="720" w:lineRule="auto"/>
        <w:ind w:firstLine="720"/>
        <w:jc w:val="both"/>
        <w:rPr>
          <w:rFonts w:ascii="Times" w:hAnsi="Times"/>
        </w:rPr>
      </w:pPr>
      <w:r>
        <w:rPr>
          <w:rFonts w:ascii="Times" w:hAnsi="Times"/>
        </w:rPr>
        <w:t>Among close</w:t>
      </w:r>
      <w:r w:rsidR="00EF7E3A">
        <w:rPr>
          <w:rFonts w:ascii="Times" w:hAnsi="Times"/>
        </w:rPr>
        <w:t>r observers of British politics</w:t>
      </w:r>
      <w:r>
        <w:rPr>
          <w:rFonts w:ascii="Times" w:hAnsi="Times"/>
        </w:rPr>
        <w:t xml:space="preserve"> it would not be a surprise to find that more economically left behind areas of the country, such as Boston, Castle Point and Thurrock,</w:t>
      </w:r>
      <w:r w:rsidR="00DF29BF">
        <w:rPr>
          <w:rFonts w:ascii="Times" w:hAnsi="Times"/>
        </w:rPr>
        <w:t xml:space="preserve"> have the strongest support for Brexit</w:t>
      </w:r>
      <w:r>
        <w:rPr>
          <w:rFonts w:ascii="Times" w:hAnsi="Times"/>
        </w:rPr>
        <w:t>. But what is surprising</w:t>
      </w:r>
      <w:r w:rsidR="00CB0025" w:rsidRPr="009C0B2C">
        <w:rPr>
          <w:rFonts w:ascii="Times" w:hAnsi="Times"/>
        </w:rPr>
        <w:t xml:space="preserve"> is that the level of </w:t>
      </w:r>
      <w:r w:rsidR="00DF29BF">
        <w:rPr>
          <w:rFonts w:ascii="Times" w:hAnsi="Times"/>
        </w:rPr>
        <w:t xml:space="preserve">this </w:t>
      </w:r>
      <w:r w:rsidR="00CB0025" w:rsidRPr="009C0B2C">
        <w:rPr>
          <w:rFonts w:ascii="Times" w:hAnsi="Times"/>
        </w:rPr>
        <w:t xml:space="preserve">support was so much higher in these areas (and others) than it had been for Ukip in 2014. Many insurgent parties start off life by appealing to a relatively narrow section of society. However, as they </w:t>
      </w:r>
      <w:r w:rsidR="00CB0025" w:rsidRPr="009C0B2C">
        <w:rPr>
          <w:rFonts w:ascii="Times" w:hAnsi="Times"/>
        </w:rPr>
        <w:lastRenderedPageBreak/>
        <w:t xml:space="preserve">grow they often tend to try and broaden their social appeal and attract the votes of new sections of society. Is this what Ukip’s </w:t>
      </w:r>
      <w:r w:rsidR="00DF29BF">
        <w:rPr>
          <w:rFonts w:ascii="Times" w:hAnsi="Times"/>
        </w:rPr>
        <w:t xml:space="preserve">populist Eurosceptic message achieved? </w:t>
      </w:r>
    </w:p>
    <w:p w14:paraId="4DF50D61" w14:textId="2453100B" w:rsidR="00DF29BF" w:rsidRDefault="006532DC" w:rsidP="00EA2C6E">
      <w:pPr>
        <w:spacing w:before="240" w:line="720" w:lineRule="auto"/>
        <w:ind w:firstLine="720"/>
        <w:jc w:val="both"/>
        <w:rPr>
          <w:rFonts w:ascii="Times" w:hAnsi="Times"/>
        </w:rPr>
      </w:pPr>
      <w:r w:rsidRPr="009C0B2C">
        <w:rPr>
          <w:rFonts w:ascii="Times" w:hAnsi="Times" w:cs="Calibri"/>
        </w:rPr>
        <w:t>We can begin to get some idea of where</w:t>
      </w:r>
      <w:r w:rsidR="00183D52">
        <w:rPr>
          <w:rFonts w:ascii="Times" w:hAnsi="Times" w:cs="Calibri"/>
        </w:rPr>
        <w:t xml:space="preserve"> the extra votes for</w:t>
      </w:r>
      <w:r w:rsidR="00DF29BF">
        <w:rPr>
          <w:rFonts w:ascii="Times" w:hAnsi="Times" w:cs="Calibri"/>
        </w:rPr>
        <w:t xml:space="preserve"> Brexit</w:t>
      </w:r>
      <w:r w:rsidR="00183D52">
        <w:rPr>
          <w:rFonts w:ascii="Times" w:hAnsi="Times" w:cs="Calibri"/>
        </w:rPr>
        <w:t xml:space="preserve"> came from by inspecting the </w:t>
      </w:r>
      <w:r w:rsidRPr="009C0B2C">
        <w:rPr>
          <w:rFonts w:ascii="Times" w:hAnsi="Times" w:cs="Calibri"/>
        </w:rPr>
        <w:t xml:space="preserve">impact of age and education on </w:t>
      </w:r>
      <w:r w:rsidR="00183D52">
        <w:rPr>
          <w:rFonts w:ascii="Times" w:hAnsi="Times" w:cs="Calibri"/>
        </w:rPr>
        <w:t xml:space="preserve">the </w:t>
      </w:r>
      <w:r w:rsidR="00DF29BF">
        <w:rPr>
          <w:rFonts w:ascii="Times" w:hAnsi="Times" w:cs="Calibri"/>
        </w:rPr>
        <w:t xml:space="preserve">Leave </w:t>
      </w:r>
      <w:r w:rsidR="00183D52">
        <w:rPr>
          <w:rFonts w:ascii="Times" w:hAnsi="Times" w:cs="Calibri"/>
        </w:rPr>
        <w:t xml:space="preserve">vote, while </w:t>
      </w:r>
      <w:r w:rsidRPr="009C0B2C">
        <w:rPr>
          <w:rFonts w:ascii="Times" w:hAnsi="Times" w:cs="Calibri"/>
        </w:rPr>
        <w:t>controlling for past support for Ukip.</w:t>
      </w:r>
      <w:r w:rsidR="008B6081" w:rsidRPr="009C0B2C">
        <w:rPr>
          <w:rFonts w:ascii="Times" w:hAnsi="Times" w:cs="Calibri"/>
        </w:rPr>
        <w:t xml:space="preserve"> </w:t>
      </w:r>
      <w:r w:rsidR="00183D52">
        <w:rPr>
          <w:rFonts w:ascii="Times" w:hAnsi="Times" w:cs="Calibri"/>
        </w:rPr>
        <w:t>The results are pr</w:t>
      </w:r>
      <w:r w:rsidR="00BD08AD">
        <w:rPr>
          <w:rFonts w:ascii="Times" w:hAnsi="Times" w:cs="Calibri"/>
        </w:rPr>
        <w:t>esented under Model 4 in Table 2</w:t>
      </w:r>
      <w:r w:rsidR="00183D52">
        <w:rPr>
          <w:rFonts w:ascii="Times" w:hAnsi="Times" w:cs="Calibri"/>
        </w:rPr>
        <w:t xml:space="preserve">. </w:t>
      </w:r>
      <w:r w:rsidR="00260A94" w:rsidRPr="009C0B2C">
        <w:rPr>
          <w:rFonts w:ascii="Times" w:hAnsi="Times" w:cs="Calibri"/>
        </w:rPr>
        <w:t xml:space="preserve">The first thing to notice is that when we control for Ukip </w:t>
      </w:r>
      <w:r w:rsidR="00DF29BF">
        <w:rPr>
          <w:rFonts w:ascii="Times" w:hAnsi="Times" w:cs="Calibri"/>
        </w:rPr>
        <w:t>support</w:t>
      </w:r>
      <w:r w:rsidR="00260A94" w:rsidRPr="009C0B2C">
        <w:rPr>
          <w:rFonts w:ascii="Times" w:hAnsi="Times" w:cs="Calibri"/>
        </w:rPr>
        <w:t xml:space="preserve"> the model’s fit to the data dramatically improves. The adjusted R-square increases to 0.87. This clearly brings home how close the structure of variation </w:t>
      </w:r>
      <w:r w:rsidR="00B17B4C" w:rsidRPr="009C0B2C">
        <w:rPr>
          <w:rFonts w:ascii="Times" w:hAnsi="Times" w:cs="Calibri"/>
        </w:rPr>
        <w:t xml:space="preserve">in support for Leave </w:t>
      </w:r>
      <w:r w:rsidR="00260A94" w:rsidRPr="009C0B2C">
        <w:rPr>
          <w:rFonts w:ascii="Times" w:hAnsi="Times" w:cs="Calibri"/>
        </w:rPr>
        <w:t xml:space="preserve">between different authorities </w:t>
      </w:r>
      <w:r w:rsidR="00B17B4C" w:rsidRPr="009C0B2C">
        <w:rPr>
          <w:rFonts w:ascii="Times" w:hAnsi="Times" w:cs="Calibri"/>
        </w:rPr>
        <w:t xml:space="preserve">maps on to past support for Ukip. </w:t>
      </w:r>
      <w:r w:rsidRPr="009C0B2C">
        <w:rPr>
          <w:rFonts w:ascii="Times" w:hAnsi="Times"/>
        </w:rPr>
        <w:t xml:space="preserve">Interestingly, we find that </w:t>
      </w:r>
      <w:r w:rsidR="00B17B4C" w:rsidRPr="009C0B2C">
        <w:rPr>
          <w:rFonts w:ascii="Times" w:hAnsi="Times"/>
        </w:rPr>
        <w:t xml:space="preserve">once we take </w:t>
      </w:r>
      <w:r w:rsidRPr="009C0B2C">
        <w:rPr>
          <w:rFonts w:ascii="Times" w:hAnsi="Times"/>
        </w:rPr>
        <w:t>into account past support for Ukip</w:t>
      </w:r>
      <w:r w:rsidR="00183D52">
        <w:rPr>
          <w:rFonts w:ascii="Times" w:hAnsi="Times"/>
        </w:rPr>
        <w:t xml:space="preserve">, the effect of some of the other variables on the </w:t>
      </w:r>
      <w:r w:rsidR="00B17B4C" w:rsidRPr="009C0B2C">
        <w:rPr>
          <w:rFonts w:ascii="Times" w:hAnsi="Times"/>
        </w:rPr>
        <w:t>vote change as well. We now have to be a little careful about how we interpret these variables</w:t>
      </w:r>
      <w:r w:rsidR="00FE5ABC">
        <w:rPr>
          <w:rFonts w:ascii="Times" w:hAnsi="Times"/>
        </w:rPr>
        <w:t xml:space="preserve"> as they now show us the partial effect </w:t>
      </w:r>
      <w:r w:rsidR="00D57581" w:rsidRPr="009C0B2C">
        <w:rPr>
          <w:rFonts w:ascii="Times" w:hAnsi="Times"/>
        </w:rPr>
        <w:t>on</w:t>
      </w:r>
      <w:r w:rsidR="00B17B4C" w:rsidRPr="009C0B2C">
        <w:rPr>
          <w:rFonts w:ascii="Times" w:hAnsi="Times"/>
        </w:rPr>
        <w:t xml:space="preserve"> Leave, </w:t>
      </w:r>
      <w:r w:rsidR="00FE5ABC">
        <w:rPr>
          <w:rFonts w:ascii="Times" w:hAnsi="Times"/>
        </w:rPr>
        <w:t xml:space="preserve">controlling for </w:t>
      </w:r>
      <w:r w:rsidR="00B17B4C" w:rsidRPr="009C0B2C">
        <w:rPr>
          <w:rFonts w:ascii="Times" w:hAnsi="Times"/>
        </w:rPr>
        <w:t xml:space="preserve">past support for Ukip. So, for example, </w:t>
      </w:r>
      <w:r w:rsidR="00C327F4" w:rsidRPr="009C0B2C">
        <w:rPr>
          <w:rFonts w:ascii="Times" w:hAnsi="Times"/>
        </w:rPr>
        <w:t xml:space="preserve">we </w:t>
      </w:r>
      <w:r w:rsidR="00B17B4C" w:rsidRPr="009C0B2C">
        <w:rPr>
          <w:rFonts w:ascii="Times" w:hAnsi="Times"/>
        </w:rPr>
        <w:t xml:space="preserve">know that places with older populations are both more likely to have voted for Ukip in 2014 and more likely to have voted Leave in 2016. </w:t>
      </w:r>
      <w:r w:rsidR="0098229F">
        <w:rPr>
          <w:rFonts w:ascii="Times" w:hAnsi="Times"/>
        </w:rPr>
        <w:t xml:space="preserve">However, when we take into account past support for Ukip we see that the effect of age on support for Leave is negative. </w:t>
      </w:r>
      <w:r w:rsidR="00EA2C6E">
        <w:rPr>
          <w:rFonts w:ascii="Times" w:hAnsi="Times"/>
        </w:rPr>
        <w:t xml:space="preserve">This implies that </w:t>
      </w:r>
      <w:r w:rsidR="00B17B4C" w:rsidRPr="009C0B2C">
        <w:rPr>
          <w:rFonts w:ascii="Times" w:hAnsi="Times"/>
        </w:rPr>
        <w:t xml:space="preserve">support for </w:t>
      </w:r>
      <w:r w:rsidR="00D57581">
        <w:rPr>
          <w:rFonts w:ascii="Times" w:hAnsi="Times"/>
        </w:rPr>
        <w:t xml:space="preserve">Leave in 2016 is </w:t>
      </w:r>
      <w:r w:rsidR="00B17934">
        <w:rPr>
          <w:rFonts w:ascii="Times" w:hAnsi="Times"/>
        </w:rPr>
        <w:t xml:space="preserve">slightly </w:t>
      </w:r>
      <w:r w:rsidR="00B17B4C" w:rsidRPr="009C0B2C">
        <w:rPr>
          <w:rFonts w:ascii="Times" w:hAnsi="Times"/>
        </w:rPr>
        <w:t xml:space="preserve">less polarized along age </w:t>
      </w:r>
      <w:r w:rsidR="00C327F4" w:rsidRPr="009C0B2C">
        <w:rPr>
          <w:rFonts w:ascii="Times" w:hAnsi="Times"/>
        </w:rPr>
        <w:t xml:space="preserve">lines </w:t>
      </w:r>
      <w:r w:rsidR="00B17B4C" w:rsidRPr="009C0B2C">
        <w:rPr>
          <w:rFonts w:ascii="Times" w:hAnsi="Times"/>
        </w:rPr>
        <w:t xml:space="preserve">than support for Ukip </w:t>
      </w:r>
      <w:r w:rsidR="00DF29BF">
        <w:rPr>
          <w:rFonts w:ascii="Times" w:hAnsi="Times"/>
        </w:rPr>
        <w:t>was in 2014.</w:t>
      </w:r>
      <w:r w:rsidR="00EA2C6E">
        <w:rPr>
          <w:rStyle w:val="EndnoteReference"/>
          <w:rFonts w:ascii="Times" w:hAnsi="Times"/>
        </w:rPr>
        <w:endnoteReference w:id="12"/>
      </w:r>
      <w:r w:rsidR="00DF29BF">
        <w:rPr>
          <w:rFonts w:ascii="Times" w:hAnsi="Times"/>
        </w:rPr>
        <w:t xml:space="preserve"> </w:t>
      </w:r>
    </w:p>
    <w:p w14:paraId="7024D300" w14:textId="219B3311" w:rsidR="006B35CF" w:rsidRPr="009C0B2C" w:rsidRDefault="00C327F4" w:rsidP="00DF29BF">
      <w:pPr>
        <w:spacing w:before="240" w:line="720" w:lineRule="auto"/>
        <w:ind w:firstLine="720"/>
        <w:jc w:val="both"/>
        <w:rPr>
          <w:rFonts w:ascii="Times" w:hAnsi="Times"/>
        </w:rPr>
      </w:pPr>
      <w:r w:rsidRPr="009C0B2C">
        <w:rPr>
          <w:rFonts w:ascii="Times" w:hAnsi="Times"/>
        </w:rPr>
        <w:lastRenderedPageBreak/>
        <w:t>By contrast the coefficient for education is positive. This implies</w:t>
      </w:r>
      <w:r w:rsidR="00D57581">
        <w:rPr>
          <w:rFonts w:ascii="Times" w:hAnsi="Times"/>
        </w:rPr>
        <w:t xml:space="preserve"> public support for Brexit </w:t>
      </w:r>
      <w:r w:rsidR="00FE5ABC">
        <w:rPr>
          <w:rFonts w:ascii="Times" w:hAnsi="Times"/>
        </w:rPr>
        <w:t xml:space="preserve">is </w:t>
      </w:r>
      <w:r w:rsidRPr="009C0B2C">
        <w:rPr>
          <w:rFonts w:ascii="Times" w:hAnsi="Times"/>
        </w:rPr>
        <w:t>more polarized along education lines</w:t>
      </w:r>
      <w:r w:rsidR="00FE5ABC">
        <w:rPr>
          <w:rFonts w:ascii="Times" w:hAnsi="Times"/>
        </w:rPr>
        <w:t xml:space="preserve"> than support for Ukip was</w:t>
      </w:r>
      <w:r w:rsidRPr="009C0B2C">
        <w:rPr>
          <w:rFonts w:ascii="Times" w:hAnsi="Times"/>
        </w:rPr>
        <w:t>.</w:t>
      </w:r>
      <w:r w:rsidR="00EA2C6E">
        <w:rPr>
          <w:rStyle w:val="EndnoteReference"/>
          <w:rFonts w:ascii="Times" w:hAnsi="Times"/>
        </w:rPr>
        <w:endnoteReference w:id="13"/>
      </w:r>
      <w:r w:rsidRPr="009C0B2C">
        <w:rPr>
          <w:rFonts w:ascii="Times" w:hAnsi="Times"/>
        </w:rPr>
        <w:t xml:space="preserve"> Places where people have few educational qualifications tend to be more likely to support Ukip. But places where Ukip is strong </w:t>
      </w:r>
      <w:r w:rsidRPr="009C0B2C">
        <w:rPr>
          <w:rFonts w:ascii="Times" w:hAnsi="Times"/>
          <w:b/>
          <w:i/>
        </w:rPr>
        <w:t>and</w:t>
      </w:r>
      <w:r w:rsidR="00D57581">
        <w:rPr>
          <w:rFonts w:ascii="Times" w:hAnsi="Times"/>
        </w:rPr>
        <w:t xml:space="preserve"> people have few </w:t>
      </w:r>
      <w:r w:rsidRPr="009C0B2C">
        <w:rPr>
          <w:rFonts w:ascii="Times" w:hAnsi="Times"/>
        </w:rPr>
        <w:t xml:space="preserve">qualifications tend to be more likely to vote </w:t>
      </w:r>
      <w:r w:rsidR="00D57581">
        <w:rPr>
          <w:rFonts w:ascii="Times" w:hAnsi="Times"/>
        </w:rPr>
        <w:t xml:space="preserve">Leave </w:t>
      </w:r>
      <w:r w:rsidRPr="009C0B2C">
        <w:rPr>
          <w:rFonts w:ascii="Times" w:hAnsi="Times"/>
        </w:rPr>
        <w:t>than places where Ukip is equally strong but there are a smaller number of people with fewer qualifications. Thus, to a certain extent</w:t>
      </w:r>
      <w:r w:rsidR="00DF29BF">
        <w:rPr>
          <w:rFonts w:ascii="Times" w:hAnsi="Times"/>
        </w:rPr>
        <w:t>,</w:t>
      </w:r>
      <w:r w:rsidRPr="009C0B2C">
        <w:rPr>
          <w:rFonts w:ascii="Times" w:hAnsi="Times"/>
        </w:rPr>
        <w:t xml:space="preserve"> the 2016 referendum result magnified class divisions within Britain that were </w:t>
      </w:r>
      <w:r w:rsidR="00D57581">
        <w:rPr>
          <w:rFonts w:ascii="Times" w:hAnsi="Times"/>
        </w:rPr>
        <w:t>already evident in</w:t>
      </w:r>
      <w:r w:rsidR="00DF29BF">
        <w:rPr>
          <w:rFonts w:ascii="Times" w:hAnsi="Times"/>
        </w:rPr>
        <w:t xml:space="preserve"> earlier years, and which parties like Ukip had been actively cultivating. </w:t>
      </w:r>
      <w:r w:rsidR="006B35CF" w:rsidRPr="009C0B2C">
        <w:rPr>
          <w:rFonts w:ascii="Times" w:hAnsi="Times"/>
        </w:rPr>
        <w:t xml:space="preserve">Controlling for Ukip also wipes out the effect of Scotland and London. One way </w:t>
      </w:r>
      <w:r w:rsidR="00A4496B">
        <w:rPr>
          <w:rFonts w:ascii="Times" w:hAnsi="Times"/>
        </w:rPr>
        <w:t xml:space="preserve">then </w:t>
      </w:r>
      <w:r w:rsidR="006B35CF" w:rsidRPr="009C0B2C">
        <w:rPr>
          <w:rFonts w:ascii="Times" w:hAnsi="Times"/>
        </w:rPr>
        <w:t xml:space="preserve">in which these places are distinctive </w:t>
      </w:r>
      <w:r w:rsidR="00A4496B">
        <w:rPr>
          <w:rFonts w:ascii="Times" w:hAnsi="Times"/>
        </w:rPr>
        <w:t xml:space="preserve">from the rest of the </w:t>
      </w:r>
      <w:r w:rsidR="00B17934">
        <w:rPr>
          <w:rFonts w:ascii="Times" w:hAnsi="Times"/>
        </w:rPr>
        <w:t xml:space="preserve">UK </w:t>
      </w:r>
      <w:r w:rsidR="006B35CF" w:rsidRPr="009C0B2C">
        <w:rPr>
          <w:rFonts w:ascii="Times" w:hAnsi="Times"/>
        </w:rPr>
        <w:t xml:space="preserve">is the low support </w:t>
      </w:r>
      <w:r w:rsidR="00DF29BF">
        <w:rPr>
          <w:rFonts w:ascii="Times" w:hAnsi="Times"/>
        </w:rPr>
        <w:t>that they had given to Eurosceptic parties in the past.</w:t>
      </w:r>
      <w:r w:rsidR="006B35CF" w:rsidRPr="009C0B2C">
        <w:rPr>
          <w:rFonts w:ascii="Times" w:hAnsi="Times"/>
        </w:rPr>
        <w:t xml:space="preserve"> </w:t>
      </w:r>
    </w:p>
    <w:p w14:paraId="732AA183" w14:textId="77777777" w:rsidR="00A73036" w:rsidRDefault="00A73036" w:rsidP="009C0B2C">
      <w:pPr>
        <w:widowControl w:val="0"/>
        <w:autoSpaceDE w:val="0"/>
        <w:autoSpaceDN w:val="0"/>
        <w:adjustRightInd w:val="0"/>
        <w:spacing w:line="600" w:lineRule="auto"/>
        <w:jc w:val="both"/>
        <w:rPr>
          <w:rFonts w:ascii="Times" w:hAnsi="Times" w:cs="Calibri"/>
          <w:b/>
        </w:rPr>
      </w:pPr>
    </w:p>
    <w:p w14:paraId="5A75DF94" w14:textId="403EF7A4" w:rsidR="00841279" w:rsidRDefault="00841279" w:rsidP="009C0B2C">
      <w:pPr>
        <w:widowControl w:val="0"/>
        <w:autoSpaceDE w:val="0"/>
        <w:autoSpaceDN w:val="0"/>
        <w:adjustRightInd w:val="0"/>
        <w:spacing w:line="600" w:lineRule="auto"/>
        <w:jc w:val="both"/>
        <w:rPr>
          <w:rFonts w:ascii="Times" w:hAnsi="Times" w:cs="Calibri"/>
          <w:b/>
        </w:rPr>
      </w:pPr>
      <w:r w:rsidRPr="009C0B2C">
        <w:rPr>
          <w:rFonts w:ascii="Times" w:hAnsi="Times" w:cs="Calibri"/>
          <w:b/>
        </w:rPr>
        <w:t>Discussion</w:t>
      </w:r>
      <w:r w:rsidR="003D5D0F" w:rsidRPr="009C0B2C">
        <w:rPr>
          <w:rFonts w:ascii="Times" w:hAnsi="Times" w:cs="Calibri"/>
          <w:b/>
        </w:rPr>
        <w:t>: Implications of the Result</w:t>
      </w:r>
    </w:p>
    <w:p w14:paraId="3B52A400" w14:textId="77777777" w:rsidR="00DF29BF" w:rsidRDefault="00840AEA" w:rsidP="00DF29BF">
      <w:pPr>
        <w:widowControl w:val="0"/>
        <w:autoSpaceDE w:val="0"/>
        <w:autoSpaceDN w:val="0"/>
        <w:adjustRightInd w:val="0"/>
        <w:spacing w:line="720" w:lineRule="auto"/>
        <w:jc w:val="both"/>
        <w:rPr>
          <w:rFonts w:ascii="Times" w:hAnsi="Times" w:cs="Calibri"/>
        </w:rPr>
      </w:pPr>
      <w:r w:rsidRPr="009C0B2C">
        <w:rPr>
          <w:rFonts w:ascii="Times" w:hAnsi="Times" w:cs="Calibri"/>
        </w:rPr>
        <w:t>In the conclusions of their</w:t>
      </w:r>
      <w:r w:rsidR="003853A8" w:rsidRPr="009C0B2C">
        <w:rPr>
          <w:rFonts w:ascii="Times" w:hAnsi="Times" w:cs="Calibri"/>
        </w:rPr>
        <w:t xml:space="preserve"> book on</w:t>
      </w:r>
      <w:r w:rsidRPr="009C0B2C">
        <w:rPr>
          <w:rFonts w:ascii="Times" w:hAnsi="Times" w:cs="Calibri"/>
        </w:rPr>
        <w:t xml:space="preserve"> </w:t>
      </w:r>
      <w:r w:rsidR="00DF29BF">
        <w:rPr>
          <w:rFonts w:ascii="Times" w:hAnsi="Times" w:cs="Calibri"/>
        </w:rPr>
        <w:t xml:space="preserve">Britain’s referendum in </w:t>
      </w:r>
      <w:r w:rsidR="003853A8" w:rsidRPr="009C0B2C">
        <w:rPr>
          <w:rFonts w:ascii="Times" w:hAnsi="Times" w:cs="Calibri"/>
        </w:rPr>
        <w:t xml:space="preserve">1975 Butler and Kitzinger </w:t>
      </w:r>
      <w:r w:rsidRPr="009C0B2C">
        <w:rPr>
          <w:rFonts w:ascii="Times" w:hAnsi="Times" w:cs="Calibri"/>
        </w:rPr>
        <w:t>warned against an interpretation of the vote to stay in the European Community as a public outburst of enthusiasm for the broader European project. ‘It was’, they noted, ‘unequivocal but it was also unenthusiastic. Support for membership was wide but it did not run deep… It did not result in a girding of the loins for a great new European adventure’.</w:t>
      </w:r>
      <w:r w:rsidRPr="009C0B2C">
        <w:rPr>
          <w:rStyle w:val="EndnoteReference"/>
          <w:rFonts w:ascii="Times" w:hAnsi="Times" w:cs="Calibri"/>
        </w:rPr>
        <w:endnoteReference w:id="14"/>
      </w:r>
      <w:r w:rsidR="00DF29BF">
        <w:rPr>
          <w:rFonts w:ascii="Times" w:hAnsi="Times" w:cs="Calibri"/>
        </w:rPr>
        <w:t xml:space="preserve"> The</w:t>
      </w:r>
      <w:r w:rsidR="00A07577" w:rsidRPr="009C0B2C">
        <w:rPr>
          <w:rFonts w:ascii="Times" w:hAnsi="Times" w:cs="Calibri"/>
        </w:rPr>
        <w:t xml:space="preserve"> clear lack of British public </w:t>
      </w:r>
      <w:r w:rsidR="00A07577" w:rsidRPr="009C0B2C">
        <w:rPr>
          <w:rFonts w:ascii="Times" w:hAnsi="Times" w:cs="Calibri"/>
        </w:rPr>
        <w:lastRenderedPageBreak/>
        <w:t>enthusiasm for European integration would remain clearly visible for much of the next forty years and would eventually,</w:t>
      </w:r>
      <w:r w:rsidR="00DF29BF">
        <w:rPr>
          <w:rFonts w:ascii="Times" w:hAnsi="Times" w:cs="Calibri"/>
        </w:rPr>
        <w:t xml:space="preserve"> in June 2016, culminate in a </w:t>
      </w:r>
      <w:r w:rsidR="00A07577" w:rsidRPr="009C0B2C">
        <w:rPr>
          <w:rFonts w:ascii="Times" w:hAnsi="Times" w:cs="Calibri"/>
        </w:rPr>
        <w:t>vote for Brexit.</w:t>
      </w:r>
    </w:p>
    <w:p w14:paraId="4FA4EDE8" w14:textId="77777777" w:rsidR="00DF29BF" w:rsidRDefault="0053160F" w:rsidP="00DF29BF">
      <w:pPr>
        <w:widowControl w:val="0"/>
        <w:autoSpaceDE w:val="0"/>
        <w:autoSpaceDN w:val="0"/>
        <w:adjustRightInd w:val="0"/>
        <w:spacing w:line="720" w:lineRule="auto"/>
        <w:ind w:firstLine="720"/>
        <w:jc w:val="both"/>
        <w:rPr>
          <w:rFonts w:ascii="Times" w:hAnsi="Times" w:cs="Calibri"/>
        </w:rPr>
      </w:pPr>
      <w:r w:rsidRPr="009C0B2C">
        <w:rPr>
          <w:rFonts w:ascii="Times" w:hAnsi="Times" w:cs="Calibri"/>
        </w:rPr>
        <w:t xml:space="preserve">Our </w:t>
      </w:r>
      <w:r w:rsidR="00880FF2" w:rsidRPr="009C0B2C">
        <w:rPr>
          <w:rFonts w:ascii="Times" w:hAnsi="Times" w:cs="Calibri"/>
        </w:rPr>
        <w:t xml:space="preserve">analysis of </w:t>
      </w:r>
      <w:r w:rsidR="00DF29BF">
        <w:rPr>
          <w:rFonts w:ascii="Times" w:hAnsi="Times" w:cs="Calibri"/>
        </w:rPr>
        <w:t>this vote has revealed</w:t>
      </w:r>
      <w:r w:rsidR="00880FF2" w:rsidRPr="009C0B2C">
        <w:rPr>
          <w:rFonts w:ascii="Times" w:hAnsi="Times" w:cs="Calibri"/>
        </w:rPr>
        <w:t xml:space="preserve"> how the </w:t>
      </w:r>
      <w:r w:rsidR="00DF29BF">
        <w:rPr>
          <w:rFonts w:ascii="Times" w:hAnsi="Times" w:cs="Calibri"/>
        </w:rPr>
        <w:t xml:space="preserve">2016 </w:t>
      </w:r>
      <w:r w:rsidR="00880FF2" w:rsidRPr="009C0B2C">
        <w:rPr>
          <w:rFonts w:ascii="Times" w:hAnsi="Times" w:cs="Calibri"/>
        </w:rPr>
        <w:t>referendum gave full expression to much deeper divide</w:t>
      </w:r>
      <w:r w:rsidR="00880FF2" w:rsidRPr="00DF29BF">
        <w:rPr>
          <w:rFonts w:ascii="Times" w:hAnsi="Times" w:cs="Calibri"/>
          <w:b/>
        </w:rPr>
        <w:t>s</w:t>
      </w:r>
      <w:r w:rsidR="00880FF2" w:rsidRPr="009C0B2C">
        <w:rPr>
          <w:rFonts w:ascii="Times" w:hAnsi="Times" w:cs="Calibri"/>
        </w:rPr>
        <w:t xml:space="preserve"> in Britain that cut across generational, educational and class lines.</w:t>
      </w:r>
      <w:r w:rsidR="00EB5334" w:rsidRPr="009C0B2C">
        <w:rPr>
          <w:rFonts w:ascii="Times" w:hAnsi="Times" w:cs="Calibri"/>
        </w:rPr>
        <w:t xml:space="preserve"> The public vote for Brexit was anchored predominantly, albeit not exclusively, in areas of the country that are </w:t>
      </w:r>
      <w:r w:rsidR="006863F2" w:rsidRPr="009C0B2C">
        <w:rPr>
          <w:rFonts w:ascii="Times" w:hAnsi="Times" w:cs="Calibri"/>
        </w:rPr>
        <w:t xml:space="preserve">filled with pensioners, low skilled and less well educated blue-collar workers and citizens who </w:t>
      </w:r>
      <w:r w:rsidR="00EB5334" w:rsidRPr="009C0B2C">
        <w:rPr>
          <w:rFonts w:ascii="Times" w:hAnsi="Times" w:cs="Calibri"/>
        </w:rPr>
        <w:t xml:space="preserve">have been pushed to the margins not only by the economic transformation of the country </w:t>
      </w:r>
      <w:r w:rsidR="00DF29BF">
        <w:rPr>
          <w:rFonts w:ascii="Times" w:hAnsi="Times" w:cs="Calibri"/>
        </w:rPr>
        <w:t xml:space="preserve">over recent decades </w:t>
      </w:r>
      <w:r w:rsidR="00EB5334" w:rsidRPr="009C0B2C">
        <w:rPr>
          <w:rFonts w:ascii="Times" w:hAnsi="Times" w:cs="Calibri"/>
        </w:rPr>
        <w:t>but also by the values that have come to dominate a more socially liberal media and political class.</w:t>
      </w:r>
      <w:r w:rsidR="00E02534" w:rsidRPr="009C0B2C">
        <w:rPr>
          <w:rFonts w:ascii="Times" w:hAnsi="Times" w:cs="Calibri"/>
        </w:rPr>
        <w:t xml:space="preserve"> In this respect the vote for Brexit was </w:t>
      </w:r>
      <w:r w:rsidR="00DF29BF">
        <w:rPr>
          <w:rFonts w:ascii="Times" w:hAnsi="Times" w:cs="Calibri"/>
        </w:rPr>
        <w:t xml:space="preserve">delivered by the ‘left behind’- social groups that are united by a general </w:t>
      </w:r>
      <w:r w:rsidR="00E02534" w:rsidRPr="009C0B2C">
        <w:rPr>
          <w:rFonts w:ascii="Times" w:hAnsi="Times" w:cs="Calibri"/>
        </w:rPr>
        <w:t xml:space="preserve">sense of insecurity, pessimism and marginalization, who do not </w:t>
      </w:r>
      <w:r w:rsidR="00DF29BF">
        <w:rPr>
          <w:rFonts w:ascii="Times" w:hAnsi="Times" w:cs="Calibri"/>
        </w:rPr>
        <w:t xml:space="preserve">feel as though elites, whether in Brussels or Westminster, share their values, represent their interests and genuinely empathize with their intense angst about rapid social, economic and cultural change. </w:t>
      </w:r>
      <w:r w:rsidR="008A6836" w:rsidRPr="009C0B2C">
        <w:rPr>
          <w:rFonts w:ascii="Times" w:hAnsi="Times" w:cs="Calibri"/>
        </w:rPr>
        <w:t xml:space="preserve">Interestingly, our results </w:t>
      </w:r>
      <w:r w:rsidR="00DF29BF">
        <w:rPr>
          <w:rFonts w:ascii="Times" w:hAnsi="Times" w:cs="Calibri"/>
        </w:rPr>
        <w:t xml:space="preserve">also </w:t>
      </w:r>
      <w:r w:rsidR="008A6836" w:rsidRPr="009C0B2C">
        <w:rPr>
          <w:rFonts w:ascii="Times" w:hAnsi="Times" w:cs="Calibri"/>
        </w:rPr>
        <w:t>reveal how turnout in the heartlands of Brexit was often highe</w:t>
      </w:r>
      <w:r w:rsidR="00DF29BF">
        <w:rPr>
          <w:rFonts w:ascii="Times" w:hAnsi="Times" w:cs="Calibri"/>
        </w:rPr>
        <w:t xml:space="preserve">r than average, indicating perhaps that it is citizens who have </w:t>
      </w:r>
      <w:r w:rsidR="008A6836" w:rsidRPr="009C0B2C">
        <w:rPr>
          <w:rFonts w:ascii="Times" w:hAnsi="Times" w:cs="Calibri"/>
        </w:rPr>
        <w:t xml:space="preserve">long felt excluded from the mainstream consensus </w:t>
      </w:r>
      <w:r w:rsidR="00DF29BF">
        <w:rPr>
          <w:rFonts w:ascii="Times" w:hAnsi="Times" w:cs="Calibri"/>
        </w:rPr>
        <w:t xml:space="preserve">who </w:t>
      </w:r>
      <w:r w:rsidR="008A6836" w:rsidRPr="009C0B2C">
        <w:rPr>
          <w:rFonts w:ascii="Times" w:hAnsi="Times" w:cs="Calibri"/>
        </w:rPr>
        <w:t>used the referendum to voice their distinctive views not only about Britain’s EU membership but a wider arr</w:t>
      </w:r>
      <w:r w:rsidR="00DF29BF">
        <w:rPr>
          <w:rFonts w:ascii="Times" w:hAnsi="Times" w:cs="Calibri"/>
        </w:rPr>
        <w:t>ay of perceived threats to their</w:t>
      </w:r>
      <w:r w:rsidR="008A6836" w:rsidRPr="009C0B2C">
        <w:rPr>
          <w:rFonts w:ascii="Times" w:hAnsi="Times" w:cs="Calibri"/>
        </w:rPr>
        <w:t xml:space="preserve"> national identity, values and ways of life.</w:t>
      </w:r>
    </w:p>
    <w:p w14:paraId="3B66349F" w14:textId="3D0D5686" w:rsidR="00A32EB3" w:rsidRDefault="00DF29BF" w:rsidP="00A32EB3">
      <w:pPr>
        <w:widowControl w:val="0"/>
        <w:autoSpaceDE w:val="0"/>
        <w:autoSpaceDN w:val="0"/>
        <w:adjustRightInd w:val="0"/>
        <w:spacing w:line="720" w:lineRule="auto"/>
        <w:ind w:firstLine="720"/>
        <w:jc w:val="both"/>
        <w:rPr>
          <w:rFonts w:ascii="Times" w:hAnsi="Times" w:cs="Calibri"/>
        </w:rPr>
      </w:pPr>
      <w:r>
        <w:rPr>
          <w:rFonts w:ascii="Times" w:hAnsi="Times" w:cs="Calibri"/>
        </w:rPr>
        <w:lastRenderedPageBreak/>
        <w:t xml:space="preserve">Yet clearly the left behind thesis cannot explain the entire Brexit vote. </w:t>
      </w:r>
      <w:r w:rsidR="005B08F6" w:rsidRPr="009C0B2C">
        <w:rPr>
          <w:rFonts w:ascii="Times" w:hAnsi="Times" w:cs="Calibri"/>
        </w:rPr>
        <w:t xml:space="preserve">Even if support for EU membership is more polarized along education than support for Ukip ever was, the centre of gravity has shifted. </w:t>
      </w:r>
      <w:r w:rsidR="00B17934">
        <w:rPr>
          <w:rFonts w:ascii="Times" w:hAnsi="Times" w:cs="Calibri"/>
        </w:rPr>
        <w:t xml:space="preserve">This represents something of a puzzle. </w:t>
      </w:r>
      <w:r>
        <w:rPr>
          <w:rFonts w:ascii="Times" w:hAnsi="Times" w:cs="Calibri"/>
        </w:rPr>
        <w:t xml:space="preserve">Public support for Euroscepticism </w:t>
      </w:r>
      <w:r w:rsidR="00A32EB3">
        <w:rPr>
          <w:rFonts w:ascii="Times" w:hAnsi="Times" w:cs="Calibri"/>
        </w:rPr>
        <w:t xml:space="preserve">has both widened and narrowed – it is now more </w:t>
      </w:r>
      <w:r w:rsidR="00403AC1">
        <w:rPr>
          <w:rFonts w:ascii="Times" w:hAnsi="Times" w:cs="Calibri"/>
        </w:rPr>
        <w:t xml:space="preserve">widespread across the country, but it is also more socially distinctive. </w:t>
      </w:r>
      <w:r w:rsidR="00EB7D04">
        <w:rPr>
          <w:rFonts w:ascii="Times" w:hAnsi="Times" w:cs="Calibri"/>
        </w:rPr>
        <w:t xml:space="preserve">One potential explanation for this is that </w:t>
      </w:r>
      <w:r w:rsidR="00A32EB3">
        <w:rPr>
          <w:rFonts w:ascii="Times" w:hAnsi="Times" w:cs="Calibri"/>
        </w:rPr>
        <w:t>the Leave campaign</w:t>
      </w:r>
      <w:r w:rsidR="00EB7D04">
        <w:rPr>
          <w:rFonts w:ascii="Times" w:hAnsi="Times" w:cs="Calibri"/>
        </w:rPr>
        <w:t xml:space="preserve"> </w:t>
      </w:r>
      <w:r w:rsidR="00A32EB3">
        <w:rPr>
          <w:rFonts w:ascii="Times" w:hAnsi="Times" w:cs="Calibri"/>
        </w:rPr>
        <w:t xml:space="preserve">recruited </w:t>
      </w:r>
      <w:r w:rsidR="00EB7D04">
        <w:rPr>
          <w:rFonts w:ascii="Times" w:hAnsi="Times" w:cs="Calibri"/>
        </w:rPr>
        <w:t xml:space="preserve">support from across the </w:t>
      </w:r>
      <w:r w:rsidR="00A32EB3">
        <w:rPr>
          <w:rFonts w:ascii="Times" w:hAnsi="Times" w:cs="Calibri"/>
        </w:rPr>
        <w:t xml:space="preserve">Conservative </w:t>
      </w:r>
      <w:r w:rsidR="00EB7D04">
        <w:rPr>
          <w:rFonts w:ascii="Times" w:hAnsi="Times" w:cs="Calibri"/>
        </w:rPr>
        <w:t xml:space="preserve">spectrum, helping to widen its appeal; </w:t>
      </w:r>
      <w:r w:rsidR="004F4A10">
        <w:rPr>
          <w:rFonts w:ascii="Times" w:hAnsi="Times" w:cs="Calibri"/>
        </w:rPr>
        <w:t xml:space="preserve">but </w:t>
      </w:r>
      <w:r w:rsidR="004C6401">
        <w:rPr>
          <w:rFonts w:ascii="Times" w:hAnsi="Times" w:cs="Calibri"/>
        </w:rPr>
        <w:t xml:space="preserve">disproportionately </w:t>
      </w:r>
      <w:r w:rsidR="00EB7D04">
        <w:rPr>
          <w:rFonts w:ascii="Times" w:hAnsi="Times" w:cs="Calibri"/>
        </w:rPr>
        <w:t xml:space="preserve">from the </w:t>
      </w:r>
      <w:r w:rsidR="004F4A10" w:rsidRPr="009C0B2C">
        <w:rPr>
          <w:rFonts w:ascii="Times" w:hAnsi="Times" w:cs="Calibri"/>
        </w:rPr>
        <w:t xml:space="preserve">low skilled and less well educated blue-collar </w:t>
      </w:r>
      <w:r w:rsidR="00EB7D04">
        <w:rPr>
          <w:rFonts w:ascii="Times" w:hAnsi="Times" w:cs="Calibri"/>
        </w:rPr>
        <w:t>Labour</w:t>
      </w:r>
      <w:r w:rsidR="004F4A10">
        <w:rPr>
          <w:rFonts w:ascii="Times" w:hAnsi="Times" w:cs="Calibri"/>
        </w:rPr>
        <w:t xml:space="preserve"> supporters</w:t>
      </w:r>
      <w:r w:rsidR="00EB7D04">
        <w:rPr>
          <w:rFonts w:ascii="Times" w:hAnsi="Times" w:cs="Calibri"/>
        </w:rPr>
        <w:t xml:space="preserve">, making it more socially distinctive. </w:t>
      </w:r>
      <w:r w:rsidR="00926EA3">
        <w:rPr>
          <w:rFonts w:ascii="Times" w:hAnsi="Times" w:cs="Calibri"/>
        </w:rPr>
        <w:t>We will know more when in</w:t>
      </w:r>
      <w:r w:rsidR="00A32EB3">
        <w:rPr>
          <w:rFonts w:ascii="Times" w:hAnsi="Times" w:cs="Calibri"/>
        </w:rPr>
        <w:t>dividual level data is released, which will allow closer examination of the flow of the vote since 2015. But in the shadow of the 2016 referendum stands one basic assertion that few would contest: Britain is now more divided than ever.</w:t>
      </w:r>
    </w:p>
    <w:p w14:paraId="4E35D535" w14:textId="77777777" w:rsidR="00A32EB3" w:rsidRDefault="00A32EB3" w:rsidP="00A32EB3">
      <w:pPr>
        <w:rPr>
          <w:rFonts w:asciiTheme="majorHAnsi" w:hAnsiTheme="majorHAnsi"/>
        </w:rPr>
      </w:pPr>
    </w:p>
    <w:p w14:paraId="0241243B" w14:textId="77777777" w:rsidR="00A32EB3" w:rsidRDefault="00A32EB3" w:rsidP="00A32EB3">
      <w:pPr>
        <w:rPr>
          <w:rFonts w:asciiTheme="majorHAnsi" w:hAnsiTheme="majorHAnsi"/>
        </w:rPr>
      </w:pPr>
    </w:p>
    <w:p w14:paraId="15044469" w14:textId="4B7E7AB2" w:rsidR="006348F0" w:rsidRPr="00A32EB3" w:rsidRDefault="00112CFB" w:rsidP="00A32EB3">
      <w:pPr>
        <w:rPr>
          <w:rFonts w:asciiTheme="majorHAnsi" w:hAnsiTheme="majorHAnsi"/>
          <w:sz w:val="20"/>
          <w:szCs w:val="20"/>
        </w:rPr>
      </w:pPr>
      <w:r w:rsidRPr="00A32EB3">
        <w:rPr>
          <w:rFonts w:ascii="Times" w:hAnsi="Times" w:cs="Times"/>
          <w:b/>
          <w:sz w:val="20"/>
          <w:szCs w:val="20"/>
        </w:rPr>
        <w:t xml:space="preserve"> </w:t>
      </w:r>
      <w:r w:rsidR="006348F0" w:rsidRPr="00A32EB3">
        <w:rPr>
          <w:rFonts w:ascii="Times" w:hAnsi="Times" w:cs="Times"/>
          <w:b/>
        </w:rPr>
        <w:t>Notes</w:t>
      </w:r>
    </w:p>
    <w:p w14:paraId="46DAC50A" w14:textId="77777777" w:rsidR="00A32EB3" w:rsidRPr="00A32EB3" w:rsidRDefault="00A32EB3" w:rsidP="00A32EB3">
      <w:pPr>
        <w:widowControl w:val="0"/>
        <w:autoSpaceDE w:val="0"/>
        <w:autoSpaceDN w:val="0"/>
        <w:adjustRightInd w:val="0"/>
        <w:spacing w:line="360" w:lineRule="auto"/>
        <w:jc w:val="both"/>
        <w:rPr>
          <w:rFonts w:ascii="Times" w:hAnsi="Times" w:cs="Times"/>
          <w:b/>
          <w:sz w:val="20"/>
          <w:szCs w:val="20"/>
        </w:rPr>
      </w:pPr>
    </w:p>
    <w:sectPr w:rsidR="00A32EB3" w:rsidRPr="00A32EB3" w:rsidSect="00894D0D">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B57CC" w14:textId="77777777" w:rsidR="00A30A90" w:rsidRDefault="00A30A90" w:rsidP="003D5D0F">
      <w:r>
        <w:separator/>
      </w:r>
    </w:p>
  </w:endnote>
  <w:endnote w:type="continuationSeparator" w:id="0">
    <w:p w14:paraId="643F67EF" w14:textId="77777777" w:rsidR="00A30A90" w:rsidRDefault="00A30A90" w:rsidP="003D5D0F">
      <w:r>
        <w:continuationSeparator/>
      </w:r>
    </w:p>
  </w:endnote>
  <w:endnote w:id="1">
    <w:p w14:paraId="23AD32D5" w14:textId="657EEFC4" w:rsidR="00EF7E3A" w:rsidRPr="006F2F69" w:rsidRDefault="00EF7E3A" w:rsidP="00EA2C6E">
      <w:pPr>
        <w:pStyle w:val="EndnoteText"/>
        <w:spacing w:line="480" w:lineRule="auto"/>
        <w:rPr>
          <w:rFonts w:ascii="Times" w:hAnsi="Times" w:cs="Times"/>
          <w:lang w:val="en-GB"/>
        </w:rPr>
      </w:pPr>
      <w:r w:rsidRPr="006F2F69">
        <w:rPr>
          <w:rStyle w:val="EndnoteReference"/>
          <w:rFonts w:ascii="Times" w:hAnsi="Times" w:cs="Times"/>
        </w:rPr>
        <w:endnoteRef/>
      </w:r>
      <w:r w:rsidRPr="006F2F69">
        <w:rPr>
          <w:rFonts w:ascii="Times" w:hAnsi="Times" w:cs="Times"/>
        </w:rPr>
        <w:t xml:space="preserve"> </w:t>
      </w:r>
      <w:r w:rsidRPr="006F2F69">
        <w:rPr>
          <w:rFonts w:ascii="Times" w:hAnsi="Times" w:cs="Times"/>
          <w:lang w:val="en-GB"/>
        </w:rPr>
        <w:t xml:space="preserve">David Butler and Uwe Kitzinger (1976) </w:t>
      </w:r>
      <w:r w:rsidRPr="006F2F69">
        <w:rPr>
          <w:rFonts w:ascii="Times" w:hAnsi="Times" w:cs="Times"/>
          <w:i/>
          <w:lang w:val="en-GB"/>
        </w:rPr>
        <w:t>The 1975 Referendum</w:t>
      </w:r>
      <w:r w:rsidRPr="006F2F69">
        <w:rPr>
          <w:rFonts w:ascii="Times" w:hAnsi="Times" w:cs="Times"/>
          <w:lang w:val="en-GB"/>
        </w:rPr>
        <w:t>, London and Basingstoke: Macmillan</w:t>
      </w:r>
    </w:p>
  </w:endnote>
  <w:endnote w:id="2">
    <w:p w14:paraId="4E531A29" w14:textId="0D29BD7E" w:rsidR="00EF7E3A" w:rsidRPr="006F2F69" w:rsidRDefault="00EF7E3A" w:rsidP="00EA2C6E">
      <w:pPr>
        <w:pStyle w:val="EndnoteText"/>
        <w:spacing w:line="480" w:lineRule="auto"/>
        <w:rPr>
          <w:rFonts w:ascii="Times" w:hAnsi="Times" w:cs="Times"/>
          <w:lang w:val="en-GB"/>
        </w:rPr>
      </w:pPr>
      <w:r w:rsidRPr="006F2F69">
        <w:rPr>
          <w:rStyle w:val="EndnoteReference"/>
          <w:rFonts w:ascii="Times" w:hAnsi="Times" w:cs="Times"/>
        </w:rPr>
        <w:endnoteRef/>
      </w:r>
      <w:r w:rsidRPr="006F2F69">
        <w:rPr>
          <w:rFonts w:ascii="Times" w:hAnsi="Times" w:cs="Times"/>
        </w:rPr>
        <w:t xml:space="preserve"> </w:t>
      </w:r>
      <w:r w:rsidRPr="006F2F69">
        <w:rPr>
          <w:rFonts w:ascii="Times" w:hAnsi="Times" w:cs="Times"/>
          <w:lang w:val="en-GB"/>
        </w:rPr>
        <w:t>A YouGov poll for The Times newspaper suggested that 45 per cent of Labour voters thought that the Labour Party either backed Brexit or was split on the referendum</w:t>
      </w:r>
      <w:r w:rsidRPr="006F2F69">
        <w:rPr>
          <w:rFonts w:ascii="Times" w:hAnsi="Times" w:cs="Times"/>
        </w:rPr>
        <w:t xml:space="preserve"> </w:t>
      </w:r>
      <w:r w:rsidRPr="006F2F69">
        <w:rPr>
          <w:rFonts w:ascii="Times" w:hAnsi="Times" w:cs="Times"/>
          <w:lang w:val="en-GB"/>
        </w:rPr>
        <w:t xml:space="preserve">https://www.politicshome.com/news/europe/eu-policy-agenda/brexit/news/75574/labour-voters-remain-unsure-partys-eu-referendumrendum question. </w:t>
      </w:r>
    </w:p>
  </w:endnote>
  <w:endnote w:id="3">
    <w:p w14:paraId="3A1CE732" w14:textId="79D6FD70" w:rsidR="00EF7E3A" w:rsidRPr="006F2F69" w:rsidRDefault="00EF7E3A" w:rsidP="00EA2C6E">
      <w:pPr>
        <w:pStyle w:val="EndnoteText"/>
        <w:spacing w:line="480" w:lineRule="auto"/>
        <w:rPr>
          <w:rFonts w:ascii="Times" w:hAnsi="Times" w:cs="Times"/>
          <w:lang w:val="en-GB"/>
        </w:rPr>
      </w:pPr>
      <w:r w:rsidRPr="006F2F69">
        <w:rPr>
          <w:rStyle w:val="EndnoteReference"/>
          <w:rFonts w:ascii="Times" w:hAnsi="Times" w:cs="Times"/>
        </w:rPr>
        <w:endnoteRef/>
      </w:r>
      <w:r w:rsidRPr="006F2F69">
        <w:rPr>
          <w:rFonts w:ascii="Times" w:hAnsi="Times" w:cs="Times"/>
        </w:rPr>
        <w:t xml:space="preserve"> </w:t>
      </w:r>
      <w:r w:rsidRPr="006F2F69">
        <w:rPr>
          <w:rFonts w:ascii="Times" w:hAnsi="Times" w:cs="Times"/>
          <w:lang w:val="en-GB"/>
        </w:rPr>
        <w:t xml:space="preserve">Vernon Bogdanor, ‘The EU referendum shows how the sovereignty of Britain’s people can now trump its parliament’, </w:t>
      </w:r>
      <w:r w:rsidRPr="006F2F69">
        <w:rPr>
          <w:rFonts w:ascii="Times" w:hAnsi="Times" w:cs="Times"/>
          <w:i/>
          <w:lang w:val="en-GB"/>
        </w:rPr>
        <w:t>The Daily Telegraph</w:t>
      </w:r>
      <w:r w:rsidRPr="006F2F69">
        <w:rPr>
          <w:rFonts w:ascii="Times" w:hAnsi="Times" w:cs="Times"/>
          <w:lang w:val="en-GB"/>
        </w:rPr>
        <w:t xml:space="preserve"> June 26 2016</w:t>
      </w:r>
    </w:p>
  </w:endnote>
  <w:endnote w:id="4">
    <w:p w14:paraId="7B3B7403" w14:textId="48CECDA7" w:rsidR="00EF7E3A" w:rsidRPr="00FE1A63" w:rsidRDefault="00EF7E3A" w:rsidP="00EA2C6E">
      <w:pPr>
        <w:pStyle w:val="EndnoteText"/>
        <w:spacing w:line="480" w:lineRule="auto"/>
        <w:rPr>
          <w:rFonts w:ascii="Times" w:hAnsi="Times" w:cs="Times"/>
          <w:lang w:val="en-GB"/>
        </w:rPr>
      </w:pPr>
      <w:r w:rsidRPr="006F2F69">
        <w:rPr>
          <w:rStyle w:val="EndnoteReference"/>
          <w:rFonts w:ascii="Times" w:hAnsi="Times" w:cs="Times"/>
        </w:rPr>
        <w:endnoteRef/>
      </w:r>
      <w:r w:rsidRPr="006F2F69">
        <w:rPr>
          <w:rFonts w:ascii="Times" w:hAnsi="Times" w:cs="Times"/>
        </w:rPr>
        <w:t xml:space="preserve"> </w:t>
      </w:r>
      <w:r w:rsidRPr="006F2F69">
        <w:rPr>
          <w:rFonts w:ascii="Times" w:hAnsi="Times" w:cs="Times"/>
          <w:lang w:val="en-GB"/>
        </w:rPr>
        <w:t xml:space="preserve">Chris Hanretty, ‘The EU referendum: How did Westminster constituencies vote? Available online: </w:t>
      </w:r>
      <w:hyperlink r:id="rId1" w:anchor=".i23b9uxbm" w:history="1">
        <w:r w:rsidRPr="00FE1A63">
          <w:rPr>
            <w:rStyle w:val="Hyperlink"/>
            <w:rFonts w:ascii="Times" w:hAnsi="Times" w:cs="Times"/>
            <w:color w:val="auto"/>
            <w:u w:val="none"/>
            <w:lang w:val="en-GB"/>
          </w:rPr>
          <w:t>https://medium.com/@chrishanretty/the-eu-referendum-how-did-westminster-constituencies-vote-283c85cd20e1#.i23b9uxbm</w:t>
        </w:r>
      </w:hyperlink>
      <w:r w:rsidRPr="00FE1A63">
        <w:rPr>
          <w:rFonts w:ascii="Times" w:hAnsi="Times" w:cs="Times"/>
          <w:lang w:val="en-GB"/>
        </w:rPr>
        <w:t xml:space="preserve"> (accessed July 5 2016).</w:t>
      </w:r>
    </w:p>
  </w:endnote>
  <w:endnote w:id="5">
    <w:p w14:paraId="33A225DD" w14:textId="5865AC05" w:rsidR="00EF7E3A" w:rsidRPr="00FE1A63" w:rsidRDefault="00EF7E3A" w:rsidP="00EA2C6E">
      <w:pPr>
        <w:pStyle w:val="EndnoteText"/>
        <w:spacing w:line="480" w:lineRule="auto"/>
        <w:rPr>
          <w:rFonts w:ascii="Times" w:hAnsi="Times" w:cs="Times"/>
          <w:lang w:val="en-GB"/>
        </w:rPr>
      </w:pPr>
      <w:r w:rsidRPr="00FE1A63">
        <w:rPr>
          <w:rStyle w:val="EndnoteReference"/>
          <w:rFonts w:ascii="Times" w:hAnsi="Times" w:cs="Times"/>
        </w:rPr>
        <w:endnoteRef/>
      </w:r>
      <w:r w:rsidRPr="00FE1A63">
        <w:rPr>
          <w:rFonts w:ascii="Times" w:hAnsi="Times" w:cs="Times"/>
        </w:rPr>
        <w:t xml:space="preserve"> </w:t>
      </w:r>
      <w:r w:rsidRPr="00FE1A63">
        <w:rPr>
          <w:rFonts w:ascii="Times" w:hAnsi="Times" w:cs="Times"/>
          <w:lang w:val="en-GB"/>
        </w:rPr>
        <w:t xml:space="preserve">Chris Hanretty, ‘Most Labour MPs represent a constituency that voted Leave’. Available online: </w:t>
      </w:r>
      <w:hyperlink r:id="rId2" w:anchor=".fu9zvch6u" w:history="1">
        <w:r w:rsidRPr="00FE1A63">
          <w:rPr>
            <w:rStyle w:val="Hyperlink"/>
            <w:rFonts w:ascii="Times" w:hAnsi="Times" w:cs="Times"/>
            <w:color w:val="auto"/>
            <w:u w:val="none"/>
            <w:lang w:val="en-GB"/>
          </w:rPr>
          <w:t>https://medium.com/@chrishanretty/most-labour-mps-represent-a-constituency-that-voted-leave-36f13210f5c6#.fu9zvch6u</w:t>
        </w:r>
      </w:hyperlink>
      <w:r w:rsidRPr="00FE1A63">
        <w:rPr>
          <w:rFonts w:ascii="Times" w:hAnsi="Times" w:cs="Times"/>
          <w:lang w:val="en-GB"/>
        </w:rPr>
        <w:t xml:space="preserve"> (accessed July 5 2016).</w:t>
      </w:r>
    </w:p>
  </w:endnote>
  <w:endnote w:id="6">
    <w:p w14:paraId="521BA532" w14:textId="211B2D69" w:rsidR="00EF7E3A" w:rsidRPr="00D346B1" w:rsidRDefault="00EF7E3A" w:rsidP="00EA2C6E">
      <w:pPr>
        <w:pStyle w:val="EndnoteText"/>
        <w:spacing w:line="480" w:lineRule="auto"/>
        <w:rPr>
          <w:rFonts w:ascii="Times" w:hAnsi="Times" w:cs="Times"/>
          <w:lang w:val="en-GB"/>
        </w:rPr>
      </w:pPr>
      <w:r w:rsidRPr="00FE1A63">
        <w:rPr>
          <w:rStyle w:val="EndnoteReference"/>
          <w:rFonts w:ascii="Times" w:hAnsi="Times" w:cs="Times"/>
        </w:rPr>
        <w:endnoteRef/>
      </w:r>
      <w:r w:rsidRPr="00FE1A63">
        <w:rPr>
          <w:rFonts w:ascii="Times" w:hAnsi="Times" w:cs="Times"/>
        </w:rPr>
        <w:t xml:space="preserve"> </w:t>
      </w:r>
      <w:r w:rsidRPr="00FE1A63">
        <w:rPr>
          <w:rFonts w:ascii="Times" w:hAnsi="Times" w:cs="Times"/>
          <w:lang w:val="en-GB"/>
        </w:rPr>
        <w:t xml:space="preserve">Robert Ford and Matthew J. Goodwin (2014) </w:t>
      </w:r>
      <w:r w:rsidRPr="00FE1A63">
        <w:rPr>
          <w:rFonts w:ascii="Times" w:hAnsi="Times" w:cs="Times"/>
          <w:i/>
          <w:lang w:val="en-GB"/>
        </w:rPr>
        <w:t>Revolt on the Right: Explaining Public Support for the Radical Right in Britain</w:t>
      </w:r>
      <w:r w:rsidRPr="00FE1A63">
        <w:rPr>
          <w:rFonts w:ascii="Times" w:hAnsi="Times" w:cs="Times"/>
          <w:lang w:val="en-GB"/>
        </w:rPr>
        <w:t xml:space="preserve">, Abingdon: Routledge; also (2014) ‘Understanding UKIP: Identity, Social Change and the Left Behind’, </w:t>
      </w:r>
      <w:r w:rsidRPr="00FE1A63">
        <w:rPr>
          <w:rFonts w:ascii="Times" w:hAnsi="Times" w:cs="Times"/>
          <w:i/>
          <w:lang w:val="en-GB"/>
        </w:rPr>
        <w:t>The Political Quarterly</w:t>
      </w:r>
      <w:r w:rsidRPr="00FE1A63">
        <w:rPr>
          <w:rFonts w:ascii="Times" w:hAnsi="Times" w:cs="Times"/>
          <w:lang w:val="en-GB"/>
        </w:rPr>
        <w:t xml:space="preserve">, vol.85, no.2, July-September. For further discussion of the ‘left behind’ and political geography see Matthew Goodwin </w:t>
      </w:r>
      <w:r w:rsidRPr="006F2F69">
        <w:rPr>
          <w:rFonts w:ascii="Times" w:hAnsi="Times" w:cs="Times"/>
          <w:lang w:val="en-GB"/>
        </w:rPr>
        <w:t xml:space="preserve">and Caitlin Milazzo (2015) </w:t>
      </w:r>
      <w:r w:rsidRPr="006F2F69">
        <w:rPr>
          <w:rFonts w:ascii="Times" w:hAnsi="Times" w:cs="Times"/>
          <w:i/>
          <w:lang w:val="en-GB"/>
        </w:rPr>
        <w:t xml:space="preserve">UKIP: Inside the Campaign to Redraw the Map of British </w:t>
      </w:r>
      <w:r w:rsidRPr="00D346B1">
        <w:rPr>
          <w:rFonts w:ascii="Times" w:hAnsi="Times" w:cs="Times"/>
          <w:i/>
          <w:lang w:val="en-GB"/>
        </w:rPr>
        <w:t>Politics</w:t>
      </w:r>
      <w:r w:rsidRPr="00D346B1">
        <w:rPr>
          <w:rFonts w:ascii="Times" w:hAnsi="Times" w:cs="Times"/>
          <w:lang w:val="en-GB"/>
        </w:rPr>
        <w:t>, Oxford: Oxford University Press.</w:t>
      </w:r>
    </w:p>
  </w:endnote>
  <w:endnote w:id="7">
    <w:p w14:paraId="3D91C72C" w14:textId="18ABAA60" w:rsidR="00EF7E3A" w:rsidRPr="00D346B1" w:rsidRDefault="00EF7E3A" w:rsidP="00EA2C6E">
      <w:pPr>
        <w:pStyle w:val="EndnoteText"/>
        <w:spacing w:line="480" w:lineRule="auto"/>
        <w:rPr>
          <w:rFonts w:ascii="Times" w:hAnsi="Times" w:cs="Times"/>
          <w:lang w:val="en-GB"/>
        </w:rPr>
      </w:pPr>
      <w:r w:rsidRPr="00D346B1">
        <w:rPr>
          <w:rStyle w:val="EndnoteReference"/>
          <w:rFonts w:ascii="Times" w:hAnsi="Times" w:cs="Times"/>
        </w:rPr>
        <w:endnoteRef/>
      </w:r>
      <w:r w:rsidRPr="00D346B1">
        <w:rPr>
          <w:rFonts w:ascii="Times" w:hAnsi="Times" w:cs="Times"/>
        </w:rPr>
        <w:t xml:space="preserve"> Geoffrey Evans and Jon Mellon (2015) </w:t>
      </w:r>
      <w:r w:rsidRPr="00D346B1">
        <w:rPr>
          <w:rFonts w:ascii="Times" w:eastAsia="Times New Roman" w:hAnsi="Times" w:cs="Times"/>
          <w:color w:val="222222"/>
          <w:shd w:val="clear" w:color="auto" w:fill="FFFFFF"/>
        </w:rPr>
        <w:t>"Working Class Votes and Conservative Losses: Solving the UKIP Puzzle." </w:t>
      </w:r>
      <w:r w:rsidRPr="00D346B1">
        <w:rPr>
          <w:rFonts w:ascii="Times" w:eastAsia="Times New Roman" w:hAnsi="Times" w:cs="Times"/>
          <w:i/>
          <w:iCs/>
          <w:color w:val="222222"/>
          <w:shd w:val="clear" w:color="auto" w:fill="FFFFFF"/>
        </w:rPr>
        <w:t>Parliamentary Affairs</w:t>
      </w:r>
      <w:r w:rsidRPr="00D346B1">
        <w:rPr>
          <w:rFonts w:ascii="Times" w:eastAsia="Times New Roman" w:hAnsi="Times" w:cs="Times"/>
          <w:color w:val="222222"/>
          <w:shd w:val="clear" w:color="auto" w:fill="FFFFFF"/>
        </w:rPr>
        <w:t> (2015)</w:t>
      </w:r>
    </w:p>
  </w:endnote>
  <w:endnote w:id="8">
    <w:p w14:paraId="79DBC8CC" w14:textId="34365A8F" w:rsidR="00EF7E3A" w:rsidRPr="00D346B1" w:rsidRDefault="00EF7E3A" w:rsidP="00EA2C6E">
      <w:pPr>
        <w:pStyle w:val="EndnoteText"/>
        <w:spacing w:line="480" w:lineRule="auto"/>
        <w:rPr>
          <w:rFonts w:ascii="Times" w:hAnsi="Times" w:cs="Times"/>
          <w:lang w:val="en-GB"/>
        </w:rPr>
      </w:pPr>
      <w:r w:rsidRPr="00D346B1">
        <w:rPr>
          <w:rStyle w:val="EndnoteReference"/>
          <w:rFonts w:ascii="Times" w:hAnsi="Times" w:cs="Times"/>
        </w:rPr>
        <w:endnoteRef/>
      </w:r>
      <w:r w:rsidRPr="00D346B1">
        <w:rPr>
          <w:rFonts w:ascii="Times" w:hAnsi="Times" w:cs="Times"/>
        </w:rPr>
        <w:t xml:space="preserve"> </w:t>
      </w:r>
      <w:r w:rsidRPr="00D346B1">
        <w:rPr>
          <w:rFonts w:ascii="Times" w:eastAsia="Times New Roman" w:hAnsi="Times" w:cs="Times"/>
          <w:color w:val="222222"/>
          <w:shd w:val="clear" w:color="auto" w:fill="FFFFFF"/>
        </w:rPr>
        <w:t>Hakhverdian, A., Van Elsas, E., Van der Brug, W., &amp; Kuhn, T. (2013). Euroscepticism and education: A longitudinal study of 12 EU member states, 1973–2010. </w:t>
      </w:r>
      <w:r w:rsidRPr="00D346B1">
        <w:rPr>
          <w:rFonts w:ascii="Times" w:eastAsia="Times New Roman" w:hAnsi="Times" w:cs="Times"/>
          <w:i/>
          <w:iCs/>
          <w:color w:val="222222"/>
          <w:shd w:val="clear" w:color="auto" w:fill="FFFFFF"/>
        </w:rPr>
        <w:t>European Union Politics</w:t>
      </w:r>
      <w:r w:rsidRPr="00D346B1">
        <w:rPr>
          <w:rFonts w:ascii="Times" w:eastAsia="Times New Roman" w:hAnsi="Times" w:cs="Times"/>
          <w:color w:val="222222"/>
          <w:shd w:val="clear" w:color="auto" w:fill="FFFFFF"/>
        </w:rPr>
        <w:t>, </w:t>
      </w:r>
      <w:r w:rsidRPr="00D346B1">
        <w:rPr>
          <w:rFonts w:ascii="Times" w:eastAsia="Times New Roman" w:hAnsi="Times" w:cs="Times"/>
          <w:i/>
          <w:iCs/>
          <w:color w:val="222222"/>
          <w:shd w:val="clear" w:color="auto" w:fill="FFFFFF"/>
        </w:rPr>
        <w:t>14</w:t>
      </w:r>
      <w:r w:rsidRPr="00D346B1">
        <w:rPr>
          <w:rFonts w:ascii="Times" w:eastAsia="Times New Roman" w:hAnsi="Times" w:cs="Times"/>
          <w:color w:val="222222"/>
          <w:shd w:val="clear" w:color="auto" w:fill="FFFFFF"/>
        </w:rPr>
        <w:t>(4), 522-541</w:t>
      </w:r>
    </w:p>
  </w:endnote>
  <w:endnote w:id="9">
    <w:p w14:paraId="15E97E39" w14:textId="0FA426F7" w:rsidR="00EF7E3A" w:rsidRPr="00D346B1" w:rsidRDefault="00EF7E3A" w:rsidP="00EA2C6E">
      <w:pPr>
        <w:pStyle w:val="EndnoteText"/>
        <w:spacing w:line="480" w:lineRule="auto"/>
        <w:rPr>
          <w:rFonts w:ascii="Times" w:hAnsi="Times" w:cs="Times"/>
          <w:lang w:val="en-GB"/>
        </w:rPr>
      </w:pPr>
      <w:r w:rsidRPr="00D346B1">
        <w:rPr>
          <w:rStyle w:val="EndnoteReference"/>
          <w:rFonts w:ascii="Times" w:hAnsi="Times" w:cs="Times"/>
        </w:rPr>
        <w:endnoteRef/>
      </w:r>
      <w:r w:rsidRPr="00D346B1">
        <w:rPr>
          <w:rFonts w:ascii="Times" w:hAnsi="Times" w:cs="Times"/>
        </w:rPr>
        <w:t xml:space="preserve"> </w:t>
      </w:r>
      <w:r w:rsidRPr="00D346B1">
        <w:rPr>
          <w:rFonts w:ascii="Times" w:hAnsi="Times" w:cs="Times"/>
          <w:lang w:val="en-GB"/>
        </w:rPr>
        <w:t>On the importance of immigration concerns to Ukip support and Euroscepticism in Britain see Goodwin and Milazzo, U</w:t>
      </w:r>
      <w:r w:rsidRPr="00D346B1">
        <w:rPr>
          <w:rFonts w:ascii="Times" w:hAnsi="Times" w:cs="Times"/>
          <w:i/>
          <w:lang w:val="en-GB"/>
        </w:rPr>
        <w:t>kip: Inside the Campaign to Redraw the Map of British Politics</w:t>
      </w:r>
      <w:r w:rsidRPr="00D346B1">
        <w:rPr>
          <w:rFonts w:ascii="Times" w:hAnsi="Times" w:cs="Times"/>
          <w:lang w:val="en-GB"/>
        </w:rPr>
        <w:t>.</w:t>
      </w:r>
    </w:p>
  </w:endnote>
  <w:endnote w:id="10">
    <w:p w14:paraId="639E8F92" w14:textId="3CF22191" w:rsidR="00EF7E3A" w:rsidRPr="00D346B1" w:rsidRDefault="00EF7E3A" w:rsidP="00EA2C6E">
      <w:pPr>
        <w:pStyle w:val="EndnoteText"/>
        <w:spacing w:line="480" w:lineRule="auto"/>
        <w:rPr>
          <w:rFonts w:ascii="Times" w:hAnsi="Times" w:cs="Times"/>
          <w:lang w:val="en-GB"/>
        </w:rPr>
      </w:pPr>
      <w:r w:rsidRPr="00D346B1">
        <w:rPr>
          <w:rStyle w:val="EndnoteReference"/>
          <w:rFonts w:ascii="Times" w:hAnsi="Times" w:cs="Times"/>
        </w:rPr>
        <w:endnoteRef/>
      </w:r>
      <w:r w:rsidRPr="00D346B1">
        <w:rPr>
          <w:rFonts w:ascii="Times" w:hAnsi="Times" w:cs="Times"/>
        </w:rPr>
        <w:t xml:space="preserve"> EU migration is measured using data from the 2011 Census on the number of people born in mainland EU countries.</w:t>
      </w:r>
    </w:p>
  </w:endnote>
  <w:endnote w:id="11">
    <w:p w14:paraId="75057533" w14:textId="77777777" w:rsidR="00333601" w:rsidRPr="00534B90" w:rsidRDefault="00333601" w:rsidP="00333601">
      <w:pPr>
        <w:pStyle w:val="EndnoteText"/>
        <w:spacing w:line="480" w:lineRule="auto"/>
        <w:rPr>
          <w:lang w:val="en-GB"/>
        </w:rPr>
      </w:pPr>
      <w:r>
        <w:rPr>
          <w:rStyle w:val="EndnoteReference"/>
        </w:rPr>
        <w:endnoteRef/>
      </w:r>
      <w:r>
        <w:t xml:space="preserve"> </w:t>
      </w:r>
      <w:r>
        <w:rPr>
          <w:lang w:val="en-GB"/>
        </w:rPr>
        <w:t>To measure change in the level of EU migration we use data from the Labour Force Survey in 2004 and 2014 (available for England and Wales).</w:t>
      </w:r>
    </w:p>
  </w:endnote>
  <w:endnote w:id="12">
    <w:p w14:paraId="53DF6A0C" w14:textId="36A2F30D" w:rsidR="00EA2C6E" w:rsidRPr="00EA2C6E" w:rsidRDefault="00EA2C6E" w:rsidP="00EA2C6E">
      <w:pPr>
        <w:pStyle w:val="EndnoteText"/>
        <w:spacing w:line="480" w:lineRule="auto"/>
        <w:rPr>
          <w:lang w:val="en-GB"/>
        </w:rPr>
      </w:pPr>
      <w:r>
        <w:rPr>
          <w:rStyle w:val="EndnoteReference"/>
        </w:rPr>
        <w:endnoteRef/>
      </w:r>
      <w:r>
        <w:t xml:space="preserve"> Another way to look at this is just to compare </w:t>
      </w:r>
      <w:r>
        <w:rPr>
          <w:lang w:val="en-GB"/>
        </w:rPr>
        <w:t xml:space="preserve">the correlation coefficient between age and support for Ukip (r=0.45) and age and support for Leave (r=0.34). We can see that the former is stronger than the latter.  </w:t>
      </w:r>
    </w:p>
  </w:endnote>
  <w:endnote w:id="13">
    <w:p w14:paraId="5A02C813" w14:textId="22CD617E" w:rsidR="00EA2C6E" w:rsidRPr="00EA2C6E" w:rsidRDefault="00EA2C6E" w:rsidP="00EA2C6E">
      <w:pPr>
        <w:pStyle w:val="EndnoteText"/>
        <w:spacing w:line="480" w:lineRule="auto"/>
        <w:rPr>
          <w:lang w:val="en-GB"/>
        </w:rPr>
      </w:pPr>
      <w:r>
        <w:rPr>
          <w:rStyle w:val="EndnoteReference"/>
        </w:rPr>
        <w:endnoteRef/>
      </w:r>
      <w:r>
        <w:t xml:space="preserve"> </w:t>
      </w:r>
      <w:r>
        <w:rPr>
          <w:lang w:val="en-GB"/>
        </w:rPr>
        <w:t>Again, this is also illustrated by comparing the correlation coefficient between education and support for Ukip (r=0.21) and education and support for Leave (r=0.53).</w:t>
      </w:r>
    </w:p>
  </w:endnote>
  <w:endnote w:id="14">
    <w:p w14:paraId="472319DD" w14:textId="5CD9F657" w:rsidR="00EF7E3A" w:rsidRPr="00840AEA" w:rsidRDefault="00EF7E3A" w:rsidP="00EA2C6E">
      <w:pPr>
        <w:pStyle w:val="EndnoteText"/>
        <w:spacing w:line="480" w:lineRule="auto"/>
        <w:rPr>
          <w:lang w:val="en-GB"/>
        </w:rPr>
      </w:pPr>
      <w:r w:rsidRPr="00D346B1">
        <w:rPr>
          <w:rStyle w:val="EndnoteReference"/>
          <w:rFonts w:ascii="Times" w:hAnsi="Times" w:cs="Times"/>
        </w:rPr>
        <w:endnoteRef/>
      </w:r>
      <w:r w:rsidRPr="00D346B1">
        <w:rPr>
          <w:rFonts w:ascii="Times" w:hAnsi="Times" w:cs="Times"/>
        </w:rPr>
        <w:t xml:space="preserve"> </w:t>
      </w:r>
      <w:r w:rsidRPr="00D346B1">
        <w:rPr>
          <w:rFonts w:ascii="Times" w:hAnsi="Times" w:cs="Times"/>
          <w:lang w:val="en-GB"/>
        </w:rPr>
        <w:t>Ibid. Butler and Kitzinger, p.280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vP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73795"/>
      <w:docPartObj>
        <w:docPartGallery w:val="Page Numbers (Bottom of Page)"/>
        <w:docPartUnique/>
      </w:docPartObj>
    </w:sdtPr>
    <w:sdtEndPr>
      <w:rPr>
        <w:noProof/>
      </w:rPr>
    </w:sdtEndPr>
    <w:sdtContent>
      <w:p w14:paraId="37B9468D" w14:textId="4E38636C" w:rsidR="00EF7E3A" w:rsidRDefault="00EF7E3A">
        <w:pPr>
          <w:pStyle w:val="Footer"/>
          <w:jc w:val="center"/>
        </w:pPr>
        <w:r>
          <w:fldChar w:fldCharType="begin"/>
        </w:r>
        <w:r>
          <w:instrText xml:space="preserve"> PAGE   \* MERGEFORMAT </w:instrText>
        </w:r>
        <w:r>
          <w:fldChar w:fldCharType="separate"/>
        </w:r>
        <w:r w:rsidR="00554241">
          <w:rPr>
            <w:noProof/>
          </w:rPr>
          <w:t>16</w:t>
        </w:r>
        <w:r>
          <w:rPr>
            <w:noProof/>
          </w:rPr>
          <w:fldChar w:fldCharType="end"/>
        </w:r>
      </w:p>
    </w:sdtContent>
  </w:sdt>
  <w:p w14:paraId="458EE863" w14:textId="77777777" w:rsidR="00EF7E3A" w:rsidRDefault="00EF7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78DD3" w14:textId="77777777" w:rsidR="00A30A90" w:rsidRDefault="00A30A90" w:rsidP="003D5D0F">
      <w:r>
        <w:separator/>
      </w:r>
    </w:p>
  </w:footnote>
  <w:footnote w:type="continuationSeparator" w:id="0">
    <w:p w14:paraId="1CCC749B" w14:textId="77777777" w:rsidR="00A30A90" w:rsidRDefault="00A30A90" w:rsidP="003D5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9"/>
    <w:rsid w:val="000108C8"/>
    <w:rsid w:val="00010925"/>
    <w:rsid w:val="00026C20"/>
    <w:rsid w:val="00030909"/>
    <w:rsid w:val="00037B29"/>
    <w:rsid w:val="00052BB2"/>
    <w:rsid w:val="000550C8"/>
    <w:rsid w:val="000579BB"/>
    <w:rsid w:val="000642FC"/>
    <w:rsid w:val="000751C6"/>
    <w:rsid w:val="00087DA2"/>
    <w:rsid w:val="000902C2"/>
    <w:rsid w:val="000972B0"/>
    <w:rsid w:val="000D6E03"/>
    <w:rsid w:val="000E3BF3"/>
    <w:rsid w:val="000E4317"/>
    <w:rsid w:val="000F1D02"/>
    <w:rsid w:val="00112CFB"/>
    <w:rsid w:val="001508C0"/>
    <w:rsid w:val="00151A81"/>
    <w:rsid w:val="00151F0B"/>
    <w:rsid w:val="00183436"/>
    <w:rsid w:val="00183D52"/>
    <w:rsid w:val="00186192"/>
    <w:rsid w:val="00195007"/>
    <w:rsid w:val="001A00C2"/>
    <w:rsid w:val="001C4CFF"/>
    <w:rsid w:val="001D2054"/>
    <w:rsid w:val="00231226"/>
    <w:rsid w:val="00241D6E"/>
    <w:rsid w:val="002465BE"/>
    <w:rsid w:val="00253DDE"/>
    <w:rsid w:val="00254960"/>
    <w:rsid w:val="00260A94"/>
    <w:rsid w:val="00273B3A"/>
    <w:rsid w:val="00276F64"/>
    <w:rsid w:val="0028050A"/>
    <w:rsid w:val="0028236E"/>
    <w:rsid w:val="002B20BF"/>
    <w:rsid w:val="002B355E"/>
    <w:rsid w:val="002B3CE5"/>
    <w:rsid w:val="002B435A"/>
    <w:rsid w:val="002C36CA"/>
    <w:rsid w:val="00333601"/>
    <w:rsid w:val="00344299"/>
    <w:rsid w:val="00352E24"/>
    <w:rsid w:val="003751A7"/>
    <w:rsid w:val="003853A8"/>
    <w:rsid w:val="00396E87"/>
    <w:rsid w:val="003A540E"/>
    <w:rsid w:val="003A7811"/>
    <w:rsid w:val="003D381C"/>
    <w:rsid w:val="003D5D0F"/>
    <w:rsid w:val="003F6B9C"/>
    <w:rsid w:val="00403AC1"/>
    <w:rsid w:val="0040760A"/>
    <w:rsid w:val="00433013"/>
    <w:rsid w:val="004522AB"/>
    <w:rsid w:val="004612EF"/>
    <w:rsid w:val="00462C20"/>
    <w:rsid w:val="00463462"/>
    <w:rsid w:val="00480730"/>
    <w:rsid w:val="00497A5A"/>
    <w:rsid w:val="004A274D"/>
    <w:rsid w:val="004A661E"/>
    <w:rsid w:val="004C6401"/>
    <w:rsid w:val="004F4A10"/>
    <w:rsid w:val="004F6CDC"/>
    <w:rsid w:val="004F7694"/>
    <w:rsid w:val="005067F4"/>
    <w:rsid w:val="00523C0F"/>
    <w:rsid w:val="0053160F"/>
    <w:rsid w:val="005324D8"/>
    <w:rsid w:val="00554241"/>
    <w:rsid w:val="005619B8"/>
    <w:rsid w:val="005736E2"/>
    <w:rsid w:val="00575A01"/>
    <w:rsid w:val="00576D70"/>
    <w:rsid w:val="005A717F"/>
    <w:rsid w:val="005B08F6"/>
    <w:rsid w:val="005B0AFD"/>
    <w:rsid w:val="005C2552"/>
    <w:rsid w:val="005C55B4"/>
    <w:rsid w:val="005D3BEF"/>
    <w:rsid w:val="006016C8"/>
    <w:rsid w:val="00607796"/>
    <w:rsid w:val="00613821"/>
    <w:rsid w:val="0061491B"/>
    <w:rsid w:val="006348F0"/>
    <w:rsid w:val="00652C75"/>
    <w:rsid w:val="006532DC"/>
    <w:rsid w:val="0066496F"/>
    <w:rsid w:val="00667D95"/>
    <w:rsid w:val="00672890"/>
    <w:rsid w:val="006805CA"/>
    <w:rsid w:val="006863F2"/>
    <w:rsid w:val="006923ED"/>
    <w:rsid w:val="006B35CF"/>
    <w:rsid w:val="006B7246"/>
    <w:rsid w:val="006F2F69"/>
    <w:rsid w:val="006F61E5"/>
    <w:rsid w:val="00716938"/>
    <w:rsid w:val="00751E6D"/>
    <w:rsid w:val="00762432"/>
    <w:rsid w:val="00781377"/>
    <w:rsid w:val="007B49F1"/>
    <w:rsid w:val="007B5930"/>
    <w:rsid w:val="007C3C43"/>
    <w:rsid w:val="007F3B15"/>
    <w:rsid w:val="007F5FDE"/>
    <w:rsid w:val="00840AEA"/>
    <w:rsid w:val="00841279"/>
    <w:rsid w:val="00842380"/>
    <w:rsid w:val="00854ABF"/>
    <w:rsid w:val="00876BF9"/>
    <w:rsid w:val="00880E1F"/>
    <w:rsid w:val="00880FF2"/>
    <w:rsid w:val="00894D0D"/>
    <w:rsid w:val="008A3593"/>
    <w:rsid w:val="008A6836"/>
    <w:rsid w:val="008B6081"/>
    <w:rsid w:val="008C329D"/>
    <w:rsid w:val="008C3F52"/>
    <w:rsid w:val="008C424A"/>
    <w:rsid w:val="008E7798"/>
    <w:rsid w:val="008F2CCD"/>
    <w:rsid w:val="008F6EAF"/>
    <w:rsid w:val="009161D6"/>
    <w:rsid w:val="00926EA3"/>
    <w:rsid w:val="009527F0"/>
    <w:rsid w:val="00957B3C"/>
    <w:rsid w:val="00963D82"/>
    <w:rsid w:val="0098229F"/>
    <w:rsid w:val="009B4CEC"/>
    <w:rsid w:val="009B5620"/>
    <w:rsid w:val="009C0B2C"/>
    <w:rsid w:val="009C2616"/>
    <w:rsid w:val="009C7DAA"/>
    <w:rsid w:val="009D5ECF"/>
    <w:rsid w:val="009D731C"/>
    <w:rsid w:val="009E0813"/>
    <w:rsid w:val="009E0AD6"/>
    <w:rsid w:val="009E0EDC"/>
    <w:rsid w:val="009E6C87"/>
    <w:rsid w:val="009F4D81"/>
    <w:rsid w:val="00A07577"/>
    <w:rsid w:val="00A12F57"/>
    <w:rsid w:val="00A156D2"/>
    <w:rsid w:val="00A17A8F"/>
    <w:rsid w:val="00A17B85"/>
    <w:rsid w:val="00A30A90"/>
    <w:rsid w:val="00A32EB3"/>
    <w:rsid w:val="00A4496B"/>
    <w:rsid w:val="00A550A5"/>
    <w:rsid w:val="00A73036"/>
    <w:rsid w:val="00A8294F"/>
    <w:rsid w:val="00A832C9"/>
    <w:rsid w:val="00A877D2"/>
    <w:rsid w:val="00B125B2"/>
    <w:rsid w:val="00B142A8"/>
    <w:rsid w:val="00B17934"/>
    <w:rsid w:val="00B17B4C"/>
    <w:rsid w:val="00B2551A"/>
    <w:rsid w:val="00B473E2"/>
    <w:rsid w:val="00B6759E"/>
    <w:rsid w:val="00B92C82"/>
    <w:rsid w:val="00BD08AD"/>
    <w:rsid w:val="00BE1CB7"/>
    <w:rsid w:val="00BE706D"/>
    <w:rsid w:val="00C0355B"/>
    <w:rsid w:val="00C048EE"/>
    <w:rsid w:val="00C327F4"/>
    <w:rsid w:val="00C51BD4"/>
    <w:rsid w:val="00C666FB"/>
    <w:rsid w:val="00C733F3"/>
    <w:rsid w:val="00C9356D"/>
    <w:rsid w:val="00CA6225"/>
    <w:rsid w:val="00CB0025"/>
    <w:rsid w:val="00CD0644"/>
    <w:rsid w:val="00CD74A7"/>
    <w:rsid w:val="00CE7664"/>
    <w:rsid w:val="00D175DA"/>
    <w:rsid w:val="00D2233D"/>
    <w:rsid w:val="00D23938"/>
    <w:rsid w:val="00D23DE0"/>
    <w:rsid w:val="00D33461"/>
    <w:rsid w:val="00D346B1"/>
    <w:rsid w:val="00D348E6"/>
    <w:rsid w:val="00D36E7F"/>
    <w:rsid w:val="00D547B7"/>
    <w:rsid w:val="00D57581"/>
    <w:rsid w:val="00D638DC"/>
    <w:rsid w:val="00D77040"/>
    <w:rsid w:val="00D9111B"/>
    <w:rsid w:val="00DA57B0"/>
    <w:rsid w:val="00DC47EC"/>
    <w:rsid w:val="00DC7D01"/>
    <w:rsid w:val="00DF29BF"/>
    <w:rsid w:val="00E00B84"/>
    <w:rsid w:val="00E02534"/>
    <w:rsid w:val="00E10081"/>
    <w:rsid w:val="00E161A2"/>
    <w:rsid w:val="00E23900"/>
    <w:rsid w:val="00E2597C"/>
    <w:rsid w:val="00E3038B"/>
    <w:rsid w:val="00E31481"/>
    <w:rsid w:val="00E323DB"/>
    <w:rsid w:val="00E65041"/>
    <w:rsid w:val="00E77D2D"/>
    <w:rsid w:val="00EA00F3"/>
    <w:rsid w:val="00EA2C6E"/>
    <w:rsid w:val="00EB0D81"/>
    <w:rsid w:val="00EB5334"/>
    <w:rsid w:val="00EB64F0"/>
    <w:rsid w:val="00EB7D04"/>
    <w:rsid w:val="00EC44D0"/>
    <w:rsid w:val="00EF0217"/>
    <w:rsid w:val="00EF18C7"/>
    <w:rsid w:val="00EF38DE"/>
    <w:rsid w:val="00EF7E3A"/>
    <w:rsid w:val="00F01EBF"/>
    <w:rsid w:val="00F2776C"/>
    <w:rsid w:val="00F51840"/>
    <w:rsid w:val="00F64159"/>
    <w:rsid w:val="00F6788C"/>
    <w:rsid w:val="00F74921"/>
    <w:rsid w:val="00F821BF"/>
    <w:rsid w:val="00F847E3"/>
    <w:rsid w:val="00FA4F5C"/>
    <w:rsid w:val="00FC2518"/>
    <w:rsid w:val="00FE01B3"/>
    <w:rsid w:val="00FE1A63"/>
    <w:rsid w:val="00FE5ABC"/>
    <w:rsid w:val="00FF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94D0"/>
  <w15:docId w15:val="{BA530FC1-709F-46B1-9238-1727E3EA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1279"/>
    <w:rPr>
      <w:sz w:val="18"/>
      <w:szCs w:val="18"/>
    </w:rPr>
  </w:style>
  <w:style w:type="paragraph" w:styleId="CommentText">
    <w:name w:val="annotation text"/>
    <w:basedOn w:val="Normal"/>
    <w:link w:val="CommentTextChar"/>
    <w:uiPriority w:val="99"/>
    <w:semiHidden/>
    <w:unhideWhenUsed/>
    <w:rsid w:val="00841279"/>
  </w:style>
  <w:style w:type="character" w:customStyle="1" w:styleId="CommentTextChar">
    <w:name w:val="Comment Text Char"/>
    <w:basedOn w:val="DefaultParagraphFont"/>
    <w:link w:val="CommentText"/>
    <w:uiPriority w:val="99"/>
    <w:semiHidden/>
    <w:rsid w:val="00841279"/>
  </w:style>
  <w:style w:type="paragraph" w:styleId="CommentSubject">
    <w:name w:val="annotation subject"/>
    <w:basedOn w:val="CommentText"/>
    <w:next w:val="CommentText"/>
    <w:link w:val="CommentSubjectChar"/>
    <w:uiPriority w:val="99"/>
    <w:semiHidden/>
    <w:unhideWhenUsed/>
    <w:rsid w:val="00841279"/>
    <w:rPr>
      <w:b/>
      <w:bCs/>
      <w:sz w:val="20"/>
      <w:szCs w:val="20"/>
    </w:rPr>
  </w:style>
  <w:style w:type="character" w:customStyle="1" w:styleId="CommentSubjectChar">
    <w:name w:val="Comment Subject Char"/>
    <w:basedOn w:val="CommentTextChar"/>
    <w:link w:val="CommentSubject"/>
    <w:uiPriority w:val="99"/>
    <w:semiHidden/>
    <w:rsid w:val="00841279"/>
    <w:rPr>
      <w:b/>
      <w:bCs/>
      <w:sz w:val="20"/>
      <w:szCs w:val="20"/>
    </w:rPr>
  </w:style>
  <w:style w:type="paragraph" w:styleId="BalloonText">
    <w:name w:val="Balloon Text"/>
    <w:basedOn w:val="Normal"/>
    <w:link w:val="BalloonTextChar"/>
    <w:uiPriority w:val="99"/>
    <w:semiHidden/>
    <w:unhideWhenUsed/>
    <w:rsid w:val="008412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279"/>
    <w:rPr>
      <w:rFonts w:ascii="Times New Roman" w:hAnsi="Times New Roman" w:cs="Times New Roman"/>
      <w:sz w:val="18"/>
      <w:szCs w:val="18"/>
    </w:rPr>
  </w:style>
  <w:style w:type="paragraph" w:styleId="Revision">
    <w:name w:val="Revision"/>
    <w:hidden/>
    <w:uiPriority w:val="99"/>
    <w:semiHidden/>
    <w:rsid w:val="00841279"/>
  </w:style>
  <w:style w:type="paragraph" w:styleId="FootnoteText">
    <w:name w:val="footnote text"/>
    <w:basedOn w:val="Normal"/>
    <w:link w:val="FootnoteTextChar"/>
    <w:uiPriority w:val="99"/>
    <w:unhideWhenUsed/>
    <w:rsid w:val="003D5D0F"/>
  </w:style>
  <w:style w:type="character" w:customStyle="1" w:styleId="FootnoteTextChar">
    <w:name w:val="Footnote Text Char"/>
    <w:basedOn w:val="DefaultParagraphFont"/>
    <w:link w:val="FootnoteText"/>
    <w:uiPriority w:val="99"/>
    <w:rsid w:val="003D5D0F"/>
  </w:style>
  <w:style w:type="character" w:styleId="FootnoteReference">
    <w:name w:val="footnote reference"/>
    <w:basedOn w:val="DefaultParagraphFont"/>
    <w:uiPriority w:val="99"/>
    <w:unhideWhenUsed/>
    <w:rsid w:val="003D5D0F"/>
    <w:rPr>
      <w:vertAlign w:val="superscript"/>
    </w:rPr>
  </w:style>
  <w:style w:type="paragraph" w:styleId="Header">
    <w:name w:val="header"/>
    <w:basedOn w:val="Normal"/>
    <w:link w:val="HeaderChar"/>
    <w:uiPriority w:val="99"/>
    <w:unhideWhenUsed/>
    <w:rsid w:val="00575A01"/>
    <w:pPr>
      <w:tabs>
        <w:tab w:val="center" w:pos="4513"/>
        <w:tab w:val="right" w:pos="9026"/>
      </w:tabs>
    </w:pPr>
  </w:style>
  <w:style w:type="character" w:customStyle="1" w:styleId="HeaderChar">
    <w:name w:val="Header Char"/>
    <w:basedOn w:val="DefaultParagraphFont"/>
    <w:link w:val="Header"/>
    <w:uiPriority w:val="99"/>
    <w:rsid w:val="00575A01"/>
  </w:style>
  <w:style w:type="paragraph" w:styleId="Footer">
    <w:name w:val="footer"/>
    <w:basedOn w:val="Normal"/>
    <w:link w:val="FooterChar"/>
    <w:uiPriority w:val="99"/>
    <w:unhideWhenUsed/>
    <w:rsid w:val="00575A01"/>
    <w:pPr>
      <w:tabs>
        <w:tab w:val="center" w:pos="4513"/>
        <w:tab w:val="right" w:pos="9026"/>
      </w:tabs>
    </w:pPr>
  </w:style>
  <w:style w:type="character" w:customStyle="1" w:styleId="FooterChar">
    <w:name w:val="Footer Char"/>
    <w:basedOn w:val="DefaultParagraphFont"/>
    <w:link w:val="Footer"/>
    <w:uiPriority w:val="99"/>
    <w:rsid w:val="00575A01"/>
  </w:style>
  <w:style w:type="paragraph" w:styleId="EndnoteText">
    <w:name w:val="endnote text"/>
    <w:basedOn w:val="Normal"/>
    <w:link w:val="EndnoteTextChar"/>
    <w:uiPriority w:val="99"/>
    <w:unhideWhenUsed/>
    <w:rsid w:val="006348F0"/>
    <w:rPr>
      <w:sz w:val="20"/>
      <w:szCs w:val="20"/>
    </w:rPr>
  </w:style>
  <w:style w:type="character" w:customStyle="1" w:styleId="EndnoteTextChar">
    <w:name w:val="Endnote Text Char"/>
    <w:basedOn w:val="DefaultParagraphFont"/>
    <w:link w:val="EndnoteText"/>
    <w:uiPriority w:val="99"/>
    <w:rsid w:val="006348F0"/>
    <w:rPr>
      <w:sz w:val="20"/>
      <w:szCs w:val="20"/>
    </w:rPr>
  </w:style>
  <w:style w:type="character" w:styleId="EndnoteReference">
    <w:name w:val="endnote reference"/>
    <w:basedOn w:val="DefaultParagraphFont"/>
    <w:uiPriority w:val="99"/>
    <w:unhideWhenUsed/>
    <w:rsid w:val="006348F0"/>
    <w:rPr>
      <w:vertAlign w:val="superscript"/>
    </w:rPr>
  </w:style>
  <w:style w:type="character" w:customStyle="1" w:styleId="apple-converted-space">
    <w:name w:val="apple-converted-space"/>
    <w:basedOn w:val="DefaultParagraphFont"/>
    <w:rsid w:val="00151F0B"/>
  </w:style>
  <w:style w:type="table" w:styleId="TableGrid">
    <w:name w:val="Table Grid"/>
    <w:basedOn w:val="TableNormal"/>
    <w:uiPriority w:val="39"/>
    <w:rsid w:val="006B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1EBF"/>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F01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79441">
      <w:bodyDiv w:val="1"/>
      <w:marLeft w:val="0"/>
      <w:marRight w:val="0"/>
      <w:marTop w:val="0"/>
      <w:marBottom w:val="0"/>
      <w:divBdr>
        <w:top w:val="none" w:sz="0" w:space="0" w:color="auto"/>
        <w:left w:val="none" w:sz="0" w:space="0" w:color="auto"/>
        <w:bottom w:val="none" w:sz="0" w:space="0" w:color="auto"/>
        <w:right w:val="none" w:sz="0" w:space="0" w:color="auto"/>
      </w:divBdr>
    </w:div>
    <w:div w:id="1382248036">
      <w:bodyDiv w:val="1"/>
      <w:marLeft w:val="0"/>
      <w:marRight w:val="0"/>
      <w:marTop w:val="0"/>
      <w:marBottom w:val="0"/>
      <w:divBdr>
        <w:top w:val="none" w:sz="0" w:space="0" w:color="auto"/>
        <w:left w:val="none" w:sz="0" w:space="0" w:color="auto"/>
        <w:bottom w:val="none" w:sz="0" w:space="0" w:color="auto"/>
        <w:right w:val="none" w:sz="0" w:space="0" w:color="auto"/>
      </w:divBdr>
    </w:div>
    <w:div w:id="1846895259">
      <w:bodyDiv w:val="1"/>
      <w:marLeft w:val="0"/>
      <w:marRight w:val="0"/>
      <w:marTop w:val="0"/>
      <w:marBottom w:val="0"/>
      <w:divBdr>
        <w:top w:val="none" w:sz="0" w:space="0" w:color="auto"/>
        <w:left w:val="none" w:sz="0" w:space="0" w:color="auto"/>
        <w:bottom w:val="none" w:sz="0" w:space="0" w:color="auto"/>
        <w:right w:val="none" w:sz="0" w:space="0" w:color="auto"/>
      </w:divBdr>
    </w:div>
    <w:div w:id="1969583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medium.com/@chrishanretty/most-labour-mps-represent-a-constituency-that-voted-leave-36f13210f5c6" TargetMode="External"/><Relationship Id="rId1" Type="http://schemas.openxmlformats.org/officeDocument/2006/relationships/hyperlink" Target="https://medium.com/@chrishanretty/the-eu-referendum-how-did-westminster-constituencies-vote-283c85cd20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7EB8EF-135B-4FCD-B37A-F5EBFB5E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4742</Words>
  <Characters>27032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Chatham House</Company>
  <LinksUpToDate>false</LinksUpToDate>
  <CharactersWithSpaces>31711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Goodwin</dc:creator>
  <cp:lastModifiedBy>Oliver</cp:lastModifiedBy>
  <cp:revision>3</cp:revision>
  <dcterms:created xsi:type="dcterms:W3CDTF">2016-07-20T10:57:00Z</dcterms:created>
  <dcterms:modified xsi:type="dcterms:W3CDTF">2016-07-25T09:00:00Z</dcterms:modified>
</cp:coreProperties>
</file>