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3" w:rsidRDefault="00D93173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rebuchet MS"/>
          <w:b/>
          <w:bCs/>
          <w:color w:val="000000"/>
        </w:rPr>
      </w:pPr>
    </w:p>
    <w:p w:rsid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rebuchet MS"/>
          <w:b/>
          <w:bCs/>
          <w:color w:val="000000"/>
        </w:rPr>
      </w:pPr>
      <w:r w:rsidRPr="004355D9">
        <w:rPr>
          <w:rFonts w:asciiTheme="majorHAnsi" w:hAnsiTheme="majorHAnsi" w:cs="Trebuchet MS"/>
          <w:b/>
          <w:bCs/>
          <w:color w:val="000000"/>
        </w:rPr>
        <w:t xml:space="preserve">Managing </w:t>
      </w:r>
      <w:r w:rsidR="00D93173">
        <w:rPr>
          <w:rFonts w:asciiTheme="majorHAnsi" w:hAnsiTheme="majorHAnsi" w:cs="Trebuchet MS"/>
          <w:b/>
          <w:bCs/>
          <w:color w:val="000000"/>
        </w:rPr>
        <w:t>c</w:t>
      </w:r>
      <w:r w:rsidRPr="004355D9">
        <w:rPr>
          <w:rFonts w:asciiTheme="majorHAnsi" w:hAnsiTheme="majorHAnsi" w:cs="Trebuchet MS"/>
          <w:b/>
          <w:bCs/>
          <w:color w:val="000000"/>
        </w:rPr>
        <w:t xml:space="preserve">hange, or </w:t>
      </w:r>
      <w:r w:rsidR="00D93173">
        <w:rPr>
          <w:rFonts w:asciiTheme="majorHAnsi" w:hAnsiTheme="majorHAnsi" w:cs="Trebuchet MS"/>
          <w:b/>
          <w:bCs/>
          <w:color w:val="000000"/>
        </w:rPr>
        <w:t>c</w:t>
      </w:r>
      <w:r w:rsidRPr="004355D9">
        <w:rPr>
          <w:rFonts w:asciiTheme="majorHAnsi" w:hAnsiTheme="majorHAnsi" w:cs="Trebuchet MS"/>
          <w:b/>
          <w:bCs/>
          <w:color w:val="000000"/>
        </w:rPr>
        <w:t>hanging</w:t>
      </w:r>
      <w:r>
        <w:rPr>
          <w:rFonts w:asciiTheme="majorHAnsi" w:hAnsiTheme="majorHAnsi" w:cs="Trebuchet MS"/>
          <w:b/>
          <w:bCs/>
          <w:color w:val="000000"/>
        </w:rPr>
        <w:t xml:space="preserve"> </w:t>
      </w:r>
      <w:r w:rsidR="00D93173">
        <w:rPr>
          <w:rFonts w:asciiTheme="majorHAnsi" w:hAnsiTheme="majorHAnsi" w:cs="Trebuchet MS"/>
          <w:b/>
          <w:bCs/>
          <w:color w:val="000000"/>
        </w:rPr>
        <w:t>m</w:t>
      </w:r>
      <w:r w:rsidRPr="004355D9">
        <w:rPr>
          <w:rFonts w:asciiTheme="majorHAnsi" w:hAnsiTheme="majorHAnsi" w:cs="Trebuchet MS"/>
          <w:b/>
          <w:bCs/>
          <w:color w:val="000000"/>
        </w:rPr>
        <w:t>anagers?</w:t>
      </w:r>
      <w:r w:rsidR="00D93173">
        <w:rPr>
          <w:rFonts w:asciiTheme="majorHAnsi" w:hAnsiTheme="majorHAnsi" w:cs="Trebuchet MS"/>
          <w:b/>
          <w:bCs/>
          <w:color w:val="000000"/>
        </w:rPr>
        <w:t xml:space="preserve">: </w:t>
      </w:r>
    </w:p>
    <w:p w:rsidR="004355D9" w:rsidRPr="004355D9" w:rsidRDefault="00D93173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rebuchet MS"/>
          <w:b/>
          <w:bCs/>
          <w:color w:val="000000"/>
        </w:rPr>
      </w:pPr>
      <w:r>
        <w:rPr>
          <w:rFonts w:asciiTheme="majorHAnsi" w:hAnsiTheme="majorHAnsi" w:cs="Trebuchet MS"/>
          <w:b/>
          <w:bCs/>
          <w:color w:val="000000"/>
        </w:rPr>
        <w:t>t</w:t>
      </w:r>
      <w:r w:rsidR="004355D9" w:rsidRPr="004355D9">
        <w:rPr>
          <w:rFonts w:asciiTheme="majorHAnsi" w:hAnsiTheme="majorHAnsi" w:cs="Trebuchet MS"/>
          <w:b/>
          <w:bCs/>
          <w:color w:val="000000"/>
        </w:rPr>
        <w:t>he role of middle</w:t>
      </w:r>
      <w:r w:rsidR="004355D9">
        <w:rPr>
          <w:rFonts w:asciiTheme="majorHAnsi" w:hAnsiTheme="majorHAnsi" w:cs="Trebuchet MS"/>
          <w:b/>
          <w:bCs/>
          <w:color w:val="000000"/>
        </w:rPr>
        <w:t xml:space="preserve"> </w:t>
      </w:r>
      <w:r w:rsidR="004355D9" w:rsidRPr="004355D9">
        <w:rPr>
          <w:rFonts w:asciiTheme="majorHAnsi" w:hAnsiTheme="majorHAnsi" w:cs="Trebuchet MS"/>
          <w:b/>
          <w:bCs/>
          <w:color w:val="000000"/>
        </w:rPr>
        <w:t>managers in UK public service</w:t>
      </w:r>
      <w:r w:rsidR="004355D9">
        <w:rPr>
          <w:rFonts w:asciiTheme="majorHAnsi" w:hAnsiTheme="majorHAnsi" w:cs="Trebuchet MS"/>
          <w:b/>
          <w:bCs/>
          <w:color w:val="000000"/>
        </w:rPr>
        <w:t xml:space="preserve"> </w:t>
      </w:r>
      <w:r w:rsidR="004355D9" w:rsidRPr="004355D9">
        <w:rPr>
          <w:rFonts w:asciiTheme="majorHAnsi" w:hAnsiTheme="majorHAnsi" w:cs="Trebuchet MS"/>
          <w:b/>
          <w:bCs/>
          <w:color w:val="000000"/>
        </w:rPr>
        <w:t>reform</w:t>
      </w:r>
    </w:p>
    <w:p w:rsidR="004355D9" w:rsidRPr="004355D9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rebuchet MS"/>
          <w:color w:val="000000"/>
        </w:rPr>
      </w:pPr>
    </w:p>
    <w:p w:rsidR="004355D9" w:rsidRPr="004355D9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ad4a2bde.B"/>
          <w:color w:val="000000"/>
        </w:rPr>
      </w:pPr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ad4a2bde.B"/>
          <w:color w:val="000000"/>
        </w:rPr>
      </w:pPr>
      <w:r w:rsidRPr="00D93173">
        <w:rPr>
          <w:rFonts w:asciiTheme="majorHAnsi" w:hAnsiTheme="majorHAnsi" w:cs="AdvOTad4a2bde.B"/>
          <w:color w:val="000000"/>
        </w:rPr>
        <w:t>Mark Gatenby</w:t>
      </w:r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000000"/>
        </w:rPr>
      </w:pPr>
      <w:r w:rsidRPr="00D93173">
        <w:rPr>
          <w:rFonts w:asciiTheme="majorHAnsi" w:hAnsiTheme="majorHAnsi" w:cs="AdvOTc3272e35"/>
          <w:color w:val="000000"/>
        </w:rPr>
        <w:t>University of Southampton</w:t>
      </w:r>
    </w:p>
    <w:p w:rsidR="004355D9" w:rsidRPr="00D93173" w:rsidRDefault="000A3356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  <w:hyperlink r:id="rId6" w:history="1">
        <w:r w:rsidR="004355D9" w:rsidRPr="00D93173">
          <w:rPr>
            <w:rStyle w:val="Hyperlink"/>
            <w:rFonts w:asciiTheme="majorHAnsi" w:hAnsiTheme="majorHAnsi" w:cs="AdvOTc3272e35"/>
          </w:rPr>
          <w:t>m.gatenby@soton.ac.uk</w:t>
        </w:r>
      </w:hyperlink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ad4a2bde.B"/>
          <w:color w:val="000000"/>
        </w:rPr>
      </w:pPr>
      <w:r w:rsidRPr="00D93173">
        <w:rPr>
          <w:rFonts w:asciiTheme="majorHAnsi" w:hAnsiTheme="majorHAnsi" w:cs="AdvOTad4a2bde.B"/>
          <w:color w:val="000000"/>
        </w:rPr>
        <w:t>Chris Rees</w:t>
      </w:r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000000"/>
        </w:rPr>
      </w:pPr>
      <w:r w:rsidRPr="00D93173">
        <w:rPr>
          <w:rFonts w:asciiTheme="majorHAnsi" w:hAnsiTheme="majorHAnsi" w:cs="AdvOTc3272e35"/>
          <w:color w:val="000000"/>
        </w:rPr>
        <w:t>Royal Holloway, University of London</w:t>
      </w:r>
    </w:p>
    <w:p w:rsidR="004355D9" w:rsidRPr="00D93173" w:rsidRDefault="000A3356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  <w:hyperlink r:id="rId7" w:history="1">
        <w:r w:rsidR="004355D9" w:rsidRPr="00D93173">
          <w:rPr>
            <w:rStyle w:val="Hyperlink"/>
            <w:rFonts w:asciiTheme="majorHAnsi" w:hAnsiTheme="majorHAnsi" w:cs="AdvOTc3272e35"/>
          </w:rPr>
          <w:t>chris.rees@rhul.ac.uk</w:t>
        </w:r>
      </w:hyperlink>
    </w:p>
    <w:p w:rsidR="00D93173" w:rsidRPr="00D93173" w:rsidRDefault="00D93173" w:rsidP="00D93173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4355D9" w:rsidRPr="00D93173" w:rsidRDefault="004355D9" w:rsidP="00D93173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93173">
        <w:rPr>
          <w:rFonts w:asciiTheme="majorHAnsi" w:hAnsiTheme="majorHAnsi"/>
          <w:sz w:val="22"/>
          <w:szCs w:val="22"/>
        </w:rPr>
        <w:t>Katie Truss</w:t>
      </w:r>
    </w:p>
    <w:p w:rsidR="004355D9" w:rsidRPr="00D93173" w:rsidRDefault="004355D9" w:rsidP="00D93173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93173">
        <w:rPr>
          <w:rFonts w:asciiTheme="majorHAnsi" w:hAnsiTheme="majorHAnsi"/>
          <w:sz w:val="22"/>
          <w:szCs w:val="22"/>
        </w:rPr>
        <w:t>University of Sussex</w:t>
      </w:r>
    </w:p>
    <w:p w:rsidR="00D93173" w:rsidRPr="00D93173" w:rsidRDefault="000A3356" w:rsidP="00D9317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hyperlink r:id="rId8" w:history="1">
        <w:r w:rsidR="00D93173" w:rsidRPr="00D93173">
          <w:rPr>
            <w:rStyle w:val="Hyperlink"/>
            <w:rFonts w:asciiTheme="majorHAnsi" w:hAnsiTheme="majorHAnsi"/>
          </w:rPr>
          <w:t>k.truss@sussex.ac.uk</w:t>
        </w:r>
      </w:hyperlink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</w:p>
    <w:p w:rsidR="00D93173" w:rsidRPr="00D93173" w:rsidRDefault="00D93173" w:rsidP="00D93173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93173">
        <w:rPr>
          <w:rFonts w:asciiTheme="majorHAnsi" w:hAnsiTheme="majorHAnsi"/>
          <w:sz w:val="22"/>
          <w:szCs w:val="22"/>
        </w:rPr>
        <w:t>Kerstin Alfes</w:t>
      </w:r>
    </w:p>
    <w:p w:rsidR="00D93173" w:rsidRPr="00D93173" w:rsidRDefault="00D93173" w:rsidP="00D93173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93173">
        <w:rPr>
          <w:rFonts w:asciiTheme="majorHAnsi" w:hAnsiTheme="majorHAnsi"/>
          <w:sz w:val="22"/>
          <w:szCs w:val="22"/>
        </w:rPr>
        <w:t>Tilburg University</w:t>
      </w:r>
    </w:p>
    <w:p w:rsidR="00D93173" w:rsidRPr="00D93173" w:rsidRDefault="000A3356" w:rsidP="00D93173">
      <w:pPr>
        <w:pStyle w:val="Default"/>
        <w:jc w:val="center"/>
        <w:rPr>
          <w:rFonts w:asciiTheme="majorHAnsi" w:hAnsiTheme="majorHAnsi"/>
          <w:sz w:val="22"/>
          <w:szCs w:val="22"/>
        </w:rPr>
      </w:pPr>
      <w:hyperlink r:id="rId9" w:history="1">
        <w:r w:rsidR="00D93173" w:rsidRPr="00D93173">
          <w:rPr>
            <w:rStyle w:val="Hyperlink"/>
            <w:rFonts w:asciiTheme="majorHAnsi" w:hAnsiTheme="majorHAnsi"/>
            <w:sz w:val="22"/>
            <w:szCs w:val="22"/>
          </w:rPr>
          <w:t>k.alfes@uvt.nl</w:t>
        </w:r>
      </w:hyperlink>
    </w:p>
    <w:p w:rsidR="00D93173" w:rsidRPr="00D93173" w:rsidRDefault="00D93173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ad4a2bde.B"/>
          <w:color w:val="000000"/>
        </w:rPr>
      </w:pPr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ad4a2bde.B"/>
          <w:color w:val="000000"/>
        </w:rPr>
      </w:pPr>
      <w:r w:rsidRPr="00D93173">
        <w:rPr>
          <w:rFonts w:asciiTheme="majorHAnsi" w:hAnsiTheme="majorHAnsi" w:cs="AdvOTad4a2bde.B"/>
          <w:color w:val="000000"/>
        </w:rPr>
        <w:t>Emma Soane</w:t>
      </w:r>
    </w:p>
    <w:p w:rsidR="004355D9" w:rsidRPr="00D93173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000000"/>
        </w:rPr>
      </w:pPr>
      <w:r w:rsidRPr="00D93173">
        <w:rPr>
          <w:rFonts w:asciiTheme="majorHAnsi" w:hAnsiTheme="majorHAnsi" w:cs="AdvOTc3272e35"/>
          <w:color w:val="000000"/>
        </w:rPr>
        <w:t>London School of Economics</w:t>
      </w:r>
    </w:p>
    <w:p w:rsidR="004355D9" w:rsidRDefault="000A3356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  <w:hyperlink r:id="rId10" w:history="1">
        <w:r w:rsidR="004355D9" w:rsidRPr="00D93173">
          <w:rPr>
            <w:rStyle w:val="Hyperlink"/>
            <w:rFonts w:asciiTheme="majorHAnsi" w:hAnsiTheme="majorHAnsi" w:cs="AdvOTc3272e35"/>
          </w:rPr>
          <w:t>e.c.soane@lse.ac.uk</w:t>
        </w:r>
      </w:hyperlink>
    </w:p>
    <w:p w:rsidR="004355D9" w:rsidRDefault="004355D9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</w:p>
    <w:p w:rsidR="00FA4732" w:rsidRDefault="00FA4732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</w:p>
    <w:p w:rsidR="00FA4732" w:rsidRPr="004355D9" w:rsidRDefault="00FA4732" w:rsidP="0043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vOTc3272e35"/>
          <w:color w:val="32348F"/>
        </w:rPr>
      </w:pPr>
    </w:p>
    <w:p w:rsidR="004355D9" w:rsidRPr="004355D9" w:rsidRDefault="004355D9" w:rsidP="004355D9">
      <w:pPr>
        <w:pStyle w:val="NoSpacing"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 w:rsidRPr="004355D9">
        <w:rPr>
          <w:rFonts w:asciiTheme="majorHAnsi" w:hAnsiTheme="majorHAnsi" w:cs="Trebuchet MS"/>
          <w:sz w:val="22"/>
          <w:szCs w:val="22"/>
        </w:rPr>
        <w:t>This is an Author’s Accepted Manuscript (postprint) of the following published article:</w:t>
      </w:r>
    </w:p>
    <w:p w:rsidR="004355D9" w:rsidRPr="004355D9" w:rsidRDefault="004355D9" w:rsidP="004355D9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lang w:val="en-US"/>
        </w:rPr>
      </w:pPr>
    </w:p>
    <w:p w:rsidR="004355D9" w:rsidRPr="004355D9" w:rsidRDefault="004355D9" w:rsidP="004355D9">
      <w:pPr>
        <w:autoSpaceDE w:val="0"/>
        <w:autoSpaceDN w:val="0"/>
        <w:adjustRightInd w:val="0"/>
        <w:spacing w:after="0"/>
        <w:rPr>
          <w:rFonts w:asciiTheme="majorHAnsi" w:hAnsiTheme="majorHAnsi" w:cs="Trebuchet MS"/>
          <w:color w:val="000000"/>
        </w:rPr>
      </w:pPr>
      <w:r w:rsidRPr="004355D9">
        <w:rPr>
          <w:rFonts w:asciiTheme="majorHAnsi" w:hAnsiTheme="majorHAnsi" w:cs="Trebuchet MS"/>
          <w:color w:val="000000"/>
        </w:rPr>
        <w:t>Gatenby,</w:t>
      </w:r>
      <w:r>
        <w:rPr>
          <w:rFonts w:asciiTheme="majorHAnsi" w:hAnsiTheme="majorHAnsi" w:cs="Trebuchet MS"/>
          <w:color w:val="000000"/>
        </w:rPr>
        <w:t xml:space="preserve"> M., </w:t>
      </w:r>
      <w:r w:rsidRPr="004355D9">
        <w:rPr>
          <w:rFonts w:asciiTheme="majorHAnsi" w:hAnsiTheme="majorHAnsi" w:cs="Trebuchet MS"/>
          <w:color w:val="000000"/>
        </w:rPr>
        <w:t>Rees,</w:t>
      </w:r>
      <w:r>
        <w:rPr>
          <w:rFonts w:asciiTheme="majorHAnsi" w:hAnsiTheme="majorHAnsi" w:cs="Trebuchet MS"/>
          <w:color w:val="000000"/>
        </w:rPr>
        <w:t xml:space="preserve"> C.,</w:t>
      </w:r>
      <w:r w:rsidRPr="004355D9">
        <w:rPr>
          <w:rFonts w:asciiTheme="majorHAnsi" w:hAnsiTheme="majorHAnsi" w:cs="Trebuchet MS"/>
          <w:color w:val="000000"/>
        </w:rPr>
        <w:t xml:space="preserve"> Truss,</w:t>
      </w:r>
      <w:r>
        <w:rPr>
          <w:rFonts w:asciiTheme="majorHAnsi" w:hAnsiTheme="majorHAnsi" w:cs="Trebuchet MS"/>
          <w:color w:val="000000"/>
        </w:rPr>
        <w:t xml:space="preserve"> K.,</w:t>
      </w:r>
      <w:r w:rsidRPr="004355D9">
        <w:rPr>
          <w:rFonts w:asciiTheme="majorHAnsi" w:hAnsiTheme="majorHAnsi" w:cs="Trebuchet MS"/>
          <w:color w:val="000000"/>
        </w:rPr>
        <w:t xml:space="preserve"> Alfes</w:t>
      </w:r>
      <w:r>
        <w:rPr>
          <w:rFonts w:asciiTheme="majorHAnsi" w:hAnsiTheme="majorHAnsi" w:cs="Trebuchet MS"/>
          <w:color w:val="000000"/>
        </w:rPr>
        <w:t>, K.</w:t>
      </w:r>
      <w:r w:rsidRPr="004355D9">
        <w:rPr>
          <w:rFonts w:asciiTheme="majorHAnsi" w:hAnsiTheme="majorHAnsi" w:cs="Trebuchet MS"/>
          <w:color w:val="000000"/>
        </w:rPr>
        <w:t xml:space="preserve"> </w:t>
      </w:r>
      <w:r>
        <w:rPr>
          <w:rFonts w:asciiTheme="majorHAnsi" w:hAnsiTheme="majorHAnsi" w:cs="Trebuchet MS"/>
          <w:color w:val="000000"/>
        </w:rPr>
        <w:t>and</w:t>
      </w:r>
      <w:r w:rsidRPr="004355D9">
        <w:rPr>
          <w:rFonts w:asciiTheme="majorHAnsi" w:hAnsiTheme="majorHAnsi" w:cs="Trebuchet MS"/>
          <w:color w:val="000000"/>
        </w:rPr>
        <w:t xml:space="preserve"> Soane</w:t>
      </w:r>
      <w:r>
        <w:rPr>
          <w:rFonts w:asciiTheme="majorHAnsi" w:hAnsiTheme="majorHAnsi" w:cs="Trebuchet MS"/>
          <w:color w:val="000000"/>
        </w:rPr>
        <w:t>, E.</w:t>
      </w:r>
      <w:r w:rsidRPr="004355D9">
        <w:rPr>
          <w:rFonts w:asciiTheme="majorHAnsi" w:hAnsiTheme="majorHAnsi" w:cs="Trebuchet MS"/>
          <w:color w:val="000000"/>
        </w:rPr>
        <w:t xml:space="preserve"> (201</w:t>
      </w:r>
      <w:r w:rsidR="000A3356">
        <w:rPr>
          <w:rFonts w:asciiTheme="majorHAnsi" w:hAnsiTheme="majorHAnsi" w:cs="Trebuchet MS"/>
          <w:color w:val="000000"/>
        </w:rPr>
        <w:t>5</w:t>
      </w:r>
      <w:r w:rsidRPr="004355D9">
        <w:rPr>
          <w:rFonts w:asciiTheme="majorHAnsi" w:hAnsiTheme="majorHAnsi" w:cs="Trebuchet MS"/>
          <w:color w:val="000000"/>
        </w:rPr>
        <w:t xml:space="preserve">) Managing </w:t>
      </w:r>
      <w:r>
        <w:rPr>
          <w:rFonts w:asciiTheme="majorHAnsi" w:hAnsiTheme="majorHAnsi" w:cs="Trebuchet MS"/>
          <w:color w:val="000000"/>
        </w:rPr>
        <w:t>c</w:t>
      </w:r>
      <w:r w:rsidRPr="004355D9">
        <w:rPr>
          <w:rFonts w:asciiTheme="majorHAnsi" w:hAnsiTheme="majorHAnsi" w:cs="Trebuchet MS"/>
          <w:color w:val="000000"/>
        </w:rPr>
        <w:t xml:space="preserve">hange, or </w:t>
      </w:r>
      <w:r>
        <w:rPr>
          <w:rFonts w:asciiTheme="majorHAnsi" w:hAnsiTheme="majorHAnsi" w:cs="Trebuchet MS"/>
          <w:color w:val="000000"/>
        </w:rPr>
        <w:t>c</w:t>
      </w:r>
      <w:r w:rsidRPr="004355D9">
        <w:rPr>
          <w:rFonts w:asciiTheme="majorHAnsi" w:hAnsiTheme="majorHAnsi" w:cs="Trebuchet MS"/>
          <w:color w:val="000000"/>
        </w:rPr>
        <w:t xml:space="preserve">hanging </w:t>
      </w:r>
      <w:r>
        <w:rPr>
          <w:rFonts w:asciiTheme="majorHAnsi" w:hAnsiTheme="majorHAnsi" w:cs="Trebuchet MS"/>
          <w:color w:val="000000"/>
        </w:rPr>
        <w:t>m</w:t>
      </w:r>
      <w:r w:rsidRPr="004355D9">
        <w:rPr>
          <w:rFonts w:asciiTheme="majorHAnsi" w:hAnsiTheme="majorHAnsi" w:cs="Trebuchet MS"/>
          <w:color w:val="000000"/>
        </w:rPr>
        <w:t>anagers?</w:t>
      </w:r>
      <w:r w:rsidR="00D93173">
        <w:rPr>
          <w:rFonts w:asciiTheme="majorHAnsi" w:hAnsiTheme="majorHAnsi" w:cs="Trebuchet MS"/>
          <w:color w:val="000000"/>
        </w:rPr>
        <w:t>: t</w:t>
      </w:r>
      <w:r w:rsidRPr="004355D9">
        <w:rPr>
          <w:rFonts w:asciiTheme="majorHAnsi" w:hAnsiTheme="majorHAnsi" w:cs="Trebuchet MS"/>
          <w:color w:val="000000"/>
        </w:rPr>
        <w:t>he role of</w:t>
      </w:r>
      <w:r>
        <w:rPr>
          <w:rFonts w:asciiTheme="majorHAnsi" w:hAnsiTheme="majorHAnsi" w:cs="Trebuchet MS"/>
          <w:color w:val="000000"/>
        </w:rPr>
        <w:t xml:space="preserve"> </w:t>
      </w:r>
      <w:r w:rsidRPr="004355D9">
        <w:rPr>
          <w:rFonts w:asciiTheme="majorHAnsi" w:hAnsiTheme="majorHAnsi" w:cs="Trebuchet MS"/>
          <w:color w:val="000000"/>
        </w:rPr>
        <w:t xml:space="preserve">middle managers in UK public service reform, </w:t>
      </w:r>
      <w:r w:rsidRPr="00FA4732">
        <w:rPr>
          <w:rFonts w:asciiTheme="majorHAnsi" w:hAnsiTheme="majorHAnsi" w:cs="Trebuchet MS"/>
          <w:i/>
          <w:color w:val="000000"/>
        </w:rPr>
        <w:t>Public Management Review</w:t>
      </w:r>
      <w:r w:rsidR="000A3356">
        <w:rPr>
          <w:rFonts w:asciiTheme="majorHAnsi" w:hAnsiTheme="majorHAnsi" w:cs="Trebuchet MS"/>
          <w:color w:val="000000"/>
        </w:rPr>
        <w:t>, 17: 8, 1124-1145.</w:t>
      </w:r>
      <w:bookmarkStart w:id="0" w:name="_GoBack"/>
      <w:bookmarkEnd w:id="0"/>
      <w:r w:rsidR="000A3356">
        <w:rPr>
          <w:rFonts w:asciiTheme="majorHAnsi" w:hAnsiTheme="majorHAnsi" w:cs="Trebuchet MS"/>
          <w:color w:val="000000"/>
        </w:rPr>
        <w:t xml:space="preserve"> </w:t>
      </w:r>
    </w:p>
    <w:p w:rsidR="004355D9" w:rsidRPr="004355D9" w:rsidRDefault="004355D9" w:rsidP="004355D9">
      <w:pPr>
        <w:pStyle w:val="NoSpacing"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</w:p>
    <w:p w:rsidR="004355D9" w:rsidRPr="004355D9" w:rsidRDefault="004355D9" w:rsidP="004355D9">
      <w:pPr>
        <w:pStyle w:val="NoSpacing"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 w:rsidRPr="004355D9">
        <w:rPr>
          <w:rFonts w:asciiTheme="majorHAnsi" w:hAnsiTheme="majorHAnsi" w:cs="Trebuchet MS"/>
          <w:sz w:val="22"/>
          <w:szCs w:val="22"/>
        </w:rPr>
        <w:t>The published version is available here:</w:t>
      </w:r>
    </w:p>
    <w:p w:rsidR="004355D9" w:rsidRDefault="000A3356" w:rsidP="004355D9">
      <w:pPr>
        <w:autoSpaceDE w:val="0"/>
        <w:autoSpaceDN w:val="0"/>
        <w:adjustRightInd w:val="0"/>
        <w:spacing w:after="0"/>
        <w:rPr>
          <w:rFonts w:asciiTheme="majorHAnsi" w:hAnsiTheme="majorHAnsi" w:cs="Trebuchet MS"/>
          <w:color w:val="0000FF"/>
        </w:rPr>
      </w:pPr>
      <w:hyperlink r:id="rId11" w:history="1">
        <w:r w:rsidR="00D93173" w:rsidRPr="00D90DD8">
          <w:rPr>
            <w:rStyle w:val="Hyperlink"/>
            <w:rFonts w:asciiTheme="majorHAnsi" w:hAnsiTheme="majorHAnsi" w:cs="Trebuchet MS"/>
          </w:rPr>
          <w:t>http://dx.doi.org/10.1080/14719037.2014.895028</w:t>
        </w:r>
      </w:hyperlink>
    </w:p>
    <w:p w:rsidR="00FA4732" w:rsidRDefault="00FA4732">
      <w:pPr>
        <w:rPr>
          <w:rFonts w:asciiTheme="majorHAnsi" w:hAnsiTheme="majorHAnsi" w:cs="AdvOT9bd2e232.B"/>
          <w:color w:val="000000"/>
        </w:rPr>
      </w:pPr>
      <w:r>
        <w:rPr>
          <w:rFonts w:asciiTheme="majorHAnsi" w:hAnsiTheme="majorHAnsi" w:cs="AdvOT9bd2e232.B"/>
          <w:color w:val="000000"/>
        </w:rPr>
        <w:br w:type="page"/>
      </w: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lastRenderedPageBreak/>
        <w:t>Abstract</w:t>
      </w: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i/>
          <w:color w:val="000000"/>
        </w:rPr>
      </w:pPr>
      <w:r w:rsidRPr="00FA4732">
        <w:rPr>
          <w:rFonts w:asciiTheme="majorHAnsi" w:hAnsiTheme="majorHAnsi" w:cs="AdvOT30a32c65"/>
          <w:i/>
          <w:color w:val="000000"/>
        </w:rPr>
        <w:t>Drawing upon interview data from three case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study organizations, we examine the role of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middle managers in UK public service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reform. Using theory fragments from organizational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ecology and role theory, we develop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three role archetypes that middle managers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might be enacting. We find that rather than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 xml:space="preserve">wholesale enactment of a </w:t>
      </w:r>
      <w:r w:rsidRPr="00FA4732">
        <w:rPr>
          <w:rFonts w:asciiTheme="majorHAnsi" w:hAnsiTheme="majorHAnsi" w:cs="AdvOT30a32c65+20"/>
          <w:i/>
          <w:color w:val="000000"/>
        </w:rPr>
        <w:t>‘</w:t>
      </w:r>
      <w:r w:rsidRPr="00FA4732">
        <w:rPr>
          <w:rFonts w:asciiTheme="majorHAnsi" w:hAnsiTheme="majorHAnsi" w:cs="AdvOT30a32c65"/>
          <w:i/>
          <w:color w:val="000000"/>
        </w:rPr>
        <w:t>change agent</w:t>
      </w:r>
      <w:r w:rsidRPr="00FA4732">
        <w:rPr>
          <w:rFonts w:asciiTheme="majorHAnsi" w:hAnsiTheme="majorHAnsi" w:cs="AdvOT30a32c65+20"/>
          <w:i/>
          <w:color w:val="000000"/>
        </w:rPr>
        <w:t>’</w:t>
      </w:r>
      <w:r w:rsidR="00FA4732" w:rsidRPr="00FA4732">
        <w:rPr>
          <w:rFonts w:asciiTheme="majorHAnsi" w:hAnsiTheme="majorHAnsi" w:cs="AdvOT30a32c65+20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role, middle managers are balancing three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predominant, but often conflicting, changerelated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 xml:space="preserve">roles: as </w:t>
      </w:r>
      <w:r w:rsidRPr="00FA4732">
        <w:rPr>
          <w:rFonts w:asciiTheme="majorHAnsi" w:hAnsiTheme="majorHAnsi" w:cs="AdvOT30a32c65+20"/>
          <w:i/>
          <w:color w:val="000000"/>
        </w:rPr>
        <w:t>‘</w:t>
      </w:r>
      <w:r w:rsidRPr="00FA4732">
        <w:rPr>
          <w:rFonts w:asciiTheme="majorHAnsi" w:hAnsiTheme="majorHAnsi" w:cs="AdvOT30a32c65"/>
          <w:i/>
          <w:color w:val="000000"/>
        </w:rPr>
        <w:t>government agent</w:t>
      </w:r>
      <w:r w:rsidRPr="00FA4732">
        <w:rPr>
          <w:rFonts w:asciiTheme="majorHAnsi" w:hAnsiTheme="majorHAnsi" w:cs="AdvOT30a32c65+20"/>
          <w:i/>
          <w:color w:val="000000"/>
        </w:rPr>
        <w:t>’</w:t>
      </w:r>
      <w:r w:rsidRPr="00FA4732">
        <w:rPr>
          <w:rFonts w:asciiTheme="majorHAnsi" w:hAnsiTheme="majorHAnsi" w:cs="AdvOT30a32c65"/>
          <w:i/>
          <w:color w:val="000000"/>
        </w:rPr>
        <w:t xml:space="preserve">, </w:t>
      </w:r>
      <w:r w:rsidRPr="00FA4732">
        <w:rPr>
          <w:rFonts w:asciiTheme="majorHAnsi" w:hAnsiTheme="majorHAnsi" w:cs="AdvOT30a32c65+20"/>
          <w:i/>
          <w:color w:val="000000"/>
        </w:rPr>
        <w:t>‘</w:t>
      </w:r>
      <w:r w:rsidRPr="00FA4732">
        <w:rPr>
          <w:rFonts w:asciiTheme="majorHAnsi" w:hAnsiTheme="majorHAnsi" w:cs="AdvOT30a32c65"/>
          <w:i/>
          <w:color w:val="000000"/>
        </w:rPr>
        <w:t>diplomat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administrator</w:t>
      </w:r>
      <w:r w:rsidRPr="00FA4732">
        <w:rPr>
          <w:rFonts w:asciiTheme="majorHAnsi" w:hAnsiTheme="majorHAnsi" w:cs="AdvOT30a32c65+20"/>
          <w:i/>
          <w:color w:val="000000"/>
        </w:rPr>
        <w:t xml:space="preserve">’ </w:t>
      </w:r>
      <w:r w:rsidRPr="00FA4732">
        <w:rPr>
          <w:rFonts w:asciiTheme="majorHAnsi" w:hAnsiTheme="majorHAnsi" w:cs="AdvOT30a32c65"/>
          <w:i/>
          <w:color w:val="000000"/>
        </w:rPr>
        <w:t>and, less convincingly,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+20"/>
          <w:i/>
          <w:color w:val="000000"/>
        </w:rPr>
        <w:t>‘</w:t>
      </w:r>
      <w:r w:rsidRPr="00FA4732">
        <w:rPr>
          <w:rFonts w:asciiTheme="majorHAnsi" w:hAnsiTheme="majorHAnsi" w:cs="AdvOT30a32c65"/>
          <w:i/>
          <w:color w:val="000000"/>
        </w:rPr>
        <w:t>entrepreneurial leader</w:t>
      </w:r>
      <w:r w:rsidRPr="00FA4732">
        <w:rPr>
          <w:rFonts w:asciiTheme="majorHAnsi" w:hAnsiTheme="majorHAnsi" w:cs="AdvOT30a32c65+20"/>
          <w:i/>
          <w:color w:val="000000"/>
        </w:rPr>
        <w:t>’</w:t>
      </w:r>
      <w:r w:rsidRPr="00FA4732">
        <w:rPr>
          <w:rFonts w:asciiTheme="majorHAnsi" w:hAnsiTheme="majorHAnsi" w:cs="AdvOT30a32c65"/>
          <w:i/>
          <w:color w:val="000000"/>
        </w:rPr>
        <w:t>. Central government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targets are becoming the main preoccupation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for middle managers across many public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>services and they represent a dominant constraint</w:t>
      </w:r>
      <w:r w:rsidR="00FA4732" w:rsidRPr="00FA4732">
        <w:rPr>
          <w:rFonts w:asciiTheme="majorHAnsi" w:hAnsiTheme="majorHAnsi" w:cs="AdvOT30a32c65"/>
          <w:i/>
          <w:color w:val="000000"/>
        </w:rPr>
        <w:t xml:space="preserve"> </w:t>
      </w:r>
      <w:r w:rsidRPr="00FA4732">
        <w:rPr>
          <w:rFonts w:asciiTheme="majorHAnsi" w:hAnsiTheme="majorHAnsi" w:cs="AdvOT30a32c65"/>
          <w:i/>
          <w:color w:val="000000"/>
        </w:rPr>
        <w:t xml:space="preserve">on allowing </w:t>
      </w:r>
      <w:r w:rsidRPr="00FA4732">
        <w:rPr>
          <w:rFonts w:asciiTheme="majorHAnsi" w:hAnsiTheme="majorHAnsi" w:cs="AdvOT30a32c65+20"/>
          <w:i/>
          <w:color w:val="000000"/>
        </w:rPr>
        <w:t>‘</w:t>
      </w:r>
      <w:r w:rsidRPr="00FA4732">
        <w:rPr>
          <w:rFonts w:asciiTheme="majorHAnsi" w:hAnsiTheme="majorHAnsi" w:cs="AdvOT30a32c65"/>
          <w:i/>
          <w:color w:val="000000"/>
        </w:rPr>
        <w:t>managers to manage</w:t>
      </w:r>
      <w:r w:rsidRPr="00FA4732">
        <w:rPr>
          <w:rFonts w:asciiTheme="majorHAnsi" w:hAnsiTheme="majorHAnsi" w:cs="AdvOT30a32c65+20"/>
          <w:i/>
          <w:color w:val="000000"/>
        </w:rPr>
        <w:t>’</w:t>
      </w:r>
      <w:r w:rsidRPr="00FA4732">
        <w:rPr>
          <w:rFonts w:asciiTheme="majorHAnsi" w:hAnsiTheme="majorHAnsi" w:cs="AdvOT30a32c65"/>
          <w:i/>
          <w:color w:val="000000"/>
        </w:rPr>
        <w:t>.</w:t>
      </w: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F803BF" w:rsidRPr="004355D9" w:rsidRDefault="00F803B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INTRODUCTION</w:t>
      </w:r>
    </w:p>
    <w:p w:rsid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aim of this paper is to examine the extent to which middle managers are enacting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organizational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roles within contemporary public services. An enduring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feature of debates about government-led service reform has been the role of the general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management cadre in service delivery and change (Ferlie, Lynn, and Pollitt </w:t>
      </w:r>
      <w:r w:rsidRPr="004355D9">
        <w:rPr>
          <w:rFonts w:asciiTheme="majorHAnsi" w:hAnsiTheme="majorHAnsi" w:cs="AdvOTc3272e35"/>
          <w:color w:val="32348F"/>
        </w:rPr>
        <w:t>2007</w:t>
      </w:r>
      <w:r w:rsidRPr="004355D9">
        <w:rPr>
          <w:rFonts w:asciiTheme="majorHAnsi" w:hAnsiTheme="majorHAnsi" w:cs="AdvOTc3272e35"/>
          <w:color w:val="000000"/>
        </w:rPr>
        <w:t>). At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 hierarchical intersection, middle managers can </w:t>
      </w:r>
      <w:r w:rsidRPr="004355D9">
        <w:rPr>
          <w:rFonts w:asciiTheme="majorHAnsi" w:hAnsiTheme="majorHAnsi" w:cs="AdvOTc3272e35+20"/>
          <w:color w:val="000000"/>
        </w:rPr>
        <w:t xml:space="preserve">– </w:t>
      </w:r>
      <w:r w:rsidRPr="004355D9">
        <w:rPr>
          <w:rFonts w:asciiTheme="majorHAnsi" w:hAnsiTheme="majorHAnsi" w:cs="AdvOTc3272e35"/>
          <w:color w:val="000000"/>
        </w:rPr>
        <w:t xml:space="preserve">and indeed must </w:t>
      </w:r>
      <w:r w:rsidRPr="004355D9">
        <w:rPr>
          <w:rFonts w:asciiTheme="majorHAnsi" w:hAnsiTheme="majorHAnsi" w:cs="AdvOTc3272e35+20"/>
          <w:color w:val="000000"/>
        </w:rPr>
        <w:t xml:space="preserve">– </w:t>
      </w:r>
      <w:r w:rsidRPr="004355D9">
        <w:rPr>
          <w:rFonts w:asciiTheme="majorHAnsi" w:hAnsiTheme="majorHAnsi" w:cs="AdvOTc3272e35"/>
          <w:color w:val="000000"/>
        </w:rPr>
        <w:t>look both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upwards and downwards, and thereby reconcile strategic objectives with operational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imperatives. The structural contingencies and role demands of middle managers have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been debated for several decades and the management literature contains two dominant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narratives about the role as a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linking pin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(Likert </w:t>
      </w:r>
      <w:r w:rsidRPr="004355D9">
        <w:rPr>
          <w:rFonts w:asciiTheme="majorHAnsi" w:hAnsiTheme="majorHAnsi" w:cs="AdvOTc3272e35"/>
          <w:color w:val="32348F"/>
        </w:rPr>
        <w:t>1961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first group sees middle layers of management as unsuccessful conduits for senior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management strategic formulations. These researchers see middle managers as having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sclerotic effects on structures and processes. Individual managers become trapped in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complex bureaucratic structures, and by virtue of their intermediate position, inadvertently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restrict the flow of knowledge and communication across the organization.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Others see middle managers as more purposefully resisting strategic adaptation by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exercising their agency to protect vested interests or minimize operational risk (Dopson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Stewart </w:t>
      </w:r>
      <w:r w:rsidRPr="004355D9">
        <w:rPr>
          <w:rFonts w:asciiTheme="majorHAnsi" w:hAnsiTheme="majorHAnsi" w:cs="AdvOTc3272e35"/>
          <w:color w:val="32348F"/>
        </w:rPr>
        <w:t>1990</w:t>
      </w:r>
      <w:r w:rsidRPr="004355D9">
        <w:rPr>
          <w:rFonts w:asciiTheme="majorHAnsi" w:hAnsiTheme="majorHAnsi" w:cs="AdvOTc3272e35"/>
          <w:color w:val="000000"/>
        </w:rPr>
        <w:t xml:space="preserve">). The image of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reluctant middle manager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cautious to take the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initiative or to champion change is a lingering one (Scase and Goffee </w:t>
      </w:r>
      <w:r w:rsidRPr="004355D9">
        <w:rPr>
          <w:rFonts w:asciiTheme="majorHAnsi" w:hAnsiTheme="majorHAnsi" w:cs="AdvOTc3272e35"/>
          <w:color w:val="32348F"/>
        </w:rPr>
        <w:t>1989</w:t>
      </w:r>
      <w:r w:rsidRPr="004355D9">
        <w:rPr>
          <w:rFonts w:asciiTheme="majorHAnsi" w:hAnsiTheme="majorHAnsi" w:cs="AdvOTc3272e35"/>
          <w:color w:val="000000"/>
        </w:rPr>
        <w:t>). The second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group portrays middle managers more optimistically as strategic assets for the mediation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implementation of strategic imperatives. Floyd and Wooldridge (</w:t>
      </w:r>
      <w:r w:rsidRPr="004355D9">
        <w:rPr>
          <w:rFonts w:asciiTheme="majorHAnsi" w:hAnsiTheme="majorHAnsi" w:cs="AdvOTc3272e35"/>
          <w:color w:val="32348F"/>
        </w:rPr>
        <w:t>1994</w:t>
      </w:r>
      <w:r w:rsidRPr="004355D9">
        <w:rPr>
          <w:rFonts w:asciiTheme="majorHAnsi" w:hAnsiTheme="majorHAnsi" w:cs="AdvOTc3272e35"/>
          <w:color w:val="000000"/>
        </w:rPr>
        <w:t>) see the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intermediate position as a privileged location for change agency, where middle managers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can assist senior managers in formulating concrete strategic initiatives and playing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 important role in disseminating strategic alternatives. Huy (</w:t>
      </w:r>
      <w:r w:rsidRPr="004355D9">
        <w:rPr>
          <w:rFonts w:asciiTheme="majorHAnsi" w:hAnsiTheme="majorHAnsi" w:cs="AdvOTc3272e35"/>
          <w:color w:val="32348F"/>
        </w:rPr>
        <w:t>2001</w:t>
      </w:r>
      <w:r w:rsidRPr="004355D9">
        <w:rPr>
          <w:rFonts w:asciiTheme="majorHAnsi" w:hAnsiTheme="majorHAnsi" w:cs="AdvOTc3272e35"/>
          <w:color w:val="000000"/>
        </w:rPr>
        <w:t>) is even more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optimistic and sees middle managers as influential agents of entrepreneurial ideas,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leveraging informal networks and coordinating tensions between continuity and change.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Balogun (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 reviews this literature and contributes more empirical data, finding four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interrelated roles for middle managers during change implementation </w:t>
      </w:r>
      <w:r w:rsidRPr="004355D9">
        <w:rPr>
          <w:rFonts w:asciiTheme="majorHAnsi" w:hAnsiTheme="majorHAnsi" w:cs="AdvOTc3272e35+20"/>
          <w:color w:val="000000"/>
        </w:rPr>
        <w:t xml:space="preserve">– </w:t>
      </w:r>
      <w:r w:rsidRPr="004355D9">
        <w:rPr>
          <w:rFonts w:asciiTheme="majorHAnsi" w:hAnsiTheme="majorHAnsi" w:cs="AdvOTc3272e35"/>
          <w:color w:val="000000"/>
        </w:rPr>
        <w:t>undertaking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personal change, helping others through change, implementing necessary changes in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their departments, and keeping the business going. This work suggests that there may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 scope for middle managers to become agents for change in many organizations, but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any such activities are constrained by conflicting role expectations and operational</w:t>
      </w:r>
      <w:r w:rsidR="00FA4732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routines.</w:t>
      </w:r>
    </w:p>
    <w:p w:rsidR="004355D9" w:rsidRPr="004355D9" w:rsidRDefault="004355D9" w:rsidP="00F803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These narratives provide important clues to the role demands and expectations of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middle managers, and they help to illuminate how intermediate structural positions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might </w:t>
      </w:r>
      <w:r w:rsidRPr="004355D9">
        <w:rPr>
          <w:rFonts w:asciiTheme="majorHAnsi" w:hAnsiTheme="majorHAnsi" w:cs="AdvOTc3272e35"/>
          <w:color w:val="000000"/>
        </w:rPr>
        <w:lastRenderedPageBreak/>
        <w:t>connect vertically and horizontally within organizations. However, these streams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 work do not adequately account for organizational change agency within complex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public sector organizations. In particular, Floyd and Wooldridge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typology does not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account for role demands emanating outside of the organization, such as institutional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pressures from government agencies and regulators or wider social pressures of public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legitimacy. Professional bureaucracies face ambiguity and conflict from multiple political,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professional, managerial and administrative constituents, and individual managers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need to negotiate considerable institutional pressures from professional constituents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looking to increase their power over the allocation of resources (Currie et al. </w:t>
      </w:r>
      <w:r w:rsidRPr="004355D9">
        <w:rPr>
          <w:rFonts w:asciiTheme="majorHAnsi" w:hAnsiTheme="majorHAnsi" w:cs="AdvOTc3272e35"/>
          <w:color w:val="32348F"/>
        </w:rPr>
        <w:t>2012</w:t>
      </w:r>
      <w:r w:rsidRPr="004355D9">
        <w:rPr>
          <w:rFonts w:asciiTheme="majorHAnsi" w:hAnsiTheme="majorHAnsi" w:cs="AdvOTc3272e35"/>
          <w:color w:val="000000"/>
        </w:rPr>
        <w:t>). In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addition to such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institutional work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there are institutional and isomorphic pressures at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sector or population level of organizations, which restrain organizational adaptation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reinforce persistent bureaucratic organizational forms (DiMaggio and Powell </w:t>
      </w:r>
      <w:r w:rsidRPr="004355D9">
        <w:rPr>
          <w:rFonts w:asciiTheme="majorHAnsi" w:hAnsiTheme="majorHAnsi" w:cs="AdvOTc3272e35"/>
          <w:color w:val="32348F"/>
        </w:rPr>
        <w:t>1983</w:t>
      </w:r>
      <w:r w:rsidRPr="004355D9">
        <w:rPr>
          <w:rFonts w:asciiTheme="majorHAnsi" w:hAnsiTheme="majorHAnsi" w:cs="AdvOTc3272e35"/>
          <w:color w:val="000000"/>
        </w:rPr>
        <w:t>;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Hannan and Freeman </w:t>
      </w:r>
      <w:r w:rsidRPr="004355D9">
        <w:rPr>
          <w:rFonts w:asciiTheme="majorHAnsi" w:hAnsiTheme="majorHAnsi" w:cs="AdvOTc3272e35"/>
          <w:color w:val="32348F"/>
        </w:rPr>
        <w:t>1989</w:t>
      </w:r>
      <w:r w:rsidRPr="004355D9">
        <w:rPr>
          <w:rFonts w:asciiTheme="majorHAnsi" w:hAnsiTheme="majorHAnsi" w:cs="AdvOTc3272e35"/>
          <w:color w:val="000000"/>
        </w:rPr>
        <w:t>). Professional bureaucracies, such as health care organizations,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have complex multiple hierarchies </w:t>
      </w:r>
      <w:r w:rsidRPr="004355D9">
        <w:rPr>
          <w:rFonts w:asciiTheme="majorHAnsi" w:hAnsiTheme="majorHAnsi" w:cs="AdvOTc3272e35+20"/>
          <w:color w:val="000000"/>
        </w:rPr>
        <w:t xml:space="preserve">– </w:t>
      </w:r>
      <w:r w:rsidRPr="004355D9">
        <w:rPr>
          <w:rFonts w:asciiTheme="majorHAnsi" w:hAnsiTheme="majorHAnsi" w:cs="AdvOTc3272e35"/>
          <w:color w:val="000000"/>
        </w:rPr>
        <w:t>including medical, nursing and administrative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 xml:space="preserve">operational chains </w:t>
      </w:r>
      <w:r w:rsidRPr="004355D9">
        <w:rPr>
          <w:rFonts w:asciiTheme="majorHAnsi" w:hAnsiTheme="majorHAnsi" w:cs="AdvOTc3272e35+20"/>
          <w:color w:val="000000"/>
        </w:rPr>
        <w:t xml:space="preserve">– </w:t>
      </w:r>
      <w:r w:rsidRPr="004355D9">
        <w:rPr>
          <w:rFonts w:asciiTheme="majorHAnsi" w:hAnsiTheme="majorHAnsi" w:cs="AdvOTc3272e35"/>
          <w:color w:val="000000"/>
        </w:rPr>
        <w:t xml:space="preserve">which lead to divisional structures 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forms of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managerial work (Fulop </w:t>
      </w:r>
      <w:r w:rsidRPr="004355D9">
        <w:rPr>
          <w:rFonts w:asciiTheme="majorHAnsi" w:hAnsiTheme="majorHAnsi" w:cs="AdvOTc3272e35"/>
          <w:color w:val="32348F"/>
        </w:rPr>
        <w:t>2012</w:t>
      </w:r>
      <w:r w:rsidRPr="004355D9">
        <w:rPr>
          <w:rFonts w:asciiTheme="majorHAnsi" w:hAnsiTheme="majorHAnsi" w:cs="AdvOTc3272e35"/>
          <w:color w:val="000000"/>
        </w:rPr>
        <w:t>). Middle managers in these contexts may have previous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professional practitioner experience or may be performing a hybrid practitioner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manager role. The professional bureaucratic form of division of labour is likely to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impact on structural contingencies relating to organizational change agency and complicates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discussion of middle manager roles.</w:t>
      </w:r>
    </w:p>
    <w:p w:rsidR="004355D9" w:rsidRPr="004355D9" w:rsidRDefault="004355D9" w:rsidP="00F803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Despite their importance for an understanding of public service dynamics and public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sector reform, Conway and Monks (</w:t>
      </w:r>
      <w:r w:rsidRPr="004355D9">
        <w:rPr>
          <w:rFonts w:asciiTheme="majorHAnsi" w:hAnsiTheme="majorHAnsi" w:cs="AdvOTc3272e35"/>
          <w:color w:val="32348F"/>
        </w:rPr>
        <w:t>2011</w:t>
      </w:r>
      <w:r w:rsidRPr="004355D9">
        <w:rPr>
          <w:rFonts w:asciiTheme="majorHAnsi" w:hAnsiTheme="majorHAnsi" w:cs="AdvOTc3272e35"/>
          <w:color w:val="000000"/>
        </w:rPr>
        <w:t>) suggest there is a lack of empirical evidence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addressing how tensions and ambiguities in the middle manager role are played out in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contemporary public services, particularly across different organizational types (Currie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Procter </w:t>
      </w:r>
      <w:r w:rsidRPr="004355D9">
        <w:rPr>
          <w:rFonts w:asciiTheme="majorHAnsi" w:hAnsiTheme="majorHAnsi" w:cs="AdvOTc3272e35"/>
          <w:color w:val="32348F"/>
        </w:rPr>
        <w:t>2005</w:t>
      </w:r>
      <w:r w:rsidRPr="004355D9">
        <w:rPr>
          <w:rFonts w:asciiTheme="majorHAnsi" w:hAnsiTheme="majorHAnsi" w:cs="AdvOTc3272e35"/>
          <w:color w:val="000000"/>
        </w:rPr>
        <w:t>). The public management literature has largely highlighted competition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between professional and managerial cadres, and the shifting balance of power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between the two (Farrell and Morris 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), or alternatively, the leadership responsibilities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of the most senior managers or professional elites (Currie et al. </w:t>
      </w:r>
      <w:r w:rsidRPr="004355D9">
        <w:rPr>
          <w:rFonts w:asciiTheme="majorHAnsi" w:hAnsiTheme="majorHAnsi" w:cs="AdvOTc3272e35"/>
          <w:color w:val="32348F"/>
        </w:rPr>
        <w:t>2012</w:t>
      </w:r>
      <w:r w:rsidRPr="004355D9">
        <w:rPr>
          <w:rFonts w:asciiTheme="majorHAnsi" w:hAnsiTheme="majorHAnsi" w:cs="AdvOTc3272e35"/>
          <w:color w:val="000000"/>
        </w:rPr>
        <w:t>). There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has been less examination of the perceptions of middle managers on their ability to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enact change agency roles. As Mantere (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>) reflected in a recent discussion of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enabling factors in change agency roles,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While others have articulated middle management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roles, there is little evidence about how middle managers are able to fulfil those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(p. 26). Equally, Balogun (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 xml:space="preserve">) states: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there is still little research examining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what middle-managers can contribute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(p. 69).</w:t>
      </w:r>
    </w:p>
    <w:p w:rsidR="004355D9" w:rsidRPr="004355D9" w:rsidRDefault="004355D9" w:rsidP="00F803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In this paper, we examine the structural position and role experiences of middle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in public sector organizations. We bring together literature on middle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strategic role with broader debates about public sector managerialism and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change or inertia. We add to the relatively sparse literature in this area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by examining the enactment of change agent roles by middle managers within three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public sector organizations in the United Kingdom under the late New Labour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government: an NHS Trust, a local authority and a central government department.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 review theories attempting to explain structural change and inertia and consider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how role theory can offer micro-sociological explanations of strategic change. We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distinguish between three emerging conceptualizations of the middle manager role as: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government agent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diplomat administrator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entrepreneurial leader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 We then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explain our methodology, and provide background information on the three case study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organizations. We explain our findings in relation to the three-fold typology of line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 roles, highlight the contribution as well as the limitations of our work, and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suggest some directions for future research.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lastRenderedPageBreak/>
        <w:t>MANAGING WITH PROFESSIONAL BUREAUCRACY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Despite attempts to make public services more dynamic and adaptable over the last 30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years, evidence suggests that bureaucratic forms of organization persist (Farrell and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Morris 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). Bureaucratic organizations in the Weberian rational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legal tradition rely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on hierarchy and rules for coordination and control (Currie et al. 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 xml:space="preserve">; Hales </w:t>
      </w:r>
      <w:r w:rsidRPr="004355D9">
        <w:rPr>
          <w:rFonts w:asciiTheme="majorHAnsi" w:hAnsiTheme="majorHAnsi" w:cs="AdvOTc3272e35"/>
          <w:color w:val="32348F"/>
        </w:rPr>
        <w:t>2002</w:t>
      </w:r>
      <w:r w:rsidRPr="004355D9">
        <w:rPr>
          <w:rFonts w:asciiTheme="majorHAnsi" w:hAnsiTheme="majorHAnsi" w:cs="AdvOTc3272e35"/>
          <w:color w:val="000000"/>
        </w:rPr>
        <w:t>).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Although new managerialism was associated with a putative move towards more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flexible, delayered and decentralized structures, Hales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</w:t>
      </w:r>
      <w:r w:rsidRPr="004355D9">
        <w:rPr>
          <w:rFonts w:asciiTheme="majorHAnsi" w:hAnsiTheme="majorHAnsi" w:cs="AdvOTc3272e35"/>
          <w:color w:val="32348F"/>
        </w:rPr>
        <w:t>2002</w:t>
      </w:r>
      <w:r w:rsidRPr="004355D9">
        <w:rPr>
          <w:rFonts w:asciiTheme="majorHAnsi" w:hAnsiTheme="majorHAnsi" w:cs="AdvOTc3272e35"/>
          <w:color w:val="000000"/>
        </w:rPr>
        <w:t>) research shows that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such a transformation is merely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illusory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(p. 61), and that hierarchical control and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vertical accountability endure, either through re-bureaucratization or the creation of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neo-bureaucratic structures (Farrell and Morris 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). Several strands of organization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theory, such as neo-institutional theory and organizational ecology, suggest that organizations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are deeply embedded within social, political, economic and normative settings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that exert isomorphic and inertial population-level pressures to conform to existing and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established modes of operation (DiMaggio and Powell </w:t>
      </w:r>
      <w:r w:rsidRPr="004355D9">
        <w:rPr>
          <w:rFonts w:asciiTheme="majorHAnsi" w:hAnsiTheme="majorHAnsi" w:cs="AdvOTc3272e35"/>
          <w:color w:val="32348F"/>
        </w:rPr>
        <w:t>1983</w:t>
      </w:r>
      <w:r w:rsidRPr="004355D9">
        <w:rPr>
          <w:rFonts w:asciiTheme="majorHAnsi" w:hAnsiTheme="majorHAnsi" w:cs="AdvOTc3272e35"/>
          <w:color w:val="000000"/>
        </w:rPr>
        <w:t>; Hannan and Freeman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32348F"/>
        </w:rPr>
        <w:t>1989</w:t>
      </w:r>
      <w:r w:rsidRPr="004355D9">
        <w:rPr>
          <w:rFonts w:asciiTheme="majorHAnsi" w:hAnsiTheme="majorHAnsi" w:cs="AdvOTc3272e35"/>
          <w:color w:val="000000"/>
        </w:rPr>
        <w:t xml:space="preserve">; Goldfinch and Wallis </w:t>
      </w:r>
      <w:r w:rsidRPr="004355D9">
        <w:rPr>
          <w:rFonts w:asciiTheme="majorHAnsi" w:hAnsiTheme="majorHAnsi" w:cs="AdvOTc3272e35"/>
          <w:color w:val="32348F"/>
        </w:rPr>
        <w:t>2010</w:t>
      </w:r>
      <w:r w:rsidRPr="004355D9">
        <w:rPr>
          <w:rFonts w:asciiTheme="majorHAnsi" w:hAnsiTheme="majorHAnsi" w:cs="AdvOTc3272e35"/>
          <w:color w:val="000000"/>
        </w:rPr>
        <w:t>), and, consequently, create an existential tension for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actors within public services. These issues are intensified at structural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positions where professional and administrative identities become entangled through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practitioner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manager roles.</w:t>
      </w:r>
    </w:p>
    <w:p w:rsidR="004355D9" w:rsidRDefault="004355D9" w:rsidP="00F803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hybridization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of management roles in the public sector is an example of longterm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institutional adaptation to environmental pressures. Public professional bureaucracies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across most parts of the public sector have responded to sustained policy-led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managerialism by incorporating the terminology and techniques of business management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(Gronn </w:t>
      </w:r>
      <w:r w:rsidRPr="004355D9">
        <w:rPr>
          <w:rFonts w:asciiTheme="majorHAnsi" w:hAnsiTheme="majorHAnsi" w:cs="AdvOTc3272e35"/>
          <w:color w:val="32348F"/>
        </w:rPr>
        <w:t>2000</w:t>
      </w:r>
      <w:r w:rsidRPr="004355D9">
        <w:rPr>
          <w:rFonts w:asciiTheme="majorHAnsi" w:hAnsiTheme="majorHAnsi" w:cs="AdvOTc3272e35"/>
          <w:color w:val="000000"/>
        </w:rPr>
        <w:t>). This emerging role definition has lacked comprehensive empirical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examination, but has perhaps received most attention in health care organizations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(Brooks </w:t>
      </w:r>
      <w:r w:rsidRPr="004355D9">
        <w:rPr>
          <w:rFonts w:asciiTheme="majorHAnsi" w:hAnsiTheme="majorHAnsi" w:cs="AdvOTc3272e35"/>
          <w:color w:val="32348F"/>
        </w:rPr>
        <w:t>1999</w:t>
      </w:r>
      <w:r w:rsidRPr="004355D9">
        <w:rPr>
          <w:rFonts w:asciiTheme="majorHAnsi" w:hAnsiTheme="majorHAnsi" w:cs="AdvOTc3272e35"/>
          <w:color w:val="000000"/>
        </w:rPr>
        <w:t xml:space="preserve">; Llewellyn </w:t>
      </w:r>
      <w:r w:rsidRPr="004355D9">
        <w:rPr>
          <w:rFonts w:asciiTheme="majorHAnsi" w:hAnsiTheme="majorHAnsi" w:cs="AdvOTc3272e35"/>
          <w:color w:val="32348F"/>
        </w:rPr>
        <w:t>2001</w:t>
      </w:r>
      <w:r w:rsidRPr="004355D9">
        <w:rPr>
          <w:rFonts w:asciiTheme="majorHAnsi" w:hAnsiTheme="majorHAnsi" w:cs="AdvOTc3272e35"/>
          <w:color w:val="000000"/>
        </w:rPr>
        <w:t xml:space="preserve">; Hoque, Davis, and Humphreys </w:t>
      </w:r>
      <w:r w:rsidRPr="004355D9">
        <w:rPr>
          <w:rFonts w:asciiTheme="majorHAnsi" w:hAnsiTheme="majorHAnsi" w:cs="AdvOTc3272e35"/>
          <w:color w:val="32348F"/>
        </w:rPr>
        <w:t>2004</w:t>
      </w:r>
      <w:r w:rsidRPr="004355D9">
        <w:rPr>
          <w:rFonts w:asciiTheme="majorHAnsi" w:hAnsiTheme="majorHAnsi" w:cs="AdvOTc3272e35"/>
          <w:color w:val="000000"/>
        </w:rPr>
        <w:t>). For example,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 the United Kingdom, NHS general managers were introduced at various levels of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unit operation following the Griffiths report in 1983. Clinical areas of operation are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now headed by clinical practitioners, who are also the unit general manager with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administrative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operational and strategic responsibilities. Reflecting on this professional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form of managerialism, Fulop (</w:t>
      </w:r>
      <w:r w:rsidRPr="004355D9">
        <w:rPr>
          <w:rFonts w:asciiTheme="majorHAnsi" w:hAnsiTheme="majorHAnsi" w:cs="AdvOTc3272e35"/>
          <w:color w:val="32348F"/>
        </w:rPr>
        <w:t>2012</w:t>
      </w:r>
      <w:r w:rsidRPr="004355D9">
        <w:rPr>
          <w:rFonts w:asciiTheme="majorHAnsi" w:hAnsiTheme="majorHAnsi" w:cs="AdvOTc3272e35"/>
          <w:color w:val="000000"/>
        </w:rPr>
        <w:t>) suggests:</w:t>
      </w:r>
    </w:p>
    <w:p w:rsidR="00F803BF" w:rsidRPr="004355D9" w:rsidRDefault="00F803B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803BF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 xml:space="preserve">Hybridity is not claimed to be a new form of leadership </w:t>
      </w:r>
      <w:r w:rsidRPr="004355D9">
        <w:rPr>
          <w:rFonts w:asciiTheme="majorHAnsi" w:hAnsiTheme="majorHAnsi" w:cs="AdvOTef4c711a.I"/>
          <w:color w:val="000000"/>
        </w:rPr>
        <w:t xml:space="preserve">per se </w:t>
      </w:r>
      <w:r w:rsidRPr="004355D9">
        <w:rPr>
          <w:rFonts w:asciiTheme="majorHAnsi" w:hAnsiTheme="majorHAnsi" w:cs="AdvOT30a32c65"/>
          <w:color w:val="000000"/>
        </w:rPr>
        <w:t>but a way of re-orienting our thinking,</w:t>
      </w:r>
      <w:r w:rsidR="00F803BF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especially in looking at the problems that surround theories and practices of heroic and post-heroic</w:t>
      </w:r>
      <w:r w:rsidR="00F803BF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 xml:space="preserve">leadership. (Fulop </w:t>
      </w:r>
      <w:r w:rsidRPr="004355D9">
        <w:rPr>
          <w:rFonts w:asciiTheme="majorHAnsi" w:hAnsiTheme="majorHAnsi" w:cs="AdvOT30a32c65"/>
          <w:color w:val="32348F"/>
        </w:rPr>
        <w:t>2012</w:t>
      </w:r>
      <w:r w:rsidRPr="004355D9">
        <w:rPr>
          <w:rFonts w:asciiTheme="majorHAnsi" w:hAnsiTheme="majorHAnsi" w:cs="AdvOT30a32c65"/>
          <w:color w:val="000000"/>
        </w:rPr>
        <w:t>: 580)</w:t>
      </w:r>
    </w:p>
    <w:p w:rsidR="00F803BF" w:rsidRDefault="00F803B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Other commentators similarly see the term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as an oversimplification because it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implies that we can clearly distinguish between professional and managerial jurisdictions,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whereas in reality, professional agents, like doctors, are taking on more managerial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tasks while, </w:t>
      </w:r>
      <w:r w:rsidRPr="00E31EEF">
        <w:rPr>
          <w:rFonts w:asciiTheme="majorHAnsi" w:hAnsiTheme="majorHAnsi" w:cs="AdvOT6b6f1de6.I"/>
          <w:i/>
          <w:color w:val="000000"/>
        </w:rPr>
        <w:t>at the same time</w:t>
      </w:r>
      <w:r w:rsidRPr="004355D9">
        <w:rPr>
          <w:rFonts w:asciiTheme="majorHAnsi" w:hAnsiTheme="majorHAnsi" w:cs="AdvOTc3272e35"/>
          <w:color w:val="000000"/>
        </w:rPr>
        <w:t>, maintaining both clinical autonomy and professional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identity (Exworthy and Halford </w:t>
      </w:r>
      <w:r w:rsidRPr="004355D9">
        <w:rPr>
          <w:rFonts w:asciiTheme="majorHAnsi" w:hAnsiTheme="majorHAnsi" w:cs="AdvOTc3272e35"/>
          <w:color w:val="32348F"/>
        </w:rPr>
        <w:t>1999</w:t>
      </w:r>
      <w:r w:rsidRPr="004355D9">
        <w:rPr>
          <w:rFonts w:asciiTheme="majorHAnsi" w:hAnsiTheme="majorHAnsi" w:cs="AdvOTc3272e35"/>
          <w:color w:val="000000"/>
        </w:rPr>
        <w:t>). Llewellyn (</w:t>
      </w:r>
      <w:r w:rsidRPr="004355D9">
        <w:rPr>
          <w:rFonts w:asciiTheme="majorHAnsi" w:hAnsiTheme="majorHAnsi" w:cs="AdvOTc3272e35"/>
          <w:color w:val="32348F"/>
        </w:rPr>
        <w:t>2001</w:t>
      </w:r>
      <w:r w:rsidRPr="004355D9">
        <w:rPr>
          <w:rFonts w:asciiTheme="majorHAnsi" w:hAnsiTheme="majorHAnsi" w:cs="AdvOTc3272e35"/>
          <w:color w:val="000000"/>
        </w:rPr>
        <w:t>) describes this as attempting to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create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management from the inside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through clinical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managerial competence, in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contrast to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management from the outside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which is characterized by centralized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planning and performance management. For the purpose of this study, we include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practitioner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managers occupying intermediate structural positions as bona fide middle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with the potential for change agency roles. We follow recent commentators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in seeing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 as highly contested, in line with broader debates about public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sector managerialism and leaderism. Professional managers are likely to experience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considerable role conflict and ambiguity as they attempt to enact their roles (Doherty,</w:t>
      </w:r>
      <w:r w:rsidR="00F803B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Gatenby, and Hales </w:t>
      </w:r>
      <w:r w:rsidRPr="004355D9">
        <w:rPr>
          <w:rFonts w:asciiTheme="majorHAnsi" w:hAnsiTheme="majorHAnsi" w:cs="AdvOTc3272e35"/>
          <w:color w:val="32348F"/>
        </w:rPr>
        <w:t>2010</w:t>
      </w:r>
      <w:r w:rsidRPr="004355D9">
        <w:rPr>
          <w:rFonts w:asciiTheme="majorHAnsi" w:hAnsiTheme="majorHAnsi" w:cs="AdvOTc3272e35"/>
          <w:color w:val="000000"/>
        </w:rPr>
        <w:t xml:space="preserve">; Pegram et al. </w:t>
      </w:r>
      <w:r w:rsidRPr="004355D9">
        <w:rPr>
          <w:rFonts w:asciiTheme="majorHAnsi" w:hAnsiTheme="majorHAnsi" w:cs="AdvOTc3272e35"/>
          <w:color w:val="32348F"/>
        </w:rPr>
        <w:t>2013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MIDDLE MANAGER THEORY FRAGMENTS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After several decades of research examining the role of middle managers and organizational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change processes, no dominant theoretical approach has emerged to account for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observed phenomena. It is generally agreed that the institutional complexity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bureaucratic structures, through which middle managers operate, creates a contested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terrain for the enactment of change agency roles (Conway and Monks </w:t>
      </w:r>
      <w:r w:rsidRPr="004355D9">
        <w:rPr>
          <w:rFonts w:asciiTheme="majorHAnsi" w:hAnsiTheme="majorHAnsi" w:cs="AdvOTc3272e35"/>
          <w:color w:val="32348F"/>
        </w:rPr>
        <w:t>2011</w:t>
      </w:r>
      <w:r w:rsidRPr="004355D9">
        <w:rPr>
          <w:rFonts w:asciiTheme="majorHAnsi" w:hAnsiTheme="majorHAnsi" w:cs="AdvOTc3272e35"/>
          <w:color w:val="000000"/>
        </w:rPr>
        <w:t>). Many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recent contributions to this debate do not make explicit reference to theoretical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frameworks or attempt to build theory from their accounts. Many authors refer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influential typology of Floyd and Wooldridge (</w:t>
      </w:r>
      <w:r w:rsidRPr="004355D9">
        <w:rPr>
          <w:rFonts w:asciiTheme="majorHAnsi" w:hAnsiTheme="majorHAnsi" w:cs="AdvOTc3272e35"/>
          <w:color w:val="32348F"/>
        </w:rPr>
        <w:t>1994</w:t>
      </w:r>
      <w:r w:rsidRPr="004355D9">
        <w:rPr>
          <w:rFonts w:asciiTheme="majorHAnsi" w:hAnsiTheme="majorHAnsi" w:cs="AdvOTc3272e35"/>
          <w:color w:val="000000"/>
        </w:rPr>
        <w:t xml:space="preserve">, </w:t>
      </w:r>
      <w:r w:rsidRPr="004355D9">
        <w:rPr>
          <w:rFonts w:asciiTheme="majorHAnsi" w:hAnsiTheme="majorHAnsi" w:cs="AdvOTc3272e35"/>
          <w:color w:val="32348F"/>
        </w:rPr>
        <w:t>1997</w:t>
      </w:r>
      <w:r w:rsidRPr="004355D9">
        <w:rPr>
          <w:rFonts w:asciiTheme="majorHAnsi" w:hAnsiTheme="majorHAnsi" w:cs="AdvOTc3272e35"/>
          <w:color w:val="000000"/>
        </w:rPr>
        <w:t>) as a way to orientate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middle manager position at an intermediate level of analysis, but do not make explicit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theoretical propositions beyond this. A closer reading of the work of Floyd 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Wooldridge reveals an appeal to contingency theories of organizational adaptation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(Thompson </w:t>
      </w:r>
      <w:r w:rsidRPr="004355D9">
        <w:rPr>
          <w:rFonts w:asciiTheme="majorHAnsi" w:hAnsiTheme="majorHAnsi" w:cs="AdvOTc3272e35"/>
          <w:color w:val="32348F"/>
        </w:rPr>
        <w:t>1967</w:t>
      </w:r>
      <w:r w:rsidRPr="004355D9">
        <w:rPr>
          <w:rFonts w:asciiTheme="majorHAnsi" w:hAnsiTheme="majorHAnsi" w:cs="AdvOTc3272e35"/>
          <w:color w:val="000000"/>
        </w:rPr>
        <w:t>). This is the view that organizational change takes place through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matching of organizational structures to combinations of technologies and environments.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This approach moves the question of change beyond the agency of individual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to encompass higher levels of analysis. It is also consistent with the institutional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strand of organization theory that has been widely adopted in the public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administration literature (Currie et al. </w:t>
      </w:r>
      <w:r w:rsidRPr="004355D9">
        <w:rPr>
          <w:rFonts w:asciiTheme="majorHAnsi" w:hAnsiTheme="majorHAnsi" w:cs="AdvOTc3272e35"/>
          <w:color w:val="32348F"/>
        </w:rPr>
        <w:t>2012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As the available body of literature suggests, there is unlikely to be a single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theoretical framework capable of fully explaining the dynamics of organizational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change and the role enactment of particular managerial levels within this complex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system. Instead, we can follow Merton (</w:t>
      </w:r>
      <w:r w:rsidRPr="004355D9">
        <w:rPr>
          <w:rFonts w:asciiTheme="majorHAnsi" w:hAnsiTheme="majorHAnsi" w:cs="AdvOTc3272e35"/>
          <w:color w:val="32348F"/>
        </w:rPr>
        <w:t>1957</w:t>
      </w:r>
      <w:r w:rsidRPr="004355D9">
        <w:rPr>
          <w:rFonts w:asciiTheme="majorHAnsi" w:hAnsiTheme="majorHAnsi" w:cs="AdvOTc3272e35"/>
          <w:color w:val="000000"/>
        </w:rPr>
        <w:t>) in looking for delimited theories of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middle range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that explain some focus phenomena, but remain relatively fixed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particular levels of analysis. Hannan, Polos, and Carroll (</w:t>
      </w:r>
      <w:r w:rsidRPr="004355D9">
        <w:rPr>
          <w:rFonts w:asciiTheme="majorHAnsi" w:hAnsiTheme="majorHAnsi" w:cs="AdvOTc3272e35"/>
          <w:color w:val="32348F"/>
        </w:rPr>
        <w:t>2007</w:t>
      </w:r>
      <w:r w:rsidRPr="004355D9">
        <w:rPr>
          <w:rFonts w:asciiTheme="majorHAnsi" w:hAnsiTheme="majorHAnsi" w:cs="AdvOTc3272e35"/>
          <w:color w:val="000000"/>
        </w:rPr>
        <w:t>) also follow this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approach and propose the metaphor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theory fragments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(p. 7) as a means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allowing new insights to develop rapidly within a field without addressing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formidable challenge of theoretical integration; yet being open and mindful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consistencies between theory fragments.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Theory fragments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are different from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fragmented or incoherent theories, because they recognize the pluralistic and overlapping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conceptual fabric on which social scientific knowledge is built, and how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theory can be coherent yet limited it is explanatory power. Rather than working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with a single middle range theory or trying to synthesize all theories into a metanarrative,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 notion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theory fragments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attempts to place together compatible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pieces of conceptual fabric and seam them in a constructive patchwork. In this paper,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 briefly draw on two theory fragments consistent with middle manager change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agency roles: structural inertia from the theory of organizational ecology and role-set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analysis from role theory.</w:t>
      </w:r>
    </w:p>
    <w:p w:rsidR="00EF72CB" w:rsidRPr="004355D9" w:rsidRDefault="00EF72CB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</w:p>
    <w:p w:rsidR="004355D9" w:rsidRPr="00EF72CB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EF72CB">
        <w:rPr>
          <w:rFonts w:asciiTheme="majorHAnsi" w:hAnsiTheme="majorHAnsi" w:cs="AdvOT9bd2e232.B"/>
          <w:b/>
          <w:color w:val="000000"/>
        </w:rPr>
        <w:t>Change, inertia and role enactment</w:t>
      </w:r>
    </w:p>
    <w:p w:rsidR="00EF72CB" w:rsidRDefault="00EF72CB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Organizational ecology is an influential tradition in organization theory which adapts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logic and methodology of biotic ecology to consider the diversity and dynamics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of organizational forms (Hannan and Freeman </w:t>
      </w:r>
      <w:r w:rsidRPr="004355D9">
        <w:rPr>
          <w:rFonts w:asciiTheme="majorHAnsi" w:hAnsiTheme="majorHAnsi" w:cs="AdvOTc3272e35"/>
          <w:color w:val="32348F"/>
        </w:rPr>
        <w:t>1989</w:t>
      </w:r>
      <w:r w:rsidRPr="004355D9">
        <w:rPr>
          <w:rFonts w:asciiTheme="majorHAnsi" w:hAnsiTheme="majorHAnsi" w:cs="AdvOTc3272e35"/>
          <w:color w:val="000000"/>
        </w:rPr>
        <w:t>). The distinctive approach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ecology is to treat the population level of organizations as the main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focus for causal explanation. This is in stark contrast to mainstream approaches in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 studies and public administration that consider change to be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rational adaptation of structures or processes to internal resource dependencies.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One of the main theory fragments of organizational ecology is the structural inertia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of organizational forms (Hannan and Freeman </w:t>
      </w:r>
      <w:r w:rsidRPr="004355D9">
        <w:rPr>
          <w:rFonts w:asciiTheme="majorHAnsi" w:hAnsiTheme="majorHAnsi" w:cs="AdvOTc3272e35"/>
          <w:color w:val="32348F"/>
        </w:rPr>
        <w:t>1984</w:t>
      </w:r>
      <w:r w:rsidRPr="004355D9">
        <w:rPr>
          <w:rFonts w:asciiTheme="majorHAnsi" w:hAnsiTheme="majorHAnsi" w:cs="AdvOTc3272e35"/>
          <w:color w:val="000000"/>
        </w:rPr>
        <w:t xml:space="preserve">). This is the view that for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wide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classes of organizations there are very strong inertial pressures on structure arising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from both </w:t>
      </w:r>
      <w:r w:rsidRPr="004355D9">
        <w:rPr>
          <w:rFonts w:asciiTheme="majorHAnsi" w:hAnsiTheme="majorHAnsi" w:cs="AdvOTc3272e35"/>
          <w:color w:val="000000"/>
        </w:rPr>
        <w:lastRenderedPageBreak/>
        <w:t>internal arrangements (for example, internal politics) and from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environment (for example, public legitimating of organizational activity)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(Hannan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Freeman </w:t>
      </w:r>
      <w:r w:rsidRPr="004355D9">
        <w:rPr>
          <w:rFonts w:asciiTheme="majorHAnsi" w:hAnsiTheme="majorHAnsi" w:cs="AdvOTc3272e35"/>
          <w:color w:val="32348F"/>
        </w:rPr>
        <w:t>1977</w:t>
      </w:r>
      <w:r w:rsidRPr="004355D9">
        <w:rPr>
          <w:rFonts w:asciiTheme="majorHAnsi" w:hAnsiTheme="majorHAnsi" w:cs="AdvOTc3272e35"/>
          <w:color w:val="000000"/>
        </w:rPr>
        <w:t>: 957). Organizational rigidity is often considered to be 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management problem in the literature on organizational change, but according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ecology, structural inertia is not prima facie a pathological trait.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Rather, inertia offers many benefits for collective action in organizations through its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ability to establish reliability and accountability (Hannan and Freeman </w:t>
      </w:r>
      <w:r w:rsidRPr="004355D9">
        <w:rPr>
          <w:rFonts w:asciiTheme="majorHAnsi" w:hAnsiTheme="majorHAnsi" w:cs="AdvOTc3272e35"/>
          <w:color w:val="32348F"/>
        </w:rPr>
        <w:t>1984</w:t>
      </w:r>
      <w:r w:rsidRPr="004355D9">
        <w:rPr>
          <w:rFonts w:asciiTheme="majorHAnsi" w:hAnsiTheme="majorHAnsi" w:cs="AdvOTc3272e35"/>
          <w:color w:val="000000"/>
        </w:rPr>
        <w:t>). Both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 these characteristics are central to the legitimacy and identity of public service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organizations. For example, patients of health care services are likely to value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reliable treatment outcomes over experimental variability. Reliable performance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requires consistency in organizational structure, including the structuring of managerial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roles. Any managerial attempts to change routines, procedures or behaviours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thus become time-consuming and risky. If managers are to become change agents,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they must obtain slack resources and combine these in novel ways, usually with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unpredictable results.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Hannan and Freeman (</w:t>
      </w:r>
      <w:r w:rsidRPr="004355D9">
        <w:rPr>
          <w:rFonts w:asciiTheme="majorHAnsi" w:hAnsiTheme="majorHAnsi" w:cs="AdvOTc3272e35"/>
          <w:color w:val="32348F"/>
        </w:rPr>
        <w:t>1984</w:t>
      </w:r>
      <w:r w:rsidRPr="004355D9">
        <w:rPr>
          <w:rFonts w:asciiTheme="majorHAnsi" w:hAnsiTheme="majorHAnsi" w:cs="AdvOTc3272e35"/>
          <w:color w:val="000000"/>
        </w:rPr>
        <w:t>) point out that the existence of strong inertial forces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does not mean that organizations never change. Instead, it means that organizations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respond relatively slowly to various threats and opportunities, such as government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regime change or demographic shifts in demands for services. However, Hannan 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Freeman (</w:t>
      </w:r>
      <w:r w:rsidRPr="004355D9">
        <w:rPr>
          <w:rFonts w:asciiTheme="majorHAnsi" w:hAnsiTheme="majorHAnsi" w:cs="AdvOTc3272e35"/>
          <w:color w:val="32348F"/>
        </w:rPr>
        <w:t>1984</w:t>
      </w:r>
      <w:r w:rsidRPr="004355D9">
        <w:rPr>
          <w:rFonts w:asciiTheme="majorHAnsi" w:hAnsiTheme="majorHAnsi" w:cs="AdvOTc3272e35"/>
          <w:color w:val="000000"/>
        </w:rPr>
        <w:t>) suggest that inertial pressures are much stronger than most theorists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change would acknowledge. The organizational ecology perspective has not been widely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considered in the management literature on change agency and receives only a passing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reference in the work of Floyd and Wooldridge (</w:t>
      </w:r>
      <w:r w:rsidRPr="004355D9">
        <w:rPr>
          <w:rFonts w:asciiTheme="majorHAnsi" w:hAnsiTheme="majorHAnsi" w:cs="AdvOTc3272e35"/>
          <w:color w:val="32348F"/>
        </w:rPr>
        <w:t>1997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A second relevant theory fragment is role-set analysis as part of attempts to develop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 substantive role theory. If organizational ecology starts at the population level 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works down, role theory starts with individual role incumbents and works up.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Following the earlier work of Linton (</w:t>
      </w:r>
      <w:r w:rsidRPr="004355D9">
        <w:rPr>
          <w:rFonts w:asciiTheme="majorHAnsi" w:hAnsiTheme="majorHAnsi" w:cs="AdvOTc3272e35"/>
          <w:color w:val="32348F"/>
        </w:rPr>
        <w:t>1936</w:t>
      </w:r>
      <w:r w:rsidRPr="004355D9">
        <w:rPr>
          <w:rFonts w:asciiTheme="majorHAnsi" w:hAnsiTheme="majorHAnsi" w:cs="AdvOTc3272e35"/>
          <w:color w:val="000000"/>
        </w:rPr>
        <w:t>) on social structure, the role set is defined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 complement of role-relationships in which persons are involved by virtue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occupying a particular social status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. (Merton </w:t>
      </w:r>
      <w:r w:rsidRPr="004355D9">
        <w:rPr>
          <w:rFonts w:asciiTheme="majorHAnsi" w:hAnsiTheme="majorHAnsi" w:cs="AdvOTc3272e35"/>
          <w:color w:val="32348F"/>
        </w:rPr>
        <w:t>1957</w:t>
      </w:r>
      <w:r w:rsidRPr="004355D9">
        <w:rPr>
          <w:rFonts w:asciiTheme="majorHAnsi" w:hAnsiTheme="majorHAnsi" w:cs="AdvOTc3272e35"/>
          <w:color w:val="000000"/>
        </w:rPr>
        <w:t>, p. 110). Merton recognized that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roles face competing expectations and demands from various other role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incumbents which serve to structure individual behaviour. He thought that large-scale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bureaucratic structures create relatively enduring role sets, which in turn encourage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stable role enactments. As intermediate intersecting structural positions, middle management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roles are likely to be saturated with role-set conflict, 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managers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even more so.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Role theory, as an attempt to explain the structuring of organizational roles, has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been criticized by practice theorists for its apparent inability to account for individual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agency. Mantere (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 xml:space="preserve">) suggests that individual managers are capable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transforming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these structural conditions through their agency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(p. 7). However, Mantere unfortunately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does not consider Merton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concept of role-set and his argument that role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incumbents are capable of transforming structural conditions does not help to explain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why the evidence suggests that this rarely occurs. For example, Mantere (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>)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reports, from his empirical research with middle managers,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 fear that unexpected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failures will be punished constrains agency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(p. 18).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The concepts of structural inertia and role-set are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theory fragments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which cannot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easily be unified as an underlying theory of organizational change. To unify them would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require detailed linking of variables between the micro-sociological context of individual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role-sets and the macro-sociological context of population dynamics. However, they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offer complementary theoretical propositions, which help us to explain why change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may (or may not) occur in public service organizations. Both theories recognize middle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as contested role incumbents embedded in highly complex webs of structural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relationships that constrain their room for </w:t>
      </w:r>
      <w:r w:rsidRPr="004355D9">
        <w:rPr>
          <w:rFonts w:asciiTheme="majorHAnsi" w:hAnsiTheme="majorHAnsi" w:cs="AdvOTc3272e35"/>
          <w:color w:val="000000"/>
        </w:rPr>
        <w:lastRenderedPageBreak/>
        <w:t>manoeuvre. The two fragments together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provide both an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upward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micro-explanation and a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downward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macro-explanation that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would be missing when using one of the perspectives alone. Together they can provide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 foundation for more specific conceptual development around the role of middle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as change agents.</w:t>
      </w:r>
    </w:p>
    <w:p w:rsidR="00EF72CB" w:rsidRDefault="00EF72CB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EF72CB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EF72CB">
        <w:rPr>
          <w:rFonts w:asciiTheme="majorHAnsi" w:hAnsiTheme="majorHAnsi" w:cs="AdvOT9bd2e232.B"/>
          <w:b/>
          <w:color w:val="000000"/>
        </w:rPr>
        <w:t>Three types of change agent</w:t>
      </w:r>
    </w:p>
    <w:p w:rsidR="00EF72CB" w:rsidRDefault="00EF72CB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This section moves the discussion on by providing more explicit theoretical propositions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about middle 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roles by articulating archetypal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agency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roles that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could be enacted within public services. Role archetypes can be seen as distilled role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definitions which reflect theoretically derived role-set formations. The fairly limited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available empirical work suggests three predominant, and often conflicting, role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performances that middle managers play 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agents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within public service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reform: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entrepreneurial leader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,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government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and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diplomat administrator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 examine each of these in turn.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In policy rhetoric, the most pervasive role demanded of middle managers under new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managerialism has been that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entrepreneurial leader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the requirement to adopt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techniques and practices of private sector counterparts in order to lead in the delivery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innovative public services and culture change (Currie et al. 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>). This role is founded 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 belief in the success of public sector leadership to achieve a genuine decentralization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public services delivery, allowing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leaders to lead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managers to manage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by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implementing local solutions (Goldfinch and Wallis </w:t>
      </w:r>
      <w:r w:rsidRPr="004355D9">
        <w:rPr>
          <w:rFonts w:asciiTheme="majorHAnsi" w:hAnsiTheme="majorHAnsi" w:cs="AdvOTc3272e35"/>
          <w:color w:val="32348F"/>
        </w:rPr>
        <w:t>2010</w:t>
      </w:r>
      <w:r w:rsidRPr="004355D9">
        <w:rPr>
          <w:rFonts w:asciiTheme="majorHAnsi" w:hAnsiTheme="majorHAnsi" w:cs="AdvOTc3272e35"/>
          <w:color w:val="000000"/>
        </w:rPr>
        <w:t xml:space="preserve">). Under New Labour,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managerialism</w:t>
      </w:r>
      <w:r w:rsidRPr="004355D9">
        <w:rPr>
          <w:rFonts w:asciiTheme="majorHAnsi" w:hAnsiTheme="majorHAnsi" w:cs="AdvOTc3272e35+20"/>
          <w:color w:val="000000"/>
        </w:rPr>
        <w:t>’</w:t>
      </w:r>
      <w:r w:rsidR="00EF72CB">
        <w:rPr>
          <w:rFonts w:asciiTheme="majorHAnsi" w:hAnsiTheme="majorHAnsi" w:cs="AdvOTc3272e35+20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evolved somewhat towards a wider ideology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leaderism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which encompassed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notions of culture management and entrepreneurialism, radicalizing the nature and focus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 organizational change (O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Reilly and Reed </w:t>
      </w:r>
      <w:r w:rsidRPr="004355D9">
        <w:rPr>
          <w:rFonts w:asciiTheme="majorHAnsi" w:hAnsiTheme="majorHAnsi" w:cs="AdvOTc3272e35"/>
          <w:color w:val="32348F"/>
        </w:rPr>
        <w:t>2010</w:t>
      </w:r>
      <w:r w:rsidRPr="004355D9">
        <w:rPr>
          <w:rFonts w:asciiTheme="majorHAnsi" w:hAnsiTheme="majorHAnsi" w:cs="AdvOTc3272e35"/>
          <w:color w:val="000000"/>
        </w:rPr>
        <w:t>). This role archetype is consistent with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dimensions of Floyd and Wooldridge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(</w:t>
      </w:r>
      <w:r w:rsidRPr="004355D9">
        <w:rPr>
          <w:rFonts w:asciiTheme="majorHAnsi" w:hAnsiTheme="majorHAnsi" w:cs="AdvOTc3272e35"/>
          <w:color w:val="32348F"/>
        </w:rPr>
        <w:t>1994</w:t>
      </w:r>
      <w:r w:rsidRPr="004355D9">
        <w:rPr>
          <w:rFonts w:asciiTheme="majorHAnsi" w:hAnsiTheme="majorHAnsi" w:cs="AdvOTc3272e35"/>
          <w:color w:val="000000"/>
        </w:rPr>
        <w:t>) typology that sets out important roles for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middle managers in implementing deliberate strategy, synthesizing information, facilitating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adaptability and championing innovative ideas and opportunities.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The second change agent role for middle managers is that of a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government agent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responsible for aligning and adapting central government policy to local situations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(Hood </w:t>
      </w:r>
      <w:r w:rsidRPr="004355D9">
        <w:rPr>
          <w:rFonts w:asciiTheme="majorHAnsi" w:hAnsiTheme="majorHAnsi" w:cs="AdvOTc3272e35"/>
          <w:color w:val="32348F"/>
        </w:rPr>
        <w:t>1991</w:t>
      </w:r>
      <w:r w:rsidRPr="004355D9">
        <w:rPr>
          <w:rFonts w:asciiTheme="majorHAnsi" w:hAnsiTheme="majorHAnsi" w:cs="AdvOTc3272e35"/>
          <w:color w:val="000000"/>
        </w:rPr>
        <w:t>), and accountable for achieving and monitoring performance against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centrally driven targets (Power </w:t>
      </w:r>
      <w:r w:rsidRPr="004355D9">
        <w:rPr>
          <w:rFonts w:asciiTheme="majorHAnsi" w:hAnsiTheme="majorHAnsi" w:cs="AdvOTc3272e35"/>
          <w:color w:val="32348F"/>
        </w:rPr>
        <w:t>1997</w:t>
      </w:r>
      <w:r w:rsidRPr="004355D9">
        <w:rPr>
          <w:rFonts w:asciiTheme="majorHAnsi" w:hAnsiTheme="majorHAnsi" w:cs="AdvOTc3272e35"/>
          <w:color w:val="000000"/>
        </w:rPr>
        <w:t>). Tasked with policy implementation, the scope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 change agency in this role type is limited, and line managers themselves become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subject to close performance monitoring with a focus squarely on the enactment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government policy, rather than local entrepreneurial strategies or leadership transformation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(Thursfield 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 xml:space="preserve">). Several studies have shown that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government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is an enduring one for public sector line managers (Currie and Procter </w:t>
      </w:r>
      <w:r w:rsidRPr="004355D9">
        <w:rPr>
          <w:rFonts w:asciiTheme="majorHAnsi" w:hAnsiTheme="majorHAnsi" w:cs="AdvOTc3272e35"/>
          <w:color w:val="32348F"/>
        </w:rPr>
        <w:t>2005</w:t>
      </w:r>
      <w:r w:rsidRPr="004355D9">
        <w:rPr>
          <w:rFonts w:asciiTheme="majorHAnsi" w:hAnsiTheme="majorHAnsi" w:cs="AdvOTc3272e35"/>
          <w:color w:val="000000"/>
        </w:rPr>
        <w:t>),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particularly since external relationships with central government departments have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been shown to be vital for many line managers as part of monitoring and reporting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mechanisms.</w:t>
      </w:r>
    </w:p>
    <w:p w:rsid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A third potential role for line managers is that of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diplomat administrator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negotiating the boundary between managerial imperatives, on the one hand, and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demands and needs of professional elites, on the other (Harrison and Pollitt </w:t>
      </w:r>
      <w:r w:rsidRPr="004355D9">
        <w:rPr>
          <w:rFonts w:asciiTheme="majorHAnsi" w:hAnsiTheme="majorHAnsi" w:cs="AdvOTc3272e35"/>
          <w:color w:val="32348F"/>
        </w:rPr>
        <w:t>1994</w:t>
      </w:r>
      <w:r w:rsidRPr="004355D9">
        <w:rPr>
          <w:rFonts w:asciiTheme="majorHAnsi" w:hAnsiTheme="majorHAnsi" w:cs="AdvOTc3272e35"/>
          <w:color w:val="000000"/>
        </w:rPr>
        <w:t>).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Under new managerialism, the trend has supposedly been towards the empowerment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 line managers and the wrestling of power away from professional groups. However,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 a study of social services, housing and hospitals, Ackroyd, Kirkpatrick, and Walker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="00F803BF" w:rsidRPr="004355D9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(</w:t>
      </w:r>
      <w:r w:rsidRPr="004355D9">
        <w:rPr>
          <w:rFonts w:asciiTheme="majorHAnsi" w:hAnsiTheme="majorHAnsi" w:cs="AdvOTc3272e35"/>
          <w:color w:val="32348F"/>
        </w:rPr>
        <w:t>2007</w:t>
      </w:r>
      <w:r w:rsidRPr="004355D9">
        <w:rPr>
          <w:rFonts w:asciiTheme="majorHAnsi" w:hAnsiTheme="majorHAnsi" w:cs="AdvOTc3272e35"/>
          <w:color w:val="000000"/>
        </w:rPr>
        <w:t>) show that outcomes vary across sectors, and are not necessarily directly linked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with the level of investment in reform. The values and working practices of dominant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professional groups can become entrenched and a shift towards managerial prerogatives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priorities is difficult to achieve in the face of what is sometimes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overt antagonism</w:t>
      </w:r>
      <w:r w:rsidRPr="004355D9">
        <w:rPr>
          <w:rFonts w:asciiTheme="majorHAnsi" w:hAnsiTheme="majorHAnsi" w:cs="AdvOTc3272e35+20"/>
          <w:color w:val="000000"/>
        </w:rPr>
        <w:t>’</w:t>
      </w:r>
      <w:r w:rsidR="00EF72CB">
        <w:rPr>
          <w:rFonts w:asciiTheme="majorHAnsi" w:hAnsiTheme="majorHAnsi" w:cs="AdvOTc3272e35+20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towards managerialism (Syrett, Jones, and Sercombe </w:t>
      </w:r>
      <w:r w:rsidRPr="004355D9">
        <w:rPr>
          <w:rFonts w:asciiTheme="majorHAnsi" w:hAnsiTheme="majorHAnsi" w:cs="AdvOTc3272e35"/>
          <w:color w:val="32348F"/>
        </w:rPr>
        <w:t>1997</w:t>
      </w:r>
      <w:r w:rsidRPr="004355D9">
        <w:rPr>
          <w:rFonts w:asciiTheme="majorHAnsi" w:hAnsiTheme="majorHAnsi" w:cs="AdvOTc3272e35"/>
          <w:color w:val="000000"/>
        </w:rPr>
        <w:t xml:space="preserve">, p. </w:t>
      </w:r>
      <w:r w:rsidRPr="004355D9">
        <w:rPr>
          <w:rFonts w:asciiTheme="majorHAnsi" w:hAnsiTheme="majorHAnsi" w:cs="AdvOTc3272e35"/>
          <w:color w:val="000000"/>
        </w:rPr>
        <w:lastRenderedPageBreak/>
        <w:t>160).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It is unclear from available empirical evidence the extent to which these role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archetypes are being enacted by middle managers in contemporary public services.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Despite a stream of policy rhetoric under New Labour proselytizing a more dynamic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responsive public sector, there is very little evidence to suggest that any significant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changes to organizational structures and managerial practice have occurred.</w:t>
      </w:r>
      <w:r w:rsidR="00EF72CB">
        <w:rPr>
          <w:rFonts w:asciiTheme="majorHAnsi" w:hAnsiTheme="majorHAnsi" w:cs="AdvOTc3272e35"/>
          <w:color w:val="000000"/>
        </w:rPr>
        <w:t xml:space="preserve"> </w:t>
      </w:r>
    </w:p>
    <w:p w:rsidR="00EF72CB" w:rsidRPr="004355D9" w:rsidRDefault="00EF72CB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RESEARCH DESIGN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In order to explore the potential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 of middle managers in contemporary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public service organizations, we undertook case study research in three parts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UK public sector: the NHS (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AcuteTrust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), local government (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LocalGov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) 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central government (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GovDep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). These organizations had volunteered to be part of 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research project involving case studies of both public and private sector organizations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investigate organizational change and manager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employee work experiences. They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constitute a convenience sample, although their typicality was ascertained in terms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descriptive statistical indicators of service provision, organizational structure, workforce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size and performance measures within their respective sectors. This paper presented an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opportunity to explore in more detail the specific debates within public management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pertaining to organizational change and management role experiences.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Sixty-one interviews were conducted (twenty-one at LocalGov and twenty at both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GovDep and AcuteTrust) during 2008. Participants included line managers from various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functions, senior managers, HR managers, accountants, clinicians (at AcuteTrust), professional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support staff. Many professional or specialist interviewees also had some line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management responsibility in a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form, and for the purpose of this study, we include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practitioner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managers occupying intermediate structural positions as bona fide middle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with the potential for change agency roles. In total, forty-four middle-level line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at the second or third rung of the hierarchy with general management responsibility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were interviewed. Interviewees were selected by their respective HR departments.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Similar to other studies looking into the role of middle managers (e.g. Conway and Monks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32348F"/>
        </w:rPr>
        <w:t>2011</w:t>
      </w:r>
      <w:r w:rsidRPr="004355D9">
        <w:rPr>
          <w:rFonts w:asciiTheme="majorHAnsi" w:hAnsiTheme="majorHAnsi" w:cs="AdvOTc3272e35"/>
          <w:color w:val="000000"/>
        </w:rPr>
        <w:t>), we focus mainly on the views of middle managers themselves, although reference is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also made to the opinions of other informants including senior managers, HR managers,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accountants and support staff. This comparative analysis illuminates how the role of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middle manager is played out in practice in relation to other organizational actors.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Following other authors, we do not discriminate theoretically between second and third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line managers (Mantere 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 xml:space="preserve">; Currie and Procter </w:t>
      </w:r>
      <w:r w:rsidRPr="004355D9">
        <w:rPr>
          <w:rFonts w:asciiTheme="majorHAnsi" w:hAnsiTheme="majorHAnsi" w:cs="AdvOTc3272e35"/>
          <w:color w:val="32348F"/>
        </w:rPr>
        <w:t>2005</w:t>
      </w:r>
      <w:r w:rsidRPr="004355D9">
        <w:rPr>
          <w:rFonts w:asciiTheme="majorHAnsi" w:hAnsiTheme="majorHAnsi" w:cs="AdvOTc3272e35"/>
          <w:color w:val="000000"/>
        </w:rPr>
        <w:t>). Following earlier comments, we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also do not distinguish empirically between business managers and hybrid practitioner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managers, as both types of roles have the potential for change agency. Instead, we adopt 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more general conception of middle-level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line 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as a distinct cadre of employees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with potential responsibility for a wide range of tasks, including, but not limited to,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operational control and supervision, resource allocation, business planning and strategy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formulation, performance management, cross-department communication and knowledge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sharing, managing change initiatives and people management. Although there is likely to be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some difference in emphasis between operational and strategic matters at the second-lines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 third-lines, the roles share many common features at the interface between centre 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periphery of the organization and for our study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roles can therefore be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feasibly considered together.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In order to explore the enactment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roles by line managers,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interviews were in-depth, semi-structured and focused primarily upon managers</w:t>
      </w:r>
      <w:r w:rsidRPr="004355D9">
        <w:rPr>
          <w:rFonts w:asciiTheme="majorHAnsi" w:hAnsiTheme="majorHAnsi" w:cs="AdvOTc3272e35+20"/>
          <w:color w:val="000000"/>
        </w:rPr>
        <w:t>’</w:t>
      </w:r>
      <w:r w:rsidR="00EF72CB">
        <w:rPr>
          <w:rFonts w:asciiTheme="majorHAnsi" w:hAnsiTheme="majorHAnsi" w:cs="AdvOTc3272e35+20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experiences of their role and of recent changes, their views of government reforms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experiences of </w:t>
      </w:r>
      <w:r w:rsidRPr="004355D9">
        <w:rPr>
          <w:rFonts w:asciiTheme="majorHAnsi" w:hAnsiTheme="majorHAnsi" w:cs="AdvOTc3272e35"/>
          <w:color w:val="000000"/>
        </w:rPr>
        <w:lastRenderedPageBreak/>
        <w:t>implementing these, and the general working environment.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Interviews with other organizational actors focused on their personal experiences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change, and the roles played by themselves and middle managers. Secondary documentation,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including policies, departmental reports and performance data were also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collected. All interviews were digitally recorded and transcribed. Analysis of the data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took place in three stages. First, middle manager role definitions and role demands/expectations from role senders and role incumbents were coded. Second, the data was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coded for broader institutional constraints on the role as change agent, including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considerations of government policy, audit inspection and sector pressures. Third,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two sets of codes were consolidated for the three cases in an iterative fashion, moving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between the data and theory. The emerging themes were based on comparative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reduction of intra- and inter-case analysis (Eisenhardt </w:t>
      </w:r>
      <w:r w:rsidRPr="004355D9">
        <w:rPr>
          <w:rFonts w:asciiTheme="majorHAnsi" w:hAnsiTheme="majorHAnsi" w:cs="AdvOTc3272e35"/>
          <w:color w:val="32348F"/>
        </w:rPr>
        <w:t>1989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EF72CB" w:rsidRDefault="00EF72CB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Case studies</w:t>
      </w:r>
    </w:p>
    <w:p w:rsidR="00FA4732" w:rsidRP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i/>
          <w:color w:val="000000"/>
        </w:rPr>
      </w:pPr>
      <w:r w:rsidRPr="00FA4732">
        <w:rPr>
          <w:rFonts w:asciiTheme="majorHAnsi" w:hAnsiTheme="majorHAnsi" w:cs="AdvOT30a32c65"/>
          <w:i/>
          <w:color w:val="000000"/>
        </w:rPr>
        <w:t xml:space="preserve">Local government </w:t>
      </w:r>
      <w:r w:rsidRPr="00FA4732">
        <w:rPr>
          <w:rFonts w:asciiTheme="majorHAnsi" w:hAnsiTheme="majorHAnsi" w:cs="AdvOT30a32c65+20"/>
          <w:i/>
          <w:color w:val="000000"/>
        </w:rPr>
        <w:t xml:space="preserve">– </w:t>
      </w:r>
      <w:r w:rsidRPr="00FA4732">
        <w:rPr>
          <w:rFonts w:asciiTheme="majorHAnsi" w:hAnsiTheme="majorHAnsi" w:cs="AdvOT30a32c65"/>
          <w:i/>
          <w:color w:val="000000"/>
        </w:rPr>
        <w:t>LocalGov</w:t>
      </w:r>
    </w:p>
    <w:p w:rsid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During New Labour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tenure as the UK Government, centre-led local government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policies were overtly aimed at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radical refocusing of councils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traditional roles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designed to replace bureaucratic structures and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culture of paternalism and inwardness</w:t>
      </w:r>
      <w:r w:rsidRPr="004355D9">
        <w:rPr>
          <w:rFonts w:asciiTheme="majorHAnsi" w:hAnsiTheme="majorHAnsi" w:cs="AdvOTc3272e35+20"/>
          <w:color w:val="000000"/>
        </w:rPr>
        <w:t>’</w:t>
      </w:r>
      <w:r w:rsidR="00EF72CB">
        <w:rPr>
          <w:rFonts w:asciiTheme="majorHAnsi" w:hAnsiTheme="majorHAnsi" w:cs="AdvOTc3272e35+20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(Department of the Environment, Transport and the Regions </w:t>
      </w:r>
      <w:r w:rsidRPr="004355D9">
        <w:rPr>
          <w:rFonts w:asciiTheme="majorHAnsi" w:hAnsiTheme="majorHAnsi" w:cs="AdvOTc3272e35"/>
          <w:color w:val="32348F"/>
        </w:rPr>
        <w:t>1998</w:t>
      </w:r>
      <w:r w:rsidRPr="004355D9">
        <w:rPr>
          <w:rFonts w:asciiTheme="majorHAnsi" w:hAnsiTheme="majorHAnsi" w:cs="AdvOTc3272e35"/>
          <w:color w:val="000000"/>
        </w:rPr>
        <w:t>, pp. 5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8). 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headline reform in Labour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first term was the Best Value (BV) regime, which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encouraged local authorities to regularly review their services and make continuous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improvements. In England, BV was replaced by the Comprehensive Performance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Assessment (CPA) during 2002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 xml:space="preserve">2003. This extended BV by providing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a framework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 continuous improvement in the quality of local government services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(DTLR </w:t>
      </w:r>
      <w:r w:rsidRPr="004355D9">
        <w:rPr>
          <w:rFonts w:asciiTheme="majorHAnsi" w:hAnsiTheme="majorHAnsi" w:cs="AdvOTc3272e35"/>
          <w:color w:val="32348F"/>
        </w:rPr>
        <w:t>2001</w:t>
      </w:r>
      <w:r w:rsidRPr="004355D9">
        <w:rPr>
          <w:rFonts w:asciiTheme="majorHAnsi" w:hAnsiTheme="majorHAnsi" w:cs="AdvOTc3272e35"/>
          <w:color w:val="000000"/>
        </w:rPr>
        <w:t>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p. 23). Although these reforms did not prescribe in detail how local authorities should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organize themselves, nor specify accountabilities, it might reasonably be conjectured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that middle 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formal responsibility for the coordination and delivery of frontline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services would imply a strengthening of their role.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Our case study organization, LocalGov, is a large local authority in England. Services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are managed within ten geographic constituencies. In collaboration with the community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local strategic partners, LocalGov has developed a strategic vision for the city.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council has undergone significant change and restructuring in recent years. Following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Single Status Agreement in 1997, all council pay scales were unified. LocalGov had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only recently implemented these changes across the council, with varied outcomes for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staff groups. In 2006, internal employee surveys indicated that employees felt disempowered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demotivated. In response, LocalGov became keenly interested in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employee involvement and decided to initiate a programme of improvement based 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 new set of organizational values. The council launched a new leadership development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programme for managers and staff geared towards a more participative approach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change. Middle-level line managers were expected to</w:t>
      </w:r>
      <w:r w:rsidR="00EF72CB">
        <w:rPr>
          <w:rFonts w:asciiTheme="majorHAnsi" w:hAnsiTheme="majorHAnsi" w:cs="AdvOTc3272e35"/>
          <w:color w:val="000000"/>
        </w:rPr>
        <w:t xml:space="preserve">  s</w:t>
      </w:r>
      <w:r w:rsidRPr="004355D9">
        <w:rPr>
          <w:rFonts w:asciiTheme="majorHAnsi" w:hAnsiTheme="majorHAnsi" w:cs="AdvOTc3272e35"/>
          <w:color w:val="000000"/>
        </w:rPr>
        <w:t>upport this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programme.</w:t>
      </w:r>
    </w:p>
    <w:p w:rsid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i/>
          <w:color w:val="000000"/>
        </w:rPr>
      </w:pPr>
      <w:r w:rsidRPr="00FA4732">
        <w:rPr>
          <w:rFonts w:asciiTheme="majorHAnsi" w:hAnsiTheme="majorHAnsi" w:cs="AdvOT30a32c65"/>
          <w:i/>
          <w:color w:val="000000"/>
        </w:rPr>
        <w:t xml:space="preserve">National Health Service </w:t>
      </w:r>
      <w:r w:rsidRPr="00FA4732">
        <w:rPr>
          <w:rFonts w:asciiTheme="majorHAnsi" w:hAnsiTheme="majorHAnsi" w:cs="AdvOT30a32c65+20"/>
          <w:i/>
          <w:color w:val="000000"/>
        </w:rPr>
        <w:t xml:space="preserve">– </w:t>
      </w:r>
      <w:r w:rsidRPr="00FA4732">
        <w:rPr>
          <w:rFonts w:asciiTheme="majorHAnsi" w:hAnsiTheme="majorHAnsi" w:cs="AdvOT30a32c65"/>
          <w:i/>
          <w:color w:val="000000"/>
        </w:rPr>
        <w:t>AcuteTrust</w:t>
      </w:r>
    </w:p>
    <w:p w:rsid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NHS was subject to ambitious organizational reforms during the 2000s, many of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which appeared to signal a new role for management. The NHS Plan (DoH </w:t>
      </w:r>
      <w:r w:rsidRPr="004355D9">
        <w:rPr>
          <w:rFonts w:asciiTheme="majorHAnsi" w:hAnsiTheme="majorHAnsi" w:cs="AdvOTc3272e35"/>
          <w:color w:val="32348F"/>
        </w:rPr>
        <w:t>2000</w:t>
      </w:r>
      <w:r w:rsidRPr="004355D9">
        <w:rPr>
          <w:rFonts w:asciiTheme="majorHAnsi" w:hAnsiTheme="majorHAnsi" w:cs="AdvOTc3272e35"/>
          <w:color w:val="000000"/>
        </w:rPr>
        <w:t>) set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out New Labour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ideas for improving the health service. This emphasized centralized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targets for waiting times, referrals and, later, infection control. Quality became an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important aspect of NHS reform, </w:t>
      </w:r>
      <w:r w:rsidRPr="004355D9">
        <w:rPr>
          <w:rFonts w:asciiTheme="majorHAnsi" w:hAnsiTheme="majorHAnsi" w:cs="AdvOTc3272e35"/>
          <w:color w:val="000000"/>
        </w:rPr>
        <w:lastRenderedPageBreak/>
        <w:t>particularly through the notion of clinical governance,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evidence-based medicine and the creation of new external regulators. Decentralization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was also a common component of the government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rhetoric on improving health care.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Pushing control and responsibility to local organizational units as a continuation of post-Griffiths reforms was said to foster a more competitive and innovative service environment.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However, the emphasis on targets retained an important role for central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government as arbiters of service performance. Furthermore, the work of national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bodies such as the National Institute for Health and Clinical Excellence (NICE) means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scope for local decision-making has often been curtailed.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AcuteTrust is an NHS foundation trust based in the north of England. It is a large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hospital with 4,500 staff providing acute health care to a population of over 300,000.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During the fieldwork, the hospital had 860 inpatient and 105 day care beds. The trust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services are organized into fifteen clinical business units, grouped by three main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divisions: medicine and emergency, surgery, and support services. Foundation Trust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status means the organization has increased independence from government regulation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can reinvest any surpluses back into improving service delivery. According to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measures at the Department of Health, the Trust was performing well, having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delivered the 18-week waiting list targets and cancer targets. As part of a costreduction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programme, the organization underwent a restructure in 2007 when all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general managers were asked to reapply for their jobs. Around 3 per cent of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workforce is classed as management. The largest group is that of the general middle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managers, called clinical business managers (CBM), who work alongside clinicians and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finance to drive change and manage the operations of each clinical unit.</w:t>
      </w:r>
    </w:p>
    <w:p w:rsid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i/>
          <w:color w:val="000000"/>
        </w:rPr>
      </w:pPr>
      <w:r w:rsidRPr="00FA4732">
        <w:rPr>
          <w:rFonts w:asciiTheme="majorHAnsi" w:hAnsiTheme="majorHAnsi" w:cs="AdvOT30a32c65"/>
          <w:i/>
          <w:color w:val="000000"/>
        </w:rPr>
        <w:t xml:space="preserve">Civil Service </w:t>
      </w:r>
      <w:r w:rsidRPr="00FA4732">
        <w:rPr>
          <w:rFonts w:asciiTheme="majorHAnsi" w:hAnsiTheme="majorHAnsi" w:cs="AdvOT30a32c65+20"/>
          <w:i/>
          <w:color w:val="000000"/>
        </w:rPr>
        <w:t xml:space="preserve">– </w:t>
      </w:r>
      <w:r w:rsidRPr="00FA4732">
        <w:rPr>
          <w:rFonts w:asciiTheme="majorHAnsi" w:hAnsiTheme="majorHAnsi" w:cs="AdvOT30a32c65"/>
          <w:i/>
          <w:color w:val="000000"/>
        </w:rPr>
        <w:t>GovDep</w:t>
      </w:r>
    </w:p>
    <w:p w:rsidR="00FA4732" w:rsidRDefault="00FA4732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UK civil service has also experienced its own reforms. Bovaird and Russell (</w:t>
      </w:r>
      <w:r w:rsidRPr="004355D9">
        <w:rPr>
          <w:rFonts w:asciiTheme="majorHAnsi" w:hAnsiTheme="majorHAnsi" w:cs="AdvOTc3272e35"/>
          <w:color w:val="32348F"/>
        </w:rPr>
        <w:t>2007</w:t>
      </w:r>
      <w:r w:rsidRPr="004355D9">
        <w:rPr>
          <w:rFonts w:asciiTheme="majorHAnsi" w:hAnsiTheme="majorHAnsi" w:cs="AdvOTc3272e35"/>
          <w:color w:val="000000"/>
        </w:rPr>
        <w:t>)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reviewed the Civil Service Reform (CSR) programme during New Labour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first term,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suggested that, in contrast to the local government reforms of BV and CPA,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aim was to achieve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step change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rather than continuous improvement. There are also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themes common to the other public services, such as responsiveness to public need,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resource usage 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quality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issues. Prior research on managers within the civil service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has suggested that central government control continued to prevail despite some minor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local flexibility (Bovaird and Russell </w:t>
      </w:r>
      <w:r w:rsidRPr="004355D9">
        <w:rPr>
          <w:rFonts w:asciiTheme="majorHAnsi" w:hAnsiTheme="majorHAnsi" w:cs="AdvOTc3272e35"/>
          <w:color w:val="32348F"/>
        </w:rPr>
        <w:t>2007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Pr="004355D9" w:rsidRDefault="004355D9" w:rsidP="00EF72CB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GovDep is a large central government department covering several customer-facing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business areas. We studied one of the larger agencies within the department.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agency has offices in various locations across England, including the south-east,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midlands and the north. The agency has over 16,000 employees and its services are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used by around 15 million UK citizens. It has recently undergone considerable change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as a result of a merger between two previously separate business units. This led to a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new management structure and around 1,000 job cuts. Like many areas of the civil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service, there is an efficiency drive with an overall reduction in financial allocation in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short and medium terms. There is standardization of management grades across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agency, including line manager posts, Executive Officer (EO) and Higher Executive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Officer (HEO), the middle manager Senior Executive Officer (SEO) and the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more</w:t>
      </w:r>
      <w:r w:rsidR="00EF72CB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senior management post, Grade 7.</w:t>
      </w: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Pr="004355D9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lastRenderedPageBreak/>
        <w:t>FINDINGS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Entrepreneurial leader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As described earlier, the entrepreneurial leader is the dominant role prescribed in New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Labour policy rhetoric across the major public services. The interviews yielded little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evidence of middle managers enacting such a role. The closest example was at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AcuteTrust, where managers were involved in developing proposals for increasing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service capacity and integrating a range of service activities within the auspices of a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process of business and financial planning referred to 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business cases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 One line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 explained:</w:t>
      </w:r>
    </w:p>
    <w:p w:rsidR="00EC35A6" w:rsidRPr="004355D9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>The main project I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m working on at the present is part of a reformation of the surgical</w:t>
      </w:r>
      <w:r w:rsidR="00EC35A6">
        <w:rPr>
          <w:rFonts w:asciiTheme="majorHAnsi" w:hAnsiTheme="majorHAnsi" w:cs="AdvOT30a32c65"/>
          <w:color w:val="000000"/>
        </w:rPr>
        <w:t xml:space="preserve">  </w:t>
      </w:r>
      <w:r w:rsidRPr="004355D9">
        <w:rPr>
          <w:rFonts w:asciiTheme="majorHAnsi" w:hAnsiTheme="majorHAnsi" w:cs="AdvOT30a32c65"/>
          <w:color w:val="000000"/>
        </w:rPr>
        <w:t>division where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 xml:space="preserve">the number of beds is [being] reduced by twenty-three. </w:t>
      </w:r>
      <w:r w:rsidRPr="004355D9">
        <w:rPr>
          <w:rFonts w:asciiTheme="majorHAnsi" w:hAnsiTheme="majorHAnsi" w:cs="AdvOT30a32c65+20"/>
          <w:color w:val="000000"/>
        </w:rPr>
        <w:t>…</w:t>
      </w:r>
      <w:r w:rsidRPr="004355D9">
        <w:rPr>
          <w:rFonts w:asciiTheme="majorHAnsi" w:hAnsiTheme="majorHAnsi" w:cs="AdvOT30a32c65"/>
          <w:color w:val="000000"/>
        </w:rPr>
        <w:t>So there are a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lot of difficult issues that we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 xml:space="preserve">have to look after </w:t>
      </w:r>
      <w:r w:rsidRPr="004355D9">
        <w:rPr>
          <w:rFonts w:asciiTheme="majorHAnsi" w:hAnsiTheme="majorHAnsi" w:cs="AdvOT30a32c65+20"/>
          <w:color w:val="000000"/>
        </w:rPr>
        <w:t xml:space="preserve">… </w:t>
      </w:r>
      <w:r w:rsidRPr="004355D9">
        <w:rPr>
          <w:rFonts w:asciiTheme="majorHAnsi" w:hAnsiTheme="majorHAnsi" w:cs="AdvOT30a32c65"/>
          <w:color w:val="000000"/>
        </w:rPr>
        <w:t>and that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really my priority at present.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However, even in these instances, the primary focus for middle management was on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day-to-day operational issues. These included such matters as managing capacity within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AcuteTrust, and managing services within LocalGov and GovDep. In the words of one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line manager within GovDep,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people are just busy churning out the work, and there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isn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t always time for improvements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second area of focus for middle managers was on implementing an increasing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array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private sector-style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initiatives developed by senior managers, often in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consultation with external consultants, but in the development, they themselves had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little or no say. In the majority of cases, middle managers opposed the planned changes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as irrelevant, inappropriate or unhelpful, and yet were expected not only to help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implement the changes, but also to secure staff buy-in. For example, at AcuteTrust, a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large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lean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project was being rolled out across the hospital in order to improve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flow of clinical ward processes. Middle managers were responsible for implementing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re-engineering solutions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proposed by senior managers, the HR department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management consultants. Several middle-level line managers described these changes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as difficult to keep pace with,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confusing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frustrating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due to the rapidity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complexity of the suggested reforms. At GovDep, pressure from the centre to involve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staff and ask them to participate in improvement programmes via suggestion schemes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was felt to be too far removed from local concerns and perceived as irrelevant by both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managers, who were expected to implement the scheme, and by staff. Here too, efforts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to introduce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lean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processes, led by external consultants, were perceived by some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managers 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not a particularly pleasant experience for anybody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and a means to reduce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rather than enhance the authority of middle managers and remove them from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decision-making process.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In LocalGov, where a raft of private sector-style change initiatives was also being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implemented, the lead was again taken by senior managers and HR professionals. One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example was a large-scale employee engagement programme which intentionally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bypassed the middle levels of the hierarchy and appealed to staff directly. Views on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scheme appeared divided, with some welcoming the workshops as very positive,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others being more cautious and cynical. Many talked of the excessive amount of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time and effort that had been expended.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In all three organizations, middle managers appeared to feel overwhelmed by change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improvement initiatives; as one HR Manager in GovDep commented, the organization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was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absolutely awash with them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 However, the scope for middle managers to do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much more than simply acquiesce and attempt, in some way, to implement these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initiatives was virtually non-</w:t>
      </w:r>
      <w:r w:rsidRPr="004355D9">
        <w:rPr>
          <w:rFonts w:asciiTheme="majorHAnsi" w:hAnsiTheme="majorHAnsi" w:cs="AdvOTc3272e35"/>
          <w:color w:val="000000"/>
        </w:rPr>
        <w:lastRenderedPageBreak/>
        <w:t>existent. It was also evident from interviews with senior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and HR professionals that their perception was that middle managers often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lacked the necessary strategic insight and technical competencies to be entrusted with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 role of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entrepreneurial leader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 Middle managers were aware of this and one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clinical business manager within AcuteTrust recalled the Chief Executive stating that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many middle-level line managers lacked the financial skills to write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 effective business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case, skills that this manager agreed she probably did lack. Similarly, within GovDep,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senior 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perception was that middle managers lacked budgetary management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skills, one manager contrasting the enthusiasm of senior managers and staff with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 that of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middle band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, where initiatives became blocked by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reluctant middle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(SEO).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Government agent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It was evident across all three case studies that the impetus to meet centralized service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targets had become increasingly pervasive. Almost every manager could link the work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of their department to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very clear targets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set by governmental bodies, including patient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waiting time at AcuteTrust, caseload processing time at GovDep and efficiency savings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at LocalGov. Most agreed that organizational structures and goals were determined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more by government policy and central government departments than by managers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within the organization. Having targets often created clear conditions for the way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services were delivered, leaving little scope or slack resources for initiative at the local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level, as noted by a middle manager at GovDep:</w:t>
      </w:r>
    </w:p>
    <w:p w:rsidR="00EC35A6" w:rsidRDefault="00EC35A6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30a32c65"/>
          <w:color w:val="000000"/>
        </w:rPr>
      </w:pP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>I think when your targets are set at the beginning of the year and you know they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re not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going to change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 xml:space="preserve">throughout the year </w:t>
      </w:r>
      <w:r w:rsidRPr="004355D9">
        <w:rPr>
          <w:rFonts w:asciiTheme="majorHAnsi" w:hAnsiTheme="majorHAnsi" w:cs="AdvOT30a32c65+20"/>
          <w:color w:val="000000"/>
        </w:rPr>
        <w:t xml:space="preserve">… </w:t>
      </w:r>
      <w:r w:rsidRPr="004355D9">
        <w:rPr>
          <w:rFonts w:asciiTheme="majorHAnsi" w:hAnsiTheme="majorHAnsi" w:cs="AdvOT30a32c65"/>
          <w:color w:val="000000"/>
        </w:rPr>
        <w:t>where you are talking about making continuous improvements you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re tinkering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at the edges because so much is set way and above our control, but that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just the nature of the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beast. (EO)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Similar views were expressed at LocalGov, where targets were developed at a national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or regional level with input from politicians and then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cascaded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through each level until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they reached individual line managers:</w:t>
      </w:r>
    </w:p>
    <w:p w:rsidR="00EC35A6" w:rsidRPr="004355D9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>My department has an overall strategy that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given to us by the Council and then we have a committee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that gives us more specific and sometimes separate targets, but it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something that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all achieving the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main Council aim, and then that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 xml:space="preserve">s brought down to me personally as part of my </w:t>
      </w:r>
      <w:r w:rsidRPr="004355D9">
        <w:rPr>
          <w:rFonts w:asciiTheme="majorHAnsi" w:hAnsiTheme="majorHAnsi" w:cs="AdvOT30a32c65+20"/>
          <w:color w:val="000000"/>
        </w:rPr>
        <w:t xml:space="preserve">… </w:t>
      </w:r>
      <w:r w:rsidRPr="004355D9">
        <w:rPr>
          <w:rFonts w:asciiTheme="majorHAnsi" w:hAnsiTheme="majorHAnsi" w:cs="AdvOT30a32c65"/>
          <w:color w:val="000000"/>
        </w:rPr>
        <w:t>personal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development review. (Middle manager)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Government-led targets were recognized by many interviewees, particularly senior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managers, as the main form of control and accountability for all management groups.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Senior managers at GovDep were particularly forthcoming about the influence of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targets on the role of middle-level line managers: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color w:val="000000"/>
        </w:rPr>
      </w:pP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>If we weren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t achieving targets, people out there would know about it more than they do now, because I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have bi-weekly discussions with my managers, and if we weren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t achieving our targets, I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d be round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them like a robber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dog, if you know what I mean (SEO)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lastRenderedPageBreak/>
        <w:t>Similarly, at AcuteTrust, one business manager noted how she had to suddenly switch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her attention to national cancer targets because of an influx of referrals in this area: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probably most time is spent firefighting around targets</w:t>
      </w:r>
      <w:r w:rsidRPr="004355D9">
        <w:rPr>
          <w:rFonts w:asciiTheme="majorHAnsi" w:hAnsiTheme="majorHAnsi" w:cs="AdvOTc3272e35+20"/>
          <w:color w:val="000000"/>
        </w:rPr>
        <w:t xml:space="preserve">… </w:t>
      </w:r>
      <w:r w:rsidRPr="004355D9">
        <w:rPr>
          <w:rFonts w:asciiTheme="majorHAnsi" w:hAnsiTheme="majorHAnsi" w:cs="AdvOTc3272e35"/>
          <w:color w:val="000000"/>
        </w:rPr>
        <w:t>[that might be] around access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targets or a patient is going to breach a target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(CBM). Respondents in all three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organizations expressed mixed views about the value of government targets. Although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senior managers and some professional groups found them useful for performance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monitoring and incentivizing staff, the target setting process was far removed from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local situation, and middle managers frequently felt that most targets were not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realistic or attainable and therefore created significant and unnecessary pressure.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Diplomat administrator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The majority of managers in the study described their workplaces 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highly complex</w:t>
      </w:r>
      <w:r w:rsidRPr="004355D9">
        <w:rPr>
          <w:rFonts w:asciiTheme="majorHAnsi" w:hAnsiTheme="majorHAnsi" w:cs="AdvOTc3272e35+20"/>
          <w:color w:val="000000"/>
        </w:rPr>
        <w:t>’</w:t>
      </w:r>
      <w:r w:rsidR="00EC35A6">
        <w:rPr>
          <w:rFonts w:asciiTheme="majorHAnsi" w:hAnsiTheme="majorHAnsi" w:cs="AdvOTc3272e35+20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and this was often linked to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political battles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about how they conducted themselves.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 example, middle managers at AcuteTrust often managed across several clinical units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frequently more than one department would require their attention at any one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time. This led to significant pressure and role conflict for individual managers,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particularly when powerful professional actors, such as senior doctors, would make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demands and expect them to respond quickly: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color w:val="000000"/>
        </w:rPr>
      </w:pP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>It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very challenging to try and fit it all in, particularly with all of my areas at the moment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expanding. I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m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not fitting everything into a day, I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m working longer hours just basically to get things done. (Middle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level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service manager)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Some managers felt they had some autonomy to manage their own priorities around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business needs, but the pace of service delivery often meant they needed to be reactive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had little time for planning and careful negotiation. This proved very difficult for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many politically sensitive areas which spanned professional divides. For example,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business managers recalled being caught between the competing interests of doctors,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nurses and senior managers, where the only way to cope was to be as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diplomatic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possible and build good relationships with individual clinicians. The business case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process at AcuteTrust, referred to earlier, offered a potential avenue for management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influence. However, each case required the involvement of a variety of professionals,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including consultants, ward sisters and matrons, alongside accountants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senior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managers. The real decision-making for business case proposals took place at a senior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level between divisional accountants, board directors and clinical directors, and so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middle managers often found this process politically frustrating: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30a32c65"/>
          <w:color w:val="000000"/>
        </w:rPr>
      </w:pP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dvOT30a32c65"/>
          <w:color w:val="000000"/>
        </w:rPr>
      </w:pPr>
      <w:r w:rsidRPr="004355D9">
        <w:rPr>
          <w:rFonts w:asciiTheme="majorHAnsi" w:hAnsiTheme="majorHAnsi" w:cs="AdvOT30a32c65"/>
          <w:color w:val="000000"/>
        </w:rPr>
        <w:t>I don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t think we fully operate as a clinical business unit. I don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t think we operate having autonomy for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our businesses. I think some of that is still handled by the finance department, and that</w:t>
      </w:r>
      <w:r w:rsidRPr="004355D9">
        <w:rPr>
          <w:rFonts w:asciiTheme="majorHAnsi" w:hAnsiTheme="majorHAnsi" w:cs="AdvOT30a32c65+20"/>
          <w:color w:val="000000"/>
        </w:rPr>
        <w:t>’</w:t>
      </w:r>
      <w:r w:rsidRPr="004355D9">
        <w:rPr>
          <w:rFonts w:asciiTheme="majorHAnsi" w:hAnsiTheme="majorHAnsi" w:cs="AdvOT30a32c65"/>
          <w:color w:val="000000"/>
        </w:rPr>
        <w:t>s because</w:t>
      </w:r>
      <w:r w:rsidR="00EC35A6">
        <w:rPr>
          <w:rFonts w:asciiTheme="majorHAnsi" w:hAnsiTheme="majorHAnsi" w:cs="AdvOT30a32c65"/>
          <w:color w:val="000000"/>
        </w:rPr>
        <w:t xml:space="preserve"> </w:t>
      </w:r>
      <w:r w:rsidRPr="004355D9">
        <w:rPr>
          <w:rFonts w:asciiTheme="majorHAnsi" w:hAnsiTheme="majorHAnsi" w:cs="AdvOT30a32c65"/>
          <w:color w:val="000000"/>
        </w:rPr>
        <w:t>finance ruled this Trust for many years rather than the clinicians or the business managers. (CBM)</w:t>
      </w:r>
    </w:p>
    <w:p w:rsidR="00EC35A6" w:rsidRDefault="00EC35A6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Management consultant-led improvement initiatives, such as lean, were also felt to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offer little scope for entrepreneurial leadership. However, one unexpected benefit was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opportunity they afforded to develop inter-departmental working relationships.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 of the middle manager at the intersection between departments and hierarchical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levels was also apparent. Within all three organizations, middle-level line managers had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little control or influence over financial planning and budgets, with decisions taken at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more senior and central levels. In many of the interviews, middle managers appeared to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be cast in the role of passive recipients of </w:t>
      </w:r>
      <w:r w:rsidRPr="004355D9">
        <w:rPr>
          <w:rFonts w:asciiTheme="majorHAnsi" w:hAnsiTheme="majorHAnsi" w:cs="AdvOTc3272e35"/>
          <w:color w:val="000000"/>
        </w:rPr>
        <w:lastRenderedPageBreak/>
        <w:t>important budgetary decisions taken elsewhere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 the organization, creating significant limitations upon their discretion. In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GovDep, one middle manager spoke of the frustration not only at having to implement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centrally driven change programmes, but also at the lack of scope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to develop locally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relevant solutions and approaches due to budgetary constraints. In LocalGov,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one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middle manager said: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I wish my senior managers would at least consult with me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before they make any radical changes, because I know the business better than they do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Thus, line managers appeared as relatively powerless actors in relation to other, more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powerful, groups and elites, including professional colleagues and senior managers.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t>DISCUSSION AND CONCLUSIONS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Our findings shed light on the lived experience of public service middle managers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their ability to enact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 agent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roles in contemporary public services. We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examined what role middle managers describe themselves as serving, and the activities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behaviours they are adopting.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Two dominant narratives in the literature portray middle managers as either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reluctant actors unsuccessfully tasked with managing change or as strategic assets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with valuable contributions to make by linking with senior managers and reconciling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strategic aspirations with operational requirements (Balogun 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). Theory fragments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from organizational ecology and role theory suggest that organizational change will be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constrained by inertia forces and role-set conflict, although there is some scope for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managerial agency. Prior work on role typologies has suggested three alternative but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overlapping role archetypes for middle managers: the entrepreneurial leader, government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agent and diplomat administrator. The case studies have provided an insight into a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range of issues that middle managers are facing in public services reform and organizational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change. Looking across the three cases, we found some variation between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sectors. At AcuteTrust, reactive problem-solving, in response to service pressures 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demands from senior management and clinicians, was a primary factor dictating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work of middle managers. Although AcuteTrust was closest to the professional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bureaucratic form, instances of professional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hybridity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in middle management positions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did not lead to more convincing change agent roles. At GovDep, there was little scope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 managerial budgetary involvement and a general perception of polarization between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top and the bottom of the organization. At LocalGov, middle managers felt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overloaded with senior management initiatives and had little scope to contribute their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own ideas or implement new ways of working in any meaningful way. These differences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show that health care organizations are becoming increasingly politicized arenas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for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institutional work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(Currie et al. </w:t>
      </w:r>
      <w:r w:rsidRPr="004355D9">
        <w:rPr>
          <w:rFonts w:asciiTheme="majorHAnsi" w:hAnsiTheme="majorHAnsi" w:cs="AdvOTc3272e35"/>
          <w:color w:val="32348F"/>
        </w:rPr>
        <w:t>2012</w:t>
      </w:r>
      <w:r w:rsidRPr="004355D9">
        <w:rPr>
          <w:rFonts w:asciiTheme="majorHAnsi" w:hAnsiTheme="majorHAnsi" w:cs="AdvOTc3272e35"/>
          <w:color w:val="000000"/>
        </w:rPr>
        <w:t>), where professionals are congregating at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senior levels to influence organizational structures for their own ends, whereas local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government and civil service organizations remain rigid political bureaucracies with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increasingly instrumental government-facing performance mechanisms.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Divergent forces among the three public service settings were counteracted by more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powerful convergent forces at the population level of public sector organizing. These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were reflected in the commonalities observed in the roles played by middle managers,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in the tensions and ambiguities experienced during their enactment. In terms of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much-heralded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entrepreneurial leader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role, this appeared to be largely absent, lending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support to the Currie et al. (</w:t>
      </w:r>
      <w:r w:rsidRPr="004355D9">
        <w:rPr>
          <w:rFonts w:asciiTheme="majorHAnsi" w:hAnsiTheme="majorHAnsi" w:cs="AdvOTc3272e35"/>
          <w:color w:val="32348F"/>
        </w:rPr>
        <w:t>2008</w:t>
      </w:r>
      <w:r w:rsidRPr="004355D9">
        <w:rPr>
          <w:rFonts w:asciiTheme="majorHAnsi" w:hAnsiTheme="majorHAnsi" w:cs="AdvOTc3272e35"/>
          <w:color w:val="000000"/>
        </w:rPr>
        <w:t>) proposition that the nature and shape of contemporary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public services, combined with the realities of managerial work, are such that an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entrepreneurial role is practically impossible. Somewhat more support was found for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diplomat administrator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orientation, and there was evidence of middle managers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undertaking complex negotiations between various </w:t>
      </w:r>
      <w:r w:rsidRPr="004355D9">
        <w:rPr>
          <w:rFonts w:asciiTheme="majorHAnsi" w:hAnsiTheme="majorHAnsi" w:cs="AdvOTc3272e35"/>
          <w:color w:val="000000"/>
        </w:rPr>
        <w:lastRenderedPageBreak/>
        <w:t>professional groups and hierarchical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levels in order to secure department-level resources. However, we also found middle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frequently cast in a relatively powerless role within these networks, with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power vested ultimately in senior managers and professional elites. Finally, it was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evident from our interviews that the most pervasive role was that of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government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tasked with aligning and evaluating the work of their department with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prerogatives of central government, and held accountable for the achievement of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government goals and reporting schedules (Ackroyd, Kirkpatrick, and Walker </w:t>
      </w:r>
      <w:r w:rsidRPr="004355D9">
        <w:rPr>
          <w:rFonts w:asciiTheme="majorHAnsi" w:hAnsiTheme="majorHAnsi" w:cs="AdvOTc3272e35"/>
          <w:color w:val="32348F"/>
        </w:rPr>
        <w:t>2007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findings revealed five main factors that appeared to constrain the autonomy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potential change agent role of middle managers. First, perceptions of middle manager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strategic and leadership capability by senior managers appeared deprecating, fostering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 unwillingness to allow managers to exercise much by way of a leadership function,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possibly a lack of capability on the part of middle managers themselves. Second,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pressures of day-to-day operational work, much of which were short-term and reactionary,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were such that finding time to take on additional tasks and secure slack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resources was problematic. Third, the lack of middle 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control over important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resources and processes such as budgeting, coupled with their relative powerlessness in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relation to professional elites, served to curtail their scope for discretion (Harrison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Pollitt </w:t>
      </w:r>
      <w:r w:rsidRPr="004355D9">
        <w:rPr>
          <w:rFonts w:asciiTheme="majorHAnsi" w:hAnsiTheme="majorHAnsi" w:cs="AdvOTc3272e35"/>
          <w:color w:val="32348F"/>
        </w:rPr>
        <w:t>1994</w:t>
      </w:r>
      <w:r w:rsidRPr="004355D9">
        <w:rPr>
          <w:rFonts w:asciiTheme="majorHAnsi" w:hAnsiTheme="majorHAnsi" w:cs="AdvOTc3272e35"/>
          <w:color w:val="000000"/>
        </w:rPr>
        <w:t>). Fourth, the welter of initiatives driven by senior managers cast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middle manager as an unwilling reactionary implementer rather than a more empowered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leader of change (Balogun 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). Fifth, the pervasive institutional power of central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government in determining the scope, scale, direction and monitoring of change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agendas within public services further constrained what middle managers could develop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by way of local solutions (Conway and Monks </w:t>
      </w:r>
      <w:r w:rsidRPr="004355D9">
        <w:rPr>
          <w:rFonts w:asciiTheme="majorHAnsi" w:hAnsiTheme="majorHAnsi" w:cs="AdvOTc3272e35"/>
          <w:color w:val="32348F"/>
        </w:rPr>
        <w:t>2011</w:t>
      </w:r>
      <w:r w:rsidRPr="004355D9">
        <w:rPr>
          <w:rFonts w:asciiTheme="majorHAnsi" w:hAnsiTheme="majorHAnsi" w:cs="AdvOTc3272e35"/>
          <w:color w:val="000000"/>
        </w:rPr>
        <w:t>).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These five factors were overlaid with the apparent endurance of professional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bureaucratic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forms of public service organization with their reliance on hierarchy and standard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operating procedures (Farrell and Morris </w:t>
      </w:r>
      <w:r w:rsidRPr="004355D9">
        <w:rPr>
          <w:rFonts w:asciiTheme="majorHAnsi" w:hAnsiTheme="majorHAnsi" w:cs="AdvOTc3272e35"/>
          <w:color w:val="32348F"/>
        </w:rPr>
        <w:t>2003</w:t>
      </w:r>
      <w:r w:rsidRPr="004355D9">
        <w:rPr>
          <w:rFonts w:asciiTheme="majorHAnsi" w:hAnsiTheme="majorHAnsi" w:cs="AdvOTc3272e35"/>
          <w:color w:val="000000"/>
        </w:rPr>
        <w:t>), further serving to curtail and constrain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 freedom and autonomy of individual middle managers. These features appear to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lend support to the theory of structural inertia, where reliability and consistency is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favoured over experimentation (Hannan and Freeman </w:t>
      </w:r>
      <w:r w:rsidRPr="004355D9">
        <w:rPr>
          <w:rFonts w:asciiTheme="majorHAnsi" w:hAnsiTheme="majorHAnsi" w:cs="AdvOTc3272e35"/>
          <w:color w:val="32348F"/>
        </w:rPr>
        <w:t>1984</w:t>
      </w:r>
      <w:r w:rsidRPr="004355D9">
        <w:rPr>
          <w:rFonts w:asciiTheme="majorHAnsi" w:hAnsiTheme="majorHAnsi" w:cs="AdvOTc3272e35"/>
          <w:color w:val="000000"/>
        </w:rPr>
        <w:t>). Although New Labour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sought to remodel the monitoring of the public sector away from centralized rules and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towards regulation through agencies, the ultimate source of power and control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remained in the central government, who privilege reliable performance against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measureable standards.</w:t>
      </w:r>
    </w:p>
    <w:p w:rsidR="004355D9" w:rsidRPr="004355D9" w:rsidRDefault="004355D9" w:rsidP="00EC35A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The case studies also highlight the role conflict experienced by line managers as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suggested by role-set theory (Merton </w:t>
      </w:r>
      <w:r w:rsidRPr="004355D9">
        <w:rPr>
          <w:rFonts w:asciiTheme="majorHAnsi" w:hAnsiTheme="majorHAnsi" w:cs="AdvOTc3272e35"/>
          <w:color w:val="32348F"/>
        </w:rPr>
        <w:t>1957</w:t>
      </w:r>
      <w:r w:rsidRPr="004355D9">
        <w:rPr>
          <w:rFonts w:asciiTheme="majorHAnsi" w:hAnsiTheme="majorHAnsi" w:cs="AdvOTc3272e35"/>
          <w:color w:val="000000"/>
        </w:rPr>
        <w:t>): role incumbents experiencing pressure to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keep day-to-day operations working smoothly, coping with intensifying levels of work,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acquiescing to an array of disparate and sometimes competing change initiatives,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patiently negotiating between professional and managerial groups, ensuring the implementation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of government policy and monitoring performance against target </w:t>
      </w:r>
      <w:r w:rsidRPr="004355D9">
        <w:rPr>
          <w:rFonts w:asciiTheme="majorHAnsi" w:hAnsiTheme="majorHAnsi" w:cs="AdvOTc3272e35+20"/>
          <w:color w:val="000000"/>
        </w:rPr>
        <w:t xml:space="preserve">– </w:t>
      </w:r>
      <w:r w:rsidRPr="004355D9">
        <w:rPr>
          <w:rFonts w:asciiTheme="majorHAnsi" w:hAnsiTheme="majorHAnsi" w:cs="AdvOTc3272e35"/>
          <w:color w:val="000000"/>
        </w:rPr>
        <w:t>whilst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also frequently lacking the necessary resources, budgets or access to decision-making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processes needed to function effectively. Little wonder perhaps that the role of the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entrepreneurial leader has fallen by the wayside. It should also be recognized that this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study was conducted during a relatively resource-rich and optimistic time for the UK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public sector. As we move to a new period of macroeconomic austerity with everincreasing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demands on resource efficiencies, role demands and conflict are only likely to</w:t>
      </w:r>
      <w:r w:rsidR="00EC35A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become more severe for middle managers.</w:t>
      </w:r>
    </w:p>
    <w:p w:rsidR="004355D9" w:rsidRPr="004355D9" w:rsidRDefault="004355D9" w:rsidP="00E31E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Our combination of theory fragments from organizational ecology and role theory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help to provide a foundation for more focussed conceptual development. Our study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contributes to theory by showing that the macro-sociological concepts of organizational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ecology are consistent with the micro-sociological concepts of role theory. Without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attempting to unify the </w:t>
      </w:r>
      <w:r w:rsidRPr="004355D9">
        <w:rPr>
          <w:rFonts w:asciiTheme="majorHAnsi" w:hAnsiTheme="majorHAnsi" w:cs="AdvOTc3272e35"/>
          <w:color w:val="000000"/>
        </w:rPr>
        <w:lastRenderedPageBreak/>
        <w:t>frameworks, we have used these middle-range theories to build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more specific role archetypes for middle managers in public sector organizations. The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 archetypes we found most support for were consistent with the propositions of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structural inertia. Middle managers can be willing change agents, but they must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negotiate complex politicized operating environments typified by tight resources and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demanding operational targets. They may be able to make a stronger contribution to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organizational change and public sector reform, but this will require the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conflicted role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expectations to be become more relaxed and internally determined, rather than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conflict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between local professional and administrative concerns on one side and centralized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instrumental performance concerns on the other.</w:t>
      </w:r>
    </w:p>
    <w:p w:rsidR="004355D9" w:rsidRPr="004355D9" w:rsidRDefault="004355D9" w:rsidP="00E31E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Although our study has shed light on the enactment of line manager roles, there are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inevitable limitations. First, we had access to a convenience sample of three organizations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 the United Kingdom, so although we have gained insight into three different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areas of the public sector, further research that explores these issues with larger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samples of organizations and in other national settings would be welcome. Second,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our data were obtained by interview, and we were limited in the number of interviews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we could conduct in each organization. Our findings should therefore be taken as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indicative of important trends and complexities, rather than as representative of the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three sectors. Despite these limitations, our findings have implications for government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policy in the area of public service operation, organizational change and reform. The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case studies demonstrate convergent trends for middle managers across the UK public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services. The centralized nature of performance standards has given middle managers a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prominent role as agents of government rather than as more autonomous business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managers. Middle managers are also becoming ever more weary of and sceptical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towards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improvement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reform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,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modernization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and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change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and many distance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themselves from new initiatives: the narrative of 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reluctant middle manager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lives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on (Scase and Goffee </w:t>
      </w:r>
      <w:r w:rsidRPr="004355D9">
        <w:rPr>
          <w:rFonts w:asciiTheme="majorHAnsi" w:hAnsiTheme="majorHAnsi" w:cs="AdvOTc3272e35"/>
          <w:color w:val="32348F"/>
        </w:rPr>
        <w:t>1989</w:t>
      </w:r>
      <w:r w:rsidRPr="004355D9">
        <w:rPr>
          <w:rFonts w:asciiTheme="majorHAnsi" w:hAnsiTheme="majorHAnsi" w:cs="AdvOTc3272e35"/>
          <w:color w:val="000000"/>
        </w:rPr>
        <w:t>). The question for future policy-makers is therefore whether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they wish to promote public services in which the management cadre exists primarily to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implement centralized objectives and maintain consistent standards, or alternatively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facilitate a genuinely more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managerialist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, or indeed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leaderist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 role for middle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managers. If the latter, careful consideration will need to be given to the balance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between demands for local reform, instrumental performance measurement, administration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routine supervision. In particular, policy discourse would need to give more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consideration for the enactment of the role of managers in local settings, rather than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promoting generic recipes of managerialism.</w:t>
      </w:r>
      <w:r w:rsidR="00E31EEF">
        <w:rPr>
          <w:rFonts w:asciiTheme="majorHAnsi" w:hAnsiTheme="majorHAnsi" w:cs="AdvOTc3272e35"/>
          <w:color w:val="000000"/>
        </w:rPr>
        <w:t xml:space="preserve"> </w:t>
      </w:r>
    </w:p>
    <w:p w:rsidR="004355D9" w:rsidRPr="004355D9" w:rsidRDefault="004355D9" w:rsidP="00E31E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Our study has contributed to the hitherto sparse literature on the role of the middle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 as a change agent within public services. Line managers in our study were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caught in a complex normative and structural web that served to constrain their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discretion and autonomy. Far from letting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managers manage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 xml:space="preserve">or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leaders lead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,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government reforms appear to have fostered an environment in which middle managers</w:t>
      </w:r>
      <w:r w:rsidRPr="004355D9">
        <w:rPr>
          <w:rFonts w:asciiTheme="majorHAnsi" w:hAnsiTheme="majorHAnsi" w:cs="AdvOTc3272e35+20"/>
          <w:color w:val="000000"/>
        </w:rPr>
        <w:t>’</w:t>
      </w:r>
      <w:r w:rsidR="00E31EEF">
        <w:rPr>
          <w:rFonts w:asciiTheme="majorHAnsi" w:hAnsiTheme="majorHAnsi" w:cs="AdvOTc3272e35+20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roles are as constrained by central government as they ever were.</w:t>
      </w: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E31EEF" w:rsidRPr="004355D9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color w:val="000000"/>
        </w:rPr>
      </w:pPr>
    </w:p>
    <w:p w:rsidR="004355D9" w:rsidRPr="00FA4732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9bd2e232.B"/>
          <w:b/>
          <w:color w:val="000000"/>
        </w:rPr>
      </w:pPr>
      <w:r w:rsidRPr="00FA4732">
        <w:rPr>
          <w:rFonts w:asciiTheme="majorHAnsi" w:hAnsiTheme="majorHAnsi" w:cs="AdvOT9bd2e232.B"/>
          <w:b/>
          <w:color w:val="000000"/>
        </w:rPr>
        <w:lastRenderedPageBreak/>
        <w:t>REFERENCES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Ackroyd, S., I. Kirkpatrick, and R. Walker. 2007.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Public Management Reform in the UK and its Consequences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for Professional Organization: A Comparative Analysis.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Public 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85 (1): 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26. doi:10.1111/j.1467-9299.2007.00631.x.</w:t>
      </w:r>
    </w:p>
    <w:p w:rsidR="00E31EEF" w:rsidRPr="004355D9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Balogun, J. 2003.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From Blaming the Middle to Harnessing its Potential: Creating Change Intermediaries.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British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Journal of Management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14: 69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83. doi:10.1111/1467-8551.00266.</w:t>
      </w:r>
    </w:p>
    <w:p w:rsidR="00E31EEF" w:rsidRPr="004355D9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Bovaird, T., and K. Russell. 2007.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Civil Service Reform in the UK, 1999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2005: Revolutionary Failure or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Evolutionary Success?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Public 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85 (2): 301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328. doi:10.1111/j.1467-9299.2007.00651.x.</w:t>
      </w:r>
    </w:p>
    <w:p w:rsidR="00E31EEF" w:rsidRPr="004355D9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Brooks, I. 1999.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Managerialist Professionalism: The Destruction of a Non-conforming Subculture.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British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Journal of Management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10 (1): 41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52. doi:10.1111/1467-8551.00110.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Conway, E., and K. Monks. 2011.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Change from Below: The Role of Middle Managers in Mediating</w:t>
      </w: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Paradoxical Change.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Human Resource Management Journal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21 (2): 190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203. doi:10.1111/j.1748-8583.2010.00135.x.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Currie, G., M. Humphreys, D. Ucbasaran, and S. McManus. 2008.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Entrepreneurial Leadership in the English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Public Sector: Paradox or Possibility?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Public 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86 (4): 987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1008. doi:10.1111/j.1467-9299.2008.00736.x.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Currie, G., A. Lockett, R. Finn, G. Martin, and J. Waring. 2012.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Institutional Work to Maintain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 xml:space="preserve"> Professional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Power: Recreating the Model of Medical Professionalism.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Organization Studies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33 (7): 937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962.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doi:10.1177/0170840612445116.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Currie, G., and S. Procter. 2005.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The Antecedents of Middle 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Strategic Contribution: The Case of a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Professional Bureaucracy.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Journal of Management Studies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42 (7): 1325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1356. doi:10.1111/j.1467-6486.2005.00546.x.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Department of the Environment, Transport and the Regions. 1998. </w:t>
      </w:r>
      <w:r w:rsidRPr="008B2C86">
        <w:rPr>
          <w:rFonts w:asciiTheme="majorHAnsi" w:hAnsiTheme="majorHAnsi" w:cs="AdvOT6b6f1de6.I"/>
          <w:i/>
          <w:color w:val="000000"/>
        </w:rPr>
        <w:t>Modern Local Government: In Touch with the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People</w:t>
      </w:r>
      <w:r w:rsidRPr="008B2C86">
        <w:rPr>
          <w:rFonts w:asciiTheme="majorHAnsi" w:hAnsiTheme="majorHAnsi" w:cs="AdvOTc3272e35"/>
          <w:i/>
          <w:color w:val="000000"/>
        </w:rPr>
        <w:t>.</w:t>
      </w:r>
      <w:r w:rsidRPr="004355D9">
        <w:rPr>
          <w:rFonts w:asciiTheme="majorHAnsi" w:hAnsiTheme="majorHAnsi" w:cs="AdvOTc3272e35"/>
          <w:color w:val="000000"/>
        </w:rPr>
        <w:t xml:space="preserve"> London: HMSO.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Department for Transport, Local Government and the Regions. 2001. </w:t>
      </w:r>
      <w:r w:rsidRPr="008B2C86">
        <w:rPr>
          <w:rFonts w:asciiTheme="majorHAnsi" w:hAnsiTheme="majorHAnsi" w:cs="AdvOT6b6f1de6.I"/>
          <w:i/>
          <w:color w:val="000000"/>
        </w:rPr>
        <w:t xml:space="preserve">Strong Local Government </w:t>
      </w:r>
      <w:r w:rsidRPr="008B2C86">
        <w:rPr>
          <w:rFonts w:asciiTheme="majorHAnsi" w:hAnsiTheme="majorHAnsi" w:cs="AdvOT6b6f1de6.I+20"/>
          <w:i/>
          <w:color w:val="000000"/>
        </w:rPr>
        <w:t xml:space="preserve">– </w:t>
      </w:r>
      <w:r w:rsidRPr="008B2C86">
        <w:rPr>
          <w:rFonts w:asciiTheme="majorHAnsi" w:hAnsiTheme="majorHAnsi" w:cs="AdvOT6b6f1de6.I"/>
          <w:i/>
          <w:color w:val="000000"/>
        </w:rPr>
        <w:t>Quality Public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Services</w:t>
      </w:r>
      <w:r w:rsidRPr="004355D9">
        <w:rPr>
          <w:rFonts w:asciiTheme="majorHAnsi" w:hAnsiTheme="majorHAnsi" w:cs="AdvOT6b6f1de6.I"/>
          <w:color w:val="000000"/>
        </w:rPr>
        <w:t>, CM5237</w:t>
      </w:r>
      <w:r w:rsidRPr="004355D9">
        <w:rPr>
          <w:rFonts w:asciiTheme="majorHAnsi" w:hAnsiTheme="majorHAnsi" w:cs="AdvOTc3272e35"/>
          <w:color w:val="000000"/>
        </w:rPr>
        <w:t>. London: The Stationery Office.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Department of Health. 2000. </w:t>
      </w:r>
      <w:r w:rsidRPr="008B2C86">
        <w:rPr>
          <w:rFonts w:asciiTheme="majorHAnsi" w:hAnsiTheme="majorHAnsi" w:cs="AdvOT6b6f1de6.I"/>
          <w:i/>
          <w:color w:val="000000"/>
        </w:rPr>
        <w:t>The NHS Plan</w:t>
      </w:r>
      <w:r w:rsidRPr="004355D9">
        <w:rPr>
          <w:rFonts w:asciiTheme="majorHAnsi" w:hAnsiTheme="majorHAnsi" w:cs="AdvOTc3272e35"/>
          <w:color w:val="000000"/>
        </w:rPr>
        <w:t>. London: Department of Health.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DiMaggio, P., and W. Powell. 1983.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The Iron Cage Revisited: Institutional Isomorphism and Collective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Rationality in Organizational Fields.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American Sociological Review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48: 147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160. doi:10.2307/2095101.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Doherty, C., M. Gatenby, and C. Hales. 2010.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Role of the Ward Sister: Tensions, Pressures and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Opportunities.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Nursing Standard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24 (51): 35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40. doi:10.7748/ns2010.08.24.51.35.c7941.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lastRenderedPageBreak/>
        <w:t xml:space="preserve">Dopson, S., and R. Stewart. 1990.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What is Happening to Middle Management?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British Journal of Management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1: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3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16. doi:10.1111/j.1467-8551.1990.tb00151.x.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Eisenhardt, K. 1989.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Building Theories from Case Study Research.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Academy of Management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 xml:space="preserve">Review </w:t>
      </w:r>
      <w:r w:rsidRPr="004355D9">
        <w:rPr>
          <w:rFonts w:asciiTheme="majorHAnsi" w:hAnsiTheme="majorHAnsi" w:cs="AdvOTc3272e35"/>
          <w:color w:val="000000"/>
        </w:rPr>
        <w:t>14: 532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550.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Exworthy, M., and S. Halford, eds. 1999. </w:t>
      </w:r>
      <w:r w:rsidRPr="008B2C86">
        <w:rPr>
          <w:rFonts w:asciiTheme="majorHAnsi" w:hAnsiTheme="majorHAnsi" w:cs="AdvOT6b6f1de6.I"/>
          <w:i/>
          <w:color w:val="000000"/>
        </w:rPr>
        <w:t>Professionals and the New Managerialism in the Public Sector</w:t>
      </w:r>
      <w:r w:rsidRPr="004355D9">
        <w:rPr>
          <w:rFonts w:asciiTheme="majorHAnsi" w:hAnsiTheme="majorHAnsi" w:cs="AdvOTc3272e35"/>
          <w:color w:val="000000"/>
        </w:rPr>
        <w:t>. Buckingham: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Open University Press.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Farrell, C., and J. Morris. 2003.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 xml:space="preserve">The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Neo-Bureaucratic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State: Professionals, Managers and Professional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Managers in Schools, General Practices and Social Work.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Organization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10 (1): 129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156. doi:10.1177/1350508403010001380.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Ferlie, E., L. Lynn, and C. Pollitt. 2007. </w:t>
      </w:r>
      <w:r w:rsidRPr="008B2C86">
        <w:rPr>
          <w:rFonts w:asciiTheme="majorHAnsi" w:hAnsiTheme="majorHAnsi" w:cs="AdvOT6b6f1de6.I"/>
          <w:i/>
          <w:color w:val="000000"/>
        </w:rPr>
        <w:t>The Oxford Handbook of Public Management</w:t>
      </w:r>
      <w:r w:rsidRPr="004355D9">
        <w:rPr>
          <w:rFonts w:asciiTheme="majorHAnsi" w:hAnsiTheme="majorHAnsi" w:cs="AdvOTc3272e35"/>
          <w:color w:val="000000"/>
        </w:rPr>
        <w:t>. Oxford: University of Oxford Press.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Floyd, S., and B. Wooldridge. 1994.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Dinosaurs or Dynamos? Recognizing Middle Management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Strategic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Role.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Academy of Management Executive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 (4): 47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57.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Floyd, S., and B. Wooldridge. 1997.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Middle Management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s Strategic Influence and Organizational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Performance.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Journal of Management Studies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34 (3): 465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485.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doi:10.1111/1467-6486.00059.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Fulop, L. 2012.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 xml:space="preserve">Leadership, Clinician Managers and a Thing Called </w:t>
      </w:r>
      <w:r w:rsidRPr="004355D9">
        <w:rPr>
          <w:rFonts w:asciiTheme="majorHAnsi" w:hAnsiTheme="majorHAnsi" w:cs="AdvOTc3272e35+20"/>
          <w:color w:val="000000"/>
        </w:rPr>
        <w:t>‘</w:t>
      </w:r>
      <w:r w:rsidRPr="004355D9">
        <w:rPr>
          <w:rFonts w:asciiTheme="majorHAnsi" w:hAnsiTheme="majorHAnsi" w:cs="AdvOTc3272e35"/>
          <w:color w:val="000000"/>
        </w:rPr>
        <w:t>Hybridity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Journal of Health Organization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and Management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26 (5): 578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604. doi:10.1108/14777261211256927.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Goldfinch, S., and J. Wallis. 2010.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Two Myths of Convergence in Public Management Reform.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Public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88 (4): 1099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1115. doi:10.1111/j.1467-9299.2010.01848.x.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Gronn, P. 2000.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Distributed Properties: A New Architecture for Leadership.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Educational Management</w:t>
      </w:r>
      <w:r w:rsidR="00E31EEF" w:rsidRPr="008B2C86">
        <w:rPr>
          <w:rFonts w:asciiTheme="majorHAnsi" w:hAnsiTheme="majorHAnsi" w:cs="AdvOT6b6f1de6.I"/>
          <w:i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 xml:space="preserve">Administration &amp; Leadership </w:t>
      </w:r>
      <w:r w:rsidRPr="004355D9">
        <w:rPr>
          <w:rFonts w:asciiTheme="majorHAnsi" w:hAnsiTheme="majorHAnsi" w:cs="AdvOTc3272e35"/>
          <w:color w:val="000000"/>
        </w:rPr>
        <w:t>28 (3): 317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338. doi:10.1177/0263211X000283006.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Hales, C. 2002. </w:t>
      </w:r>
      <w:r w:rsidRPr="004355D9">
        <w:rPr>
          <w:rFonts w:asciiTheme="majorHAnsi" w:hAnsiTheme="majorHAnsi" w:cs="AdvOTc3272e35+20"/>
          <w:color w:val="000000"/>
        </w:rPr>
        <w:t>“‘</w:t>
      </w:r>
      <w:r w:rsidRPr="004355D9">
        <w:rPr>
          <w:rFonts w:asciiTheme="majorHAnsi" w:hAnsiTheme="majorHAnsi" w:cs="AdvOTc3272e35"/>
          <w:color w:val="000000"/>
        </w:rPr>
        <w:t>Bureaucracy-lite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and Continuities in Managerial Work.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 xml:space="preserve">British Journal of Management </w:t>
      </w:r>
      <w:r w:rsidRPr="004355D9">
        <w:rPr>
          <w:rFonts w:asciiTheme="majorHAnsi" w:hAnsiTheme="majorHAnsi" w:cs="AdvOTc3272e35"/>
          <w:color w:val="000000"/>
        </w:rPr>
        <w:t>13 (1):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51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66. doi:10.1111/1467-8551.00222.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Hannan, M., and J. Freeman. 1977.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The Population Ecology of Organizations.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American Journal of Sociology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82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(5): 929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964 . doi:10.1086/226424.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Hannan, M., and J. Freeman. 1984.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Structural Inertia and Organizational Change.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American Sociological Review</w:t>
      </w:r>
      <w:r w:rsidR="00E31EEF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49 (2): 149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164. doi:10.2307/2095567.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Hannan, M., and J. Freeman. 1989. </w:t>
      </w:r>
      <w:r w:rsidRPr="008B2C86">
        <w:rPr>
          <w:rFonts w:asciiTheme="majorHAnsi" w:hAnsiTheme="majorHAnsi" w:cs="AdvOT6b6f1de6.I"/>
          <w:i/>
          <w:color w:val="000000"/>
        </w:rPr>
        <w:t>Organizational Ecology</w:t>
      </w:r>
      <w:r w:rsidRPr="004355D9">
        <w:rPr>
          <w:rFonts w:asciiTheme="majorHAnsi" w:hAnsiTheme="majorHAnsi" w:cs="AdvOTc3272e35"/>
          <w:color w:val="000000"/>
        </w:rPr>
        <w:t>. London: Harvard University Press.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Hannan, M., L. Polos, and G. Carroll. 2007. </w:t>
      </w:r>
      <w:r w:rsidRPr="008B2C86">
        <w:rPr>
          <w:rFonts w:asciiTheme="majorHAnsi" w:hAnsiTheme="majorHAnsi" w:cs="AdvOT6b6f1de6.I"/>
          <w:i/>
          <w:color w:val="000000"/>
        </w:rPr>
        <w:t>Logics of Organization Theory</w:t>
      </w:r>
      <w:r w:rsidRPr="004355D9">
        <w:rPr>
          <w:rFonts w:asciiTheme="majorHAnsi" w:hAnsiTheme="majorHAnsi" w:cs="AdvOTc3272e35"/>
          <w:color w:val="000000"/>
        </w:rPr>
        <w:t>. Oxford: Princeton University Press.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lastRenderedPageBreak/>
        <w:t xml:space="preserve">Harrison, S., and C. Pollitt. 1994. </w:t>
      </w:r>
      <w:r w:rsidRPr="008B2C86">
        <w:rPr>
          <w:rFonts w:asciiTheme="majorHAnsi" w:hAnsiTheme="majorHAnsi" w:cs="AdvOT6b6f1de6.I"/>
          <w:i/>
          <w:color w:val="000000"/>
        </w:rPr>
        <w:t>Controlling Health Professionals: The Future of Work and Organization in the NHS</w:t>
      </w:r>
      <w:r w:rsidRPr="004355D9">
        <w:rPr>
          <w:rFonts w:asciiTheme="majorHAnsi" w:hAnsiTheme="majorHAnsi" w:cs="AdvOTc3272e35"/>
          <w:color w:val="000000"/>
        </w:rPr>
        <w:t>.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Buckingham: Open University Press.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Hood, C. 1991.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A Public Management for all Seasons?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Public 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69 (1): 3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19. doi:10.1111/j.1467-9299.1991.tb00779.x.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Hoque, K., S. Davis, and M. Humphreys. 2004.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Freedom To Do What You Are Told: Senior Management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Team Autonomy in an NHS Acute Trust.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Public 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82 (2): 355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375. doi:10.1111/j.0033-3298.2004.00398.x.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Huy, Q. 2001.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In Praise of Middle Managers.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Harvard Business Review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79 (8): 72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79.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Likert, R. 1961. </w:t>
      </w:r>
      <w:r w:rsidRPr="008B2C86">
        <w:rPr>
          <w:rFonts w:asciiTheme="majorHAnsi" w:hAnsiTheme="majorHAnsi" w:cs="AdvOT6b6f1de6.I"/>
          <w:i/>
          <w:color w:val="000000"/>
        </w:rPr>
        <w:t>New Patterns of Management</w:t>
      </w:r>
      <w:r w:rsidRPr="004355D9">
        <w:rPr>
          <w:rFonts w:asciiTheme="majorHAnsi" w:hAnsiTheme="majorHAnsi" w:cs="AdvOTc3272e35"/>
          <w:color w:val="000000"/>
        </w:rPr>
        <w:t>. New York, NY: McGraw-Hill.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Linton, R. 1936. </w:t>
      </w:r>
      <w:r w:rsidRPr="008B2C86">
        <w:rPr>
          <w:rFonts w:asciiTheme="majorHAnsi" w:hAnsiTheme="majorHAnsi" w:cs="AdvOT6b6f1de6.I"/>
          <w:i/>
          <w:color w:val="000000"/>
        </w:rPr>
        <w:t>The Study of Man: An Introduction</w:t>
      </w:r>
      <w:r w:rsidRPr="004355D9">
        <w:rPr>
          <w:rFonts w:asciiTheme="majorHAnsi" w:hAnsiTheme="majorHAnsi" w:cs="AdvOTc3272e35"/>
          <w:color w:val="000000"/>
        </w:rPr>
        <w:t>. New York, NY: Appleton-Century-Crofts.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Llewellyn, S. 2001. </w:t>
      </w:r>
      <w:r w:rsidRPr="004355D9">
        <w:rPr>
          <w:rFonts w:asciiTheme="majorHAnsi" w:hAnsiTheme="majorHAnsi" w:cs="AdvOTc3272e35+20"/>
          <w:color w:val="000000"/>
        </w:rPr>
        <w:t>“‘</w:t>
      </w:r>
      <w:r w:rsidRPr="004355D9">
        <w:rPr>
          <w:rFonts w:asciiTheme="majorHAnsi" w:hAnsiTheme="majorHAnsi" w:cs="AdvOTc3272e35"/>
          <w:color w:val="000000"/>
        </w:rPr>
        <w:t>Two-Way Windows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: Clinicians as Medical Managers.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Organization Studies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22 (4): 593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623.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doi:10.1177/0170840601224003.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Mantere, S. 2008.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Role Expectation and Middle Manager Strategy Agency.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Journal of Management Studies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45: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294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316.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Merton, R. 1957.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The Role-Set: Problems in Sociological Theory.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British Journal of Sociology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 (2): 106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120.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doi:10.2307/587363.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>O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 xml:space="preserve">Reilly, D., and M. Reed. 2010. </w:t>
      </w:r>
      <w:r w:rsidRPr="004355D9">
        <w:rPr>
          <w:rFonts w:asciiTheme="majorHAnsi" w:hAnsiTheme="majorHAnsi" w:cs="AdvOTc3272e35+20"/>
          <w:color w:val="000000"/>
        </w:rPr>
        <w:t>“‘</w:t>
      </w:r>
      <w:r w:rsidRPr="004355D9">
        <w:rPr>
          <w:rFonts w:asciiTheme="majorHAnsi" w:hAnsiTheme="majorHAnsi" w:cs="AdvOTc3272e35"/>
          <w:color w:val="000000"/>
        </w:rPr>
        <w:t>Leaderism</w:t>
      </w:r>
      <w:r w:rsidRPr="004355D9">
        <w:rPr>
          <w:rFonts w:asciiTheme="majorHAnsi" w:hAnsiTheme="majorHAnsi" w:cs="AdvOTc3272e35+20"/>
          <w:color w:val="000000"/>
        </w:rPr>
        <w:t>’</w:t>
      </w:r>
      <w:r w:rsidRPr="004355D9">
        <w:rPr>
          <w:rFonts w:asciiTheme="majorHAnsi" w:hAnsiTheme="majorHAnsi" w:cs="AdvOTc3272e35"/>
          <w:color w:val="000000"/>
        </w:rPr>
        <w:t>: An Evolution of Managerialism in UK Public Service Reform.</w:t>
      </w:r>
      <w:r w:rsidRPr="004355D9">
        <w:rPr>
          <w:rFonts w:asciiTheme="majorHAnsi" w:hAnsiTheme="majorHAnsi" w:cs="AdvOTc3272e35+20"/>
          <w:color w:val="000000"/>
        </w:rPr>
        <w:t>”</w:t>
      </w:r>
      <w:r w:rsidR="00E31EEF">
        <w:rPr>
          <w:rFonts w:asciiTheme="majorHAnsi" w:hAnsiTheme="majorHAnsi" w:cs="AdvOTc3272e35+20"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Public Administration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88 (4): 960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978. doi:10.1111/j.1467-9299.2010.01864.x.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Pegram, A. M., M. Grainger, J. Sigsworth, and A. E. While. 2013.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Strengthening the Role of the Ward</w:t>
      </w:r>
      <w:r w:rsidR="00E31EEF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Manager: A Review of the Literature.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Journal of Nursing Management</w:t>
      </w:r>
      <w:r w:rsidRPr="004355D9">
        <w:rPr>
          <w:rFonts w:asciiTheme="majorHAnsi" w:hAnsiTheme="majorHAnsi" w:cs="AdvOTc3272e35"/>
          <w:color w:val="000000"/>
        </w:rPr>
        <w:t>. doi:10.1111/jonm.12047.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Power, M. 1997. </w:t>
      </w:r>
      <w:r w:rsidRPr="008B2C86">
        <w:rPr>
          <w:rFonts w:asciiTheme="majorHAnsi" w:hAnsiTheme="majorHAnsi" w:cs="AdvOT6b6f1de6.I"/>
          <w:i/>
          <w:color w:val="000000"/>
        </w:rPr>
        <w:t>The Audit Society: Rituals of Verification</w:t>
      </w:r>
      <w:r w:rsidRPr="004355D9">
        <w:rPr>
          <w:rFonts w:asciiTheme="majorHAnsi" w:hAnsiTheme="majorHAnsi" w:cs="AdvOTc3272e35"/>
          <w:color w:val="000000"/>
        </w:rPr>
        <w:t>. Oxford: Oxford University Press.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Scase, R., and R. Goffee. 1989. </w:t>
      </w:r>
      <w:r w:rsidRPr="008B2C86">
        <w:rPr>
          <w:rFonts w:asciiTheme="majorHAnsi" w:hAnsiTheme="majorHAnsi" w:cs="AdvOT6b6f1de6.I"/>
          <w:i/>
          <w:color w:val="000000"/>
        </w:rPr>
        <w:t>Reluctant Managers: Their Work and Lifestyles</w:t>
      </w:r>
      <w:r w:rsidRPr="004355D9">
        <w:rPr>
          <w:rFonts w:asciiTheme="majorHAnsi" w:hAnsiTheme="majorHAnsi" w:cs="AdvOTc3272e35"/>
          <w:color w:val="000000"/>
        </w:rPr>
        <w:t>. London: Unwin</w:t>
      </w:r>
      <w:r w:rsidR="008B2C8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Hyman.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Syrett, V., M. Jones, and N. Sercombe. 1997.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Implementing Community Care: The Congruence of Manager</w:t>
      </w:r>
      <w:r w:rsidR="008B2C86">
        <w:rPr>
          <w:rFonts w:asciiTheme="majorHAnsi" w:hAnsiTheme="majorHAnsi" w:cs="AdvOTc3272e35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and Practitioner Cultures.</w:t>
      </w:r>
      <w:r w:rsidRPr="004355D9">
        <w:rPr>
          <w:rFonts w:asciiTheme="majorHAnsi" w:hAnsiTheme="majorHAnsi" w:cs="AdvOTc3272e35+20"/>
          <w:color w:val="000000"/>
        </w:rPr>
        <w:t xml:space="preserve">” </w:t>
      </w:r>
      <w:r w:rsidRPr="008B2C86">
        <w:rPr>
          <w:rFonts w:asciiTheme="majorHAnsi" w:hAnsiTheme="majorHAnsi" w:cs="AdvOT6b6f1de6.I"/>
          <w:i/>
          <w:color w:val="000000"/>
        </w:rPr>
        <w:t>Social Work and Social Sciences Review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3: 154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169.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Thompson, J. 1967. </w:t>
      </w:r>
      <w:r w:rsidRPr="008B2C86">
        <w:rPr>
          <w:rFonts w:asciiTheme="majorHAnsi" w:hAnsiTheme="majorHAnsi" w:cs="AdvOT6b6f1de6.I"/>
          <w:i/>
          <w:color w:val="000000"/>
        </w:rPr>
        <w:t>Organizations in Action</w:t>
      </w:r>
      <w:r w:rsidRPr="004355D9">
        <w:rPr>
          <w:rFonts w:asciiTheme="majorHAnsi" w:hAnsiTheme="majorHAnsi" w:cs="AdvOTc3272e35"/>
          <w:color w:val="000000"/>
        </w:rPr>
        <w:t>. London: McGraw-Hill.</w:t>
      </w:r>
    </w:p>
    <w:p w:rsidR="00E31EEF" w:rsidRDefault="00E31EEF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</w:p>
    <w:p w:rsidR="004355D9" w:rsidRPr="004355D9" w:rsidRDefault="004355D9" w:rsidP="00FA473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dvOTc3272e35"/>
          <w:color w:val="000000"/>
        </w:rPr>
      </w:pPr>
      <w:r w:rsidRPr="004355D9">
        <w:rPr>
          <w:rFonts w:asciiTheme="majorHAnsi" w:hAnsiTheme="majorHAnsi" w:cs="AdvOTc3272e35"/>
          <w:color w:val="000000"/>
        </w:rPr>
        <w:t xml:space="preserve">Thursfield, D. 2008. </w:t>
      </w:r>
      <w:r w:rsidRPr="004355D9">
        <w:rPr>
          <w:rFonts w:asciiTheme="majorHAnsi" w:hAnsiTheme="majorHAnsi" w:cs="AdvOTc3272e35+20"/>
          <w:color w:val="000000"/>
        </w:rPr>
        <w:t>“</w:t>
      </w:r>
      <w:r w:rsidRPr="004355D9">
        <w:rPr>
          <w:rFonts w:asciiTheme="majorHAnsi" w:hAnsiTheme="majorHAnsi" w:cs="AdvOTc3272e35"/>
          <w:color w:val="000000"/>
        </w:rPr>
        <w:t>Managers</w:t>
      </w:r>
      <w:r w:rsidRPr="004355D9">
        <w:rPr>
          <w:rFonts w:asciiTheme="majorHAnsi" w:hAnsiTheme="majorHAnsi" w:cs="AdvOTc3272e35+20"/>
          <w:color w:val="000000"/>
        </w:rPr>
        <w:t xml:space="preserve">’ </w:t>
      </w:r>
      <w:r w:rsidRPr="004355D9">
        <w:rPr>
          <w:rFonts w:asciiTheme="majorHAnsi" w:hAnsiTheme="majorHAnsi" w:cs="AdvOTc3272e35"/>
          <w:color w:val="000000"/>
        </w:rPr>
        <w:t>learning in a UK local Authority: The Political Context of an in-House MBA.</w:t>
      </w:r>
      <w:r w:rsidRPr="004355D9">
        <w:rPr>
          <w:rFonts w:asciiTheme="majorHAnsi" w:hAnsiTheme="majorHAnsi" w:cs="AdvOTc3272e35+20"/>
          <w:color w:val="000000"/>
        </w:rPr>
        <w:t>”</w:t>
      </w:r>
      <w:r w:rsidR="008B2C86">
        <w:rPr>
          <w:rFonts w:asciiTheme="majorHAnsi" w:hAnsiTheme="majorHAnsi" w:cs="AdvOTc3272e35+20"/>
          <w:color w:val="000000"/>
        </w:rPr>
        <w:t xml:space="preserve"> </w:t>
      </w:r>
      <w:r w:rsidRPr="008B2C86">
        <w:rPr>
          <w:rFonts w:asciiTheme="majorHAnsi" w:hAnsiTheme="majorHAnsi" w:cs="AdvOT6b6f1de6.I"/>
          <w:i/>
          <w:color w:val="000000"/>
        </w:rPr>
        <w:t>Management Learning</w:t>
      </w:r>
      <w:r w:rsidRPr="004355D9">
        <w:rPr>
          <w:rFonts w:asciiTheme="majorHAnsi" w:hAnsiTheme="majorHAnsi" w:cs="AdvOT6b6f1de6.I"/>
          <w:color w:val="000000"/>
        </w:rPr>
        <w:t xml:space="preserve"> </w:t>
      </w:r>
      <w:r w:rsidRPr="004355D9">
        <w:rPr>
          <w:rFonts w:asciiTheme="majorHAnsi" w:hAnsiTheme="majorHAnsi" w:cs="AdvOTc3272e35"/>
          <w:color w:val="000000"/>
        </w:rPr>
        <w:t>39: 295</w:t>
      </w:r>
      <w:r w:rsidRPr="004355D9">
        <w:rPr>
          <w:rFonts w:asciiTheme="majorHAnsi" w:hAnsiTheme="majorHAnsi" w:cs="AdvOTc3272e35+20"/>
          <w:color w:val="000000"/>
        </w:rPr>
        <w:t>–</w:t>
      </w:r>
      <w:r w:rsidRPr="004355D9">
        <w:rPr>
          <w:rFonts w:asciiTheme="majorHAnsi" w:hAnsiTheme="majorHAnsi" w:cs="AdvOTc3272e35"/>
          <w:color w:val="000000"/>
        </w:rPr>
        <w:t>309. doi:10.1177/1350507608090878.</w:t>
      </w:r>
    </w:p>
    <w:sectPr w:rsidR="004355D9" w:rsidRPr="004355D9" w:rsidSect="00F803BF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4D" w:rsidRDefault="00A20F4D" w:rsidP="00FA4732">
      <w:pPr>
        <w:spacing w:after="0" w:line="240" w:lineRule="auto"/>
      </w:pPr>
      <w:r>
        <w:separator/>
      </w:r>
    </w:p>
  </w:endnote>
  <w:endnote w:type="continuationSeparator" w:id="0">
    <w:p w:rsidR="00A20F4D" w:rsidRDefault="00A20F4D" w:rsidP="00F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vOTad4a2bde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3272e3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bd2e232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3272e35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f4c711a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b6f1de6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b6f1de6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9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5A6" w:rsidRDefault="00EC3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35A6" w:rsidRDefault="00EC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4D" w:rsidRDefault="00A20F4D" w:rsidP="00FA4732">
      <w:pPr>
        <w:spacing w:after="0" w:line="240" w:lineRule="auto"/>
      </w:pPr>
      <w:r>
        <w:separator/>
      </w:r>
    </w:p>
  </w:footnote>
  <w:footnote w:type="continuationSeparator" w:id="0">
    <w:p w:rsidR="00A20F4D" w:rsidRDefault="00A20F4D" w:rsidP="00FA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9"/>
    <w:rsid w:val="000A3356"/>
    <w:rsid w:val="001D685A"/>
    <w:rsid w:val="003C4B5D"/>
    <w:rsid w:val="004355D9"/>
    <w:rsid w:val="00566FAE"/>
    <w:rsid w:val="006F5AA9"/>
    <w:rsid w:val="008B2C86"/>
    <w:rsid w:val="00A20F4D"/>
    <w:rsid w:val="00D93173"/>
    <w:rsid w:val="00E31EEF"/>
    <w:rsid w:val="00EC35A6"/>
    <w:rsid w:val="00EF72CB"/>
    <w:rsid w:val="00F01B72"/>
    <w:rsid w:val="00F803BF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5FFCB-099B-49EB-9FBE-41CD458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B5D"/>
    <w:rPr>
      <w:b/>
      <w:bCs/>
    </w:rPr>
  </w:style>
  <w:style w:type="character" w:styleId="Emphasis">
    <w:name w:val="Emphasis"/>
    <w:qFormat/>
    <w:rsid w:val="003C4B5D"/>
    <w:rPr>
      <w:i/>
      <w:iCs/>
    </w:rPr>
  </w:style>
  <w:style w:type="paragraph" w:styleId="NoSpacing">
    <w:name w:val="No Spacing"/>
    <w:qFormat/>
    <w:rsid w:val="003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5D9"/>
    <w:rPr>
      <w:color w:val="0000FF" w:themeColor="hyperlink"/>
      <w:u w:val="single"/>
    </w:rPr>
  </w:style>
  <w:style w:type="paragraph" w:customStyle="1" w:styleId="Default">
    <w:name w:val="Default"/>
    <w:rsid w:val="004355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32"/>
  </w:style>
  <w:style w:type="paragraph" w:styleId="Footer">
    <w:name w:val="footer"/>
    <w:basedOn w:val="Normal"/>
    <w:link w:val="FooterChar"/>
    <w:uiPriority w:val="99"/>
    <w:unhideWhenUsed/>
    <w:rsid w:val="00FA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32"/>
  </w:style>
  <w:style w:type="character" w:styleId="FollowedHyperlink">
    <w:name w:val="FollowedHyperlink"/>
    <w:basedOn w:val="DefaultParagraphFont"/>
    <w:uiPriority w:val="99"/>
    <w:semiHidden/>
    <w:unhideWhenUsed/>
    <w:rsid w:val="000A3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russ@sussex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.rees@rhul.ac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atenby@soton.ac.uk" TargetMode="External"/><Relationship Id="rId11" Type="http://schemas.openxmlformats.org/officeDocument/2006/relationships/hyperlink" Target="http://dx.doi.org/10.1080/14719037.2014.895028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.c.soane@lse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.alfes@uv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8560</Words>
  <Characters>55041</Characters>
  <Application>Microsoft Office Word</Application>
  <DocSecurity>0</DocSecurity>
  <Lines>679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Rees, Chris</cp:lastModifiedBy>
  <cp:revision>7</cp:revision>
  <cp:lastPrinted>2014-04-01T13:04:00Z</cp:lastPrinted>
  <dcterms:created xsi:type="dcterms:W3CDTF">2014-03-27T15:54:00Z</dcterms:created>
  <dcterms:modified xsi:type="dcterms:W3CDTF">2016-04-07T15:10:00Z</dcterms:modified>
</cp:coreProperties>
</file>